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26"/>
          <w:szCs w:val="26"/>
          <w:b w:val="1"/>
          <w:bCs w:val="1"/>
          <w:color w:val="auto"/>
        </w:rPr>
        <w:drawing>
          <wp:anchor simplePos="0" relativeHeight="251657728" behindDoc="1" locked="0" layoutInCell="0" allowOverlap="1">
            <wp:simplePos x="0" y="0"/>
            <wp:positionH relativeFrom="page">
              <wp:posOffset>157480</wp:posOffset>
            </wp:positionH>
            <wp:positionV relativeFrom="page">
              <wp:posOffset>157480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183515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26" w:lineRule="exact"/>
        <w:rPr>
          <w:sz w:val="24"/>
          <w:szCs w:val="24"/>
          <w:color w:val="auto"/>
        </w:rPr>
      </w:pPr>
    </w:p>
    <w:p>
      <w:pPr>
        <w:jc w:val="center"/>
        <w:spacing w:after="0"/>
        <w:rPr>
          <w:sz w:val="20"/>
          <w:szCs w:val="20"/>
          <w:color w:val="auto"/>
        </w:rPr>
      </w:pPr>
      <w:r>
        <w:rPr>
          <w:rFonts w:ascii="Arial" w:cs="Arial" w:eastAsia="Arial" w:hAnsi="Arial"/>
          <w:sz w:val="26"/>
          <w:szCs w:val="26"/>
          <w:b w:val="1"/>
          <w:bCs w:val="1"/>
          <w:color w:val="auto"/>
        </w:rPr>
        <w:t>SECURITIES AND EXCHANGE COMMISSION</w:t>
      </w: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2903855</wp:posOffset>
            </wp:positionH>
            <wp:positionV relativeFrom="paragraph">
              <wp:posOffset>55880</wp:posOffset>
            </wp:positionV>
            <wp:extent cx="144907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49070" cy="8890"/>
                    </a:xfrm>
                    <a:prstGeom prst="rect">
                      <a:avLst/>
                    </a:prstGeom>
                    <a:noFill/>
                  </pic:spPr>
                </pic:pic>
              </a:graphicData>
            </a:graphic>
          </wp:anchor>
        </w:drawing>
      </w:r>
    </w:p>
    <w:p>
      <w:pPr>
        <w:spacing w:after="0" w:line="116" w:lineRule="exact"/>
        <w:rPr>
          <w:sz w:val="24"/>
          <w:szCs w:val="24"/>
          <w:color w:val="auto"/>
        </w:rPr>
      </w:pPr>
    </w:p>
    <w:p>
      <w:pPr>
        <w:jc w:val="center"/>
        <w:spacing w:after="0"/>
        <w:rPr>
          <w:sz w:val="20"/>
          <w:szCs w:val="20"/>
          <w:color w:val="auto"/>
        </w:rPr>
      </w:pPr>
      <w:r>
        <w:rPr>
          <w:rFonts w:ascii="Arial" w:cs="Arial" w:eastAsia="Arial" w:hAnsi="Arial"/>
          <w:sz w:val="26"/>
          <w:szCs w:val="26"/>
          <w:b w:val="1"/>
          <w:bCs w:val="1"/>
          <w:color w:val="auto"/>
        </w:rPr>
        <w:t>FORM 10-K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2903855</wp:posOffset>
            </wp:positionH>
            <wp:positionV relativeFrom="paragraph">
              <wp:posOffset>80010</wp:posOffset>
            </wp:positionV>
            <wp:extent cx="144907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49070" cy="8890"/>
                    </a:xfrm>
                    <a:prstGeom prst="rect">
                      <a:avLst/>
                    </a:prstGeom>
                    <a:noFill/>
                  </pic:spPr>
                </pic:pic>
              </a:graphicData>
            </a:graphic>
          </wp:anchor>
        </w:drawing>
      </w:r>
    </w:p>
    <w:p>
      <w:pPr>
        <w:spacing w:after="0" w:line="213"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(Mark One)</w:t>
      </w:r>
    </w:p>
    <w:p>
      <w:pPr>
        <w:spacing w:after="0" w:line="26" w:lineRule="exact"/>
        <w:rPr>
          <w:sz w:val="24"/>
          <w:szCs w:val="24"/>
          <w:color w:val="auto"/>
        </w:rPr>
      </w:pPr>
    </w:p>
    <w:p>
      <w:pPr>
        <w:ind w:left="520" w:hanging="512"/>
        <w:spacing w:after="0"/>
        <w:tabs>
          <w:tab w:leader="none" w:pos="520" w:val="left"/>
        </w:tabs>
        <w:numPr>
          <w:ilvl w:val="0"/>
          <w:numId w:val="1"/>
        </w:numPr>
        <w:rPr>
          <w:rFonts w:ascii="MS PGothic" w:cs="MS PGothic" w:eastAsia="MS PGothic" w:hAnsi="MS PGothic"/>
          <w:sz w:val="18"/>
          <w:szCs w:val="18"/>
          <w:color w:val="auto"/>
        </w:rPr>
      </w:pPr>
      <w:r>
        <w:rPr>
          <w:rFonts w:ascii="Arial" w:cs="Arial" w:eastAsia="Arial" w:hAnsi="Arial"/>
          <w:sz w:val="18"/>
          <w:szCs w:val="18"/>
          <w:b w:val="1"/>
          <w:bCs w:val="1"/>
          <w:color w:val="auto"/>
        </w:rPr>
        <w:t>ANNUAL REPORT UNDER SECTION 13 OR 15(d) OF THE SECURITIES EXCHANGE ACT OF 1934</w:t>
      </w:r>
    </w:p>
    <w:p>
      <w:pPr>
        <w:spacing w:after="0" w:line="109" w:lineRule="exact"/>
        <w:rPr>
          <w:rFonts w:ascii="MS PGothic" w:cs="MS PGothic" w:eastAsia="MS PGothic" w:hAnsi="MS PGothic"/>
          <w:sz w:val="18"/>
          <w:szCs w:val="18"/>
          <w:color w:val="auto"/>
        </w:rPr>
      </w:pPr>
    </w:p>
    <w:p>
      <w:pPr>
        <w:ind w:left="4140"/>
        <w:spacing w:after="0"/>
        <w:rPr>
          <w:rFonts w:ascii="MS PGothic" w:cs="MS PGothic" w:eastAsia="MS PGothic" w:hAnsi="MS PGothic"/>
          <w:sz w:val="18"/>
          <w:szCs w:val="18"/>
          <w:color w:val="auto"/>
        </w:rPr>
      </w:pPr>
      <w:r>
        <w:rPr>
          <w:rFonts w:ascii="Arial" w:cs="Arial" w:eastAsia="Arial" w:hAnsi="Arial"/>
          <w:sz w:val="16"/>
          <w:szCs w:val="16"/>
          <w:b w:val="1"/>
          <w:bCs w:val="1"/>
          <w:color w:val="auto"/>
        </w:rPr>
        <w:t>For the fiscal year ended September 30, 2017.</w:t>
      </w:r>
    </w:p>
    <w:p>
      <w:pPr>
        <w:spacing w:after="0" w:line="122" w:lineRule="exact"/>
        <w:rPr>
          <w:sz w:val="24"/>
          <w:szCs w:val="24"/>
          <w:color w:val="auto"/>
        </w:rPr>
      </w:pPr>
    </w:p>
    <w:p>
      <w:pPr>
        <w:ind w:left="520" w:hanging="512"/>
        <w:spacing w:after="0"/>
        <w:tabs>
          <w:tab w:leader="none" w:pos="520" w:val="left"/>
        </w:tabs>
        <w:numPr>
          <w:ilvl w:val="0"/>
          <w:numId w:val="2"/>
        </w:numPr>
        <w:rPr>
          <w:rFonts w:ascii="MS PGothic" w:cs="MS PGothic" w:eastAsia="MS PGothic" w:hAnsi="MS PGothic"/>
          <w:sz w:val="18"/>
          <w:szCs w:val="18"/>
          <w:color w:val="auto"/>
        </w:rPr>
      </w:pPr>
      <w:r>
        <w:rPr>
          <w:rFonts w:ascii="Arial" w:cs="Arial" w:eastAsia="Arial" w:hAnsi="Arial"/>
          <w:sz w:val="18"/>
          <w:szCs w:val="18"/>
          <w:b w:val="1"/>
          <w:bCs w:val="1"/>
          <w:color w:val="auto"/>
        </w:rPr>
        <w:t>TRANSITION REPORT UNDER SECTION 13 OR 15(d) OF THE SECURITIES EXCHANGE ACT OF 1934</w:t>
      </w:r>
    </w:p>
    <w:p>
      <w:pPr>
        <w:spacing w:after="0" w:line="122" w:lineRule="exact"/>
        <w:rPr>
          <w:sz w:val="24"/>
          <w:szCs w:val="24"/>
          <w:color w:val="auto"/>
        </w:rPr>
      </w:pPr>
    </w:p>
    <w:p>
      <w:pPr>
        <w:ind w:left="4120"/>
        <w:spacing w:after="0"/>
        <w:tabs>
          <w:tab w:leader="none" w:pos="6720" w:val="left"/>
        </w:tabs>
        <w:rPr>
          <w:sz w:val="20"/>
          <w:szCs w:val="20"/>
          <w:color w:val="auto"/>
        </w:rPr>
      </w:pPr>
      <w:r>
        <w:rPr>
          <w:rFonts w:ascii="Arial" w:cs="Arial" w:eastAsia="Arial" w:hAnsi="Arial"/>
          <w:sz w:val="16"/>
          <w:szCs w:val="16"/>
          <w:b w:val="1"/>
          <w:bCs w:val="1"/>
          <w:color w:val="auto"/>
        </w:rPr>
        <w:t>For the transition period from</w:t>
      </w:r>
      <w:r>
        <w:rPr>
          <w:sz w:val="20"/>
          <w:szCs w:val="20"/>
          <w:color w:val="auto"/>
        </w:rPr>
        <w:tab/>
      </w:r>
      <w:r>
        <w:rPr>
          <w:rFonts w:ascii="Arial" w:cs="Arial" w:eastAsia="Arial" w:hAnsi="Arial"/>
          <w:sz w:val="12"/>
          <w:szCs w:val="12"/>
          <w:b w:val="1"/>
          <w:bCs w:val="1"/>
          <w:color w:val="auto"/>
        </w:rPr>
        <w:t>to</w:t>
      </w:r>
    </w:p>
    <w:p>
      <w:pPr>
        <w:spacing w:after="0" w:line="127"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Commission file number 000-21898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2903855</wp:posOffset>
            </wp:positionH>
            <wp:positionV relativeFrom="paragraph">
              <wp:posOffset>71755</wp:posOffset>
            </wp:positionV>
            <wp:extent cx="144907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49070" cy="8890"/>
                    </a:xfrm>
                    <a:prstGeom prst="rect">
                      <a:avLst/>
                    </a:prstGeom>
                    <a:noFill/>
                  </pic:spPr>
                </pic:pic>
              </a:graphicData>
            </a:graphic>
          </wp:anchor>
        </w:drawing>
      </w:r>
    </w:p>
    <w:p>
      <w:pPr>
        <w:spacing w:after="0" w:line="151" w:lineRule="exact"/>
        <w:rPr>
          <w:sz w:val="24"/>
          <w:szCs w:val="24"/>
          <w:color w:val="auto"/>
        </w:rPr>
      </w:pPr>
    </w:p>
    <w:p>
      <w:pPr>
        <w:jc w:val="center"/>
        <w:spacing w:after="0"/>
        <w:rPr>
          <w:sz w:val="20"/>
          <w:szCs w:val="20"/>
          <w:color w:val="auto"/>
        </w:rPr>
      </w:pPr>
      <w:r>
        <w:rPr>
          <w:rFonts w:ascii="Arial" w:cs="Arial" w:eastAsia="Arial" w:hAnsi="Arial"/>
          <w:sz w:val="31"/>
          <w:szCs w:val="31"/>
          <w:b w:val="1"/>
          <w:bCs w:val="1"/>
          <w:color w:val="auto"/>
        </w:rPr>
        <w:t>ARROWHEAD PHARMACEUTICALS, INC.</w:t>
      </w:r>
    </w:p>
    <w:p>
      <w:pPr>
        <w:spacing w:after="0" w:line="35"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2903855</wp:posOffset>
            </wp:positionH>
            <wp:positionV relativeFrom="paragraph">
              <wp:posOffset>60325</wp:posOffset>
            </wp:positionV>
            <wp:extent cx="144907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49070" cy="8890"/>
                    </a:xfrm>
                    <a:prstGeom prst="rect">
                      <a:avLst/>
                    </a:prstGeom>
                    <a:noFill/>
                  </pic:spPr>
                </pic:pic>
              </a:graphicData>
            </a:graphic>
          </wp:anchor>
        </w:drawing>
      </w:r>
    </w:p>
    <w:p>
      <w:pPr>
        <w:spacing w:after="0" w:line="156" w:lineRule="exact"/>
        <w:rPr>
          <w:sz w:val="24"/>
          <w:szCs w:val="24"/>
          <w:color w:val="auto"/>
        </w:rPr>
      </w:pPr>
    </w:p>
    <w:tbl>
      <w:tblPr>
        <w:tblLayout w:type="fixed"/>
        <w:tblInd w:w="0" w:type="dxa"/>
        <w:tblCellMar>
          <w:top w:w="0" w:type="dxa"/>
          <w:left w:w="0" w:type="dxa"/>
          <w:bottom w:w="0" w:type="dxa"/>
          <w:right w:w="0" w:type="dxa"/>
        </w:tblCellMar>
      </w:tblPr>
      <w:tr>
        <w:trPr>
          <w:trHeight w:val="198"/>
        </w:trPr>
        <w:tc>
          <w:tcPr>
            <w:tcW w:w="4020" w:type="dxa"/>
            <w:vAlign w:val="bottom"/>
          </w:tcPr>
          <w:p>
            <w:pPr>
              <w:jc w:val="center"/>
              <w:ind w:left="1646"/>
              <w:spacing w:after="0"/>
              <w:rPr>
                <w:sz w:val="20"/>
                <w:szCs w:val="20"/>
                <w:color w:val="auto"/>
              </w:rPr>
            </w:pPr>
            <w:r>
              <w:rPr>
                <w:rFonts w:ascii="Arial" w:cs="Arial" w:eastAsia="Arial" w:hAnsi="Arial"/>
                <w:sz w:val="16"/>
                <w:szCs w:val="16"/>
                <w:b w:val="1"/>
                <w:bCs w:val="1"/>
                <w:color w:val="auto"/>
                <w:w w:val="93"/>
              </w:rPr>
              <w:t>Delaware</w:t>
            </w:r>
          </w:p>
        </w:tc>
        <w:tc>
          <w:tcPr>
            <w:tcW w:w="7400" w:type="dxa"/>
            <w:vAlign w:val="bottom"/>
            <w:gridSpan w:val="5"/>
          </w:tcPr>
          <w:p>
            <w:pPr>
              <w:jc w:val="center"/>
              <w:ind w:left="1705"/>
              <w:spacing w:after="0"/>
              <w:rPr>
                <w:sz w:val="20"/>
                <w:szCs w:val="20"/>
                <w:color w:val="auto"/>
              </w:rPr>
            </w:pPr>
            <w:r>
              <w:rPr>
                <w:rFonts w:ascii="Arial" w:cs="Arial" w:eastAsia="Arial" w:hAnsi="Arial"/>
                <w:sz w:val="16"/>
                <w:szCs w:val="16"/>
                <w:b w:val="1"/>
                <w:bCs w:val="1"/>
                <w:color w:val="auto"/>
                <w:w w:val="91"/>
              </w:rPr>
              <w:t>46-0408024</w:t>
            </w:r>
          </w:p>
        </w:tc>
      </w:tr>
      <w:tr>
        <w:trPr>
          <w:trHeight w:val="164"/>
        </w:trPr>
        <w:tc>
          <w:tcPr>
            <w:tcW w:w="4020" w:type="dxa"/>
            <w:vAlign w:val="bottom"/>
          </w:tcPr>
          <w:p>
            <w:pPr>
              <w:jc w:val="center"/>
              <w:ind w:left="1646"/>
              <w:spacing w:after="0"/>
              <w:rPr>
                <w:sz w:val="20"/>
                <w:szCs w:val="20"/>
                <w:color w:val="auto"/>
              </w:rPr>
            </w:pPr>
            <w:r>
              <w:rPr>
                <w:rFonts w:ascii="Arial" w:cs="Arial" w:eastAsia="Arial" w:hAnsi="Arial"/>
                <w:sz w:val="13"/>
                <w:szCs w:val="13"/>
                <w:b w:val="1"/>
                <w:bCs w:val="1"/>
                <w:color w:val="auto"/>
                <w:w w:val="87"/>
              </w:rPr>
              <w:t>(State of incorporation)</w:t>
            </w:r>
          </w:p>
        </w:tc>
        <w:tc>
          <w:tcPr>
            <w:tcW w:w="54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4580" w:type="dxa"/>
            <w:vAlign w:val="bottom"/>
          </w:tcPr>
          <w:p>
            <w:pPr>
              <w:jc w:val="center"/>
              <w:ind w:right="951"/>
              <w:spacing w:after="0"/>
              <w:rPr>
                <w:sz w:val="20"/>
                <w:szCs w:val="20"/>
                <w:color w:val="auto"/>
              </w:rPr>
            </w:pPr>
            <w:r>
              <w:rPr>
                <w:rFonts w:ascii="Arial" w:cs="Arial" w:eastAsia="Arial" w:hAnsi="Arial"/>
                <w:sz w:val="13"/>
                <w:szCs w:val="13"/>
                <w:b w:val="1"/>
                <w:bCs w:val="1"/>
                <w:color w:val="auto"/>
                <w:w w:val="90"/>
              </w:rPr>
              <w:t>(I.R.S. Employer Identification No.)</w:t>
            </w:r>
          </w:p>
        </w:tc>
      </w:tr>
      <w:tr>
        <w:trPr>
          <w:trHeight w:val="259"/>
        </w:trPr>
        <w:tc>
          <w:tcPr>
            <w:tcW w:w="402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6860" w:type="dxa"/>
            <w:vAlign w:val="bottom"/>
            <w:gridSpan w:val="4"/>
          </w:tcPr>
          <w:p>
            <w:pPr>
              <w:jc w:val="center"/>
              <w:ind w:right="4471"/>
              <w:spacing w:after="0"/>
              <w:rPr>
                <w:sz w:val="20"/>
                <w:szCs w:val="20"/>
                <w:color w:val="auto"/>
              </w:rPr>
            </w:pPr>
            <w:r>
              <w:rPr>
                <w:rFonts w:ascii="Arial" w:cs="Arial" w:eastAsia="Arial" w:hAnsi="Arial"/>
                <w:sz w:val="16"/>
                <w:szCs w:val="16"/>
                <w:b w:val="1"/>
                <w:bCs w:val="1"/>
                <w:color w:val="auto"/>
                <w:w w:val="90"/>
              </w:rPr>
              <w:t>225 S. Lake Avenue, Suite 1050</w:t>
            </w:r>
          </w:p>
        </w:tc>
      </w:tr>
      <w:tr>
        <w:trPr>
          <w:trHeight w:val="203"/>
        </w:trPr>
        <w:tc>
          <w:tcPr>
            <w:tcW w:w="40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6860" w:type="dxa"/>
            <w:vAlign w:val="bottom"/>
            <w:gridSpan w:val="4"/>
          </w:tcPr>
          <w:p>
            <w:pPr>
              <w:jc w:val="center"/>
              <w:ind w:right="4471"/>
              <w:spacing w:after="0"/>
              <w:rPr>
                <w:sz w:val="20"/>
                <w:szCs w:val="20"/>
                <w:color w:val="auto"/>
              </w:rPr>
            </w:pPr>
            <w:r>
              <w:rPr>
                <w:rFonts w:ascii="Arial" w:cs="Arial" w:eastAsia="Arial" w:hAnsi="Arial"/>
                <w:sz w:val="16"/>
                <w:szCs w:val="16"/>
                <w:b w:val="1"/>
                <w:bCs w:val="1"/>
                <w:color w:val="auto"/>
                <w:w w:val="91"/>
              </w:rPr>
              <w:t>Pasadena, California 91101</w:t>
            </w:r>
          </w:p>
        </w:tc>
      </w:tr>
      <w:tr>
        <w:trPr>
          <w:trHeight w:val="198"/>
        </w:trPr>
        <w:tc>
          <w:tcPr>
            <w:tcW w:w="4020" w:type="dxa"/>
            <w:vAlign w:val="bottom"/>
          </w:tcPr>
          <w:p>
            <w:pPr>
              <w:spacing w:after="0"/>
              <w:rPr>
                <w:sz w:val="17"/>
                <w:szCs w:val="17"/>
                <w:color w:val="auto"/>
              </w:rPr>
            </w:pPr>
          </w:p>
        </w:tc>
        <w:tc>
          <w:tcPr>
            <w:tcW w:w="2820" w:type="dxa"/>
            <w:vAlign w:val="bottom"/>
            <w:gridSpan w:val="4"/>
          </w:tcPr>
          <w:p>
            <w:pPr>
              <w:jc w:val="center"/>
              <w:ind w:left="485"/>
              <w:spacing w:after="0"/>
              <w:rPr>
                <w:sz w:val="20"/>
                <w:szCs w:val="20"/>
                <w:color w:val="auto"/>
              </w:rPr>
            </w:pPr>
            <w:r>
              <w:rPr>
                <w:rFonts w:ascii="Arial" w:cs="Arial" w:eastAsia="Arial" w:hAnsi="Arial"/>
                <w:sz w:val="16"/>
                <w:szCs w:val="16"/>
                <w:b w:val="1"/>
                <w:bCs w:val="1"/>
                <w:color w:val="auto"/>
                <w:w w:val="93"/>
              </w:rPr>
              <w:t>(626) 304-3400</w:t>
            </w:r>
          </w:p>
        </w:tc>
        <w:tc>
          <w:tcPr>
            <w:tcW w:w="4580" w:type="dxa"/>
            <w:vAlign w:val="bottom"/>
          </w:tcPr>
          <w:p>
            <w:pPr>
              <w:spacing w:after="0"/>
              <w:rPr>
                <w:sz w:val="17"/>
                <w:szCs w:val="17"/>
                <w:color w:val="auto"/>
              </w:rPr>
            </w:pPr>
          </w:p>
        </w:tc>
      </w:tr>
      <w:tr>
        <w:trPr>
          <w:trHeight w:val="164"/>
        </w:trPr>
        <w:tc>
          <w:tcPr>
            <w:tcW w:w="4020" w:type="dxa"/>
            <w:vAlign w:val="bottom"/>
          </w:tcPr>
          <w:p>
            <w:pPr>
              <w:spacing w:after="0"/>
              <w:rPr>
                <w:sz w:val="14"/>
                <w:szCs w:val="14"/>
                <w:color w:val="auto"/>
              </w:rPr>
            </w:pPr>
          </w:p>
        </w:tc>
        <w:tc>
          <w:tcPr>
            <w:tcW w:w="7400" w:type="dxa"/>
            <w:vAlign w:val="bottom"/>
            <w:gridSpan w:val="5"/>
          </w:tcPr>
          <w:p>
            <w:pPr>
              <w:jc w:val="center"/>
              <w:ind w:right="3931"/>
              <w:spacing w:after="0"/>
              <w:rPr>
                <w:sz w:val="20"/>
                <w:szCs w:val="20"/>
                <w:color w:val="auto"/>
              </w:rPr>
            </w:pPr>
            <w:r>
              <w:rPr>
                <w:rFonts w:ascii="Arial" w:cs="Arial" w:eastAsia="Arial" w:hAnsi="Arial"/>
                <w:sz w:val="13"/>
                <w:szCs w:val="13"/>
                <w:b w:val="1"/>
                <w:bCs w:val="1"/>
                <w:color w:val="auto"/>
                <w:w w:val="86"/>
              </w:rPr>
              <w:t>(Address and telephone number of principal executive offices)</w:t>
            </w:r>
          </w:p>
        </w:tc>
      </w:tr>
      <w:tr>
        <w:trPr>
          <w:trHeight w:val="70"/>
        </w:trPr>
        <w:tc>
          <w:tcPr>
            <w:tcW w:w="4560" w:type="dxa"/>
            <w:vAlign w:val="bottom"/>
            <w:gridSpan w:val="2"/>
          </w:tcPr>
          <w:p>
            <w:pPr>
              <w:spacing w:after="0"/>
              <w:rPr>
                <w:sz w:val="6"/>
                <w:szCs w:val="6"/>
                <w:color w:val="auto"/>
              </w:rPr>
            </w:pPr>
          </w:p>
        </w:tc>
        <w:tc>
          <w:tcPr>
            <w:tcW w:w="1160" w:type="dxa"/>
            <w:vAlign w:val="bottom"/>
            <w:tcBorders>
              <w:bottom w:val="single" w:sz="8" w:color="auto"/>
            </w:tcBorders>
          </w:tcPr>
          <w:p>
            <w:pPr>
              <w:spacing w:after="0"/>
              <w:rPr>
                <w:sz w:val="6"/>
                <w:szCs w:val="6"/>
                <w:color w:val="auto"/>
              </w:rPr>
            </w:pPr>
          </w:p>
        </w:tc>
        <w:tc>
          <w:tcPr>
            <w:tcW w:w="100" w:type="dxa"/>
            <w:vAlign w:val="bottom"/>
            <w:tcBorders>
              <w:bottom w:val="single" w:sz="8" w:color="auto"/>
            </w:tcBorders>
          </w:tcPr>
          <w:p>
            <w:pPr>
              <w:spacing w:after="0"/>
              <w:rPr>
                <w:sz w:val="6"/>
                <w:szCs w:val="6"/>
                <w:color w:val="auto"/>
              </w:rPr>
            </w:pPr>
          </w:p>
        </w:tc>
        <w:tc>
          <w:tcPr>
            <w:tcW w:w="1020" w:type="dxa"/>
            <w:vAlign w:val="bottom"/>
            <w:tcBorders>
              <w:bottom w:val="single" w:sz="8" w:color="auto"/>
            </w:tcBorders>
          </w:tcPr>
          <w:p>
            <w:pPr>
              <w:spacing w:after="0"/>
              <w:rPr>
                <w:sz w:val="6"/>
                <w:szCs w:val="6"/>
                <w:color w:val="auto"/>
              </w:rPr>
            </w:pPr>
          </w:p>
        </w:tc>
        <w:tc>
          <w:tcPr>
            <w:tcW w:w="4580" w:type="dxa"/>
            <w:vAlign w:val="bottom"/>
          </w:tcPr>
          <w:p>
            <w:pPr>
              <w:spacing w:after="0"/>
              <w:rPr>
                <w:sz w:val="6"/>
                <w:szCs w:val="6"/>
                <w:color w:val="auto"/>
              </w:rPr>
            </w:pPr>
          </w:p>
        </w:tc>
      </w:tr>
      <w:tr>
        <w:trPr>
          <w:trHeight w:val="298"/>
        </w:trPr>
        <w:tc>
          <w:tcPr>
            <w:tcW w:w="11420" w:type="dxa"/>
            <w:vAlign w:val="bottom"/>
            <w:gridSpan w:val="6"/>
          </w:tcPr>
          <w:p>
            <w:pPr>
              <w:jc w:val="center"/>
              <w:spacing w:after="0"/>
              <w:rPr>
                <w:sz w:val="20"/>
                <w:szCs w:val="20"/>
                <w:color w:val="auto"/>
              </w:rPr>
            </w:pPr>
            <w:r>
              <w:rPr>
                <w:rFonts w:ascii="Arial" w:cs="Arial" w:eastAsia="Arial" w:hAnsi="Arial"/>
                <w:sz w:val="16"/>
                <w:szCs w:val="16"/>
                <w:b w:val="1"/>
                <w:bCs w:val="1"/>
                <w:color w:val="auto"/>
                <w:w w:val="89"/>
              </w:rPr>
              <w:t>Securities registered under Section 12(b) of the Exchange Act:</w:t>
            </w:r>
          </w:p>
        </w:tc>
      </w:tr>
      <w:tr>
        <w:trPr>
          <w:trHeight w:val="182"/>
        </w:trPr>
        <w:tc>
          <w:tcPr>
            <w:tcW w:w="4020" w:type="dxa"/>
            <w:vAlign w:val="bottom"/>
            <w:tcBorders>
              <w:bottom w:val="single" w:sz="8" w:color="auto"/>
            </w:tcBorders>
          </w:tcPr>
          <w:p>
            <w:pPr>
              <w:jc w:val="center"/>
              <w:ind w:left="1646"/>
              <w:spacing w:after="0"/>
              <w:rPr>
                <w:sz w:val="20"/>
                <w:szCs w:val="20"/>
                <w:color w:val="auto"/>
              </w:rPr>
            </w:pPr>
            <w:r>
              <w:rPr>
                <w:rFonts w:ascii="Arial" w:cs="Arial" w:eastAsia="Arial" w:hAnsi="Arial"/>
                <w:sz w:val="13"/>
                <w:szCs w:val="13"/>
                <w:b w:val="1"/>
                <w:bCs w:val="1"/>
                <w:color w:val="auto"/>
                <w:w w:val="83"/>
              </w:rPr>
              <w:t>Title of each class</w:t>
            </w:r>
          </w:p>
        </w:tc>
        <w:tc>
          <w:tcPr>
            <w:tcW w:w="54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020" w:type="dxa"/>
            <w:vAlign w:val="bottom"/>
            <w:tcBorders>
              <w:bottom w:val="single" w:sz="8" w:color="auto"/>
            </w:tcBorders>
          </w:tcPr>
          <w:p>
            <w:pPr>
              <w:spacing w:after="0"/>
              <w:rPr>
                <w:sz w:val="15"/>
                <w:szCs w:val="15"/>
                <w:color w:val="auto"/>
              </w:rPr>
            </w:pPr>
          </w:p>
        </w:tc>
        <w:tc>
          <w:tcPr>
            <w:tcW w:w="4580" w:type="dxa"/>
            <w:vAlign w:val="bottom"/>
            <w:tcBorders>
              <w:bottom w:val="single" w:sz="8" w:color="auto"/>
            </w:tcBorders>
          </w:tcPr>
          <w:p>
            <w:pPr>
              <w:jc w:val="center"/>
              <w:ind w:right="971"/>
              <w:spacing w:after="0"/>
              <w:rPr>
                <w:sz w:val="20"/>
                <w:szCs w:val="20"/>
                <w:color w:val="auto"/>
              </w:rPr>
            </w:pPr>
            <w:r>
              <w:rPr>
                <w:rFonts w:ascii="Arial" w:cs="Arial" w:eastAsia="Arial" w:hAnsi="Arial"/>
                <w:sz w:val="13"/>
                <w:szCs w:val="13"/>
                <w:b w:val="1"/>
                <w:bCs w:val="1"/>
                <w:color w:val="auto"/>
                <w:w w:val="85"/>
              </w:rPr>
              <w:t>Name of each exchange on which registered</w:t>
            </w:r>
          </w:p>
        </w:tc>
      </w:tr>
      <w:tr>
        <w:trPr>
          <w:trHeight w:val="204"/>
        </w:trPr>
        <w:tc>
          <w:tcPr>
            <w:tcW w:w="4020" w:type="dxa"/>
            <w:vAlign w:val="bottom"/>
          </w:tcPr>
          <w:p>
            <w:pPr>
              <w:jc w:val="center"/>
              <w:ind w:left="1626"/>
              <w:spacing w:after="0"/>
              <w:rPr>
                <w:sz w:val="20"/>
                <w:szCs w:val="20"/>
                <w:color w:val="auto"/>
              </w:rPr>
            </w:pPr>
            <w:r>
              <w:rPr>
                <w:rFonts w:ascii="Arial" w:cs="Arial" w:eastAsia="Arial" w:hAnsi="Arial"/>
                <w:sz w:val="16"/>
                <w:szCs w:val="16"/>
                <w:b w:val="1"/>
                <w:bCs w:val="1"/>
                <w:color w:val="auto"/>
                <w:w w:val="91"/>
              </w:rPr>
              <w:t>Common Stock, $0.001 par value</w:t>
            </w:r>
          </w:p>
        </w:tc>
        <w:tc>
          <w:tcPr>
            <w:tcW w:w="5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4580" w:type="dxa"/>
            <w:vAlign w:val="bottom"/>
          </w:tcPr>
          <w:p>
            <w:pPr>
              <w:jc w:val="center"/>
              <w:ind w:right="951"/>
              <w:spacing w:after="0"/>
              <w:rPr>
                <w:sz w:val="20"/>
                <w:szCs w:val="20"/>
                <w:color w:val="auto"/>
              </w:rPr>
            </w:pPr>
            <w:r>
              <w:rPr>
                <w:rFonts w:ascii="Arial" w:cs="Arial" w:eastAsia="Arial" w:hAnsi="Arial"/>
                <w:sz w:val="16"/>
                <w:szCs w:val="16"/>
                <w:b w:val="1"/>
                <w:bCs w:val="1"/>
                <w:color w:val="auto"/>
                <w:w w:val="95"/>
              </w:rPr>
              <w:t>The NASDAQ Global Select Market</w:t>
            </w:r>
          </w:p>
        </w:tc>
      </w:tr>
    </w:tbl>
    <w:p>
      <w:pPr>
        <w:spacing w:after="0" w:line="127"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Securities registered pursuant to Section 12(g) of the Exchange Act:</w:t>
      </w:r>
    </w:p>
    <w:p>
      <w:pPr>
        <w:spacing w:after="0" w:line="127"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None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2903855</wp:posOffset>
            </wp:positionH>
            <wp:positionV relativeFrom="paragraph">
              <wp:posOffset>80645</wp:posOffset>
            </wp:positionV>
            <wp:extent cx="144907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49070" cy="8890"/>
                    </a:xfrm>
                    <a:prstGeom prst="rect">
                      <a:avLst/>
                    </a:prstGeom>
                    <a:noFill/>
                  </pic:spPr>
                </pic:pic>
              </a:graphicData>
            </a:graphic>
          </wp:anchor>
        </w:drawing>
      </w:r>
    </w:p>
    <w:p>
      <w:pPr>
        <w:spacing w:after="0" w:line="189" w:lineRule="exact"/>
        <w:rPr>
          <w:sz w:val="24"/>
          <w:szCs w:val="24"/>
          <w:color w:val="auto"/>
        </w:rPr>
      </w:pPr>
    </w:p>
    <w:p>
      <w:pPr>
        <w:ind w:left="520" w:right="2280"/>
        <w:spacing w:after="0" w:line="283" w:lineRule="exact"/>
        <w:rPr>
          <w:sz w:val="20"/>
          <w:szCs w:val="20"/>
          <w:color w:val="auto"/>
        </w:rPr>
      </w:pPr>
      <w:r>
        <w:rPr>
          <w:rFonts w:ascii="Arial" w:cs="Arial" w:eastAsia="Arial" w:hAnsi="Arial"/>
          <w:sz w:val="15"/>
          <w:szCs w:val="15"/>
          <w:color w:val="auto"/>
        </w:rPr>
        <w:t xml:space="preserve">Indicate by a check mark if the registrant is a well-known seasoned issuer, as defined in Rule 405 of the Securities Act. Yes </w:t>
      </w:r>
      <w:r>
        <w:rPr>
          <w:rFonts w:ascii="MS PGothic" w:cs="MS PGothic" w:eastAsia="MS PGothic" w:hAnsi="MS PGothic"/>
          <w:sz w:val="15"/>
          <w:szCs w:val="15"/>
          <w:color w:val="auto"/>
        </w:rPr>
        <w:t>☐</w:t>
      </w:r>
      <w:r>
        <w:rPr>
          <w:rFonts w:ascii="Arial" w:cs="Arial" w:eastAsia="Arial" w:hAnsi="Arial"/>
          <w:sz w:val="15"/>
          <w:szCs w:val="15"/>
          <w:color w:val="auto"/>
        </w:rPr>
        <w:t xml:space="preserve"> No </w:t>
      </w:r>
      <w:r>
        <w:rPr>
          <w:rFonts w:ascii="MS PGothic" w:cs="MS PGothic" w:eastAsia="MS PGothic" w:hAnsi="MS PGothic"/>
          <w:sz w:val="15"/>
          <w:szCs w:val="15"/>
          <w:color w:val="auto"/>
        </w:rPr>
        <w:t>☒</w:t>
      </w:r>
      <w:r>
        <w:rPr>
          <w:rFonts w:ascii="Arial" w:cs="Arial" w:eastAsia="Arial" w:hAnsi="Arial"/>
          <w:sz w:val="15"/>
          <w:szCs w:val="15"/>
          <w:color w:val="auto"/>
        </w:rPr>
        <w:t xml:space="preserve"> Indicate by a check mark if the registrant is not required to file reports pursuant to Section 13 or 15(d) of the Act. Yes </w:t>
      </w:r>
      <w:r>
        <w:rPr>
          <w:rFonts w:ascii="MS PGothic" w:cs="MS PGothic" w:eastAsia="MS PGothic" w:hAnsi="MS PGothic"/>
          <w:sz w:val="15"/>
          <w:szCs w:val="15"/>
          <w:color w:val="auto"/>
        </w:rPr>
        <w:t>☐</w:t>
      </w:r>
      <w:r>
        <w:rPr>
          <w:rFonts w:ascii="Arial" w:cs="Arial" w:eastAsia="Arial" w:hAnsi="Arial"/>
          <w:sz w:val="15"/>
          <w:szCs w:val="15"/>
          <w:color w:val="auto"/>
        </w:rPr>
        <w:t xml:space="preserve"> No </w:t>
      </w:r>
      <w:r>
        <w:rPr>
          <w:rFonts w:ascii="MS PGothic" w:cs="MS PGothic" w:eastAsia="MS PGothic" w:hAnsi="MS PGothic"/>
          <w:sz w:val="15"/>
          <w:szCs w:val="15"/>
          <w:color w:val="auto"/>
        </w:rPr>
        <w:t>☒</w:t>
      </w:r>
    </w:p>
    <w:p>
      <w:pPr>
        <w:spacing w:after="0" w:line="86" w:lineRule="exact"/>
        <w:rPr>
          <w:sz w:val="24"/>
          <w:szCs w:val="24"/>
          <w:color w:val="auto"/>
        </w:rPr>
      </w:pPr>
    </w:p>
    <w:p>
      <w:pPr>
        <w:ind w:right="340" w:firstLine="518"/>
        <w:spacing w:after="0" w:line="304" w:lineRule="auto"/>
        <w:rPr>
          <w:sz w:val="20"/>
          <w:szCs w:val="20"/>
          <w:color w:val="auto"/>
        </w:rPr>
      </w:pPr>
      <w:r>
        <w:rPr>
          <w:rFonts w:ascii="Arial" w:cs="Arial" w:eastAsia="Arial" w:hAnsi="Arial"/>
          <w:sz w:val="14"/>
          <w:szCs w:val="14"/>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w:t>
      </w:r>
    </w:p>
    <w:p>
      <w:pPr>
        <w:spacing w:after="0" w:line="1" w:lineRule="exact"/>
        <w:rPr>
          <w:sz w:val="24"/>
          <w:szCs w:val="24"/>
          <w:color w:val="auto"/>
        </w:rPr>
      </w:pPr>
    </w:p>
    <w:p>
      <w:pPr>
        <w:spacing w:after="0" w:line="184" w:lineRule="exact"/>
        <w:rPr>
          <w:sz w:val="20"/>
          <w:szCs w:val="20"/>
          <w:color w:val="auto"/>
        </w:rPr>
      </w:pPr>
      <w:r>
        <w:rPr>
          <w:rFonts w:ascii="Arial" w:cs="Arial" w:eastAsia="Arial" w:hAnsi="Arial"/>
          <w:sz w:val="16"/>
          <w:szCs w:val="16"/>
          <w:color w:val="auto"/>
        </w:rPr>
        <w:t xml:space="preserve">90 days.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p>
    <w:p>
      <w:pPr>
        <w:spacing w:after="0" w:line="123" w:lineRule="exact"/>
        <w:rPr>
          <w:sz w:val="24"/>
          <w:szCs w:val="24"/>
          <w:color w:val="auto"/>
        </w:rPr>
      </w:pPr>
    </w:p>
    <w:p>
      <w:pPr>
        <w:ind w:right="300" w:firstLine="518"/>
        <w:spacing w:after="0" w:line="210" w:lineRule="exact"/>
        <w:rPr>
          <w:sz w:val="20"/>
          <w:szCs w:val="20"/>
          <w:color w:val="auto"/>
        </w:rPr>
      </w:pPr>
      <w:r>
        <w:rPr>
          <w:rFonts w:ascii="Arial" w:cs="Arial" w:eastAsia="Arial" w:hAnsi="Arial"/>
          <w:sz w:val="16"/>
          <w:szCs w:val="16"/>
          <w:color w:val="auto"/>
        </w:rPr>
        <w:t xml:space="preserve">Indicate by check mark whether the registrant has submitted electronically and posted on its corporate Web site, if any, every Interactive Data File required to be submitted and posted pursuant to Rule 405 of Regulation S-T during the preceding 12 months (or for such shorter period that the registrant was required to submit and post such files).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p>
    <w:p>
      <w:pPr>
        <w:spacing w:after="0" w:line="88" w:lineRule="exact"/>
        <w:rPr>
          <w:sz w:val="24"/>
          <w:szCs w:val="24"/>
          <w:color w:val="auto"/>
        </w:rPr>
      </w:pPr>
    </w:p>
    <w:p>
      <w:pPr>
        <w:ind w:right="500" w:firstLine="518"/>
        <w:spacing w:after="0" w:line="214" w:lineRule="exact"/>
        <w:rPr>
          <w:sz w:val="20"/>
          <w:szCs w:val="20"/>
          <w:color w:val="auto"/>
        </w:rPr>
      </w:pPr>
      <w:r>
        <w:rPr>
          <w:rFonts w:ascii="Arial" w:cs="Arial" w:eastAsia="Arial" w:hAnsi="Arial"/>
          <w:sz w:val="14"/>
          <w:szCs w:val="14"/>
          <w:color w:val="auto"/>
        </w:rPr>
        <w:t xml:space="preserve">Indicate by check mark if disclosure of delinquent filers pursuant to Item 405 of Regulation S-K is not contained herein, and will not be contained, to the best of registrant’s knowledge, in definitive proxy or information statements incorporated by reference in Part III of this Form 10-K or any amendment to this Form 10-K. </w:t>
      </w:r>
      <w:r>
        <w:rPr>
          <w:rFonts w:ascii="MS PGothic" w:cs="MS PGothic" w:eastAsia="MS PGothic" w:hAnsi="MS PGothic"/>
          <w:sz w:val="14"/>
          <w:szCs w:val="14"/>
          <w:color w:val="auto"/>
        </w:rPr>
        <w:t>☒</w:t>
      </w:r>
    </w:p>
    <w:p>
      <w:pPr>
        <w:spacing w:after="0" w:line="87" w:lineRule="exact"/>
        <w:rPr>
          <w:sz w:val="24"/>
          <w:szCs w:val="24"/>
          <w:color w:val="auto"/>
        </w:rPr>
      </w:pPr>
    </w:p>
    <w:p>
      <w:pPr>
        <w:ind w:right="60" w:firstLine="518"/>
        <w:spacing w:after="0" w:line="278"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a smaller reporting company, or an emerging growth company. See definitions of “large accelerated filer,” “accelerated filer,” “smaller reporting company” and “emerging growth company” in Rule 12b-2 of the Exchange Act.</w:t>
      </w:r>
    </w:p>
    <w:p>
      <w:pPr>
        <w:spacing w:after="0" w:line="6" w:lineRule="exact"/>
        <w:rPr>
          <w:sz w:val="24"/>
          <w:szCs w:val="24"/>
          <w:color w:val="auto"/>
        </w:rPr>
      </w:pPr>
    </w:p>
    <w:p>
      <w:pPr>
        <w:ind w:right="1480"/>
        <w:spacing w:after="0" w:line="229" w:lineRule="exact"/>
        <w:rPr>
          <w:sz w:val="20"/>
          <w:szCs w:val="20"/>
          <w:color w:val="auto"/>
        </w:rPr>
      </w:pPr>
      <w:r>
        <w:rPr>
          <w:rFonts w:ascii="Arial" w:cs="Arial" w:eastAsia="Arial" w:hAnsi="Arial"/>
          <w:sz w:val="16"/>
          <w:szCs w:val="16"/>
          <w:color w:val="auto"/>
        </w:rPr>
        <w:t xml:space="preserve">Large accelerated filer </w:t>
      </w:r>
      <w:r>
        <w:rPr>
          <w:rFonts w:ascii="MS PGothic" w:cs="MS PGothic" w:eastAsia="MS PGothic" w:hAnsi="MS PGothic"/>
          <w:sz w:val="16"/>
          <w:szCs w:val="16"/>
          <w:color w:val="auto"/>
        </w:rPr>
        <w:t>☐</w:t>
      </w:r>
      <w:r>
        <w:rPr>
          <w:rFonts w:ascii="Arial" w:cs="Arial" w:eastAsia="Arial" w:hAnsi="Arial"/>
          <w:sz w:val="16"/>
          <w:szCs w:val="16"/>
          <w:color w:val="auto"/>
        </w:rPr>
        <w:t xml:space="preserve"> Accelerated filer </w:t>
      </w:r>
      <w:r>
        <w:rPr>
          <w:rFonts w:ascii="MS PGothic" w:cs="MS PGothic" w:eastAsia="MS PGothic" w:hAnsi="MS PGothic"/>
          <w:sz w:val="16"/>
          <w:szCs w:val="16"/>
          <w:color w:val="auto"/>
        </w:rPr>
        <w:t>☒</w:t>
      </w:r>
      <w:r>
        <w:rPr>
          <w:rFonts w:ascii="Arial" w:cs="Arial" w:eastAsia="Arial" w:hAnsi="Arial"/>
          <w:sz w:val="16"/>
          <w:szCs w:val="16"/>
          <w:color w:val="auto"/>
        </w:rPr>
        <w:t xml:space="preserve"> Non-accelerated filer </w:t>
      </w:r>
      <w:r>
        <w:rPr>
          <w:rFonts w:ascii="MS PGothic" w:cs="MS PGothic" w:eastAsia="MS PGothic" w:hAnsi="MS PGothic"/>
          <w:sz w:val="16"/>
          <w:szCs w:val="16"/>
          <w:color w:val="auto"/>
        </w:rPr>
        <w:t>☐</w:t>
      </w:r>
      <w:r>
        <w:rPr>
          <w:rFonts w:ascii="Arial" w:cs="Arial" w:eastAsia="Arial" w:hAnsi="Arial"/>
          <w:sz w:val="16"/>
          <w:szCs w:val="16"/>
          <w:color w:val="auto"/>
        </w:rPr>
        <w:t xml:space="preserve"> Smaller Reporting Company </w:t>
      </w:r>
      <w:r>
        <w:rPr>
          <w:rFonts w:ascii="MS PGothic" w:cs="MS PGothic" w:eastAsia="MS PGothic" w:hAnsi="MS PGothic"/>
          <w:sz w:val="16"/>
          <w:szCs w:val="16"/>
          <w:color w:val="auto"/>
        </w:rPr>
        <w:t>☐</w:t>
      </w:r>
      <w:r>
        <w:rPr>
          <w:rFonts w:ascii="Arial" w:cs="Arial" w:eastAsia="Arial" w:hAnsi="Arial"/>
          <w:sz w:val="16"/>
          <w:szCs w:val="16"/>
          <w:color w:val="auto"/>
        </w:rPr>
        <w:t xml:space="preserve"> Emerging growth company </w:t>
      </w:r>
      <w:r>
        <w:rPr>
          <w:rFonts w:ascii="MS PGothic" w:cs="MS PGothic" w:eastAsia="MS PGothic" w:hAnsi="MS PGothic"/>
          <w:sz w:val="16"/>
          <w:szCs w:val="16"/>
          <w:color w:val="auto"/>
        </w:rPr>
        <w:t>☐</w:t>
      </w:r>
    </w:p>
    <w:p>
      <w:pPr>
        <w:spacing w:after="0" w:line="285" w:lineRule="exact"/>
        <w:rPr>
          <w:sz w:val="24"/>
          <w:szCs w:val="24"/>
          <w:color w:val="auto"/>
        </w:rPr>
      </w:pPr>
    </w:p>
    <w:p>
      <w:pPr>
        <w:ind w:left="520"/>
        <w:spacing w:after="0" w:line="184" w:lineRule="exact"/>
        <w:rPr>
          <w:sz w:val="20"/>
          <w:szCs w:val="20"/>
          <w:color w:val="auto"/>
        </w:rPr>
      </w:pPr>
      <w:r>
        <w:rPr>
          <w:rFonts w:ascii="Arial" w:cs="Arial" w:eastAsia="Arial" w:hAnsi="Arial"/>
          <w:sz w:val="16"/>
          <w:szCs w:val="16"/>
          <w:color w:val="auto"/>
        </w:rPr>
        <w:t xml:space="preserve">Indicate by check mark whether the registrant is a shell company (as defined in Rule 12b-2 of the Act).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p>
    <w:p>
      <w:pPr>
        <w:spacing w:after="0" w:line="157" w:lineRule="exact"/>
        <w:rPr>
          <w:sz w:val="24"/>
          <w:szCs w:val="24"/>
          <w:color w:val="auto"/>
        </w:rPr>
      </w:pPr>
    </w:p>
    <w:p>
      <w:pPr>
        <w:ind w:right="100" w:firstLine="518"/>
        <w:spacing w:after="0" w:line="273" w:lineRule="auto"/>
        <w:rPr>
          <w:sz w:val="20"/>
          <w:szCs w:val="20"/>
          <w:color w:val="auto"/>
        </w:rPr>
      </w:pPr>
      <w:r>
        <w:rPr>
          <w:rFonts w:ascii="Arial" w:cs="Arial" w:eastAsia="Arial" w:hAnsi="Arial"/>
          <w:sz w:val="16"/>
          <w:szCs w:val="16"/>
          <w:color w:val="auto"/>
        </w:rPr>
        <w:t>The aggregate market value of issuer’s voting and non-voting outstanding Common Stock held by non-affiliates was approximately $137 million based upon the closing stock price of issuer’s Common Stock on March 31, 2017. Shares of common stock held by each officer and director and by each person who is known to own 10% or more of the outstanding Common Stock have been excluded in that such persons may be deemed to be affiliates of the Company. This determination of affiliate status is not necessarily a conclusive determination for other purposes.</w:t>
      </w:r>
    </w:p>
    <w:p>
      <w:pPr>
        <w:spacing w:after="0" w:line="81" w:lineRule="exact"/>
        <w:rPr>
          <w:sz w:val="24"/>
          <w:szCs w:val="24"/>
          <w:color w:val="auto"/>
        </w:rPr>
      </w:pPr>
    </w:p>
    <w:p>
      <w:pPr>
        <w:ind w:left="520"/>
        <w:spacing w:after="0"/>
        <w:rPr>
          <w:sz w:val="20"/>
          <w:szCs w:val="20"/>
          <w:color w:val="auto"/>
        </w:rPr>
      </w:pPr>
      <w:r>
        <w:rPr>
          <w:rFonts w:ascii="Arial" w:cs="Arial" w:eastAsia="Arial" w:hAnsi="Arial"/>
          <w:sz w:val="16"/>
          <w:szCs w:val="16"/>
          <w:color w:val="auto"/>
        </w:rPr>
        <w:t>As of December 6, 2017, 74,828,280 shares of the issuer’s Common Stock were issued and outstanding.</w:t>
      </w:r>
    </w:p>
    <w:p>
      <w:pPr>
        <w:spacing w:after="0" w:line="42" w:lineRule="exact"/>
        <w:rPr>
          <w:sz w:val="24"/>
          <w:szCs w:val="24"/>
          <w:color w:val="auto"/>
        </w:rPr>
      </w:pPr>
    </w:p>
    <w:p>
      <w:pPr>
        <w:ind w:left="4120"/>
        <w:spacing w:after="0"/>
        <w:rPr>
          <w:sz w:val="20"/>
          <w:szCs w:val="20"/>
          <w:color w:val="auto"/>
        </w:rPr>
      </w:pPr>
      <w:r>
        <w:rPr>
          <w:rFonts w:ascii="Arial" w:cs="Arial" w:eastAsia="Arial" w:hAnsi="Arial"/>
          <w:sz w:val="16"/>
          <w:szCs w:val="16"/>
          <w:b w:val="1"/>
          <w:bCs w:val="1"/>
          <w:color w:val="auto"/>
        </w:rPr>
        <w:t>DOCUMENTS INCORPORATED BY REFERENCE</w:t>
      </w:r>
    </w:p>
    <w:p>
      <w:pPr>
        <w:spacing w:after="0" w:line="104" w:lineRule="exact"/>
        <w:rPr>
          <w:sz w:val="24"/>
          <w:szCs w:val="24"/>
          <w:color w:val="auto"/>
        </w:rPr>
      </w:pPr>
    </w:p>
    <w:p>
      <w:pPr>
        <w:ind w:right="120" w:firstLine="571"/>
        <w:spacing w:after="0" w:line="293" w:lineRule="auto"/>
        <w:rPr>
          <w:sz w:val="20"/>
          <w:szCs w:val="20"/>
          <w:color w:val="auto"/>
        </w:rPr>
      </w:pPr>
      <w:r>
        <w:rPr>
          <w:rFonts w:ascii="Arial" w:cs="Arial" w:eastAsia="Arial" w:hAnsi="Arial"/>
          <w:sz w:val="16"/>
          <w:szCs w:val="16"/>
          <w:color w:val="auto"/>
        </w:rPr>
        <w:t>Portions of the Definitive Proxy Statement to be filed for Arrowhead Pharmaceuticals Inc.’s 2017 Annual Meeting of Stockholders are incorporated by reference into Part III hereof.</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20955</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46990</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137160</wp:posOffset>
            </wp:positionV>
            <wp:extent cx="7289165"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09" w:right="239" w:bottom="1440" w:gutter="0" w:footer="0" w:header="0"/>
        </w:sectPr>
      </w:pPr>
    </w:p>
    <w:bookmarkStart w:id="1" w:name="page2"/>
    <w:bookmarkEnd w:id="1"/>
    <w:p>
      <w:pPr>
        <w:spacing w:after="0"/>
        <w:rPr>
          <w:sz w:val="20"/>
          <w:szCs w:val="20"/>
          <w:color w:val="auto"/>
        </w:rPr>
      </w:pPr>
      <w:r>
        <w:rPr>
          <w:rFonts w:ascii="Arial" w:cs="Arial" w:eastAsia="Arial" w:hAnsi="Arial"/>
          <w:sz w:val="18"/>
          <w:szCs w:val="18"/>
          <w:b w:val="1"/>
          <w:bCs w:val="1"/>
          <w:color w:val="auto"/>
        </w:rPr>
        <w:t>PART I</w:t>
      </w:r>
    </w:p>
    <w:p>
      <w:pPr>
        <w:spacing w:after="0" w:line="11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000" w:type="dxa"/>
            <w:vAlign w:val="bottom"/>
          </w:tcPr>
          <w:p>
            <w:pPr>
              <w:spacing w:after="0"/>
              <w:rPr>
                <w:sz w:val="20"/>
                <w:szCs w:val="20"/>
                <w:color w:val="auto"/>
              </w:rPr>
            </w:pPr>
            <w:r>
              <w:rPr>
                <w:rFonts w:ascii="Arial" w:cs="Arial" w:eastAsia="Arial" w:hAnsi="Arial"/>
                <w:sz w:val="18"/>
                <w:szCs w:val="18"/>
                <w:color w:val="auto"/>
              </w:rPr>
              <w:t>I</w:t>
            </w:r>
            <w:r>
              <w:rPr>
                <w:rFonts w:ascii="Arial" w:cs="Arial" w:eastAsia="Arial" w:hAnsi="Arial"/>
                <w:sz w:val="13"/>
                <w:szCs w:val="13"/>
                <w:color w:val="auto"/>
              </w:rPr>
              <w:t>TEM</w:t>
            </w:r>
            <w:r>
              <w:rPr>
                <w:rFonts w:ascii="Arial" w:cs="Arial" w:eastAsia="Arial" w:hAnsi="Arial"/>
                <w:sz w:val="18"/>
                <w:szCs w:val="18"/>
                <w:color w:val="auto"/>
              </w:rPr>
              <w:t xml:space="preserve"> 1.</w:t>
            </w:r>
          </w:p>
        </w:tc>
        <w:tc>
          <w:tcPr>
            <w:tcW w:w="9760" w:type="dxa"/>
            <w:vAlign w:val="bottom"/>
            <w:gridSpan w:val="19"/>
          </w:tcPr>
          <w:p>
            <w:pPr>
              <w:spacing w:after="0"/>
              <w:rPr>
                <w:rFonts w:ascii="Arial" w:cs="Arial" w:eastAsia="Arial" w:hAnsi="Arial"/>
                <w:sz w:val="18"/>
                <w:szCs w:val="18"/>
                <w:color w:val="0000EE"/>
              </w:rPr>
            </w:pPr>
            <w:hyperlink w:anchor="page4">
              <w:r>
                <w:rPr>
                  <w:rFonts w:ascii="Arial" w:cs="Arial" w:eastAsia="Arial" w:hAnsi="Arial"/>
                  <w:sz w:val="18"/>
                  <w:szCs w:val="18"/>
                  <w:color w:val="0000EE"/>
                </w:rPr>
                <w:t>B</w:t>
              </w:r>
              <w:r>
                <w:rPr>
                  <w:rFonts w:ascii="Arial" w:cs="Arial" w:eastAsia="Arial" w:hAnsi="Arial"/>
                  <w:sz w:val="13"/>
                  <w:szCs w:val="13"/>
                  <w:color w:val="0000EE"/>
                </w:rPr>
                <w:t>USINESS</w:t>
              </w:r>
            </w:hyperlink>
          </w:p>
        </w:tc>
        <w:tc>
          <w:tcPr>
            <w:tcW w:w="68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20"/>
        </w:trPr>
        <w:tc>
          <w:tcPr>
            <w:tcW w:w="1000" w:type="dxa"/>
            <w:vAlign w:val="bottom"/>
            <w:tcBorders>
              <w:right w:val="single" w:sz="8" w:color="0000EE"/>
            </w:tcBorders>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r>
      <w:tr>
        <w:trPr>
          <w:trHeight w:val="196"/>
        </w:trPr>
        <w:tc>
          <w:tcPr>
            <w:tcW w:w="1000" w:type="dxa"/>
            <w:vAlign w:val="bottom"/>
          </w:tcPr>
          <w:p>
            <w:pPr>
              <w:spacing w:after="0" w:line="196" w:lineRule="exact"/>
              <w:rPr>
                <w:sz w:val="20"/>
                <w:szCs w:val="20"/>
                <w:color w:val="auto"/>
              </w:rPr>
            </w:pPr>
            <w:r>
              <w:rPr>
                <w:rFonts w:ascii="Arial" w:cs="Arial" w:eastAsia="Arial" w:hAnsi="Arial"/>
                <w:sz w:val="18"/>
                <w:szCs w:val="18"/>
                <w:color w:val="auto"/>
              </w:rPr>
              <w:t>I</w:t>
            </w:r>
            <w:r>
              <w:rPr>
                <w:rFonts w:ascii="Arial" w:cs="Arial" w:eastAsia="Arial" w:hAnsi="Arial"/>
                <w:sz w:val="13"/>
                <w:szCs w:val="13"/>
                <w:color w:val="auto"/>
              </w:rPr>
              <w:t>TEM</w:t>
            </w:r>
            <w:r>
              <w:rPr>
                <w:rFonts w:ascii="Arial" w:cs="Arial" w:eastAsia="Arial" w:hAnsi="Arial"/>
                <w:sz w:val="18"/>
                <w:szCs w:val="18"/>
                <w:color w:val="auto"/>
              </w:rPr>
              <w:t xml:space="preserve"> 1A.</w:t>
            </w:r>
          </w:p>
        </w:tc>
        <w:tc>
          <w:tcPr>
            <w:tcW w:w="1000" w:type="dxa"/>
            <w:vAlign w:val="bottom"/>
            <w:tcBorders>
              <w:bottom w:val="single" w:sz="8" w:color="0000EE"/>
            </w:tcBorders>
            <w:gridSpan w:val="3"/>
          </w:tcPr>
          <w:p>
            <w:pPr>
              <w:spacing w:after="0" w:line="196" w:lineRule="exact"/>
              <w:rPr>
                <w:rFonts w:ascii="Arial" w:cs="Arial" w:eastAsia="Arial" w:hAnsi="Arial"/>
                <w:sz w:val="18"/>
                <w:szCs w:val="18"/>
                <w:color w:val="0000EE"/>
                <w:w w:val="94"/>
              </w:rPr>
            </w:pPr>
            <w:hyperlink w:anchor="page26">
              <w:r>
                <w:rPr>
                  <w:rFonts w:ascii="Arial" w:cs="Arial" w:eastAsia="Arial" w:hAnsi="Arial"/>
                  <w:sz w:val="18"/>
                  <w:szCs w:val="18"/>
                  <w:color w:val="0000EE"/>
                  <w:w w:val="94"/>
                </w:rPr>
                <w:t>R</w:t>
              </w:r>
              <w:r>
                <w:rPr>
                  <w:rFonts w:ascii="Arial" w:cs="Arial" w:eastAsia="Arial" w:hAnsi="Arial"/>
                  <w:sz w:val="13"/>
                  <w:szCs w:val="13"/>
                  <w:color w:val="0000EE"/>
                  <w:w w:val="94"/>
                </w:rPr>
                <w:t>ISK</w:t>
              </w:r>
              <w:r>
                <w:rPr>
                  <w:rFonts w:ascii="Arial" w:cs="Arial" w:eastAsia="Arial" w:hAnsi="Arial"/>
                  <w:sz w:val="18"/>
                  <w:szCs w:val="18"/>
                  <w:color w:val="0000EE"/>
                  <w:w w:val="94"/>
                </w:rPr>
                <w:t xml:space="preserve"> F</w:t>
              </w:r>
              <w:r>
                <w:rPr>
                  <w:rFonts w:ascii="Arial" w:cs="Arial" w:eastAsia="Arial" w:hAnsi="Arial"/>
                  <w:sz w:val="13"/>
                  <w:szCs w:val="13"/>
                  <w:color w:val="0000EE"/>
                  <w:w w:val="94"/>
                </w:rPr>
                <w:t>ACTORS</w:t>
              </w:r>
            </w:hyperlink>
          </w:p>
        </w:tc>
        <w:tc>
          <w:tcPr>
            <w:tcW w:w="8760" w:type="dxa"/>
            <w:vAlign w:val="bottom"/>
            <w:gridSpan w:val="16"/>
          </w:tcPr>
          <w:p>
            <w:pPr>
              <w:spacing w:after="0"/>
              <w:rPr>
                <w:sz w:val="17"/>
                <w:szCs w:val="17"/>
                <w:color w:val="auto"/>
              </w:rPr>
            </w:pPr>
          </w:p>
        </w:tc>
        <w:tc>
          <w:tcPr>
            <w:tcW w:w="680" w:type="dxa"/>
            <w:vAlign w:val="bottom"/>
          </w:tcPr>
          <w:p>
            <w:pPr>
              <w:jc w:val="right"/>
              <w:spacing w:after="0" w:line="196" w:lineRule="exact"/>
              <w:rPr>
                <w:sz w:val="20"/>
                <w:szCs w:val="20"/>
                <w:color w:val="auto"/>
              </w:rPr>
            </w:pPr>
            <w:r>
              <w:rPr>
                <w:rFonts w:ascii="Arial" w:cs="Arial" w:eastAsia="Arial" w:hAnsi="Arial"/>
                <w:sz w:val="18"/>
                <w:szCs w:val="18"/>
                <w:color w:val="auto"/>
              </w:rPr>
              <w:t>23</w:t>
            </w:r>
          </w:p>
        </w:tc>
      </w:tr>
      <w:tr>
        <w:trPr>
          <w:trHeight w:val="196"/>
        </w:trPr>
        <w:tc>
          <w:tcPr>
            <w:tcW w:w="1000" w:type="dxa"/>
            <w:vAlign w:val="bottom"/>
          </w:tcPr>
          <w:p>
            <w:pPr>
              <w:spacing w:after="0" w:line="196" w:lineRule="exact"/>
              <w:rPr>
                <w:sz w:val="20"/>
                <w:szCs w:val="20"/>
                <w:color w:val="auto"/>
              </w:rPr>
            </w:pPr>
            <w:r>
              <w:rPr>
                <w:rFonts w:ascii="Arial" w:cs="Arial" w:eastAsia="Arial" w:hAnsi="Arial"/>
                <w:sz w:val="18"/>
                <w:szCs w:val="18"/>
                <w:color w:val="auto"/>
              </w:rPr>
              <w:t>I</w:t>
            </w:r>
            <w:r>
              <w:rPr>
                <w:rFonts w:ascii="Arial" w:cs="Arial" w:eastAsia="Arial" w:hAnsi="Arial"/>
                <w:sz w:val="13"/>
                <w:szCs w:val="13"/>
                <w:color w:val="auto"/>
              </w:rPr>
              <w:t>TEM</w:t>
            </w:r>
            <w:r>
              <w:rPr>
                <w:rFonts w:ascii="Arial" w:cs="Arial" w:eastAsia="Arial" w:hAnsi="Arial"/>
                <w:sz w:val="18"/>
                <w:szCs w:val="18"/>
                <w:color w:val="auto"/>
              </w:rPr>
              <w:t xml:space="preserve"> 1B.</w:t>
            </w:r>
          </w:p>
        </w:tc>
        <w:tc>
          <w:tcPr>
            <w:tcW w:w="9760" w:type="dxa"/>
            <w:vAlign w:val="bottom"/>
            <w:gridSpan w:val="19"/>
          </w:tcPr>
          <w:p>
            <w:pPr>
              <w:spacing w:after="0" w:line="196" w:lineRule="exact"/>
              <w:rPr>
                <w:rFonts w:ascii="Arial" w:cs="Arial" w:eastAsia="Arial" w:hAnsi="Arial"/>
                <w:sz w:val="18"/>
                <w:szCs w:val="18"/>
                <w:color w:val="0000EE"/>
              </w:rPr>
            </w:pPr>
            <w:hyperlink w:anchor="page37">
              <w:r>
                <w:rPr>
                  <w:rFonts w:ascii="Arial" w:cs="Arial" w:eastAsia="Arial" w:hAnsi="Arial"/>
                  <w:sz w:val="18"/>
                  <w:szCs w:val="18"/>
                  <w:color w:val="0000EE"/>
                </w:rPr>
                <w:t>U</w:t>
              </w:r>
              <w:r>
                <w:rPr>
                  <w:rFonts w:ascii="Arial" w:cs="Arial" w:eastAsia="Arial" w:hAnsi="Arial"/>
                  <w:sz w:val="13"/>
                  <w:szCs w:val="13"/>
                  <w:color w:val="0000EE"/>
                </w:rPr>
                <w:t>NRESOLVED</w:t>
              </w:r>
              <w:r>
                <w:rPr>
                  <w:rFonts w:ascii="Arial" w:cs="Arial" w:eastAsia="Arial" w:hAnsi="Arial"/>
                  <w:sz w:val="18"/>
                  <w:szCs w:val="18"/>
                  <w:color w:val="0000EE"/>
                </w:rPr>
                <w:t xml:space="preserve"> S</w:t>
              </w:r>
              <w:r>
                <w:rPr>
                  <w:rFonts w:ascii="Arial" w:cs="Arial" w:eastAsia="Arial" w:hAnsi="Arial"/>
                  <w:sz w:val="13"/>
                  <w:szCs w:val="13"/>
                  <w:color w:val="0000EE"/>
                </w:rPr>
                <w:t>TAFF</w:t>
              </w:r>
              <w:r>
                <w:rPr>
                  <w:rFonts w:ascii="Arial" w:cs="Arial" w:eastAsia="Arial" w:hAnsi="Arial"/>
                  <w:sz w:val="18"/>
                  <w:szCs w:val="18"/>
                  <w:color w:val="0000EE"/>
                </w:rPr>
                <w:t xml:space="preserve"> C</w:t>
              </w:r>
              <w:r>
                <w:rPr>
                  <w:rFonts w:ascii="Arial" w:cs="Arial" w:eastAsia="Arial" w:hAnsi="Arial"/>
                  <w:sz w:val="13"/>
                  <w:szCs w:val="13"/>
                  <w:color w:val="0000EE"/>
                </w:rPr>
                <w:t>OMMENTS</w:t>
              </w:r>
            </w:hyperlink>
          </w:p>
        </w:tc>
        <w:tc>
          <w:tcPr>
            <w:tcW w:w="680" w:type="dxa"/>
            <w:vAlign w:val="bottom"/>
          </w:tcPr>
          <w:p>
            <w:pPr>
              <w:jc w:val="right"/>
              <w:spacing w:after="0" w:line="196" w:lineRule="exact"/>
              <w:rPr>
                <w:sz w:val="20"/>
                <w:szCs w:val="20"/>
                <w:color w:val="auto"/>
              </w:rPr>
            </w:pPr>
            <w:r>
              <w:rPr>
                <w:rFonts w:ascii="Arial" w:cs="Arial" w:eastAsia="Arial" w:hAnsi="Arial"/>
                <w:sz w:val="18"/>
                <w:szCs w:val="18"/>
                <w:color w:val="auto"/>
              </w:rPr>
              <w:t>34</w:t>
            </w:r>
          </w:p>
        </w:tc>
      </w:tr>
      <w:tr>
        <w:trPr>
          <w:trHeight w:val="196"/>
        </w:trPr>
        <w:tc>
          <w:tcPr>
            <w:tcW w:w="1000" w:type="dxa"/>
            <w:vAlign w:val="bottom"/>
          </w:tcPr>
          <w:p>
            <w:pPr>
              <w:spacing w:after="0" w:line="196" w:lineRule="exact"/>
              <w:rPr>
                <w:sz w:val="20"/>
                <w:szCs w:val="20"/>
                <w:color w:val="auto"/>
              </w:rPr>
            </w:pPr>
            <w:r>
              <w:rPr>
                <w:rFonts w:ascii="Arial" w:cs="Arial" w:eastAsia="Arial" w:hAnsi="Arial"/>
                <w:sz w:val="18"/>
                <w:szCs w:val="18"/>
                <w:color w:val="auto"/>
              </w:rPr>
              <w:t>I</w:t>
            </w:r>
            <w:r>
              <w:rPr>
                <w:rFonts w:ascii="Arial" w:cs="Arial" w:eastAsia="Arial" w:hAnsi="Arial"/>
                <w:sz w:val="13"/>
                <w:szCs w:val="13"/>
                <w:color w:val="auto"/>
              </w:rPr>
              <w:t>TEM</w:t>
            </w:r>
            <w:r>
              <w:rPr>
                <w:rFonts w:ascii="Arial" w:cs="Arial" w:eastAsia="Arial" w:hAnsi="Arial"/>
                <w:sz w:val="18"/>
                <w:szCs w:val="18"/>
                <w:color w:val="auto"/>
              </w:rPr>
              <w:t xml:space="preserve"> 2.</w:t>
            </w:r>
          </w:p>
        </w:tc>
        <w:tc>
          <w:tcPr>
            <w:tcW w:w="800" w:type="dxa"/>
            <w:vAlign w:val="bottom"/>
            <w:tcBorders>
              <w:top w:val="single" w:sz="8" w:color="0000EE"/>
              <w:bottom w:val="single" w:sz="8" w:color="0000EE"/>
            </w:tcBorders>
            <w:gridSpan w:val="2"/>
          </w:tcPr>
          <w:p>
            <w:pPr>
              <w:spacing w:after="0" w:line="196" w:lineRule="exact"/>
              <w:rPr>
                <w:rFonts w:ascii="Arial" w:cs="Arial" w:eastAsia="Arial" w:hAnsi="Arial"/>
                <w:sz w:val="18"/>
                <w:szCs w:val="18"/>
                <w:color w:val="0000EE"/>
                <w:w w:val="89"/>
              </w:rPr>
            </w:pPr>
            <w:hyperlink w:anchor="page37">
              <w:r>
                <w:rPr>
                  <w:rFonts w:ascii="Arial" w:cs="Arial" w:eastAsia="Arial" w:hAnsi="Arial"/>
                  <w:sz w:val="18"/>
                  <w:szCs w:val="18"/>
                  <w:color w:val="0000EE"/>
                  <w:w w:val="89"/>
                </w:rPr>
                <w:t>P</w:t>
              </w:r>
              <w:r>
                <w:rPr>
                  <w:rFonts w:ascii="Arial" w:cs="Arial" w:eastAsia="Arial" w:hAnsi="Arial"/>
                  <w:sz w:val="13"/>
                  <w:szCs w:val="13"/>
                  <w:color w:val="0000EE"/>
                  <w:w w:val="89"/>
                </w:rPr>
                <w:t>ROPERTIES</w:t>
              </w:r>
            </w:hyperlink>
          </w:p>
        </w:tc>
        <w:tc>
          <w:tcPr>
            <w:tcW w:w="1400" w:type="dxa"/>
            <w:vAlign w:val="bottom"/>
            <w:tcBorders>
              <w:top w:val="single" w:sz="8" w:color="0000EE"/>
            </w:tcBorders>
            <w:gridSpan w:val="6"/>
          </w:tcPr>
          <w:p>
            <w:pPr>
              <w:spacing w:after="0"/>
              <w:rPr>
                <w:sz w:val="17"/>
                <w:szCs w:val="17"/>
                <w:color w:val="auto"/>
              </w:rPr>
            </w:pPr>
          </w:p>
        </w:tc>
        <w:tc>
          <w:tcPr>
            <w:tcW w:w="7560" w:type="dxa"/>
            <w:vAlign w:val="bottom"/>
            <w:gridSpan w:val="11"/>
          </w:tcPr>
          <w:p>
            <w:pPr>
              <w:spacing w:after="0"/>
              <w:rPr>
                <w:sz w:val="17"/>
                <w:szCs w:val="17"/>
                <w:color w:val="auto"/>
              </w:rPr>
            </w:pPr>
          </w:p>
        </w:tc>
        <w:tc>
          <w:tcPr>
            <w:tcW w:w="680" w:type="dxa"/>
            <w:vAlign w:val="bottom"/>
          </w:tcPr>
          <w:p>
            <w:pPr>
              <w:jc w:val="right"/>
              <w:spacing w:after="0" w:line="196" w:lineRule="exact"/>
              <w:rPr>
                <w:sz w:val="20"/>
                <w:szCs w:val="20"/>
                <w:color w:val="auto"/>
              </w:rPr>
            </w:pPr>
            <w:r>
              <w:rPr>
                <w:rFonts w:ascii="Arial" w:cs="Arial" w:eastAsia="Arial" w:hAnsi="Arial"/>
                <w:sz w:val="18"/>
                <w:szCs w:val="18"/>
                <w:color w:val="auto"/>
              </w:rPr>
              <w:t>34</w:t>
            </w:r>
          </w:p>
        </w:tc>
      </w:tr>
      <w:tr>
        <w:trPr>
          <w:trHeight w:val="196"/>
        </w:trPr>
        <w:tc>
          <w:tcPr>
            <w:tcW w:w="1000" w:type="dxa"/>
            <w:vAlign w:val="bottom"/>
          </w:tcPr>
          <w:p>
            <w:pPr>
              <w:spacing w:after="0" w:line="196" w:lineRule="exact"/>
              <w:rPr>
                <w:sz w:val="20"/>
                <w:szCs w:val="20"/>
                <w:color w:val="auto"/>
              </w:rPr>
            </w:pPr>
            <w:r>
              <w:rPr>
                <w:rFonts w:ascii="Arial" w:cs="Arial" w:eastAsia="Arial" w:hAnsi="Arial"/>
                <w:sz w:val="18"/>
                <w:szCs w:val="18"/>
                <w:color w:val="auto"/>
              </w:rPr>
              <w:t>I</w:t>
            </w:r>
            <w:r>
              <w:rPr>
                <w:rFonts w:ascii="Arial" w:cs="Arial" w:eastAsia="Arial" w:hAnsi="Arial"/>
                <w:sz w:val="13"/>
                <w:szCs w:val="13"/>
                <w:color w:val="auto"/>
              </w:rPr>
              <w:t>TEM</w:t>
            </w:r>
            <w:r>
              <w:rPr>
                <w:rFonts w:ascii="Arial" w:cs="Arial" w:eastAsia="Arial" w:hAnsi="Arial"/>
                <w:sz w:val="18"/>
                <w:szCs w:val="18"/>
                <w:color w:val="auto"/>
              </w:rPr>
              <w:t xml:space="preserve"> 3.</w:t>
            </w:r>
          </w:p>
        </w:tc>
        <w:tc>
          <w:tcPr>
            <w:tcW w:w="1460" w:type="dxa"/>
            <w:vAlign w:val="bottom"/>
            <w:tcBorders>
              <w:bottom w:val="single" w:sz="8" w:color="0000EE"/>
            </w:tcBorders>
            <w:gridSpan w:val="4"/>
          </w:tcPr>
          <w:p>
            <w:pPr>
              <w:spacing w:after="0" w:line="196" w:lineRule="exact"/>
              <w:rPr>
                <w:rFonts w:ascii="Arial" w:cs="Arial" w:eastAsia="Arial" w:hAnsi="Arial"/>
                <w:sz w:val="18"/>
                <w:szCs w:val="18"/>
                <w:color w:val="0000EE"/>
                <w:w w:val="96"/>
              </w:rPr>
            </w:pPr>
            <w:hyperlink w:anchor="page37">
              <w:r>
                <w:rPr>
                  <w:rFonts w:ascii="Arial" w:cs="Arial" w:eastAsia="Arial" w:hAnsi="Arial"/>
                  <w:sz w:val="18"/>
                  <w:szCs w:val="18"/>
                  <w:color w:val="0000EE"/>
                  <w:w w:val="96"/>
                </w:rPr>
                <w:t>L</w:t>
              </w:r>
              <w:r>
                <w:rPr>
                  <w:rFonts w:ascii="Arial" w:cs="Arial" w:eastAsia="Arial" w:hAnsi="Arial"/>
                  <w:sz w:val="13"/>
                  <w:szCs w:val="13"/>
                  <w:color w:val="0000EE"/>
                  <w:w w:val="96"/>
                </w:rPr>
                <w:t>EGAL</w:t>
              </w:r>
              <w:r>
                <w:rPr>
                  <w:rFonts w:ascii="Arial" w:cs="Arial" w:eastAsia="Arial" w:hAnsi="Arial"/>
                  <w:sz w:val="18"/>
                  <w:szCs w:val="18"/>
                  <w:color w:val="0000EE"/>
                  <w:w w:val="96"/>
                </w:rPr>
                <w:t xml:space="preserve"> P</w:t>
              </w:r>
              <w:r>
                <w:rPr>
                  <w:rFonts w:ascii="Arial" w:cs="Arial" w:eastAsia="Arial" w:hAnsi="Arial"/>
                  <w:sz w:val="13"/>
                  <w:szCs w:val="13"/>
                  <w:color w:val="0000EE"/>
                  <w:w w:val="96"/>
                </w:rPr>
                <w:t>ROCEEDINGS</w:t>
              </w:r>
            </w:hyperlink>
          </w:p>
        </w:tc>
        <w:tc>
          <w:tcPr>
            <w:tcW w:w="8300" w:type="dxa"/>
            <w:vAlign w:val="bottom"/>
            <w:gridSpan w:val="15"/>
          </w:tcPr>
          <w:p>
            <w:pPr>
              <w:spacing w:after="0"/>
              <w:rPr>
                <w:sz w:val="17"/>
                <w:szCs w:val="17"/>
                <w:color w:val="auto"/>
              </w:rPr>
            </w:pPr>
          </w:p>
        </w:tc>
        <w:tc>
          <w:tcPr>
            <w:tcW w:w="680" w:type="dxa"/>
            <w:vAlign w:val="bottom"/>
          </w:tcPr>
          <w:p>
            <w:pPr>
              <w:jc w:val="right"/>
              <w:spacing w:after="0" w:line="196" w:lineRule="exact"/>
              <w:rPr>
                <w:sz w:val="20"/>
                <w:szCs w:val="20"/>
                <w:color w:val="auto"/>
              </w:rPr>
            </w:pPr>
            <w:r>
              <w:rPr>
                <w:rFonts w:ascii="Arial" w:cs="Arial" w:eastAsia="Arial" w:hAnsi="Arial"/>
                <w:sz w:val="18"/>
                <w:szCs w:val="18"/>
                <w:color w:val="auto"/>
              </w:rPr>
              <w:t>34</w:t>
            </w:r>
          </w:p>
        </w:tc>
      </w:tr>
      <w:tr>
        <w:trPr>
          <w:trHeight w:val="196"/>
        </w:trPr>
        <w:tc>
          <w:tcPr>
            <w:tcW w:w="1000" w:type="dxa"/>
            <w:vAlign w:val="bottom"/>
          </w:tcPr>
          <w:p>
            <w:pPr>
              <w:spacing w:after="0" w:line="196" w:lineRule="exact"/>
              <w:rPr>
                <w:sz w:val="20"/>
                <w:szCs w:val="20"/>
                <w:color w:val="auto"/>
              </w:rPr>
            </w:pPr>
            <w:r>
              <w:rPr>
                <w:rFonts w:ascii="Arial" w:cs="Arial" w:eastAsia="Arial" w:hAnsi="Arial"/>
                <w:sz w:val="18"/>
                <w:szCs w:val="18"/>
                <w:color w:val="auto"/>
              </w:rPr>
              <w:t>I</w:t>
            </w:r>
            <w:r>
              <w:rPr>
                <w:rFonts w:ascii="Arial" w:cs="Arial" w:eastAsia="Arial" w:hAnsi="Arial"/>
                <w:sz w:val="13"/>
                <w:szCs w:val="13"/>
                <w:color w:val="auto"/>
              </w:rPr>
              <w:t>TEM</w:t>
            </w:r>
            <w:r>
              <w:rPr>
                <w:rFonts w:ascii="Arial" w:cs="Arial" w:eastAsia="Arial" w:hAnsi="Arial"/>
                <w:sz w:val="18"/>
                <w:szCs w:val="18"/>
                <w:color w:val="auto"/>
              </w:rPr>
              <w:t xml:space="preserve"> 4.</w:t>
            </w:r>
          </w:p>
        </w:tc>
        <w:tc>
          <w:tcPr>
            <w:tcW w:w="9760" w:type="dxa"/>
            <w:vAlign w:val="bottom"/>
            <w:gridSpan w:val="19"/>
          </w:tcPr>
          <w:p>
            <w:pPr>
              <w:spacing w:after="0" w:line="196" w:lineRule="exact"/>
              <w:rPr>
                <w:rFonts w:ascii="Arial" w:cs="Arial" w:eastAsia="Arial" w:hAnsi="Arial"/>
                <w:sz w:val="18"/>
                <w:szCs w:val="18"/>
                <w:color w:val="0000EE"/>
              </w:rPr>
            </w:pPr>
            <w:hyperlink w:anchor="page37">
              <w:r>
                <w:rPr>
                  <w:rFonts w:ascii="Arial" w:cs="Arial" w:eastAsia="Arial" w:hAnsi="Arial"/>
                  <w:sz w:val="18"/>
                  <w:szCs w:val="18"/>
                  <w:color w:val="0000EE"/>
                </w:rPr>
                <w:t>M</w:t>
              </w:r>
              <w:r>
                <w:rPr>
                  <w:rFonts w:ascii="Arial" w:cs="Arial" w:eastAsia="Arial" w:hAnsi="Arial"/>
                  <w:sz w:val="13"/>
                  <w:szCs w:val="13"/>
                  <w:color w:val="0000EE"/>
                </w:rPr>
                <w:t>INE</w:t>
              </w:r>
              <w:r>
                <w:rPr>
                  <w:rFonts w:ascii="Arial" w:cs="Arial" w:eastAsia="Arial" w:hAnsi="Arial"/>
                  <w:sz w:val="18"/>
                  <w:szCs w:val="18"/>
                  <w:color w:val="0000EE"/>
                </w:rPr>
                <w:t xml:space="preserve"> S</w:t>
              </w:r>
              <w:r>
                <w:rPr>
                  <w:rFonts w:ascii="Arial" w:cs="Arial" w:eastAsia="Arial" w:hAnsi="Arial"/>
                  <w:sz w:val="13"/>
                  <w:szCs w:val="13"/>
                  <w:color w:val="0000EE"/>
                </w:rPr>
                <w:t>AFETY</w:t>
              </w:r>
              <w:r>
                <w:rPr>
                  <w:rFonts w:ascii="Arial" w:cs="Arial" w:eastAsia="Arial" w:hAnsi="Arial"/>
                  <w:sz w:val="18"/>
                  <w:szCs w:val="18"/>
                  <w:color w:val="0000EE"/>
                </w:rPr>
                <w:t xml:space="preserve"> D</w:t>
              </w:r>
              <w:r>
                <w:rPr>
                  <w:rFonts w:ascii="Arial" w:cs="Arial" w:eastAsia="Arial" w:hAnsi="Arial"/>
                  <w:sz w:val="13"/>
                  <w:szCs w:val="13"/>
                  <w:color w:val="0000EE"/>
                </w:rPr>
                <w:t>ISCLOSURES</w:t>
              </w:r>
            </w:hyperlink>
          </w:p>
        </w:tc>
        <w:tc>
          <w:tcPr>
            <w:tcW w:w="680" w:type="dxa"/>
            <w:vAlign w:val="bottom"/>
          </w:tcPr>
          <w:p>
            <w:pPr>
              <w:jc w:val="right"/>
              <w:spacing w:after="0" w:line="196" w:lineRule="exact"/>
              <w:rPr>
                <w:sz w:val="20"/>
                <w:szCs w:val="20"/>
                <w:color w:val="auto"/>
              </w:rPr>
            </w:pPr>
            <w:r>
              <w:rPr>
                <w:rFonts w:ascii="Arial" w:cs="Arial" w:eastAsia="Arial" w:hAnsi="Arial"/>
                <w:sz w:val="18"/>
                <w:szCs w:val="18"/>
                <w:color w:val="auto"/>
              </w:rPr>
              <w:t>34</w:t>
            </w:r>
          </w:p>
        </w:tc>
      </w:tr>
      <w:tr>
        <w:trPr>
          <w:trHeight w:val="358"/>
        </w:trPr>
        <w:tc>
          <w:tcPr>
            <w:tcW w:w="1000" w:type="dxa"/>
            <w:vAlign w:val="bottom"/>
          </w:tcPr>
          <w:p>
            <w:pPr>
              <w:spacing w:after="0"/>
              <w:rPr>
                <w:sz w:val="20"/>
                <w:szCs w:val="20"/>
                <w:color w:val="auto"/>
              </w:rPr>
            </w:pPr>
            <w:r>
              <w:rPr>
                <w:rFonts w:ascii="Arial" w:cs="Arial" w:eastAsia="Arial" w:hAnsi="Arial"/>
                <w:sz w:val="18"/>
                <w:szCs w:val="18"/>
                <w:b w:val="1"/>
                <w:bCs w:val="1"/>
                <w:color w:val="auto"/>
              </w:rPr>
              <w:t>PART II</w:t>
            </w:r>
          </w:p>
        </w:tc>
        <w:tc>
          <w:tcPr>
            <w:tcW w:w="64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200" w:type="dxa"/>
            <w:vAlign w:val="bottom"/>
            <w:tcBorders>
              <w:top w:val="single" w:sz="8" w:color="0000EE"/>
            </w:tcBorders>
          </w:tcPr>
          <w:p>
            <w:pPr>
              <w:spacing w:after="0"/>
              <w:rPr>
                <w:sz w:val="24"/>
                <w:szCs w:val="24"/>
                <w:color w:val="auto"/>
              </w:rPr>
            </w:pPr>
          </w:p>
        </w:tc>
        <w:tc>
          <w:tcPr>
            <w:tcW w:w="460" w:type="dxa"/>
            <w:vAlign w:val="bottom"/>
            <w:tcBorders>
              <w:top w:val="single" w:sz="8" w:color="0000EE"/>
            </w:tcBorders>
          </w:tcPr>
          <w:p>
            <w:pPr>
              <w:spacing w:after="0"/>
              <w:rPr>
                <w:sz w:val="24"/>
                <w:szCs w:val="24"/>
                <w:color w:val="auto"/>
              </w:rPr>
            </w:pPr>
          </w:p>
        </w:tc>
        <w:tc>
          <w:tcPr>
            <w:tcW w:w="42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80" w:type="dxa"/>
            <w:vAlign w:val="bottom"/>
          </w:tcPr>
          <w:p>
            <w:pPr>
              <w:spacing w:after="0"/>
              <w:rPr>
                <w:sz w:val="24"/>
                <w:szCs w:val="24"/>
                <w:color w:val="auto"/>
              </w:rPr>
            </w:pPr>
          </w:p>
        </w:tc>
      </w:tr>
      <w:tr>
        <w:trPr>
          <w:trHeight w:val="297"/>
        </w:trPr>
        <w:tc>
          <w:tcPr>
            <w:tcW w:w="1000" w:type="dxa"/>
            <w:vAlign w:val="bottom"/>
          </w:tcPr>
          <w:p>
            <w:pPr>
              <w:spacing w:after="0"/>
              <w:rPr>
                <w:sz w:val="20"/>
                <w:szCs w:val="20"/>
                <w:color w:val="auto"/>
              </w:rPr>
            </w:pPr>
            <w:r>
              <w:rPr>
                <w:rFonts w:ascii="Arial" w:cs="Arial" w:eastAsia="Arial" w:hAnsi="Arial"/>
                <w:sz w:val="18"/>
                <w:szCs w:val="18"/>
                <w:color w:val="auto"/>
              </w:rPr>
              <w:t>I</w:t>
            </w:r>
            <w:r>
              <w:rPr>
                <w:rFonts w:ascii="Arial" w:cs="Arial" w:eastAsia="Arial" w:hAnsi="Arial"/>
                <w:sz w:val="13"/>
                <w:szCs w:val="13"/>
                <w:color w:val="auto"/>
              </w:rPr>
              <w:t>TEM</w:t>
            </w:r>
            <w:r>
              <w:rPr>
                <w:rFonts w:ascii="Arial" w:cs="Arial" w:eastAsia="Arial" w:hAnsi="Arial"/>
                <w:sz w:val="18"/>
                <w:szCs w:val="18"/>
                <w:color w:val="auto"/>
              </w:rPr>
              <w:t xml:space="preserve"> 5.</w:t>
            </w:r>
          </w:p>
        </w:tc>
        <w:tc>
          <w:tcPr>
            <w:tcW w:w="9760" w:type="dxa"/>
            <w:vAlign w:val="bottom"/>
            <w:gridSpan w:val="19"/>
          </w:tcPr>
          <w:p>
            <w:pPr>
              <w:spacing w:after="0"/>
              <w:rPr>
                <w:rFonts w:ascii="Arial" w:cs="Arial" w:eastAsia="Arial" w:hAnsi="Arial"/>
                <w:sz w:val="18"/>
                <w:szCs w:val="18"/>
                <w:color w:val="0000EE"/>
              </w:rPr>
            </w:pPr>
            <w:hyperlink w:anchor="page37">
              <w:r>
                <w:rPr>
                  <w:rFonts w:ascii="Arial" w:cs="Arial" w:eastAsia="Arial" w:hAnsi="Arial"/>
                  <w:sz w:val="18"/>
                  <w:szCs w:val="18"/>
                  <w:color w:val="0000EE"/>
                </w:rPr>
                <w:t>M</w:t>
              </w:r>
              <w:r>
                <w:rPr>
                  <w:rFonts w:ascii="Arial" w:cs="Arial" w:eastAsia="Arial" w:hAnsi="Arial"/>
                  <w:sz w:val="13"/>
                  <w:szCs w:val="13"/>
                  <w:color w:val="0000EE"/>
                </w:rPr>
                <w:t>ARKET FOR THE</w:t>
              </w:r>
              <w:r>
                <w:rPr>
                  <w:rFonts w:ascii="Arial" w:cs="Arial" w:eastAsia="Arial" w:hAnsi="Arial"/>
                  <w:sz w:val="18"/>
                  <w:szCs w:val="18"/>
                  <w:color w:val="0000EE"/>
                </w:rPr>
                <w:t xml:space="preserve"> R</w:t>
              </w:r>
              <w:r>
                <w:rPr>
                  <w:rFonts w:ascii="Arial" w:cs="Arial" w:eastAsia="Arial" w:hAnsi="Arial"/>
                  <w:sz w:val="13"/>
                  <w:szCs w:val="13"/>
                  <w:color w:val="0000EE"/>
                </w:rPr>
                <w:t>EGISTRANT</w:t>
              </w:r>
              <w:r>
                <w:rPr>
                  <w:rFonts w:ascii="Arial" w:cs="Arial" w:eastAsia="Arial" w:hAnsi="Arial"/>
                  <w:sz w:val="18"/>
                  <w:szCs w:val="18"/>
                  <w:color w:val="0000EE"/>
                </w:rPr>
                <w:t>’</w:t>
              </w:r>
              <w:r>
                <w:rPr>
                  <w:rFonts w:ascii="Arial" w:cs="Arial" w:eastAsia="Arial" w:hAnsi="Arial"/>
                  <w:sz w:val="13"/>
                  <w:szCs w:val="13"/>
                  <w:color w:val="0000EE"/>
                </w:rPr>
                <w:t>S</w:t>
              </w:r>
              <w:r>
                <w:rPr>
                  <w:rFonts w:ascii="Arial" w:cs="Arial" w:eastAsia="Arial" w:hAnsi="Arial"/>
                  <w:sz w:val="18"/>
                  <w:szCs w:val="18"/>
                  <w:color w:val="0000EE"/>
                </w:rPr>
                <w:t xml:space="preserve"> C</w:t>
              </w:r>
              <w:r>
                <w:rPr>
                  <w:rFonts w:ascii="Arial" w:cs="Arial" w:eastAsia="Arial" w:hAnsi="Arial"/>
                  <w:sz w:val="13"/>
                  <w:szCs w:val="13"/>
                  <w:color w:val="0000EE"/>
                </w:rPr>
                <w:t>OMMON</w:t>
              </w:r>
              <w:r>
                <w:rPr>
                  <w:rFonts w:ascii="Arial" w:cs="Arial" w:eastAsia="Arial" w:hAnsi="Arial"/>
                  <w:sz w:val="18"/>
                  <w:szCs w:val="18"/>
                  <w:color w:val="0000EE"/>
                </w:rPr>
                <w:t xml:space="preserve"> E</w:t>
              </w:r>
              <w:r>
                <w:rPr>
                  <w:rFonts w:ascii="Arial" w:cs="Arial" w:eastAsia="Arial" w:hAnsi="Arial"/>
                  <w:sz w:val="13"/>
                  <w:szCs w:val="13"/>
                  <w:color w:val="0000EE"/>
                </w:rPr>
                <w:t>QUITY</w:t>
              </w:r>
              <w:r>
                <w:rPr>
                  <w:rFonts w:ascii="Arial" w:cs="Arial" w:eastAsia="Arial" w:hAnsi="Arial"/>
                  <w:sz w:val="18"/>
                  <w:szCs w:val="18"/>
                  <w:color w:val="0000EE"/>
                </w:rPr>
                <w:t>, R</w:t>
              </w:r>
              <w:r>
                <w:rPr>
                  <w:rFonts w:ascii="Arial" w:cs="Arial" w:eastAsia="Arial" w:hAnsi="Arial"/>
                  <w:sz w:val="13"/>
                  <w:szCs w:val="13"/>
                  <w:color w:val="0000EE"/>
                </w:rPr>
                <w:t>ELATED</w:t>
              </w:r>
              <w:r>
                <w:rPr>
                  <w:rFonts w:ascii="Arial" w:cs="Arial" w:eastAsia="Arial" w:hAnsi="Arial"/>
                  <w:sz w:val="18"/>
                  <w:szCs w:val="18"/>
                  <w:color w:val="0000EE"/>
                </w:rPr>
                <w:t xml:space="preserve"> S</w:t>
              </w:r>
              <w:r>
                <w:rPr>
                  <w:rFonts w:ascii="Arial" w:cs="Arial" w:eastAsia="Arial" w:hAnsi="Arial"/>
                  <w:sz w:val="13"/>
                  <w:szCs w:val="13"/>
                  <w:color w:val="0000EE"/>
                </w:rPr>
                <w:t>TOCKHOLDER</w:t>
              </w:r>
              <w:r>
                <w:rPr>
                  <w:rFonts w:ascii="Arial" w:cs="Arial" w:eastAsia="Arial" w:hAnsi="Arial"/>
                  <w:sz w:val="18"/>
                  <w:szCs w:val="18"/>
                  <w:color w:val="0000EE"/>
                </w:rPr>
                <w:t xml:space="preserve"> M</w:t>
              </w:r>
              <w:r>
                <w:rPr>
                  <w:rFonts w:ascii="Arial" w:cs="Arial" w:eastAsia="Arial" w:hAnsi="Arial"/>
                  <w:sz w:val="13"/>
                  <w:szCs w:val="13"/>
                  <w:color w:val="0000EE"/>
                </w:rPr>
                <w:t>ATTERS AND</w:t>
              </w:r>
              <w:r>
                <w:rPr>
                  <w:rFonts w:ascii="Arial" w:cs="Arial" w:eastAsia="Arial" w:hAnsi="Arial"/>
                  <w:sz w:val="18"/>
                  <w:szCs w:val="18"/>
                  <w:color w:val="0000EE"/>
                </w:rPr>
                <w:t xml:space="preserve"> I</w:t>
              </w:r>
              <w:r>
                <w:rPr>
                  <w:rFonts w:ascii="Arial" w:cs="Arial" w:eastAsia="Arial" w:hAnsi="Arial"/>
                  <w:sz w:val="13"/>
                  <w:szCs w:val="13"/>
                  <w:color w:val="0000EE"/>
                </w:rPr>
                <w:t>SSUER</w:t>
              </w:r>
              <w:r>
                <w:rPr>
                  <w:rFonts w:ascii="Arial" w:cs="Arial" w:eastAsia="Arial" w:hAnsi="Arial"/>
                  <w:sz w:val="18"/>
                  <w:szCs w:val="18"/>
                  <w:color w:val="0000EE"/>
                </w:rPr>
                <w:t xml:space="preserve"> P</w:t>
              </w:r>
              <w:r>
                <w:rPr>
                  <w:rFonts w:ascii="Arial" w:cs="Arial" w:eastAsia="Arial" w:hAnsi="Arial"/>
                  <w:sz w:val="13"/>
                  <w:szCs w:val="13"/>
                  <w:color w:val="0000EE"/>
                </w:rPr>
                <w:t>URCHASES OF</w:t>
              </w:r>
              <w:r>
                <w:rPr>
                  <w:rFonts w:ascii="Arial" w:cs="Arial" w:eastAsia="Arial" w:hAnsi="Arial"/>
                  <w:sz w:val="18"/>
                  <w:szCs w:val="18"/>
                  <w:color w:val="0000EE"/>
                </w:rPr>
                <w:t xml:space="preserve"> E</w:t>
              </w:r>
              <w:r>
                <w:rPr>
                  <w:rFonts w:ascii="Arial" w:cs="Arial" w:eastAsia="Arial" w:hAnsi="Arial"/>
                  <w:sz w:val="13"/>
                  <w:szCs w:val="13"/>
                  <w:color w:val="0000EE"/>
                </w:rPr>
                <w:t>QUITY</w:t>
              </w:r>
              <w:r>
                <w:rPr>
                  <w:rFonts w:ascii="Arial" w:cs="Arial" w:eastAsia="Arial" w:hAnsi="Arial"/>
                  <w:sz w:val="18"/>
                  <w:szCs w:val="18"/>
                  <w:color w:val="0000EE"/>
                </w:rPr>
                <w:t xml:space="preserve"> S</w:t>
              </w:r>
              <w:r>
                <w:rPr>
                  <w:rFonts w:ascii="Arial" w:cs="Arial" w:eastAsia="Arial" w:hAnsi="Arial"/>
                  <w:sz w:val="13"/>
                  <w:szCs w:val="13"/>
                  <w:color w:val="0000EE"/>
                </w:rPr>
                <w:t>ECURITIES</w:t>
              </w:r>
            </w:hyperlink>
          </w:p>
        </w:tc>
        <w:tc>
          <w:tcPr>
            <w:tcW w:w="680" w:type="dxa"/>
            <w:vAlign w:val="bottom"/>
          </w:tcPr>
          <w:p>
            <w:pPr>
              <w:jc w:val="right"/>
              <w:spacing w:after="0"/>
              <w:rPr>
                <w:sz w:val="20"/>
                <w:szCs w:val="20"/>
                <w:color w:val="auto"/>
              </w:rPr>
            </w:pPr>
            <w:r>
              <w:rPr>
                <w:rFonts w:ascii="Arial" w:cs="Arial" w:eastAsia="Arial" w:hAnsi="Arial"/>
                <w:sz w:val="18"/>
                <w:szCs w:val="18"/>
                <w:color w:val="auto"/>
              </w:rPr>
              <w:t>34</w:t>
            </w:r>
          </w:p>
        </w:tc>
      </w:tr>
      <w:tr>
        <w:trPr>
          <w:trHeight w:val="196"/>
        </w:trPr>
        <w:tc>
          <w:tcPr>
            <w:tcW w:w="1000" w:type="dxa"/>
            <w:vAlign w:val="bottom"/>
          </w:tcPr>
          <w:p>
            <w:pPr>
              <w:spacing w:after="0" w:line="196" w:lineRule="exact"/>
              <w:rPr>
                <w:sz w:val="20"/>
                <w:szCs w:val="20"/>
                <w:color w:val="auto"/>
              </w:rPr>
            </w:pPr>
            <w:r>
              <w:rPr>
                <w:rFonts w:ascii="Arial" w:cs="Arial" w:eastAsia="Arial" w:hAnsi="Arial"/>
                <w:sz w:val="18"/>
                <w:szCs w:val="18"/>
                <w:color w:val="auto"/>
              </w:rPr>
              <w:t>I</w:t>
            </w:r>
            <w:r>
              <w:rPr>
                <w:rFonts w:ascii="Arial" w:cs="Arial" w:eastAsia="Arial" w:hAnsi="Arial"/>
                <w:sz w:val="13"/>
                <w:szCs w:val="13"/>
                <w:color w:val="auto"/>
              </w:rPr>
              <w:t>TEM</w:t>
            </w:r>
            <w:r>
              <w:rPr>
                <w:rFonts w:ascii="Arial" w:cs="Arial" w:eastAsia="Arial" w:hAnsi="Arial"/>
                <w:sz w:val="18"/>
                <w:szCs w:val="18"/>
                <w:color w:val="auto"/>
              </w:rPr>
              <w:t xml:space="preserve"> 6.</w:t>
            </w:r>
          </w:p>
        </w:tc>
        <w:tc>
          <w:tcPr>
            <w:tcW w:w="9340" w:type="dxa"/>
            <w:vAlign w:val="bottom"/>
            <w:tcBorders>
              <w:top w:val="single" w:sz="8" w:color="0000EE"/>
            </w:tcBorders>
            <w:gridSpan w:val="18"/>
          </w:tcPr>
          <w:p>
            <w:pPr>
              <w:spacing w:after="0" w:line="196" w:lineRule="exact"/>
              <w:rPr>
                <w:rFonts w:ascii="Arial" w:cs="Arial" w:eastAsia="Arial" w:hAnsi="Arial"/>
                <w:sz w:val="18"/>
                <w:szCs w:val="18"/>
                <w:color w:val="0000EE"/>
              </w:rPr>
            </w:pPr>
            <w:hyperlink w:anchor="page40">
              <w:r>
                <w:rPr>
                  <w:rFonts w:ascii="Arial" w:cs="Arial" w:eastAsia="Arial" w:hAnsi="Arial"/>
                  <w:sz w:val="18"/>
                  <w:szCs w:val="18"/>
                  <w:color w:val="0000EE"/>
                </w:rPr>
                <w:t>S</w:t>
              </w:r>
              <w:r>
                <w:rPr>
                  <w:rFonts w:ascii="Arial" w:cs="Arial" w:eastAsia="Arial" w:hAnsi="Arial"/>
                  <w:sz w:val="13"/>
                  <w:szCs w:val="13"/>
                  <w:color w:val="0000EE"/>
                </w:rPr>
                <w:t>ELECTED</w:t>
              </w:r>
              <w:r>
                <w:rPr>
                  <w:rFonts w:ascii="Arial" w:cs="Arial" w:eastAsia="Arial" w:hAnsi="Arial"/>
                  <w:sz w:val="18"/>
                  <w:szCs w:val="18"/>
                  <w:color w:val="0000EE"/>
                </w:rPr>
                <w:t xml:space="preserve"> F</w:t>
              </w:r>
              <w:r>
                <w:rPr>
                  <w:rFonts w:ascii="Arial" w:cs="Arial" w:eastAsia="Arial" w:hAnsi="Arial"/>
                  <w:sz w:val="13"/>
                  <w:szCs w:val="13"/>
                  <w:color w:val="0000EE"/>
                </w:rPr>
                <w:t>INANCIAL</w:t>
              </w:r>
              <w:r>
                <w:rPr>
                  <w:rFonts w:ascii="Arial" w:cs="Arial" w:eastAsia="Arial" w:hAnsi="Arial"/>
                  <w:sz w:val="18"/>
                  <w:szCs w:val="18"/>
                  <w:color w:val="0000EE"/>
                </w:rPr>
                <w:t xml:space="preserve"> D</w:t>
              </w:r>
              <w:r>
                <w:rPr>
                  <w:rFonts w:ascii="Arial" w:cs="Arial" w:eastAsia="Arial" w:hAnsi="Arial"/>
                  <w:sz w:val="13"/>
                  <w:szCs w:val="13"/>
                  <w:color w:val="0000EE"/>
                </w:rPr>
                <w:t>ATA</w:t>
              </w:r>
            </w:hyperlink>
          </w:p>
        </w:tc>
        <w:tc>
          <w:tcPr>
            <w:tcW w:w="420" w:type="dxa"/>
            <w:vAlign w:val="bottom"/>
          </w:tcPr>
          <w:p>
            <w:pPr>
              <w:spacing w:after="0"/>
              <w:rPr>
                <w:sz w:val="17"/>
                <w:szCs w:val="17"/>
                <w:color w:val="auto"/>
              </w:rPr>
            </w:pPr>
          </w:p>
        </w:tc>
        <w:tc>
          <w:tcPr>
            <w:tcW w:w="680" w:type="dxa"/>
            <w:vAlign w:val="bottom"/>
          </w:tcPr>
          <w:p>
            <w:pPr>
              <w:jc w:val="right"/>
              <w:spacing w:after="0" w:line="196" w:lineRule="exact"/>
              <w:rPr>
                <w:sz w:val="20"/>
                <w:szCs w:val="20"/>
                <w:color w:val="auto"/>
              </w:rPr>
            </w:pPr>
            <w:r>
              <w:rPr>
                <w:rFonts w:ascii="Arial" w:cs="Arial" w:eastAsia="Arial" w:hAnsi="Arial"/>
                <w:sz w:val="18"/>
                <w:szCs w:val="18"/>
                <w:color w:val="auto"/>
              </w:rPr>
              <w:t>37</w:t>
            </w:r>
          </w:p>
        </w:tc>
      </w:tr>
      <w:tr>
        <w:trPr>
          <w:trHeight w:val="20"/>
        </w:trPr>
        <w:tc>
          <w:tcPr>
            <w:tcW w:w="1000" w:type="dxa"/>
            <w:vAlign w:val="bottom"/>
            <w:tcBorders>
              <w:right w:val="single" w:sz="8" w:color="0000EE"/>
            </w:tcBorders>
          </w:tcPr>
          <w:p>
            <w:pPr>
              <w:spacing w:after="0" w:line="20" w:lineRule="exact"/>
              <w:rPr>
                <w:sz w:val="1"/>
                <w:szCs w:val="1"/>
                <w:color w:val="auto"/>
              </w:rPr>
            </w:pPr>
          </w:p>
        </w:tc>
        <w:tc>
          <w:tcPr>
            <w:tcW w:w="1460" w:type="dxa"/>
            <w:vAlign w:val="bottom"/>
            <w:gridSpan w:val="4"/>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120" w:type="dxa"/>
            <w:vAlign w:val="bottom"/>
            <w:tcBorders>
              <w:left w:val="single" w:sz="8" w:color="0000EE"/>
            </w:tcBorders>
            <w:gridSpan w:val="2"/>
          </w:tcPr>
          <w:p>
            <w:pPr>
              <w:spacing w:after="0" w:line="20" w:lineRule="exact"/>
              <w:rPr>
                <w:sz w:val="1"/>
                <w:szCs w:val="1"/>
                <w:color w:val="auto"/>
              </w:rPr>
            </w:pPr>
          </w:p>
        </w:tc>
        <w:tc>
          <w:tcPr>
            <w:tcW w:w="1100" w:type="dxa"/>
            <w:vAlign w:val="bottom"/>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320" w:type="dxa"/>
            <w:vAlign w:val="bottom"/>
            <w:gridSpan w:val="2"/>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r>
      <w:tr>
        <w:trPr>
          <w:trHeight w:val="196"/>
        </w:trPr>
        <w:tc>
          <w:tcPr>
            <w:tcW w:w="1000" w:type="dxa"/>
            <w:vAlign w:val="bottom"/>
          </w:tcPr>
          <w:p>
            <w:pPr>
              <w:spacing w:after="0" w:line="196" w:lineRule="exact"/>
              <w:rPr>
                <w:sz w:val="20"/>
                <w:szCs w:val="20"/>
                <w:color w:val="auto"/>
              </w:rPr>
            </w:pPr>
            <w:r>
              <w:rPr>
                <w:rFonts w:ascii="Arial" w:cs="Arial" w:eastAsia="Arial" w:hAnsi="Arial"/>
                <w:sz w:val="18"/>
                <w:szCs w:val="18"/>
                <w:color w:val="auto"/>
              </w:rPr>
              <w:t>I</w:t>
            </w:r>
            <w:r>
              <w:rPr>
                <w:rFonts w:ascii="Arial" w:cs="Arial" w:eastAsia="Arial" w:hAnsi="Arial"/>
                <w:sz w:val="13"/>
                <w:szCs w:val="13"/>
                <w:color w:val="auto"/>
              </w:rPr>
              <w:t>TEM</w:t>
            </w:r>
            <w:r>
              <w:rPr>
                <w:rFonts w:ascii="Arial" w:cs="Arial" w:eastAsia="Arial" w:hAnsi="Arial"/>
                <w:sz w:val="18"/>
                <w:szCs w:val="18"/>
                <w:color w:val="auto"/>
              </w:rPr>
              <w:t xml:space="preserve"> 7.</w:t>
            </w:r>
          </w:p>
        </w:tc>
        <w:tc>
          <w:tcPr>
            <w:tcW w:w="7020" w:type="dxa"/>
            <w:vAlign w:val="bottom"/>
            <w:tcBorders>
              <w:bottom w:val="single" w:sz="8" w:color="0000EE"/>
            </w:tcBorders>
            <w:gridSpan w:val="15"/>
          </w:tcPr>
          <w:p>
            <w:pPr>
              <w:spacing w:after="0" w:line="196" w:lineRule="exact"/>
              <w:rPr>
                <w:rFonts w:ascii="Arial" w:cs="Arial" w:eastAsia="Arial" w:hAnsi="Arial"/>
                <w:sz w:val="18"/>
                <w:szCs w:val="18"/>
                <w:color w:val="0000EE"/>
              </w:rPr>
            </w:pPr>
            <w:hyperlink w:anchor="page41">
              <w:r>
                <w:rPr>
                  <w:rFonts w:ascii="Arial" w:cs="Arial" w:eastAsia="Arial" w:hAnsi="Arial"/>
                  <w:sz w:val="18"/>
                  <w:szCs w:val="18"/>
                  <w:color w:val="0000EE"/>
                </w:rPr>
                <w:t>M</w:t>
              </w:r>
              <w:r>
                <w:rPr>
                  <w:rFonts w:ascii="Arial" w:cs="Arial" w:eastAsia="Arial" w:hAnsi="Arial"/>
                  <w:sz w:val="13"/>
                  <w:szCs w:val="13"/>
                  <w:color w:val="0000EE"/>
                </w:rPr>
                <w:t>ANAGEMENT</w:t>
              </w:r>
              <w:r>
                <w:rPr>
                  <w:rFonts w:ascii="Arial" w:cs="Arial" w:eastAsia="Arial" w:hAnsi="Arial"/>
                  <w:sz w:val="18"/>
                  <w:szCs w:val="18"/>
                  <w:color w:val="0000EE"/>
                </w:rPr>
                <w:t>’</w:t>
              </w:r>
              <w:r>
                <w:rPr>
                  <w:rFonts w:ascii="Arial" w:cs="Arial" w:eastAsia="Arial" w:hAnsi="Arial"/>
                  <w:sz w:val="13"/>
                  <w:szCs w:val="13"/>
                  <w:color w:val="0000EE"/>
                </w:rPr>
                <w:t>S</w:t>
              </w:r>
              <w:r>
                <w:rPr>
                  <w:rFonts w:ascii="Arial" w:cs="Arial" w:eastAsia="Arial" w:hAnsi="Arial"/>
                  <w:sz w:val="18"/>
                  <w:szCs w:val="18"/>
                  <w:color w:val="0000EE"/>
                </w:rPr>
                <w:t xml:space="preserve"> D</w:t>
              </w:r>
              <w:r>
                <w:rPr>
                  <w:rFonts w:ascii="Arial" w:cs="Arial" w:eastAsia="Arial" w:hAnsi="Arial"/>
                  <w:sz w:val="13"/>
                  <w:szCs w:val="13"/>
                  <w:color w:val="0000EE"/>
                </w:rPr>
                <w:t>ISCUSSION AND</w:t>
              </w:r>
              <w:r>
                <w:rPr>
                  <w:rFonts w:ascii="Arial" w:cs="Arial" w:eastAsia="Arial" w:hAnsi="Arial"/>
                  <w:sz w:val="18"/>
                  <w:szCs w:val="18"/>
                  <w:color w:val="0000EE"/>
                </w:rPr>
                <w:t xml:space="preserve"> A</w:t>
              </w:r>
              <w:r>
                <w:rPr>
                  <w:rFonts w:ascii="Arial" w:cs="Arial" w:eastAsia="Arial" w:hAnsi="Arial"/>
                  <w:sz w:val="13"/>
                  <w:szCs w:val="13"/>
                  <w:color w:val="0000EE"/>
                </w:rPr>
                <w:t>NALYSIS OF</w:t>
              </w:r>
              <w:r>
                <w:rPr>
                  <w:rFonts w:ascii="Arial" w:cs="Arial" w:eastAsia="Arial" w:hAnsi="Arial"/>
                  <w:sz w:val="18"/>
                  <w:szCs w:val="18"/>
                  <w:color w:val="0000EE"/>
                </w:rPr>
                <w:t xml:space="preserve"> F</w:t>
              </w:r>
              <w:r>
                <w:rPr>
                  <w:rFonts w:ascii="Arial" w:cs="Arial" w:eastAsia="Arial" w:hAnsi="Arial"/>
                  <w:sz w:val="13"/>
                  <w:szCs w:val="13"/>
                  <w:color w:val="0000EE"/>
                </w:rPr>
                <w:t>INANCIAL</w:t>
              </w:r>
              <w:r>
                <w:rPr>
                  <w:rFonts w:ascii="Arial" w:cs="Arial" w:eastAsia="Arial" w:hAnsi="Arial"/>
                  <w:sz w:val="18"/>
                  <w:szCs w:val="18"/>
                  <w:color w:val="0000EE"/>
                </w:rPr>
                <w:t xml:space="preserve"> C</w:t>
              </w:r>
              <w:r>
                <w:rPr>
                  <w:rFonts w:ascii="Arial" w:cs="Arial" w:eastAsia="Arial" w:hAnsi="Arial"/>
                  <w:sz w:val="13"/>
                  <w:szCs w:val="13"/>
                  <w:color w:val="0000EE"/>
                </w:rPr>
                <w:t>ONDITION AND</w:t>
              </w:r>
              <w:r>
                <w:rPr>
                  <w:rFonts w:ascii="Arial" w:cs="Arial" w:eastAsia="Arial" w:hAnsi="Arial"/>
                  <w:sz w:val="18"/>
                  <w:szCs w:val="18"/>
                  <w:color w:val="0000EE"/>
                </w:rPr>
                <w:t xml:space="preserve"> R</w:t>
              </w:r>
              <w:r>
                <w:rPr>
                  <w:rFonts w:ascii="Arial" w:cs="Arial" w:eastAsia="Arial" w:hAnsi="Arial"/>
                  <w:sz w:val="13"/>
                  <w:szCs w:val="13"/>
                  <w:color w:val="0000EE"/>
                </w:rPr>
                <w:t>ESULTS OF</w:t>
              </w:r>
              <w:r>
                <w:rPr>
                  <w:rFonts w:ascii="Arial" w:cs="Arial" w:eastAsia="Arial" w:hAnsi="Arial"/>
                  <w:sz w:val="18"/>
                  <w:szCs w:val="18"/>
                  <w:color w:val="0000EE"/>
                </w:rPr>
                <w:t xml:space="preserve"> O</w:t>
              </w:r>
              <w:r>
                <w:rPr>
                  <w:rFonts w:ascii="Arial" w:cs="Arial" w:eastAsia="Arial" w:hAnsi="Arial"/>
                  <w:sz w:val="13"/>
                  <w:szCs w:val="13"/>
                  <w:color w:val="0000EE"/>
                </w:rPr>
                <w:t>PERATIONS</w:t>
              </w:r>
            </w:hyperlink>
          </w:p>
        </w:tc>
        <w:tc>
          <w:tcPr>
            <w:tcW w:w="2740" w:type="dxa"/>
            <w:vAlign w:val="bottom"/>
            <w:gridSpan w:val="4"/>
          </w:tcPr>
          <w:p>
            <w:pPr>
              <w:spacing w:after="0"/>
              <w:rPr>
                <w:sz w:val="17"/>
                <w:szCs w:val="17"/>
                <w:color w:val="auto"/>
              </w:rPr>
            </w:pPr>
          </w:p>
        </w:tc>
        <w:tc>
          <w:tcPr>
            <w:tcW w:w="680" w:type="dxa"/>
            <w:vAlign w:val="bottom"/>
          </w:tcPr>
          <w:p>
            <w:pPr>
              <w:jc w:val="right"/>
              <w:spacing w:after="0" w:line="196" w:lineRule="exact"/>
              <w:rPr>
                <w:sz w:val="20"/>
                <w:szCs w:val="20"/>
                <w:color w:val="auto"/>
              </w:rPr>
            </w:pPr>
            <w:r>
              <w:rPr>
                <w:rFonts w:ascii="Arial" w:cs="Arial" w:eastAsia="Arial" w:hAnsi="Arial"/>
                <w:sz w:val="18"/>
                <w:szCs w:val="18"/>
                <w:color w:val="auto"/>
              </w:rPr>
              <w:t>38</w:t>
            </w:r>
          </w:p>
        </w:tc>
      </w:tr>
      <w:tr>
        <w:trPr>
          <w:trHeight w:val="196"/>
        </w:trPr>
        <w:tc>
          <w:tcPr>
            <w:tcW w:w="1000" w:type="dxa"/>
            <w:vAlign w:val="bottom"/>
          </w:tcPr>
          <w:p>
            <w:pPr>
              <w:spacing w:after="0" w:line="196" w:lineRule="exact"/>
              <w:rPr>
                <w:sz w:val="20"/>
                <w:szCs w:val="20"/>
                <w:color w:val="auto"/>
              </w:rPr>
            </w:pPr>
            <w:r>
              <w:rPr>
                <w:rFonts w:ascii="Arial" w:cs="Arial" w:eastAsia="Arial" w:hAnsi="Arial"/>
                <w:sz w:val="18"/>
                <w:szCs w:val="18"/>
                <w:color w:val="auto"/>
              </w:rPr>
              <w:t>I</w:t>
            </w:r>
            <w:r>
              <w:rPr>
                <w:rFonts w:ascii="Arial" w:cs="Arial" w:eastAsia="Arial" w:hAnsi="Arial"/>
                <w:sz w:val="13"/>
                <w:szCs w:val="13"/>
                <w:color w:val="auto"/>
              </w:rPr>
              <w:t>TEM</w:t>
            </w:r>
            <w:r>
              <w:rPr>
                <w:rFonts w:ascii="Arial" w:cs="Arial" w:eastAsia="Arial" w:hAnsi="Arial"/>
                <w:sz w:val="18"/>
                <w:szCs w:val="18"/>
                <w:color w:val="auto"/>
              </w:rPr>
              <w:t xml:space="preserve"> 7A.</w:t>
            </w:r>
          </w:p>
        </w:tc>
        <w:tc>
          <w:tcPr>
            <w:tcW w:w="4860" w:type="dxa"/>
            <w:vAlign w:val="bottom"/>
            <w:tcBorders>
              <w:bottom w:val="single" w:sz="8" w:color="0000EE"/>
            </w:tcBorders>
            <w:gridSpan w:val="13"/>
          </w:tcPr>
          <w:p>
            <w:pPr>
              <w:spacing w:after="0" w:line="196" w:lineRule="exact"/>
              <w:rPr>
                <w:rFonts w:ascii="Arial" w:cs="Arial" w:eastAsia="Arial" w:hAnsi="Arial"/>
                <w:sz w:val="18"/>
                <w:szCs w:val="18"/>
                <w:color w:val="0000EE"/>
              </w:rPr>
            </w:pPr>
            <w:hyperlink w:anchor="page55">
              <w:r>
                <w:rPr>
                  <w:rFonts w:ascii="Arial" w:cs="Arial" w:eastAsia="Arial" w:hAnsi="Arial"/>
                  <w:sz w:val="18"/>
                  <w:szCs w:val="18"/>
                  <w:color w:val="0000EE"/>
                </w:rPr>
                <w:t>Q</w:t>
              </w:r>
              <w:r>
                <w:rPr>
                  <w:rFonts w:ascii="Arial" w:cs="Arial" w:eastAsia="Arial" w:hAnsi="Arial"/>
                  <w:sz w:val="13"/>
                  <w:szCs w:val="13"/>
                  <w:color w:val="0000EE"/>
                </w:rPr>
                <w:t>UANTITATIVE AND</w:t>
              </w:r>
              <w:r>
                <w:rPr>
                  <w:rFonts w:ascii="Arial" w:cs="Arial" w:eastAsia="Arial" w:hAnsi="Arial"/>
                  <w:sz w:val="18"/>
                  <w:szCs w:val="18"/>
                  <w:color w:val="0000EE"/>
                </w:rPr>
                <w:t xml:space="preserve"> Q</w:t>
              </w:r>
              <w:r>
                <w:rPr>
                  <w:rFonts w:ascii="Arial" w:cs="Arial" w:eastAsia="Arial" w:hAnsi="Arial"/>
                  <w:sz w:val="13"/>
                  <w:szCs w:val="13"/>
                  <w:color w:val="0000EE"/>
                </w:rPr>
                <w:t>UALITATIVE</w:t>
              </w:r>
              <w:r>
                <w:rPr>
                  <w:rFonts w:ascii="Arial" w:cs="Arial" w:eastAsia="Arial" w:hAnsi="Arial"/>
                  <w:sz w:val="18"/>
                  <w:szCs w:val="18"/>
                  <w:color w:val="0000EE"/>
                </w:rPr>
                <w:t xml:space="preserve"> D</w:t>
              </w:r>
              <w:r>
                <w:rPr>
                  <w:rFonts w:ascii="Arial" w:cs="Arial" w:eastAsia="Arial" w:hAnsi="Arial"/>
                  <w:sz w:val="13"/>
                  <w:szCs w:val="13"/>
                  <w:color w:val="0000EE"/>
                </w:rPr>
                <w:t>ISCLOSURES</w:t>
              </w:r>
              <w:r>
                <w:rPr>
                  <w:rFonts w:ascii="Arial" w:cs="Arial" w:eastAsia="Arial" w:hAnsi="Arial"/>
                  <w:sz w:val="18"/>
                  <w:szCs w:val="18"/>
                  <w:color w:val="0000EE"/>
                </w:rPr>
                <w:t xml:space="preserve"> A</w:t>
              </w:r>
              <w:r>
                <w:rPr>
                  <w:rFonts w:ascii="Arial" w:cs="Arial" w:eastAsia="Arial" w:hAnsi="Arial"/>
                  <w:sz w:val="13"/>
                  <w:szCs w:val="13"/>
                  <w:color w:val="0000EE"/>
                </w:rPr>
                <w:t>BOUT</w:t>
              </w:r>
              <w:r>
                <w:rPr>
                  <w:rFonts w:ascii="Arial" w:cs="Arial" w:eastAsia="Arial" w:hAnsi="Arial"/>
                  <w:sz w:val="18"/>
                  <w:szCs w:val="18"/>
                  <w:color w:val="0000EE"/>
                </w:rPr>
                <w:t xml:space="preserve"> M</w:t>
              </w:r>
              <w:r>
                <w:rPr>
                  <w:rFonts w:ascii="Arial" w:cs="Arial" w:eastAsia="Arial" w:hAnsi="Arial"/>
                  <w:sz w:val="13"/>
                  <w:szCs w:val="13"/>
                  <w:color w:val="0000EE"/>
                </w:rPr>
                <w:t>ARKET</w:t>
              </w:r>
              <w:r>
                <w:rPr>
                  <w:rFonts w:ascii="Arial" w:cs="Arial" w:eastAsia="Arial" w:hAnsi="Arial"/>
                  <w:sz w:val="18"/>
                  <w:szCs w:val="18"/>
                  <w:color w:val="0000EE"/>
                </w:rPr>
                <w:t xml:space="preserve"> R</w:t>
              </w:r>
              <w:r>
                <w:rPr>
                  <w:rFonts w:ascii="Arial" w:cs="Arial" w:eastAsia="Arial" w:hAnsi="Arial"/>
                  <w:sz w:val="13"/>
                  <w:szCs w:val="13"/>
                  <w:color w:val="0000EE"/>
                </w:rPr>
                <w:t>ISK</w:t>
              </w:r>
            </w:hyperlink>
          </w:p>
        </w:tc>
        <w:tc>
          <w:tcPr>
            <w:tcW w:w="4900" w:type="dxa"/>
            <w:vAlign w:val="bottom"/>
            <w:gridSpan w:val="6"/>
          </w:tcPr>
          <w:p>
            <w:pPr>
              <w:spacing w:after="0"/>
              <w:rPr>
                <w:sz w:val="17"/>
                <w:szCs w:val="17"/>
                <w:color w:val="auto"/>
              </w:rPr>
            </w:pPr>
          </w:p>
        </w:tc>
        <w:tc>
          <w:tcPr>
            <w:tcW w:w="680" w:type="dxa"/>
            <w:vAlign w:val="bottom"/>
          </w:tcPr>
          <w:p>
            <w:pPr>
              <w:jc w:val="right"/>
              <w:spacing w:after="0" w:line="196" w:lineRule="exact"/>
              <w:rPr>
                <w:sz w:val="20"/>
                <w:szCs w:val="20"/>
                <w:color w:val="auto"/>
              </w:rPr>
            </w:pPr>
            <w:r>
              <w:rPr>
                <w:rFonts w:ascii="Arial" w:cs="Arial" w:eastAsia="Arial" w:hAnsi="Arial"/>
                <w:sz w:val="18"/>
                <w:szCs w:val="18"/>
                <w:color w:val="auto"/>
              </w:rPr>
              <w:t>52</w:t>
            </w:r>
          </w:p>
        </w:tc>
      </w:tr>
      <w:tr>
        <w:trPr>
          <w:trHeight w:val="196"/>
        </w:trPr>
        <w:tc>
          <w:tcPr>
            <w:tcW w:w="1000" w:type="dxa"/>
            <w:vAlign w:val="bottom"/>
          </w:tcPr>
          <w:p>
            <w:pPr>
              <w:spacing w:after="0" w:line="196" w:lineRule="exact"/>
              <w:rPr>
                <w:sz w:val="20"/>
                <w:szCs w:val="20"/>
                <w:color w:val="auto"/>
              </w:rPr>
            </w:pPr>
            <w:r>
              <w:rPr>
                <w:rFonts w:ascii="Arial" w:cs="Arial" w:eastAsia="Arial" w:hAnsi="Arial"/>
                <w:sz w:val="18"/>
                <w:szCs w:val="18"/>
                <w:color w:val="auto"/>
              </w:rPr>
              <w:t>I</w:t>
            </w:r>
            <w:r>
              <w:rPr>
                <w:rFonts w:ascii="Arial" w:cs="Arial" w:eastAsia="Arial" w:hAnsi="Arial"/>
                <w:sz w:val="13"/>
                <w:szCs w:val="13"/>
                <w:color w:val="auto"/>
              </w:rPr>
              <w:t>TEM</w:t>
            </w:r>
            <w:r>
              <w:rPr>
                <w:rFonts w:ascii="Arial" w:cs="Arial" w:eastAsia="Arial" w:hAnsi="Arial"/>
                <w:sz w:val="18"/>
                <w:szCs w:val="18"/>
                <w:color w:val="auto"/>
              </w:rPr>
              <w:t xml:space="preserve"> 8.</w:t>
            </w:r>
          </w:p>
        </w:tc>
        <w:tc>
          <w:tcPr>
            <w:tcW w:w="9760" w:type="dxa"/>
            <w:vAlign w:val="bottom"/>
            <w:gridSpan w:val="19"/>
          </w:tcPr>
          <w:p>
            <w:pPr>
              <w:spacing w:after="0" w:line="196" w:lineRule="exact"/>
              <w:rPr>
                <w:rFonts w:ascii="Arial" w:cs="Arial" w:eastAsia="Arial" w:hAnsi="Arial"/>
                <w:sz w:val="18"/>
                <w:szCs w:val="18"/>
                <w:color w:val="0000EE"/>
              </w:rPr>
            </w:pPr>
            <w:hyperlink w:anchor="page55">
              <w:r>
                <w:rPr>
                  <w:rFonts w:ascii="Arial" w:cs="Arial" w:eastAsia="Arial" w:hAnsi="Arial"/>
                  <w:sz w:val="18"/>
                  <w:szCs w:val="18"/>
                  <w:color w:val="0000EE"/>
                </w:rPr>
                <w:t>F</w:t>
              </w:r>
              <w:r>
                <w:rPr>
                  <w:rFonts w:ascii="Arial" w:cs="Arial" w:eastAsia="Arial" w:hAnsi="Arial"/>
                  <w:sz w:val="13"/>
                  <w:szCs w:val="13"/>
                  <w:color w:val="0000EE"/>
                </w:rPr>
                <w:t>INANCIAL</w:t>
              </w:r>
              <w:r>
                <w:rPr>
                  <w:rFonts w:ascii="Arial" w:cs="Arial" w:eastAsia="Arial" w:hAnsi="Arial"/>
                  <w:sz w:val="18"/>
                  <w:szCs w:val="18"/>
                  <w:color w:val="0000EE"/>
                </w:rPr>
                <w:t xml:space="preserve"> S</w:t>
              </w:r>
              <w:r>
                <w:rPr>
                  <w:rFonts w:ascii="Arial" w:cs="Arial" w:eastAsia="Arial" w:hAnsi="Arial"/>
                  <w:sz w:val="13"/>
                  <w:szCs w:val="13"/>
                  <w:color w:val="0000EE"/>
                </w:rPr>
                <w:t>TATEMENTS AND</w:t>
              </w:r>
              <w:r>
                <w:rPr>
                  <w:rFonts w:ascii="Arial" w:cs="Arial" w:eastAsia="Arial" w:hAnsi="Arial"/>
                  <w:sz w:val="18"/>
                  <w:szCs w:val="18"/>
                  <w:color w:val="0000EE"/>
                </w:rPr>
                <w:t xml:space="preserve"> S</w:t>
              </w:r>
              <w:r>
                <w:rPr>
                  <w:rFonts w:ascii="Arial" w:cs="Arial" w:eastAsia="Arial" w:hAnsi="Arial"/>
                  <w:sz w:val="13"/>
                  <w:szCs w:val="13"/>
                  <w:color w:val="0000EE"/>
                </w:rPr>
                <w:t>UPPLEMENTARY</w:t>
              </w:r>
              <w:r>
                <w:rPr>
                  <w:rFonts w:ascii="Arial" w:cs="Arial" w:eastAsia="Arial" w:hAnsi="Arial"/>
                  <w:sz w:val="18"/>
                  <w:szCs w:val="18"/>
                  <w:color w:val="0000EE"/>
                </w:rPr>
                <w:t xml:space="preserve"> D</w:t>
              </w:r>
              <w:r>
                <w:rPr>
                  <w:rFonts w:ascii="Arial" w:cs="Arial" w:eastAsia="Arial" w:hAnsi="Arial"/>
                  <w:sz w:val="13"/>
                  <w:szCs w:val="13"/>
                  <w:color w:val="0000EE"/>
                </w:rPr>
                <w:t>ATA</w:t>
              </w:r>
            </w:hyperlink>
          </w:p>
        </w:tc>
        <w:tc>
          <w:tcPr>
            <w:tcW w:w="680" w:type="dxa"/>
            <w:vAlign w:val="bottom"/>
          </w:tcPr>
          <w:p>
            <w:pPr>
              <w:jc w:val="right"/>
              <w:spacing w:after="0" w:line="196" w:lineRule="exact"/>
              <w:rPr>
                <w:sz w:val="20"/>
                <w:szCs w:val="20"/>
                <w:color w:val="auto"/>
              </w:rPr>
            </w:pPr>
            <w:r>
              <w:rPr>
                <w:rFonts w:ascii="Arial" w:cs="Arial" w:eastAsia="Arial" w:hAnsi="Arial"/>
                <w:sz w:val="18"/>
                <w:szCs w:val="18"/>
                <w:color w:val="auto"/>
              </w:rPr>
              <w:t>52</w:t>
            </w:r>
          </w:p>
        </w:tc>
      </w:tr>
      <w:tr>
        <w:trPr>
          <w:trHeight w:val="20"/>
        </w:trPr>
        <w:tc>
          <w:tcPr>
            <w:tcW w:w="1000" w:type="dxa"/>
            <w:vAlign w:val="bottom"/>
            <w:tcBorders>
              <w:right w:val="single" w:sz="8" w:color="0000EE"/>
            </w:tcBorders>
          </w:tcPr>
          <w:p>
            <w:pPr>
              <w:spacing w:after="0" w:line="20" w:lineRule="exact"/>
              <w:rPr>
                <w:sz w:val="1"/>
                <w:szCs w:val="1"/>
                <w:color w:val="auto"/>
              </w:rPr>
            </w:pPr>
          </w:p>
        </w:tc>
        <w:tc>
          <w:tcPr>
            <w:tcW w:w="1460" w:type="dxa"/>
            <w:vAlign w:val="bottom"/>
            <w:gridSpan w:val="4"/>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120" w:type="dxa"/>
            <w:vAlign w:val="bottom"/>
            <w:tcBorders>
              <w:left w:val="single" w:sz="8" w:color="0000EE"/>
            </w:tcBorders>
            <w:gridSpan w:val="2"/>
            <w:shd w:val="clear" w:color="auto" w:fill="0000EE"/>
          </w:tcPr>
          <w:p>
            <w:pPr>
              <w:spacing w:after="0" w:line="20" w:lineRule="exact"/>
              <w:rPr>
                <w:sz w:val="1"/>
                <w:szCs w:val="1"/>
                <w:color w:val="auto"/>
              </w:rPr>
            </w:pPr>
          </w:p>
        </w:tc>
        <w:tc>
          <w:tcPr>
            <w:tcW w:w="1100" w:type="dxa"/>
            <w:vAlign w:val="bottom"/>
            <w:gridSpan w:val="2"/>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160" w:type="dxa"/>
            <w:vAlign w:val="bottom"/>
            <w:tcBorders>
              <w:right w:val="single" w:sz="8" w:color="0000EE"/>
            </w:tcBorders>
            <w:shd w:val="clear" w:color="auto" w:fill="0000EE"/>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140" w:type="dxa"/>
            <w:vAlign w:val="bottom"/>
            <w:gridSpan w:val="2"/>
          </w:tcPr>
          <w:p>
            <w:pPr>
              <w:spacing w:after="0" w:line="20" w:lineRule="exact"/>
              <w:rPr>
                <w:sz w:val="1"/>
                <w:szCs w:val="1"/>
                <w:color w:val="auto"/>
              </w:rPr>
            </w:pPr>
          </w:p>
        </w:tc>
        <w:tc>
          <w:tcPr>
            <w:tcW w:w="136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320" w:type="dxa"/>
            <w:vAlign w:val="bottom"/>
            <w:gridSpan w:val="2"/>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r>
      <w:tr>
        <w:trPr>
          <w:trHeight w:val="196"/>
        </w:trPr>
        <w:tc>
          <w:tcPr>
            <w:tcW w:w="1000" w:type="dxa"/>
            <w:vAlign w:val="bottom"/>
          </w:tcPr>
          <w:p>
            <w:pPr>
              <w:spacing w:after="0" w:line="196" w:lineRule="exact"/>
              <w:rPr>
                <w:sz w:val="20"/>
                <w:szCs w:val="20"/>
                <w:color w:val="auto"/>
              </w:rPr>
            </w:pPr>
            <w:r>
              <w:rPr>
                <w:rFonts w:ascii="Arial" w:cs="Arial" w:eastAsia="Arial" w:hAnsi="Arial"/>
                <w:sz w:val="18"/>
                <w:szCs w:val="18"/>
                <w:color w:val="auto"/>
              </w:rPr>
              <w:t>I</w:t>
            </w:r>
            <w:r>
              <w:rPr>
                <w:rFonts w:ascii="Arial" w:cs="Arial" w:eastAsia="Arial" w:hAnsi="Arial"/>
                <w:sz w:val="13"/>
                <w:szCs w:val="13"/>
                <w:color w:val="auto"/>
              </w:rPr>
              <w:t>TEM</w:t>
            </w:r>
            <w:r>
              <w:rPr>
                <w:rFonts w:ascii="Arial" w:cs="Arial" w:eastAsia="Arial" w:hAnsi="Arial"/>
                <w:sz w:val="18"/>
                <w:szCs w:val="18"/>
                <w:color w:val="auto"/>
              </w:rPr>
              <w:t xml:space="preserve"> 9.</w:t>
            </w:r>
          </w:p>
        </w:tc>
        <w:tc>
          <w:tcPr>
            <w:tcW w:w="7100" w:type="dxa"/>
            <w:vAlign w:val="bottom"/>
            <w:tcBorders>
              <w:bottom w:val="single" w:sz="8" w:color="0000EE"/>
            </w:tcBorders>
            <w:gridSpan w:val="16"/>
          </w:tcPr>
          <w:p>
            <w:pPr>
              <w:spacing w:after="0" w:line="196" w:lineRule="exact"/>
              <w:rPr>
                <w:rFonts w:ascii="Arial" w:cs="Arial" w:eastAsia="Arial" w:hAnsi="Arial"/>
                <w:sz w:val="18"/>
                <w:szCs w:val="18"/>
                <w:color w:val="0000EE"/>
              </w:rPr>
            </w:pPr>
            <w:hyperlink w:anchor="page55">
              <w:r>
                <w:rPr>
                  <w:rFonts w:ascii="Arial" w:cs="Arial" w:eastAsia="Arial" w:hAnsi="Arial"/>
                  <w:sz w:val="18"/>
                  <w:szCs w:val="18"/>
                  <w:color w:val="0000EE"/>
                </w:rPr>
                <w:t>C</w:t>
              </w:r>
              <w:r>
                <w:rPr>
                  <w:rFonts w:ascii="Arial" w:cs="Arial" w:eastAsia="Arial" w:hAnsi="Arial"/>
                  <w:sz w:val="13"/>
                  <w:szCs w:val="13"/>
                  <w:color w:val="0000EE"/>
                </w:rPr>
                <w:t>HANGES IN AND</w:t>
              </w:r>
              <w:r>
                <w:rPr>
                  <w:rFonts w:ascii="Arial" w:cs="Arial" w:eastAsia="Arial" w:hAnsi="Arial"/>
                  <w:sz w:val="18"/>
                  <w:szCs w:val="18"/>
                  <w:color w:val="0000EE"/>
                </w:rPr>
                <w:t xml:space="preserve"> D</w:t>
              </w:r>
              <w:r>
                <w:rPr>
                  <w:rFonts w:ascii="Arial" w:cs="Arial" w:eastAsia="Arial" w:hAnsi="Arial"/>
                  <w:sz w:val="13"/>
                  <w:szCs w:val="13"/>
                  <w:color w:val="0000EE"/>
                </w:rPr>
                <w:t>ISAGREEMENTS WITH</w:t>
              </w:r>
              <w:r>
                <w:rPr>
                  <w:rFonts w:ascii="Arial" w:cs="Arial" w:eastAsia="Arial" w:hAnsi="Arial"/>
                  <w:sz w:val="18"/>
                  <w:szCs w:val="18"/>
                  <w:color w:val="0000EE"/>
                </w:rPr>
                <w:t xml:space="preserve"> A</w:t>
              </w:r>
              <w:r>
                <w:rPr>
                  <w:rFonts w:ascii="Arial" w:cs="Arial" w:eastAsia="Arial" w:hAnsi="Arial"/>
                  <w:sz w:val="13"/>
                  <w:szCs w:val="13"/>
                  <w:color w:val="0000EE"/>
                </w:rPr>
                <w:t>CCOUNTANTS ON</w:t>
              </w:r>
              <w:r>
                <w:rPr>
                  <w:rFonts w:ascii="Arial" w:cs="Arial" w:eastAsia="Arial" w:hAnsi="Arial"/>
                  <w:sz w:val="18"/>
                  <w:szCs w:val="18"/>
                  <w:color w:val="0000EE"/>
                </w:rPr>
                <w:t xml:space="preserve"> A</w:t>
              </w:r>
              <w:r>
                <w:rPr>
                  <w:rFonts w:ascii="Arial" w:cs="Arial" w:eastAsia="Arial" w:hAnsi="Arial"/>
                  <w:sz w:val="13"/>
                  <w:szCs w:val="13"/>
                  <w:color w:val="0000EE"/>
                </w:rPr>
                <w:t>CCOUNTING AND</w:t>
              </w:r>
              <w:r>
                <w:rPr>
                  <w:rFonts w:ascii="Arial" w:cs="Arial" w:eastAsia="Arial" w:hAnsi="Arial"/>
                  <w:sz w:val="18"/>
                  <w:szCs w:val="18"/>
                  <w:color w:val="0000EE"/>
                </w:rPr>
                <w:t xml:space="preserve"> F</w:t>
              </w:r>
              <w:r>
                <w:rPr>
                  <w:rFonts w:ascii="Arial" w:cs="Arial" w:eastAsia="Arial" w:hAnsi="Arial"/>
                  <w:sz w:val="13"/>
                  <w:szCs w:val="13"/>
                  <w:color w:val="0000EE"/>
                </w:rPr>
                <w:t>INANCIAL</w:t>
              </w:r>
              <w:r>
                <w:rPr>
                  <w:rFonts w:ascii="Arial" w:cs="Arial" w:eastAsia="Arial" w:hAnsi="Arial"/>
                  <w:sz w:val="18"/>
                  <w:szCs w:val="18"/>
                  <w:color w:val="0000EE"/>
                </w:rPr>
                <w:t xml:space="preserve"> D</w:t>
              </w:r>
              <w:r>
                <w:rPr>
                  <w:rFonts w:ascii="Arial" w:cs="Arial" w:eastAsia="Arial" w:hAnsi="Arial"/>
                  <w:sz w:val="13"/>
                  <w:szCs w:val="13"/>
                  <w:color w:val="0000EE"/>
                </w:rPr>
                <w:t>ISCLOSURE</w:t>
              </w:r>
            </w:hyperlink>
          </w:p>
        </w:tc>
        <w:tc>
          <w:tcPr>
            <w:tcW w:w="2660" w:type="dxa"/>
            <w:vAlign w:val="bottom"/>
            <w:gridSpan w:val="3"/>
          </w:tcPr>
          <w:p>
            <w:pPr>
              <w:spacing w:after="0"/>
              <w:rPr>
                <w:sz w:val="17"/>
                <w:szCs w:val="17"/>
                <w:color w:val="auto"/>
              </w:rPr>
            </w:pPr>
          </w:p>
        </w:tc>
        <w:tc>
          <w:tcPr>
            <w:tcW w:w="680" w:type="dxa"/>
            <w:vAlign w:val="bottom"/>
          </w:tcPr>
          <w:p>
            <w:pPr>
              <w:jc w:val="right"/>
              <w:spacing w:after="0" w:line="196" w:lineRule="exact"/>
              <w:rPr>
                <w:sz w:val="20"/>
                <w:szCs w:val="20"/>
                <w:color w:val="auto"/>
              </w:rPr>
            </w:pPr>
            <w:r>
              <w:rPr>
                <w:rFonts w:ascii="Arial" w:cs="Arial" w:eastAsia="Arial" w:hAnsi="Arial"/>
                <w:sz w:val="18"/>
                <w:szCs w:val="18"/>
                <w:color w:val="auto"/>
              </w:rPr>
              <w:t>52</w:t>
            </w:r>
          </w:p>
        </w:tc>
      </w:tr>
      <w:tr>
        <w:trPr>
          <w:trHeight w:val="196"/>
        </w:trPr>
        <w:tc>
          <w:tcPr>
            <w:tcW w:w="1000" w:type="dxa"/>
            <w:vAlign w:val="bottom"/>
          </w:tcPr>
          <w:p>
            <w:pPr>
              <w:spacing w:after="0" w:line="196" w:lineRule="exact"/>
              <w:rPr>
                <w:sz w:val="20"/>
                <w:szCs w:val="20"/>
                <w:color w:val="auto"/>
              </w:rPr>
            </w:pPr>
            <w:r>
              <w:rPr>
                <w:rFonts w:ascii="Arial" w:cs="Arial" w:eastAsia="Arial" w:hAnsi="Arial"/>
                <w:sz w:val="18"/>
                <w:szCs w:val="18"/>
                <w:color w:val="auto"/>
              </w:rPr>
              <w:t>I</w:t>
            </w:r>
            <w:r>
              <w:rPr>
                <w:rFonts w:ascii="Arial" w:cs="Arial" w:eastAsia="Arial" w:hAnsi="Arial"/>
                <w:sz w:val="13"/>
                <w:szCs w:val="13"/>
                <w:color w:val="auto"/>
              </w:rPr>
              <w:t>TEM</w:t>
            </w:r>
            <w:r>
              <w:rPr>
                <w:rFonts w:ascii="Arial" w:cs="Arial" w:eastAsia="Arial" w:hAnsi="Arial"/>
                <w:sz w:val="18"/>
                <w:szCs w:val="18"/>
                <w:color w:val="auto"/>
              </w:rPr>
              <w:t xml:space="preserve"> 9A.</w:t>
            </w:r>
          </w:p>
        </w:tc>
        <w:tc>
          <w:tcPr>
            <w:tcW w:w="9760" w:type="dxa"/>
            <w:vAlign w:val="bottom"/>
            <w:gridSpan w:val="19"/>
          </w:tcPr>
          <w:p>
            <w:pPr>
              <w:spacing w:after="0" w:line="196" w:lineRule="exact"/>
              <w:rPr>
                <w:rFonts w:ascii="Arial" w:cs="Arial" w:eastAsia="Arial" w:hAnsi="Arial"/>
                <w:sz w:val="18"/>
                <w:szCs w:val="18"/>
                <w:color w:val="0000EE"/>
              </w:rPr>
            </w:pPr>
            <w:hyperlink w:anchor="page55">
              <w:r>
                <w:rPr>
                  <w:rFonts w:ascii="Arial" w:cs="Arial" w:eastAsia="Arial" w:hAnsi="Arial"/>
                  <w:sz w:val="18"/>
                  <w:szCs w:val="18"/>
                  <w:color w:val="0000EE"/>
                </w:rPr>
                <w:t>C</w:t>
              </w:r>
              <w:r>
                <w:rPr>
                  <w:rFonts w:ascii="Arial" w:cs="Arial" w:eastAsia="Arial" w:hAnsi="Arial"/>
                  <w:sz w:val="13"/>
                  <w:szCs w:val="13"/>
                  <w:color w:val="0000EE"/>
                </w:rPr>
                <w:t>ONTROLS AND</w:t>
              </w:r>
              <w:r>
                <w:rPr>
                  <w:rFonts w:ascii="Arial" w:cs="Arial" w:eastAsia="Arial" w:hAnsi="Arial"/>
                  <w:sz w:val="18"/>
                  <w:szCs w:val="18"/>
                  <w:color w:val="0000EE"/>
                </w:rPr>
                <w:t xml:space="preserve"> P</w:t>
              </w:r>
              <w:r>
                <w:rPr>
                  <w:rFonts w:ascii="Arial" w:cs="Arial" w:eastAsia="Arial" w:hAnsi="Arial"/>
                  <w:sz w:val="13"/>
                  <w:szCs w:val="13"/>
                  <w:color w:val="0000EE"/>
                </w:rPr>
                <w:t>ROCEDURES</w:t>
              </w:r>
            </w:hyperlink>
          </w:p>
        </w:tc>
        <w:tc>
          <w:tcPr>
            <w:tcW w:w="680" w:type="dxa"/>
            <w:vAlign w:val="bottom"/>
          </w:tcPr>
          <w:p>
            <w:pPr>
              <w:jc w:val="right"/>
              <w:spacing w:after="0" w:line="196" w:lineRule="exact"/>
              <w:rPr>
                <w:sz w:val="20"/>
                <w:szCs w:val="20"/>
                <w:color w:val="auto"/>
              </w:rPr>
            </w:pPr>
            <w:r>
              <w:rPr>
                <w:rFonts w:ascii="Arial" w:cs="Arial" w:eastAsia="Arial" w:hAnsi="Arial"/>
                <w:sz w:val="18"/>
                <w:szCs w:val="18"/>
                <w:color w:val="auto"/>
              </w:rPr>
              <w:t>52</w:t>
            </w:r>
          </w:p>
        </w:tc>
      </w:tr>
      <w:tr>
        <w:trPr>
          <w:trHeight w:val="196"/>
        </w:trPr>
        <w:tc>
          <w:tcPr>
            <w:tcW w:w="1000" w:type="dxa"/>
            <w:vAlign w:val="bottom"/>
          </w:tcPr>
          <w:p>
            <w:pPr>
              <w:spacing w:after="0" w:line="196" w:lineRule="exact"/>
              <w:rPr>
                <w:sz w:val="20"/>
                <w:szCs w:val="20"/>
                <w:color w:val="auto"/>
              </w:rPr>
            </w:pPr>
            <w:r>
              <w:rPr>
                <w:rFonts w:ascii="Arial" w:cs="Arial" w:eastAsia="Arial" w:hAnsi="Arial"/>
                <w:sz w:val="18"/>
                <w:szCs w:val="18"/>
                <w:color w:val="auto"/>
              </w:rPr>
              <w:t>I</w:t>
            </w:r>
            <w:r>
              <w:rPr>
                <w:rFonts w:ascii="Arial" w:cs="Arial" w:eastAsia="Arial" w:hAnsi="Arial"/>
                <w:sz w:val="13"/>
                <w:szCs w:val="13"/>
                <w:color w:val="auto"/>
              </w:rPr>
              <w:t>TEM</w:t>
            </w:r>
            <w:r>
              <w:rPr>
                <w:rFonts w:ascii="Arial" w:cs="Arial" w:eastAsia="Arial" w:hAnsi="Arial"/>
                <w:sz w:val="18"/>
                <w:szCs w:val="18"/>
                <w:color w:val="auto"/>
              </w:rPr>
              <w:t xml:space="preserve"> 9B.</w:t>
            </w:r>
          </w:p>
        </w:tc>
        <w:tc>
          <w:tcPr>
            <w:tcW w:w="2000" w:type="dxa"/>
            <w:vAlign w:val="bottom"/>
            <w:tcBorders>
              <w:top w:val="single" w:sz="8" w:color="0000EE"/>
            </w:tcBorders>
            <w:gridSpan w:val="7"/>
          </w:tcPr>
          <w:p>
            <w:pPr>
              <w:spacing w:after="0" w:line="196" w:lineRule="exact"/>
              <w:rPr>
                <w:rFonts w:ascii="Arial" w:cs="Arial" w:eastAsia="Arial" w:hAnsi="Arial"/>
                <w:sz w:val="18"/>
                <w:szCs w:val="18"/>
                <w:color w:val="0000EE"/>
              </w:rPr>
            </w:pPr>
            <w:hyperlink w:anchor="page56">
              <w:r>
                <w:rPr>
                  <w:rFonts w:ascii="Arial" w:cs="Arial" w:eastAsia="Arial" w:hAnsi="Arial"/>
                  <w:sz w:val="18"/>
                  <w:szCs w:val="18"/>
                  <w:color w:val="0000EE"/>
                </w:rPr>
                <w:t>O</w:t>
              </w:r>
              <w:r>
                <w:rPr>
                  <w:rFonts w:ascii="Arial" w:cs="Arial" w:eastAsia="Arial" w:hAnsi="Arial"/>
                  <w:sz w:val="13"/>
                  <w:szCs w:val="13"/>
                  <w:color w:val="0000EE"/>
                </w:rPr>
                <w:t>THER</w:t>
              </w:r>
              <w:r>
                <w:rPr>
                  <w:rFonts w:ascii="Arial" w:cs="Arial" w:eastAsia="Arial" w:hAnsi="Arial"/>
                  <w:sz w:val="18"/>
                  <w:szCs w:val="18"/>
                  <w:color w:val="0000EE"/>
                </w:rPr>
                <w:t xml:space="preserve"> I</w:t>
              </w:r>
              <w:r>
                <w:rPr>
                  <w:rFonts w:ascii="Arial" w:cs="Arial" w:eastAsia="Arial" w:hAnsi="Arial"/>
                  <w:sz w:val="13"/>
                  <w:szCs w:val="13"/>
                  <w:color w:val="0000EE"/>
                </w:rPr>
                <w:t>NFORMATION</w:t>
              </w:r>
            </w:hyperlink>
          </w:p>
        </w:tc>
        <w:tc>
          <w:tcPr>
            <w:tcW w:w="7760" w:type="dxa"/>
            <w:vAlign w:val="bottom"/>
            <w:gridSpan w:val="12"/>
          </w:tcPr>
          <w:p>
            <w:pPr>
              <w:spacing w:after="0"/>
              <w:rPr>
                <w:sz w:val="17"/>
                <w:szCs w:val="17"/>
                <w:color w:val="auto"/>
              </w:rPr>
            </w:pPr>
          </w:p>
        </w:tc>
        <w:tc>
          <w:tcPr>
            <w:tcW w:w="680" w:type="dxa"/>
            <w:vAlign w:val="bottom"/>
          </w:tcPr>
          <w:p>
            <w:pPr>
              <w:jc w:val="right"/>
              <w:spacing w:after="0" w:line="196" w:lineRule="exact"/>
              <w:rPr>
                <w:sz w:val="20"/>
                <w:szCs w:val="20"/>
                <w:color w:val="auto"/>
              </w:rPr>
            </w:pPr>
            <w:r>
              <w:rPr>
                <w:rFonts w:ascii="Arial" w:cs="Arial" w:eastAsia="Arial" w:hAnsi="Arial"/>
                <w:sz w:val="18"/>
                <w:szCs w:val="18"/>
                <w:color w:val="auto"/>
              </w:rPr>
              <w:t>53</w:t>
            </w:r>
          </w:p>
        </w:tc>
      </w:tr>
      <w:tr>
        <w:trPr>
          <w:trHeight w:val="358"/>
        </w:trPr>
        <w:tc>
          <w:tcPr>
            <w:tcW w:w="1000" w:type="dxa"/>
            <w:vAlign w:val="bottom"/>
          </w:tcPr>
          <w:p>
            <w:pPr>
              <w:spacing w:after="0"/>
              <w:rPr>
                <w:sz w:val="20"/>
                <w:szCs w:val="20"/>
                <w:color w:val="auto"/>
              </w:rPr>
            </w:pPr>
            <w:r>
              <w:rPr>
                <w:rFonts w:ascii="Arial" w:cs="Arial" w:eastAsia="Arial" w:hAnsi="Arial"/>
                <w:sz w:val="18"/>
                <w:szCs w:val="18"/>
                <w:b w:val="1"/>
                <w:bCs w:val="1"/>
                <w:color w:val="auto"/>
              </w:rPr>
              <w:t>PART III</w:t>
            </w:r>
          </w:p>
        </w:tc>
        <w:tc>
          <w:tcPr>
            <w:tcW w:w="64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200" w:type="dxa"/>
            <w:vAlign w:val="bottom"/>
            <w:tcBorders>
              <w:top w:val="single" w:sz="8" w:color="0000EE"/>
            </w:tcBorders>
          </w:tcPr>
          <w:p>
            <w:pPr>
              <w:spacing w:after="0"/>
              <w:rPr>
                <w:sz w:val="24"/>
                <w:szCs w:val="24"/>
                <w:color w:val="auto"/>
              </w:rPr>
            </w:pPr>
          </w:p>
        </w:tc>
        <w:tc>
          <w:tcPr>
            <w:tcW w:w="460" w:type="dxa"/>
            <w:vAlign w:val="bottom"/>
            <w:tcBorders>
              <w:top w:val="single" w:sz="8" w:color="0000EE"/>
            </w:tcBorders>
          </w:tcPr>
          <w:p>
            <w:pPr>
              <w:spacing w:after="0"/>
              <w:rPr>
                <w:sz w:val="24"/>
                <w:szCs w:val="24"/>
                <w:color w:val="auto"/>
              </w:rPr>
            </w:pPr>
          </w:p>
        </w:tc>
        <w:tc>
          <w:tcPr>
            <w:tcW w:w="4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80" w:type="dxa"/>
            <w:vAlign w:val="bottom"/>
          </w:tcPr>
          <w:p>
            <w:pPr>
              <w:spacing w:after="0"/>
              <w:rPr>
                <w:sz w:val="24"/>
                <w:szCs w:val="24"/>
                <w:color w:val="auto"/>
              </w:rPr>
            </w:pPr>
          </w:p>
        </w:tc>
      </w:tr>
      <w:tr>
        <w:trPr>
          <w:trHeight w:val="297"/>
        </w:trPr>
        <w:tc>
          <w:tcPr>
            <w:tcW w:w="1000" w:type="dxa"/>
            <w:vAlign w:val="bottom"/>
          </w:tcPr>
          <w:p>
            <w:pPr>
              <w:spacing w:after="0"/>
              <w:rPr>
                <w:sz w:val="20"/>
                <w:szCs w:val="20"/>
                <w:color w:val="auto"/>
              </w:rPr>
            </w:pPr>
            <w:r>
              <w:rPr>
                <w:rFonts w:ascii="Arial" w:cs="Arial" w:eastAsia="Arial" w:hAnsi="Arial"/>
                <w:sz w:val="18"/>
                <w:szCs w:val="18"/>
                <w:color w:val="auto"/>
              </w:rPr>
              <w:t>I</w:t>
            </w:r>
            <w:r>
              <w:rPr>
                <w:rFonts w:ascii="Arial" w:cs="Arial" w:eastAsia="Arial" w:hAnsi="Arial"/>
                <w:sz w:val="13"/>
                <w:szCs w:val="13"/>
                <w:color w:val="auto"/>
              </w:rPr>
              <w:t>TEM</w:t>
            </w:r>
            <w:r>
              <w:rPr>
                <w:rFonts w:ascii="Arial" w:cs="Arial" w:eastAsia="Arial" w:hAnsi="Arial"/>
                <w:sz w:val="18"/>
                <w:szCs w:val="18"/>
                <w:color w:val="auto"/>
              </w:rPr>
              <w:t xml:space="preserve"> 10.</w:t>
            </w:r>
          </w:p>
        </w:tc>
        <w:tc>
          <w:tcPr>
            <w:tcW w:w="4600" w:type="dxa"/>
            <w:vAlign w:val="bottom"/>
            <w:tcBorders>
              <w:bottom w:val="single" w:sz="8" w:color="0000EE"/>
            </w:tcBorders>
            <w:gridSpan w:val="12"/>
          </w:tcPr>
          <w:p>
            <w:pPr>
              <w:spacing w:after="0"/>
              <w:rPr>
                <w:rFonts w:ascii="Arial" w:cs="Arial" w:eastAsia="Arial" w:hAnsi="Arial"/>
                <w:sz w:val="18"/>
                <w:szCs w:val="18"/>
                <w:color w:val="0000EE"/>
                <w:w w:val="97"/>
              </w:rPr>
            </w:pPr>
            <w:hyperlink w:anchor="page56">
              <w:r>
                <w:rPr>
                  <w:rFonts w:ascii="Arial" w:cs="Arial" w:eastAsia="Arial" w:hAnsi="Arial"/>
                  <w:sz w:val="18"/>
                  <w:szCs w:val="18"/>
                  <w:color w:val="0000EE"/>
                  <w:w w:val="97"/>
                </w:rPr>
                <w:t>D</w:t>
              </w:r>
              <w:r>
                <w:rPr>
                  <w:rFonts w:ascii="Arial" w:cs="Arial" w:eastAsia="Arial" w:hAnsi="Arial"/>
                  <w:sz w:val="13"/>
                  <w:szCs w:val="13"/>
                  <w:color w:val="0000EE"/>
                  <w:w w:val="97"/>
                </w:rPr>
                <w:t>IRECTORS</w:t>
              </w:r>
              <w:r>
                <w:rPr>
                  <w:rFonts w:ascii="Arial" w:cs="Arial" w:eastAsia="Arial" w:hAnsi="Arial"/>
                  <w:sz w:val="18"/>
                  <w:szCs w:val="18"/>
                  <w:color w:val="0000EE"/>
                  <w:w w:val="97"/>
                </w:rPr>
                <w:t>, E</w:t>
              </w:r>
              <w:r>
                <w:rPr>
                  <w:rFonts w:ascii="Arial" w:cs="Arial" w:eastAsia="Arial" w:hAnsi="Arial"/>
                  <w:sz w:val="13"/>
                  <w:szCs w:val="13"/>
                  <w:color w:val="0000EE"/>
                  <w:w w:val="97"/>
                </w:rPr>
                <w:t>XECUTIVE</w:t>
              </w:r>
              <w:r>
                <w:rPr>
                  <w:rFonts w:ascii="Arial" w:cs="Arial" w:eastAsia="Arial" w:hAnsi="Arial"/>
                  <w:sz w:val="18"/>
                  <w:szCs w:val="18"/>
                  <w:color w:val="0000EE"/>
                  <w:w w:val="97"/>
                </w:rPr>
                <w:t xml:space="preserve"> O</w:t>
              </w:r>
              <w:r>
                <w:rPr>
                  <w:rFonts w:ascii="Arial" w:cs="Arial" w:eastAsia="Arial" w:hAnsi="Arial"/>
                  <w:sz w:val="13"/>
                  <w:szCs w:val="13"/>
                  <w:color w:val="0000EE"/>
                  <w:w w:val="97"/>
                </w:rPr>
                <w:t>FFICERS</w:t>
              </w:r>
              <w:r>
                <w:rPr>
                  <w:rFonts w:ascii="Arial" w:cs="Arial" w:eastAsia="Arial" w:hAnsi="Arial"/>
                  <w:sz w:val="18"/>
                  <w:szCs w:val="18"/>
                  <w:color w:val="0000EE"/>
                  <w:w w:val="97"/>
                </w:rPr>
                <w:t xml:space="preserve">, </w:t>
              </w:r>
              <w:r>
                <w:rPr>
                  <w:rFonts w:ascii="Arial" w:cs="Arial" w:eastAsia="Arial" w:hAnsi="Arial"/>
                  <w:sz w:val="13"/>
                  <w:szCs w:val="13"/>
                  <w:color w:val="0000EE"/>
                  <w:w w:val="97"/>
                </w:rPr>
                <w:t>AND</w:t>
              </w:r>
              <w:r>
                <w:rPr>
                  <w:rFonts w:ascii="Arial" w:cs="Arial" w:eastAsia="Arial" w:hAnsi="Arial"/>
                  <w:sz w:val="18"/>
                  <w:szCs w:val="18"/>
                  <w:color w:val="0000EE"/>
                  <w:w w:val="97"/>
                </w:rPr>
                <w:t xml:space="preserve"> C</w:t>
              </w:r>
              <w:r>
                <w:rPr>
                  <w:rFonts w:ascii="Arial" w:cs="Arial" w:eastAsia="Arial" w:hAnsi="Arial"/>
                  <w:sz w:val="13"/>
                  <w:szCs w:val="13"/>
                  <w:color w:val="0000EE"/>
                  <w:w w:val="97"/>
                </w:rPr>
                <w:t>ORPORATE</w:t>
              </w:r>
              <w:r>
                <w:rPr>
                  <w:rFonts w:ascii="Arial" w:cs="Arial" w:eastAsia="Arial" w:hAnsi="Arial"/>
                  <w:sz w:val="18"/>
                  <w:szCs w:val="18"/>
                  <w:color w:val="0000EE"/>
                  <w:w w:val="97"/>
                </w:rPr>
                <w:t xml:space="preserve"> G</w:t>
              </w:r>
              <w:r>
                <w:rPr>
                  <w:rFonts w:ascii="Arial" w:cs="Arial" w:eastAsia="Arial" w:hAnsi="Arial"/>
                  <w:sz w:val="13"/>
                  <w:szCs w:val="13"/>
                  <w:color w:val="0000EE"/>
                  <w:w w:val="97"/>
                </w:rPr>
                <w:t>OVERNANCE</w:t>
              </w:r>
            </w:hyperlink>
          </w:p>
        </w:tc>
        <w:tc>
          <w:tcPr>
            <w:tcW w:w="5160" w:type="dxa"/>
            <w:vAlign w:val="bottom"/>
            <w:gridSpan w:val="7"/>
          </w:tcPr>
          <w:p>
            <w:pPr>
              <w:spacing w:after="0"/>
              <w:rPr>
                <w:sz w:val="24"/>
                <w:szCs w:val="24"/>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53</w:t>
            </w:r>
          </w:p>
        </w:tc>
      </w:tr>
      <w:tr>
        <w:trPr>
          <w:trHeight w:val="196"/>
        </w:trPr>
        <w:tc>
          <w:tcPr>
            <w:tcW w:w="1000" w:type="dxa"/>
            <w:vAlign w:val="bottom"/>
          </w:tcPr>
          <w:p>
            <w:pPr>
              <w:spacing w:after="0" w:line="196" w:lineRule="exact"/>
              <w:rPr>
                <w:sz w:val="20"/>
                <w:szCs w:val="20"/>
                <w:color w:val="auto"/>
              </w:rPr>
            </w:pPr>
            <w:r>
              <w:rPr>
                <w:rFonts w:ascii="Arial" w:cs="Arial" w:eastAsia="Arial" w:hAnsi="Arial"/>
                <w:sz w:val="18"/>
                <w:szCs w:val="18"/>
                <w:color w:val="auto"/>
              </w:rPr>
              <w:t>I</w:t>
            </w:r>
            <w:r>
              <w:rPr>
                <w:rFonts w:ascii="Arial" w:cs="Arial" w:eastAsia="Arial" w:hAnsi="Arial"/>
                <w:sz w:val="13"/>
                <w:szCs w:val="13"/>
                <w:color w:val="auto"/>
              </w:rPr>
              <w:t>TEM</w:t>
            </w:r>
            <w:r>
              <w:rPr>
                <w:rFonts w:ascii="Arial" w:cs="Arial" w:eastAsia="Arial" w:hAnsi="Arial"/>
                <w:sz w:val="18"/>
                <w:szCs w:val="18"/>
                <w:color w:val="auto"/>
              </w:rPr>
              <w:t xml:space="preserve"> 11.</w:t>
            </w:r>
          </w:p>
        </w:tc>
        <w:tc>
          <w:tcPr>
            <w:tcW w:w="9760" w:type="dxa"/>
            <w:vAlign w:val="bottom"/>
            <w:gridSpan w:val="19"/>
          </w:tcPr>
          <w:p>
            <w:pPr>
              <w:spacing w:after="0" w:line="196" w:lineRule="exact"/>
              <w:rPr>
                <w:rFonts w:ascii="Arial" w:cs="Arial" w:eastAsia="Arial" w:hAnsi="Arial"/>
                <w:sz w:val="18"/>
                <w:szCs w:val="18"/>
                <w:color w:val="0000EE"/>
              </w:rPr>
            </w:pPr>
            <w:hyperlink w:anchor="page56">
              <w:r>
                <w:rPr>
                  <w:rFonts w:ascii="Arial" w:cs="Arial" w:eastAsia="Arial" w:hAnsi="Arial"/>
                  <w:sz w:val="18"/>
                  <w:szCs w:val="18"/>
                  <w:color w:val="0000EE"/>
                </w:rPr>
                <w:t>E</w:t>
              </w:r>
              <w:r>
                <w:rPr>
                  <w:rFonts w:ascii="Arial" w:cs="Arial" w:eastAsia="Arial" w:hAnsi="Arial"/>
                  <w:sz w:val="13"/>
                  <w:szCs w:val="13"/>
                  <w:color w:val="0000EE"/>
                </w:rPr>
                <w:t>XECUTIVE</w:t>
              </w:r>
              <w:r>
                <w:rPr>
                  <w:rFonts w:ascii="Arial" w:cs="Arial" w:eastAsia="Arial" w:hAnsi="Arial"/>
                  <w:sz w:val="18"/>
                  <w:szCs w:val="18"/>
                  <w:color w:val="0000EE"/>
                </w:rPr>
                <w:t xml:space="preserve"> C</w:t>
              </w:r>
              <w:r>
                <w:rPr>
                  <w:rFonts w:ascii="Arial" w:cs="Arial" w:eastAsia="Arial" w:hAnsi="Arial"/>
                  <w:sz w:val="13"/>
                  <w:szCs w:val="13"/>
                  <w:color w:val="0000EE"/>
                </w:rPr>
                <w:t>OMPENSATION</w:t>
              </w:r>
            </w:hyperlink>
          </w:p>
        </w:tc>
        <w:tc>
          <w:tcPr>
            <w:tcW w:w="680" w:type="dxa"/>
            <w:vAlign w:val="bottom"/>
          </w:tcPr>
          <w:p>
            <w:pPr>
              <w:jc w:val="right"/>
              <w:spacing w:after="0" w:line="196" w:lineRule="exact"/>
              <w:rPr>
                <w:sz w:val="20"/>
                <w:szCs w:val="20"/>
                <w:color w:val="auto"/>
              </w:rPr>
            </w:pPr>
            <w:r>
              <w:rPr>
                <w:rFonts w:ascii="Arial" w:cs="Arial" w:eastAsia="Arial" w:hAnsi="Arial"/>
                <w:sz w:val="18"/>
                <w:szCs w:val="18"/>
                <w:color w:val="auto"/>
              </w:rPr>
              <w:t>53</w:t>
            </w:r>
          </w:p>
        </w:tc>
      </w:tr>
      <w:tr>
        <w:trPr>
          <w:trHeight w:val="20"/>
        </w:trPr>
        <w:tc>
          <w:tcPr>
            <w:tcW w:w="1000" w:type="dxa"/>
            <w:vAlign w:val="bottom"/>
            <w:tcBorders>
              <w:right w:val="single" w:sz="8" w:color="0000EE"/>
            </w:tcBorders>
          </w:tcPr>
          <w:p>
            <w:pPr>
              <w:spacing w:after="0" w:line="20" w:lineRule="exact"/>
              <w:rPr>
                <w:sz w:val="1"/>
                <w:szCs w:val="1"/>
                <w:color w:val="auto"/>
              </w:rPr>
            </w:pPr>
          </w:p>
        </w:tc>
        <w:tc>
          <w:tcPr>
            <w:tcW w:w="1880" w:type="dxa"/>
            <w:vAlign w:val="bottom"/>
            <w:gridSpan w:val="5"/>
            <w:shd w:val="clear" w:color="auto" w:fill="0000EE"/>
          </w:tcPr>
          <w:p>
            <w:pPr>
              <w:spacing w:after="0" w:line="20" w:lineRule="exact"/>
              <w:rPr>
                <w:sz w:val="1"/>
                <w:szCs w:val="1"/>
                <w:color w:val="auto"/>
              </w:rPr>
            </w:pPr>
          </w:p>
        </w:tc>
        <w:tc>
          <w:tcPr>
            <w:tcW w:w="1220" w:type="dxa"/>
            <w:vAlign w:val="bottom"/>
            <w:gridSpan w:val="4"/>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120" w:type="dxa"/>
            <w:vAlign w:val="bottom"/>
            <w:gridSpan w:val="3"/>
          </w:tcPr>
          <w:p>
            <w:pPr>
              <w:spacing w:after="0" w:line="20" w:lineRule="exact"/>
              <w:rPr>
                <w:sz w:val="1"/>
                <w:szCs w:val="1"/>
                <w:color w:val="auto"/>
              </w:rPr>
            </w:pPr>
          </w:p>
        </w:tc>
        <w:tc>
          <w:tcPr>
            <w:tcW w:w="1700" w:type="dxa"/>
            <w:vAlign w:val="bottom"/>
            <w:gridSpan w:val="3"/>
          </w:tcPr>
          <w:p>
            <w:pPr>
              <w:spacing w:after="0" w:line="20" w:lineRule="exact"/>
              <w:rPr>
                <w:sz w:val="1"/>
                <w:szCs w:val="1"/>
                <w:color w:val="auto"/>
              </w:rPr>
            </w:pPr>
          </w:p>
        </w:tc>
        <w:tc>
          <w:tcPr>
            <w:tcW w:w="2320" w:type="dxa"/>
            <w:vAlign w:val="bottom"/>
            <w:gridSpan w:val="2"/>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r>
      <w:tr>
        <w:trPr>
          <w:trHeight w:val="196"/>
        </w:trPr>
        <w:tc>
          <w:tcPr>
            <w:tcW w:w="1000" w:type="dxa"/>
            <w:vAlign w:val="bottom"/>
          </w:tcPr>
          <w:p>
            <w:pPr>
              <w:spacing w:after="0" w:line="196" w:lineRule="exact"/>
              <w:rPr>
                <w:sz w:val="20"/>
                <w:szCs w:val="20"/>
                <w:color w:val="auto"/>
              </w:rPr>
            </w:pPr>
            <w:r>
              <w:rPr>
                <w:rFonts w:ascii="Arial" w:cs="Arial" w:eastAsia="Arial" w:hAnsi="Arial"/>
                <w:sz w:val="18"/>
                <w:szCs w:val="18"/>
                <w:color w:val="auto"/>
              </w:rPr>
              <w:t>I</w:t>
            </w:r>
            <w:r>
              <w:rPr>
                <w:rFonts w:ascii="Arial" w:cs="Arial" w:eastAsia="Arial" w:hAnsi="Arial"/>
                <w:sz w:val="13"/>
                <w:szCs w:val="13"/>
                <w:color w:val="auto"/>
              </w:rPr>
              <w:t>TEM</w:t>
            </w:r>
            <w:r>
              <w:rPr>
                <w:rFonts w:ascii="Arial" w:cs="Arial" w:eastAsia="Arial" w:hAnsi="Arial"/>
                <w:sz w:val="18"/>
                <w:szCs w:val="18"/>
                <w:color w:val="auto"/>
              </w:rPr>
              <w:t xml:space="preserve"> 12.</w:t>
            </w:r>
          </w:p>
        </w:tc>
        <w:tc>
          <w:tcPr>
            <w:tcW w:w="9760" w:type="dxa"/>
            <w:vAlign w:val="bottom"/>
            <w:gridSpan w:val="19"/>
          </w:tcPr>
          <w:p>
            <w:pPr>
              <w:spacing w:after="0" w:line="196" w:lineRule="exact"/>
              <w:rPr>
                <w:rFonts w:ascii="Arial" w:cs="Arial" w:eastAsia="Arial" w:hAnsi="Arial"/>
                <w:sz w:val="18"/>
                <w:szCs w:val="18"/>
                <w:color w:val="0000EE"/>
              </w:rPr>
            </w:pPr>
            <w:hyperlink w:anchor="page56">
              <w:r>
                <w:rPr>
                  <w:rFonts w:ascii="Arial" w:cs="Arial" w:eastAsia="Arial" w:hAnsi="Arial"/>
                  <w:sz w:val="18"/>
                  <w:szCs w:val="18"/>
                  <w:color w:val="0000EE"/>
                </w:rPr>
                <w:t>S</w:t>
              </w:r>
              <w:r>
                <w:rPr>
                  <w:rFonts w:ascii="Arial" w:cs="Arial" w:eastAsia="Arial" w:hAnsi="Arial"/>
                  <w:sz w:val="13"/>
                  <w:szCs w:val="13"/>
                  <w:color w:val="0000EE"/>
                </w:rPr>
                <w:t>ECURITY</w:t>
              </w:r>
              <w:r>
                <w:rPr>
                  <w:rFonts w:ascii="Arial" w:cs="Arial" w:eastAsia="Arial" w:hAnsi="Arial"/>
                  <w:sz w:val="18"/>
                  <w:szCs w:val="18"/>
                  <w:color w:val="0000EE"/>
                </w:rPr>
                <w:t xml:space="preserve"> O</w:t>
              </w:r>
              <w:r>
                <w:rPr>
                  <w:rFonts w:ascii="Arial" w:cs="Arial" w:eastAsia="Arial" w:hAnsi="Arial"/>
                  <w:sz w:val="13"/>
                  <w:szCs w:val="13"/>
                  <w:color w:val="0000EE"/>
                </w:rPr>
                <w:t>WNERSHIP OF</w:t>
              </w:r>
              <w:r>
                <w:rPr>
                  <w:rFonts w:ascii="Arial" w:cs="Arial" w:eastAsia="Arial" w:hAnsi="Arial"/>
                  <w:sz w:val="18"/>
                  <w:szCs w:val="18"/>
                  <w:color w:val="0000EE"/>
                </w:rPr>
                <w:t xml:space="preserve"> C</w:t>
              </w:r>
              <w:r>
                <w:rPr>
                  <w:rFonts w:ascii="Arial" w:cs="Arial" w:eastAsia="Arial" w:hAnsi="Arial"/>
                  <w:sz w:val="13"/>
                  <w:szCs w:val="13"/>
                  <w:color w:val="0000EE"/>
                </w:rPr>
                <w:t>ERTAIN</w:t>
              </w:r>
              <w:r>
                <w:rPr>
                  <w:rFonts w:ascii="Arial" w:cs="Arial" w:eastAsia="Arial" w:hAnsi="Arial"/>
                  <w:sz w:val="18"/>
                  <w:szCs w:val="18"/>
                  <w:color w:val="0000EE"/>
                </w:rPr>
                <w:t xml:space="preserve"> B</w:t>
              </w:r>
              <w:r>
                <w:rPr>
                  <w:rFonts w:ascii="Arial" w:cs="Arial" w:eastAsia="Arial" w:hAnsi="Arial"/>
                  <w:sz w:val="13"/>
                  <w:szCs w:val="13"/>
                  <w:color w:val="0000EE"/>
                </w:rPr>
                <w:t>ENEFICIAL</w:t>
              </w:r>
              <w:r>
                <w:rPr>
                  <w:rFonts w:ascii="Arial" w:cs="Arial" w:eastAsia="Arial" w:hAnsi="Arial"/>
                  <w:sz w:val="18"/>
                  <w:szCs w:val="18"/>
                  <w:color w:val="0000EE"/>
                </w:rPr>
                <w:t xml:space="preserve"> O</w:t>
              </w:r>
              <w:r>
                <w:rPr>
                  <w:rFonts w:ascii="Arial" w:cs="Arial" w:eastAsia="Arial" w:hAnsi="Arial"/>
                  <w:sz w:val="13"/>
                  <w:szCs w:val="13"/>
                  <w:color w:val="0000EE"/>
                </w:rPr>
                <w:t>WNERS AND</w:t>
              </w:r>
              <w:r>
                <w:rPr>
                  <w:rFonts w:ascii="Arial" w:cs="Arial" w:eastAsia="Arial" w:hAnsi="Arial"/>
                  <w:sz w:val="18"/>
                  <w:szCs w:val="18"/>
                  <w:color w:val="0000EE"/>
                </w:rPr>
                <w:t xml:space="preserve"> M</w:t>
              </w:r>
              <w:r>
                <w:rPr>
                  <w:rFonts w:ascii="Arial" w:cs="Arial" w:eastAsia="Arial" w:hAnsi="Arial"/>
                  <w:sz w:val="13"/>
                  <w:szCs w:val="13"/>
                  <w:color w:val="0000EE"/>
                </w:rPr>
                <w:t>ANAGEMENT AND</w:t>
              </w:r>
              <w:r>
                <w:rPr>
                  <w:rFonts w:ascii="Arial" w:cs="Arial" w:eastAsia="Arial" w:hAnsi="Arial"/>
                  <w:sz w:val="18"/>
                  <w:szCs w:val="18"/>
                  <w:color w:val="0000EE"/>
                </w:rPr>
                <w:t xml:space="preserve"> R</w:t>
              </w:r>
              <w:r>
                <w:rPr>
                  <w:rFonts w:ascii="Arial" w:cs="Arial" w:eastAsia="Arial" w:hAnsi="Arial"/>
                  <w:sz w:val="13"/>
                  <w:szCs w:val="13"/>
                  <w:color w:val="0000EE"/>
                </w:rPr>
                <w:t>ELATED</w:t>
              </w:r>
              <w:r>
                <w:rPr>
                  <w:rFonts w:ascii="Arial" w:cs="Arial" w:eastAsia="Arial" w:hAnsi="Arial"/>
                  <w:sz w:val="18"/>
                  <w:szCs w:val="18"/>
                  <w:color w:val="0000EE"/>
                </w:rPr>
                <w:t xml:space="preserve"> S</w:t>
              </w:r>
              <w:r>
                <w:rPr>
                  <w:rFonts w:ascii="Arial" w:cs="Arial" w:eastAsia="Arial" w:hAnsi="Arial"/>
                  <w:sz w:val="13"/>
                  <w:szCs w:val="13"/>
                  <w:color w:val="0000EE"/>
                </w:rPr>
                <w:t>TOCKHOLDERS</w:t>
              </w:r>
            </w:hyperlink>
          </w:p>
        </w:tc>
        <w:tc>
          <w:tcPr>
            <w:tcW w:w="680" w:type="dxa"/>
            <w:vAlign w:val="bottom"/>
          </w:tcPr>
          <w:p>
            <w:pPr>
              <w:jc w:val="right"/>
              <w:spacing w:after="0" w:line="196" w:lineRule="exact"/>
              <w:rPr>
                <w:sz w:val="20"/>
                <w:szCs w:val="20"/>
                <w:color w:val="auto"/>
              </w:rPr>
            </w:pPr>
            <w:r>
              <w:rPr>
                <w:rFonts w:ascii="Arial" w:cs="Arial" w:eastAsia="Arial" w:hAnsi="Arial"/>
                <w:sz w:val="18"/>
                <w:szCs w:val="18"/>
                <w:color w:val="auto"/>
              </w:rPr>
              <w:t>53</w:t>
            </w:r>
          </w:p>
        </w:tc>
      </w:tr>
      <w:tr>
        <w:trPr>
          <w:trHeight w:val="196"/>
        </w:trPr>
        <w:tc>
          <w:tcPr>
            <w:tcW w:w="1000" w:type="dxa"/>
            <w:vAlign w:val="bottom"/>
          </w:tcPr>
          <w:p>
            <w:pPr>
              <w:spacing w:after="0" w:line="196" w:lineRule="exact"/>
              <w:rPr>
                <w:sz w:val="20"/>
                <w:szCs w:val="20"/>
                <w:color w:val="auto"/>
              </w:rPr>
            </w:pPr>
            <w:r>
              <w:rPr>
                <w:rFonts w:ascii="Arial" w:cs="Arial" w:eastAsia="Arial" w:hAnsi="Arial"/>
                <w:sz w:val="18"/>
                <w:szCs w:val="18"/>
                <w:color w:val="auto"/>
              </w:rPr>
              <w:t>I</w:t>
            </w:r>
            <w:r>
              <w:rPr>
                <w:rFonts w:ascii="Arial" w:cs="Arial" w:eastAsia="Arial" w:hAnsi="Arial"/>
                <w:sz w:val="13"/>
                <w:szCs w:val="13"/>
                <w:color w:val="auto"/>
              </w:rPr>
              <w:t>TEM</w:t>
            </w:r>
            <w:r>
              <w:rPr>
                <w:rFonts w:ascii="Arial" w:cs="Arial" w:eastAsia="Arial" w:hAnsi="Arial"/>
                <w:sz w:val="18"/>
                <w:szCs w:val="18"/>
                <w:color w:val="auto"/>
              </w:rPr>
              <w:t xml:space="preserve"> 13.</w:t>
            </w:r>
          </w:p>
        </w:tc>
        <w:tc>
          <w:tcPr>
            <w:tcW w:w="7440" w:type="dxa"/>
            <w:vAlign w:val="bottom"/>
            <w:tcBorders>
              <w:top w:val="single" w:sz="8" w:color="0000EE"/>
            </w:tcBorders>
            <w:gridSpan w:val="17"/>
          </w:tcPr>
          <w:p>
            <w:pPr>
              <w:spacing w:after="0" w:line="196" w:lineRule="exact"/>
              <w:rPr>
                <w:rFonts w:ascii="Arial" w:cs="Arial" w:eastAsia="Arial" w:hAnsi="Arial"/>
                <w:sz w:val="18"/>
                <w:szCs w:val="18"/>
                <w:color w:val="0000EE"/>
              </w:rPr>
            </w:pPr>
            <w:hyperlink w:anchor="page56">
              <w:r>
                <w:rPr>
                  <w:rFonts w:ascii="Arial" w:cs="Arial" w:eastAsia="Arial" w:hAnsi="Arial"/>
                  <w:sz w:val="18"/>
                  <w:szCs w:val="18"/>
                  <w:color w:val="0000EE"/>
                </w:rPr>
                <w:t>C</w:t>
              </w:r>
              <w:r>
                <w:rPr>
                  <w:rFonts w:ascii="Arial" w:cs="Arial" w:eastAsia="Arial" w:hAnsi="Arial"/>
                  <w:sz w:val="13"/>
                  <w:szCs w:val="13"/>
                  <w:color w:val="0000EE"/>
                </w:rPr>
                <w:t>ERTAIN</w:t>
              </w:r>
              <w:r>
                <w:rPr>
                  <w:rFonts w:ascii="Arial" w:cs="Arial" w:eastAsia="Arial" w:hAnsi="Arial"/>
                  <w:sz w:val="18"/>
                  <w:szCs w:val="18"/>
                  <w:color w:val="0000EE"/>
                </w:rPr>
                <w:t xml:space="preserve"> R</w:t>
              </w:r>
              <w:r>
                <w:rPr>
                  <w:rFonts w:ascii="Arial" w:cs="Arial" w:eastAsia="Arial" w:hAnsi="Arial"/>
                  <w:sz w:val="13"/>
                  <w:szCs w:val="13"/>
                  <w:color w:val="0000EE"/>
                </w:rPr>
                <w:t>ELATIONSHIPS</w:t>
              </w:r>
              <w:r>
                <w:rPr>
                  <w:rFonts w:ascii="Arial" w:cs="Arial" w:eastAsia="Arial" w:hAnsi="Arial"/>
                  <w:sz w:val="18"/>
                  <w:szCs w:val="18"/>
                  <w:color w:val="0000EE"/>
                </w:rPr>
                <w:t>, R</w:t>
              </w:r>
              <w:r>
                <w:rPr>
                  <w:rFonts w:ascii="Arial" w:cs="Arial" w:eastAsia="Arial" w:hAnsi="Arial"/>
                  <w:sz w:val="13"/>
                  <w:szCs w:val="13"/>
                  <w:color w:val="0000EE"/>
                </w:rPr>
                <w:t>ELATED</w:t>
              </w:r>
              <w:r>
                <w:rPr>
                  <w:rFonts w:ascii="Arial" w:cs="Arial" w:eastAsia="Arial" w:hAnsi="Arial"/>
                  <w:sz w:val="18"/>
                  <w:szCs w:val="18"/>
                  <w:color w:val="0000EE"/>
                </w:rPr>
                <w:t xml:space="preserve"> T</w:t>
              </w:r>
              <w:r>
                <w:rPr>
                  <w:rFonts w:ascii="Arial" w:cs="Arial" w:eastAsia="Arial" w:hAnsi="Arial"/>
                  <w:sz w:val="13"/>
                  <w:szCs w:val="13"/>
                  <w:color w:val="0000EE"/>
                </w:rPr>
                <w:t>RANSACTIONS AND</w:t>
              </w:r>
              <w:r>
                <w:rPr>
                  <w:rFonts w:ascii="Arial" w:cs="Arial" w:eastAsia="Arial" w:hAnsi="Arial"/>
                  <w:sz w:val="18"/>
                  <w:szCs w:val="18"/>
                  <w:color w:val="0000EE"/>
                </w:rPr>
                <w:t xml:space="preserve"> D</w:t>
              </w:r>
              <w:r>
                <w:rPr>
                  <w:rFonts w:ascii="Arial" w:cs="Arial" w:eastAsia="Arial" w:hAnsi="Arial"/>
                  <w:sz w:val="13"/>
                  <w:szCs w:val="13"/>
                  <w:color w:val="0000EE"/>
                </w:rPr>
                <w:t>IRECTORS</w:t>
              </w:r>
              <w:r>
                <w:rPr>
                  <w:rFonts w:ascii="Arial" w:cs="Arial" w:eastAsia="Arial" w:hAnsi="Arial"/>
                  <w:sz w:val="18"/>
                  <w:szCs w:val="18"/>
                  <w:color w:val="0000EE"/>
                </w:rPr>
                <w:t xml:space="preserve"> I</w:t>
              </w:r>
              <w:r>
                <w:rPr>
                  <w:rFonts w:ascii="Arial" w:cs="Arial" w:eastAsia="Arial" w:hAnsi="Arial"/>
                  <w:sz w:val="13"/>
                  <w:szCs w:val="13"/>
                  <w:color w:val="0000EE"/>
                </w:rPr>
                <w:t>NDEPENDENCE</w:t>
              </w:r>
            </w:hyperlink>
          </w:p>
        </w:tc>
        <w:tc>
          <w:tcPr>
            <w:tcW w:w="2320" w:type="dxa"/>
            <w:vAlign w:val="bottom"/>
            <w:gridSpan w:val="2"/>
          </w:tcPr>
          <w:p>
            <w:pPr>
              <w:spacing w:after="0"/>
              <w:rPr>
                <w:sz w:val="17"/>
                <w:szCs w:val="17"/>
                <w:color w:val="auto"/>
              </w:rPr>
            </w:pPr>
          </w:p>
        </w:tc>
        <w:tc>
          <w:tcPr>
            <w:tcW w:w="680" w:type="dxa"/>
            <w:vAlign w:val="bottom"/>
          </w:tcPr>
          <w:p>
            <w:pPr>
              <w:jc w:val="right"/>
              <w:spacing w:after="0" w:line="196" w:lineRule="exact"/>
              <w:rPr>
                <w:sz w:val="20"/>
                <w:szCs w:val="20"/>
                <w:color w:val="auto"/>
              </w:rPr>
            </w:pPr>
            <w:r>
              <w:rPr>
                <w:rFonts w:ascii="Arial" w:cs="Arial" w:eastAsia="Arial" w:hAnsi="Arial"/>
                <w:sz w:val="18"/>
                <w:szCs w:val="18"/>
                <w:color w:val="auto"/>
              </w:rPr>
              <w:t>53</w:t>
            </w:r>
          </w:p>
        </w:tc>
      </w:tr>
      <w:tr>
        <w:trPr>
          <w:trHeight w:val="196"/>
        </w:trPr>
        <w:tc>
          <w:tcPr>
            <w:tcW w:w="1000" w:type="dxa"/>
            <w:vAlign w:val="bottom"/>
          </w:tcPr>
          <w:p>
            <w:pPr>
              <w:spacing w:after="0" w:line="196" w:lineRule="exact"/>
              <w:rPr>
                <w:sz w:val="20"/>
                <w:szCs w:val="20"/>
                <w:color w:val="auto"/>
              </w:rPr>
            </w:pPr>
            <w:r>
              <w:rPr>
                <w:rFonts w:ascii="Arial" w:cs="Arial" w:eastAsia="Arial" w:hAnsi="Arial"/>
                <w:sz w:val="18"/>
                <w:szCs w:val="18"/>
                <w:color w:val="auto"/>
              </w:rPr>
              <w:t>I</w:t>
            </w:r>
            <w:r>
              <w:rPr>
                <w:rFonts w:ascii="Arial" w:cs="Arial" w:eastAsia="Arial" w:hAnsi="Arial"/>
                <w:sz w:val="13"/>
                <w:szCs w:val="13"/>
                <w:color w:val="auto"/>
              </w:rPr>
              <w:t>TEM</w:t>
            </w:r>
            <w:r>
              <w:rPr>
                <w:rFonts w:ascii="Arial" w:cs="Arial" w:eastAsia="Arial" w:hAnsi="Arial"/>
                <w:sz w:val="18"/>
                <w:szCs w:val="18"/>
                <w:color w:val="auto"/>
              </w:rPr>
              <w:t xml:space="preserve"> 14.</w:t>
            </w:r>
          </w:p>
        </w:tc>
        <w:tc>
          <w:tcPr>
            <w:tcW w:w="5740" w:type="dxa"/>
            <w:vAlign w:val="bottom"/>
            <w:tcBorders>
              <w:top w:val="single" w:sz="8" w:color="0000EE"/>
            </w:tcBorders>
            <w:gridSpan w:val="14"/>
          </w:tcPr>
          <w:p>
            <w:pPr>
              <w:spacing w:after="0" w:line="196" w:lineRule="exact"/>
              <w:rPr>
                <w:rFonts w:ascii="Arial" w:cs="Arial" w:eastAsia="Arial" w:hAnsi="Arial"/>
                <w:sz w:val="18"/>
                <w:szCs w:val="18"/>
                <w:color w:val="0000EE"/>
              </w:rPr>
            </w:pPr>
            <w:hyperlink w:anchor="page56">
              <w:r>
                <w:rPr>
                  <w:rFonts w:ascii="Arial" w:cs="Arial" w:eastAsia="Arial" w:hAnsi="Arial"/>
                  <w:sz w:val="18"/>
                  <w:szCs w:val="18"/>
                  <w:color w:val="0000EE"/>
                </w:rPr>
                <w:t>P</w:t>
              </w:r>
              <w:r>
                <w:rPr>
                  <w:rFonts w:ascii="Arial" w:cs="Arial" w:eastAsia="Arial" w:hAnsi="Arial"/>
                  <w:sz w:val="13"/>
                  <w:szCs w:val="13"/>
                  <w:color w:val="0000EE"/>
                </w:rPr>
                <w:t>RINCIPAL</w:t>
              </w:r>
              <w:r>
                <w:rPr>
                  <w:rFonts w:ascii="Arial" w:cs="Arial" w:eastAsia="Arial" w:hAnsi="Arial"/>
                  <w:sz w:val="18"/>
                  <w:szCs w:val="18"/>
                  <w:color w:val="0000EE"/>
                </w:rPr>
                <w:t xml:space="preserve"> A</w:t>
              </w:r>
              <w:r>
                <w:rPr>
                  <w:rFonts w:ascii="Arial" w:cs="Arial" w:eastAsia="Arial" w:hAnsi="Arial"/>
                  <w:sz w:val="13"/>
                  <w:szCs w:val="13"/>
                  <w:color w:val="0000EE"/>
                </w:rPr>
                <w:t>CCOUNTANT</w:t>
              </w:r>
              <w:r>
                <w:rPr>
                  <w:rFonts w:ascii="Arial" w:cs="Arial" w:eastAsia="Arial" w:hAnsi="Arial"/>
                  <w:sz w:val="18"/>
                  <w:szCs w:val="18"/>
                  <w:color w:val="0000EE"/>
                </w:rPr>
                <w:t xml:space="preserve"> F</w:t>
              </w:r>
              <w:r>
                <w:rPr>
                  <w:rFonts w:ascii="Arial" w:cs="Arial" w:eastAsia="Arial" w:hAnsi="Arial"/>
                  <w:sz w:val="13"/>
                  <w:szCs w:val="13"/>
                  <w:color w:val="0000EE"/>
                </w:rPr>
                <w:t>EES AND</w:t>
              </w:r>
              <w:r>
                <w:rPr>
                  <w:rFonts w:ascii="Arial" w:cs="Arial" w:eastAsia="Arial" w:hAnsi="Arial"/>
                  <w:sz w:val="18"/>
                  <w:szCs w:val="18"/>
                  <w:color w:val="0000EE"/>
                </w:rPr>
                <w:t xml:space="preserve"> S</w:t>
              </w:r>
              <w:r>
                <w:rPr>
                  <w:rFonts w:ascii="Arial" w:cs="Arial" w:eastAsia="Arial" w:hAnsi="Arial"/>
                  <w:sz w:val="13"/>
                  <w:szCs w:val="13"/>
                  <w:color w:val="0000EE"/>
                </w:rPr>
                <w:t>ERVICES</w:t>
              </w:r>
            </w:hyperlink>
          </w:p>
        </w:tc>
        <w:tc>
          <w:tcPr>
            <w:tcW w:w="4020" w:type="dxa"/>
            <w:vAlign w:val="bottom"/>
            <w:gridSpan w:val="5"/>
          </w:tcPr>
          <w:p>
            <w:pPr>
              <w:spacing w:after="0"/>
              <w:rPr>
                <w:sz w:val="17"/>
                <w:szCs w:val="17"/>
                <w:color w:val="auto"/>
              </w:rPr>
            </w:pPr>
          </w:p>
        </w:tc>
        <w:tc>
          <w:tcPr>
            <w:tcW w:w="680" w:type="dxa"/>
            <w:vAlign w:val="bottom"/>
          </w:tcPr>
          <w:p>
            <w:pPr>
              <w:jc w:val="right"/>
              <w:spacing w:after="0" w:line="196" w:lineRule="exact"/>
              <w:rPr>
                <w:sz w:val="20"/>
                <w:szCs w:val="20"/>
                <w:color w:val="auto"/>
              </w:rPr>
            </w:pPr>
            <w:r>
              <w:rPr>
                <w:rFonts w:ascii="Arial" w:cs="Arial" w:eastAsia="Arial" w:hAnsi="Arial"/>
                <w:sz w:val="18"/>
                <w:szCs w:val="18"/>
                <w:color w:val="auto"/>
              </w:rPr>
              <w:t>53</w:t>
            </w:r>
          </w:p>
        </w:tc>
      </w:tr>
      <w:tr>
        <w:trPr>
          <w:trHeight w:val="358"/>
        </w:trPr>
        <w:tc>
          <w:tcPr>
            <w:tcW w:w="1000" w:type="dxa"/>
            <w:vAlign w:val="bottom"/>
          </w:tcPr>
          <w:p>
            <w:pPr>
              <w:spacing w:after="0"/>
              <w:rPr>
                <w:sz w:val="20"/>
                <w:szCs w:val="20"/>
                <w:color w:val="auto"/>
              </w:rPr>
            </w:pPr>
            <w:r>
              <w:rPr>
                <w:rFonts w:ascii="Arial" w:cs="Arial" w:eastAsia="Arial" w:hAnsi="Arial"/>
                <w:sz w:val="18"/>
                <w:szCs w:val="18"/>
                <w:b w:val="1"/>
                <w:bCs w:val="1"/>
                <w:color w:val="auto"/>
              </w:rPr>
              <w:t>PART IV</w:t>
            </w:r>
          </w:p>
        </w:tc>
        <w:tc>
          <w:tcPr>
            <w:tcW w:w="64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200" w:type="dxa"/>
            <w:vAlign w:val="bottom"/>
            <w:tcBorders>
              <w:top w:val="single" w:sz="8" w:color="0000EE"/>
            </w:tcBorders>
          </w:tcPr>
          <w:p>
            <w:pPr>
              <w:spacing w:after="0"/>
              <w:rPr>
                <w:sz w:val="24"/>
                <w:szCs w:val="24"/>
                <w:color w:val="auto"/>
              </w:rPr>
            </w:pPr>
          </w:p>
        </w:tc>
        <w:tc>
          <w:tcPr>
            <w:tcW w:w="460" w:type="dxa"/>
            <w:vAlign w:val="bottom"/>
            <w:tcBorders>
              <w:top w:val="single" w:sz="8" w:color="0000EE"/>
            </w:tcBorders>
          </w:tcPr>
          <w:p>
            <w:pPr>
              <w:spacing w:after="0"/>
              <w:rPr>
                <w:sz w:val="24"/>
                <w:szCs w:val="24"/>
                <w:color w:val="auto"/>
              </w:rPr>
            </w:pPr>
          </w:p>
        </w:tc>
        <w:tc>
          <w:tcPr>
            <w:tcW w:w="42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200" w:type="dxa"/>
            <w:vAlign w:val="bottom"/>
            <w:tcBorders>
              <w:top w:val="single" w:sz="8" w:color="0000EE"/>
            </w:tcBorders>
          </w:tcPr>
          <w:p>
            <w:pPr>
              <w:spacing w:after="0"/>
              <w:rPr>
                <w:sz w:val="24"/>
                <w:szCs w:val="24"/>
                <w:color w:val="auto"/>
              </w:rPr>
            </w:pPr>
          </w:p>
        </w:tc>
        <w:tc>
          <w:tcPr>
            <w:tcW w:w="900" w:type="dxa"/>
            <w:vAlign w:val="bottom"/>
            <w:tcBorders>
              <w:top w:val="single" w:sz="8" w:color="0000EE"/>
            </w:tcBorders>
          </w:tcPr>
          <w:p>
            <w:pPr>
              <w:spacing w:after="0"/>
              <w:rPr>
                <w:sz w:val="24"/>
                <w:szCs w:val="24"/>
                <w:color w:val="auto"/>
              </w:rPr>
            </w:pPr>
          </w:p>
        </w:tc>
        <w:tc>
          <w:tcPr>
            <w:tcW w:w="3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80" w:type="dxa"/>
            <w:vAlign w:val="bottom"/>
          </w:tcPr>
          <w:p>
            <w:pPr>
              <w:spacing w:after="0"/>
              <w:rPr>
                <w:sz w:val="24"/>
                <w:szCs w:val="24"/>
                <w:color w:val="auto"/>
              </w:rPr>
            </w:pPr>
          </w:p>
        </w:tc>
      </w:tr>
      <w:tr>
        <w:trPr>
          <w:trHeight w:val="297"/>
        </w:trPr>
        <w:tc>
          <w:tcPr>
            <w:tcW w:w="1000" w:type="dxa"/>
            <w:vAlign w:val="bottom"/>
          </w:tcPr>
          <w:p>
            <w:pPr>
              <w:spacing w:after="0"/>
              <w:rPr>
                <w:sz w:val="20"/>
                <w:szCs w:val="20"/>
                <w:color w:val="auto"/>
              </w:rPr>
            </w:pPr>
            <w:r>
              <w:rPr>
                <w:rFonts w:ascii="Arial" w:cs="Arial" w:eastAsia="Arial" w:hAnsi="Arial"/>
                <w:sz w:val="18"/>
                <w:szCs w:val="18"/>
                <w:color w:val="auto"/>
              </w:rPr>
              <w:t>I</w:t>
            </w:r>
            <w:r>
              <w:rPr>
                <w:rFonts w:ascii="Arial" w:cs="Arial" w:eastAsia="Arial" w:hAnsi="Arial"/>
                <w:sz w:val="13"/>
                <w:szCs w:val="13"/>
                <w:color w:val="auto"/>
              </w:rPr>
              <w:t>TEM</w:t>
            </w:r>
            <w:r>
              <w:rPr>
                <w:rFonts w:ascii="Arial" w:cs="Arial" w:eastAsia="Arial" w:hAnsi="Arial"/>
                <w:sz w:val="18"/>
                <w:szCs w:val="18"/>
                <w:color w:val="auto"/>
              </w:rPr>
              <w:t xml:space="preserve"> 15.</w:t>
            </w:r>
          </w:p>
        </w:tc>
        <w:tc>
          <w:tcPr>
            <w:tcW w:w="3460" w:type="dxa"/>
            <w:vAlign w:val="bottom"/>
            <w:tcBorders>
              <w:bottom w:val="single" w:sz="8" w:color="0000EE"/>
            </w:tcBorders>
            <w:gridSpan w:val="10"/>
          </w:tcPr>
          <w:p>
            <w:pPr>
              <w:spacing w:after="0"/>
              <w:rPr>
                <w:rFonts w:ascii="Arial" w:cs="Arial" w:eastAsia="Arial" w:hAnsi="Arial"/>
                <w:sz w:val="18"/>
                <w:szCs w:val="18"/>
                <w:color w:val="0000EE"/>
                <w:w w:val="99"/>
              </w:rPr>
            </w:pPr>
            <w:hyperlink w:anchor="page56">
              <w:r>
                <w:rPr>
                  <w:rFonts w:ascii="Arial" w:cs="Arial" w:eastAsia="Arial" w:hAnsi="Arial"/>
                  <w:sz w:val="18"/>
                  <w:szCs w:val="18"/>
                  <w:color w:val="0000EE"/>
                  <w:w w:val="99"/>
                </w:rPr>
                <w:t>E</w:t>
              </w:r>
              <w:r>
                <w:rPr>
                  <w:rFonts w:ascii="Arial" w:cs="Arial" w:eastAsia="Arial" w:hAnsi="Arial"/>
                  <w:sz w:val="13"/>
                  <w:szCs w:val="13"/>
                  <w:color w:val="0000EE"/>
                  <w:w w:val="99"/>
                </w:rPr>
                <w:t>XHIBITS AND</w:t>
              </w:r>
              <w:r>
                <w:rPr>
                  <w:rFonts w:ascii="Arial" w:cs="Arial" w:eastAsia="Arial" w:hAnsi="Arial"/>
                  <w:sz w:val="18"/>
                  <w:szCs w:val="18"/>
                  <w:color w:val="0000EE"/>
                  <w:w w:val="99"/>
                </w:rPr>
                <w:t xml:space="preserve"> F</w:t>
              </w:r>
              <w:r>
                <w:rPr>
                  <w:rFonts w:ascii="Arial" w:cs="Arial" w:eastAsia="Arial" w:hAnsi="Arial"/>
                  <w:sz w:val="13"/>
                  <w:szCs w:val="13"/>
                  <w:color w:val="0000EE"/>
                  <w:w w:val="99"/>
                </w:rPr>
                <w:t>INANCIAL</w:t>
              </w:r>
              <w:r>
                <w:rPr>
                  <w:rFonts w:ascii="Arial" w:cs="Arial" w:eastAsia="Arial" w:hAnsi="Arial"/>
                  <w:sz w:val="18"/>
                  <w:szCs w:val="18"/>
                  <w:color w:val="0000EE"/>
                  <w:w w:val="99"/>
                </w:rPr>
                <w:t xml:space="preserve"> S</w:t>
              </w:r>
              <w:r>
                <w:rPr>
                  <w:rFonts w:ascii="Arial" w:cs="Arial" w:eastAsia="Arial" w:hAnsi="Arial"/>
                  <w:sz w:val="13"/>
                  <w:szCs w:val="13"/>
                  <w:color w:val="0000EE"/>
                  <w:w w:val="99"/>
                </w:rPr>
                <w:t>TATEMENT</w:t>
              </w:r>
              <w:r>
                <w:rPr>
                  <w:rFonts w:ascii="Arial" w:cs="Arial" w:eastAsia="Arial" w:hAnsi="Arial"/>
                  <w:sz w:val="18"/>
                  <w:szCs w:val="18"/>
                  <w:color w:val="0000EE"/>
                  <w:w w:val="99"/>
                </w:rPr>
                <w:t xml:space="preserve"> S</w:t>
              </w:r>
              <w:r>
                <w:rPr>
                  <w:rFonts w:ascii="Arial" w:cs="Arial" w:eastAsia="Arial" w:hAnsi="Arial"/>
                  <w:sz w:val="13"/>
                  <w:szCs w:val="13"/>
                  <w:color w:val="0000EE"/>
                  <w:w w:val="99"/>
                </w:rPr>
                <w:t>CHEDULES</w:t>
              </w:r>
            </w:hyperlink>
          </w:p>
        </w:tc>
        <w:tc>
          <w:tcPr>
            <w:tcW w:w="6300" w:type="dxa"/>
            <w:vAlign w:val="bottom"/>
            <w:gridSpan w:val="9"/>
          </w:tcPr>
          <w:p>
            <w:pPr>
              <w:spacing w:after="0"/>
              <w:rPr>
                <w:sz w:val="24"/>
                <w:szCs w:val="24"/>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53</w:t>
            </w:r>
          </w:p>
        </w:tc>
      </w:tr>
      <w:tr>
        <w:trPr>
          <w:trHeight w:val="318"/>
        </w:trPr>
        <w:tc>
          <w:tcPr>
            <w:tcW w:w="10760" w:type="dxa"/>
            <w:vAlign w:val="bottom"/>
            <w:gridSpan w:val="20"/>
          </w:tcPr>
          <w:p>
            <w:pPr>
              <w:spacing w:after="0"/>
              <w:rPr>
                <w:rFonts w:ascii="Arial" w:cs="Arial" w:eastAsia="Arial" w:hAnsi="Arial"/>
                <w:sz w:val="18"/>
                <w:szCs w:val="18"/>
                <w:color w:val="0000EE"/>
              </w:rPr>
            </w:pPr>
            <w:hyperlink w:anchor="page59">
              <w:r>
                <w:rPr>
                  <w:rFonts w:ascii="Arial" w:cs="Arial" w:eastAsia="Arial" w:hAnsi="Arial"/>
                  <w:sz w:val="18"/>
                  <w:szCs w:val="18"/>
                  <w:color w:val="0000EE"/>
                </w:rPr>
                <w:t>SIGNATURE</w:t>
              </w:r>
            </w:hyperlink>
          </w:p>
        </w:tc>
        <w:tc>
          <w:tcPr>
            <w:tcW w:w="680" w:type="dxa"/>
            <w:vAlign w:val="bottom"/>
          </w:tcPr>
          <w:p>
            <w:pPr>
              <w:jc w:val="right"/>
              <w:spacing w:after="0"/>
              <w:rPr>
                <w:sz w:val="20"/>
                <w:szCs w:val="20"/>
                <w:color w:val="auto"/>
              </w:rPr>
            </w:pPr>
            <w:r>
              <w:rPr>
                <w:rFonts w:ascii="Arial" w:cs="Arial" w:eastAsia="Arial" w:hAnsi="Arial"/>
                <w:sz w:val="18"/>
                <w:szCs w:val="18"/>
                <w:color w:val="auto"/>
              </w:rPr>
              <w:t>56</w:t>
            </w:r>
          </w:p>
        </w:tc>
      </w:tr>
      <w:tr>
        <w:trPr>
          <w:trHeight w:val="20"/>
        </w:trPr>
        <w:tc>
          <w:tcPr>
            <w:tcW w:w="1000" w:type="dxa"/>
            <w:vAlign w:val="bottom"/>
            <w:tcBorders>
              <w:right w:val="single" w:sz="8" w:color="0000EE"/>
            </w:tcBorders>
            <w:shd w:val="clear" w:color="auto" w:fill="0000EE"/>
          </w:tcPr>
          <w:p>
            <w:pPr>
              <w:spacing w:after="0" w:line="20" w:lineRule="exact"/>
              <w:rPr>
                <w:sz w:val="1"/>
                <w:szCs w:val="1"/>
                <w:color w:val="auto"/>
              </w:rPr>
            </w:pPr>
          </w:p>
        </w:tc>
        <w:tc>
          <w:tcPr>
            <w:tcW w:w="3620" w:type="dxa"/>
            <w:vAlign w:val="bottom"/>
            <w:gridSpan w:val="11"/>
          </w:tcPr>
          <w:p>
            <w:pPr>
              <w:spacing w:after="0" w:line="20" w:lineRule="exact"/>
              <w:rPr>
                <w:sz w:val="1"/>
                <w:szCs w:val="1"/>
                <w:color w:val="auto"/>
              </w:rPr>
            </w:pPr>
          </w:p>
        </w:tc>
        <w:tc>
          <w:tcPr>
            <w:tcW w:w="6140" w:type="dxa"/>
            <w:vAlign w:val="bottom"/>
            <w:gridSpan w:val="8"/>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r>
      <w:tr>
        <w:trPr>
          <w:trHeight w:val="318"/>
        </w:trPr>
        <w:tc>
          <w:tcPr>
            <w:tcW w:w="10760" w:type="dxa"/>
            <w:vAlign w:val="bottom"/>
            <w:gridSpan w:val="20"/>
          </w:tcPr>
          <w:p>
            <w:pPr>
              <w:spacing w:after="0"/>
              <w:rPr>
                <w:rFonts w:ascii="Arial" w:cs="Arial" w:eastAsia="Arial" w:hAnsi="Arial"/>
                <w:sz w:val="18"/>
                <w:szCs w:val="18"/>
                <w:color w:val="0000EE"/>
              </w:rPr>
            </w:pPr>
            <w:hyperlink w:anchor="page61">
              <w:r>
                <w:rPr>
                  <w:rFonts w:ascii="Arial" w:cs="Arial" w:eastAsia="Arial" w:hAnsi="Arial"/>
                  <w:sz w:val="18"/>
                  <w:szCs w:val="18"/>
                  <w:color w:val="0000EE"/>
                </w:rPr>
                <w:t>INDEX TO FINANCIAL STATEMENTS AND SCHEDULES</w:t>
              </w:r>
            </w:hyperlink>
          </w:p>
        </w:tc>
        <w:tc>
          <w:tcPr>
            <w:tcW w:w="680" w:type="dxa"/>
            <w:vAlign w:val="bottom"/>
          </w:tcPr>
          <w:p>
            <w:pPr>
              <w:jc w:val="right"/>
              <w:spacing w:after="0"/>
              <w:rPr>
                <w:sz w:val="20"/>
                <w:szCs w:val="20"/>
                <w:color w:val="auto"/>
              </w:rPr>
            </w:pPr>
            <w:r>
              <w:rPr>
                <w:rFonts w:ascii="Arial" w:cs="Arial" w:eastAsia="Arial" w:hAnsi="Arial"/>
                <w:sz w:val="18"/>
                <w:szCs w:val="18"/>
                <w:color w:val="auto"/>
              </w:rPr>
              <w:t>F-1</w:t>
            </w:r>
          </w:p>
        </w:tc>
      </w:tr>
      <w:tr>
        <w:trPr>
          <w:trHeight w:val="568"/>
        </w:trPr>
        <w:tc>
          <w:tcPr>
            <w:tcW w:w="1000" w:type="dxa"/>
            <w:vAlign w:val="bottom"/>
            <w:tcBorders>
              <w:top w:val="single" w:sz="8" w:color="0000EE"/>
              <w:bottom w:val="single" w:sz="8" w:color="9A9A9A"/>
            </w:tcBorders>
          </w:tcPr>
          <w:p>
            <w:pPr>
              <w:spacing w:after="0"/>
              <w:rPr>
                <w:sz w:val="24"/>
                <w:szCs w:val="24"/>
                <w:color w:val="auto"/>
              </w:rPr>
            </w:pPr>
          </w:p>
        </w:tc>
        <w:tc>
          <w:tcPr>
            <w:tcW w:w="640" w:type="dxa"/>
            <w:vAlign w:val="bottom"/>
            <w:tcBorders>
              <w:top w:val="single" w:sz="8" w:color="0000EE"/>
              <w:bottom w:val="single" w:sz="8" w:color="9A9A9A"/>
            </w:tcBorders>
          </w:tcPr>
          <w:p>
            <w:pPr>
              <w:spacing w:after="0"/>
              <w:rPr>
                <w:sz w:val="24"/>
                <w:szCs w:val="24"/>
                <w:color w:val="auto"/>
              </w:rPr>
            </w:pPr>
          </w:p>
        </w:tc>
        <w:tc>
          <w:tcPr>
            <w:tcW w:w="160" w:type="dxa"/>
            <w:vAlign w:val="bottom"/>
            <w:tcBorders>
              <w:top w:val="single" w:sz="8" w:color="0000EE"/>
              <w:bottom w:val="single" w:sz="8" w:color="9A9A9A"/>
            </w:tcBorders>
          </w:tcPr>
          <w:p>
            <w:pPr>
              <w:spacing w:after="0"/>
              <w:rPr>
                <w:sz w:val="24"/>
                <w:szCs w:val="24"/>
                <w:color w:val="auto"/>
              </w:rPr>
            </w:pPr>
          </w:p>
        </w:tc>
        <w:tc>
          <w:tcPr>
            <w:tcW w:w="200" w:type="dxa"/>
            <w:vAlign w:val="bottom"/>
            <w:tcBorders>
              <w:top w:val="single" w:sz="8" w:color="0000EE"/>
              <w:bottom w:val="single" w:sz="8" w:color="9A9A9A"/>
            </w:tcBorders>
          </w:tcPr>
          <w:p>
            <w:pPr>
              <w:spacing w:after="0"/>
              <w:rPr>
                <w:sz w:val="24"/>
                <w:szCs w:val="24"/>
                <w:color w:val="auto"/>
              </w:rPr>
            </w:pPr>
          </w:p>
        </w:tc>
        <w:tc>
          <w:tcPr>
            <w:tcW w:w="460" w:type="dxa"/>
            <w:vAlign w:val="bottom"/>
            <w:tcBorders>
              <w:top w:val="single" w:sz="8" w:color="0000EE"/>
              <w:bottom w:val="single" w:sz="8" w:color="9A9A9A"/>
            </w:tcBorders>
          </w:tcPr>
          <w:p>
            <w:pPr>
              <w:spacing w:after="0"/>
              <w:rPr>
                <w:sz w:val="24"/>
                <w:szCs w:val="24"/>
                <w:color w:val="auto"/>
              </w:rPr>
            </w:pPr>
          </w:p>
        </w:tc>
        <w:tc>
          <w:tcPr>
            <w:tcW w:w="420" w:type="dxa"/>
            <w:vAlign w:val="bottom"/>
            <w:tcBorders>
              <w:top w:val="single" w:sz="8" w:color="0000EE"/>
              <w:bottom w:val="single" w:sz="8" w:color="9A9A9A"/>
            </w:tcBorders>
          </w:tcPr>
          <w:p>
            <w:pPr>
              <w:spacing w:after="0"/>
              <w:rPr>
                <w:sz w:val="24"/>
                <w:szCs w:val="24"/>
                <w:color w:val="auto"/>
              </w:rPr>
            </w:pPr>
          </w:p>
        </w:tc>
        <w:tc>
          <w:tcPr>
            <w:tcW w:w="60" w:type="dxa"/>
            <w:vAlign w:val="bottom"/>
            <w:tcBorders>
              <w:top w:val="single" w:sz="8" w:color="0000EE"/>
              <w:bottom w:val="single" w:sz="8" w:color="9A9A9A"/>
            </w:tcBorders>
          </w:tcPr>
          <w:p>
            <w:pPr>
              <w:spacing w:after="0"/>
              <w:rPr>
                <w:sz w:val="24"/>
                <w:szCs w:val="24"/>
                <w:color w:val="auto"/>
              </w:rPr>
            </w:pPr>
          </w:p>
        </w:tc>
        <w:tc>
          <w:tcPr>
            <w:tcW w:w="60" w:type="dxa"/>
            <w:vAlign w:val="bottom"/>
            <w:tcBorders>
              <w:top w:val="single" w:sz="8" w:color="0000EE"/>
              <w:bottom w:val="single" w:sz="8" w:color="9A9A9A"/>
            </w:tcBorders>
          </w:tcPr>
          <w:p>
            <w:pPr>
              <w:spacing w:after="0"/>
              <w:rPr>
                <w:sz w:val="24"/>
                <w:szCs w:val="24"/>
                <w:color w:val="auto"/>
              </w:rPr>
            </w:pPr>
          </w:p>
        </w:tc>
        <w:tc>
          <w:tcPr>
            <w:tcW w:w="200" w:type="dxa"/>
            <w:vAlign w:val="bottom"/>
            <w:tcBorders>
              <w:top w:val="single" w:sz="8" w:color="0000EE"/>
              <w:bottom w:val="single" w:sz="8" w:color="9A9A9A"/>
            </w:tcBorders>
          </w:tcPr>
          <w:p>
            <w:pPr>
              <w:spacing w:after="0"/>
              <w:rPr>
                <w:sz w:val="24"/>
                <w:szCs w:val="24"/>
                <w:color w:val="auto"/>
              </w:rPr>
            </w:pPr>
          </w:p>
        </w:tc>
        <w:tc>
          <w:tcPr>
            <w:tcW w:w="900" w:type="dxa"/>
            <w:vAlign w:val="bottom"/>
            <w:tcBorders>
              <w:top w:val="single" w:sz="8" w:color="0000EE"/>
              <w:bottom w:val="single" w:sz="8" w:color="9A9A9A"/>
            </w:tcBorders>
          </w:tcPr>
          <w:p>
            <w:pPr>
              <w:spacing w:after="0"/>
              <w:rPr>
                <w:sz w:val="24"/>
                <w:szCs w:val="24"/>
                <w:color w:val="auto"/>
              </w:rPr>
            </w:pPr>
          </w:p>
        </w:tc>
        <w:tc>
          <w:tcPr>
            <w:tcW w:w="360" w:type="dxa"/>
            <w:vAlign w:val="bottom"/>
            <w:tcBorders>
              <w:top w:val="single" w:sz="8" w:color="0000EE"/>
              <w:bottom w:val="single" w:sz="8" w:color="9A9A9A"/>
            </w:tcBorders>
          </w:tcPr>
          <w:p>
            <w:pPr>
              <w:spacing w:after="0"/>
              <w:rPr>
                <w:sz w:val="24"/>
                <w:szCs w:val="24"/>
                <w:color w:val="auto"/>
              </w:rPr>
            </w:pPr>
          </w:p>
        </w:tc>
        <w:tc>
          <w:tcPr>
            <w:tcW w:w="160" w:type="dxa"/>
            <w:vAlign w:val="bottom"/>
            <w:tcBorders>
              <w:top w:val="single" w:sz="8" w:color="0000EE"/>
              <w:bottom w:val="single" w:sz="8" w:color="9A9A9A"/>
            </w:tcBorders>
          </w:tcPr>
          <w:p>
            <w:pPr>
              <w:spacing w:after="0"/>
              <w:rPr>
                <w:sz w:val="24"/>
                <w:szCs w:val="24"/>
                <w:color w:val="auto"/>
              </w:rPr>
            </w:pPr>
          </w:p>
        </w:tc>
        <w:tc>
          <w:tcPr>
            <w:tcW w:w="98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880" w:type="dxa"/>
            <w:vAlign w:val="bottom"/>
            <w:tcBorders>
              <w:bottom w:val="single" w:sz="8" w:color="9A9A9A"/>
            </w:tcBorders>
          </w:tcPr>
          <w:p>
            <w:pPr>
              <w:spacing w:after="0"/>
              <w:rPr>
                <w:sz w:val="24"/>
                <w:szCs w:val="24"/>
                <w:color w:val="auto"/>
              </w:rPr>
            </w:pPr>
          </w:p>
        </w:tc>
        <w:tc>
          <w:tcPr>
            <w:tcW w:w="128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340" w:type="dxa"/>
            <w:vAlign w:val="bottom"/>
            <w:tcBorders>
              <w:bottom w:val="single" w:sz="8" w:color="9A9A9A"/>
            </w:tcBorders>
          </w:tcPr>
          <w:p>
            <w:pPr>
              <w:spacing w:after="0"/>
              <w:rPr>
                <w:sz w:val="24"/>
                <w:szCs w:val="24"/>
                <w:color w:val="auto"/>
              </w:rPr>
            </w:pPr>
          </w:p>
        </w:tc>
        <w:tc>
          <w:tcPr>
            <w:tcW w:w="1900" w:type="dxa"/>
            <w:vAlign w:val="bottom"/>
            <w:tcBorders>
              <w:bottom w:val="single" w:sz="8" w:color="9A9A9A"/>
            </w:tcBorders>
          </w:tcPr>
          <w:p>
            <w:pPr>
              <w:spacing w:after="0"/>
              <w:rPr>
                <w:sz w:val="24"/>
                <w:szCs w:val="24"/>
                <w:color w:val="auto"/>
              </w:rPr>
            </w:pPr>
          </w:p>
        </w:tc>
        <w:tc>
          <w:tcPr>
            <w:tcW w:w="420" w:type="dxa"/>
            <w:vAlign w:val="bottom"/>
            <w:tcBorders>
              <w:bottom w:val="single" w:sz="8" w:color="9A9A9A"/>
            </w:tcBorders>
          </w:tcPr>
          <w:p>
            <w:pPr>
              <w:spacing w:after="0"/>
              <w:rPr>
                <w:sz w:val="24"/>
                <w:szCs w:val="24"/>
                <w:color w:val="auto"/>
              </w:rPr>
            </w:pPr>
          </w:p>
        </w:tc>
        <w:tc>
          <w:tcPr>
            <w:tcW w:w="6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364" w:right="219" w:bottom="1440" w:gutter="0" w:footer="0" w:header="0"/>
        </w:sectPr>
      </w:pPr>
    </w:p>
    <w:bookmarkStart w:id="2" w:name="page3"/>
    <w:bookmarkEnd w:id="2"/>
    <w:p>
      <w:pPr>
        <w:jc w:val="center"/>
        <w:ind w:right="-19"/>
        <w:spacing w:after="0"/>
        <w:rPr>
          <w:sz w:val="20"/>
          <w:szCs w:val="20"/>
          <w:color w:val="auto"/>
        </w:rPr>
      </w:pPr>
      <w:r>
        <w:rPr>
          <w:rFonts w:ascii="Arial" w:cs="Arial" w:eastAsia="Arial" w:hAnsi="Arial"/>
          <w:sz w:val="18"/>
          <w:szCs w:val="18"/>
          <w:b w:val="1"/>
          <w:bCs w:val="1"/>
          <w:color w:val="auto"/>
        </w:rPr>
        <w:t>FORWARD-LOOKING STATEMENTS</w:t>
      </w:r>
    </w:p>
    <w:p>
      <w:pPr>
        <w:spacing w:after="0" w:line="229" w:lineRule="exact"/>
        <w:rPr>
          <w:sz w:val="20"/>
          <w:szCs w:val="20"/>
          <w:color w:val="auto"/>
        </w:rPr>
      </w:pPr>
    </w:p>
    <w:p>
      <w:pPr>
        <w:ind w:right="20" w:firstLine="518"/>
        <w:spacing w:after="0" w:line="255" w:lineRule="auto"/>
        <w:rPr>
          <w:sz w:val="20"/>
          <w:szCs w:val="20"/>
          <w:color w:val="auto"/>
        </w:rPr>
      </w:pPr>
      <w:r>
        <w:rPr>
          <w:rFonts w:ascii="Arial" w:cs="Arial" w:eastAsia="Arial" w:hAnsi="Arial"/>
          <w:sz w:val="18"/>
          <w:szCs w:val="18"/>
          <w:i w:val="1"/>
          <w:iCs w:val="1"/>
          <w:color w:val="auto"/>
        </w:rPr>
        <w:t>This Annual Report on Form 10-K contains certain forward-looking statements within the meaning of Section 27A of the Securities Act of 1933 and Section 21E of the Securities Exchange Act of 1934, and we intend that such forward-looking statements be subject to the safe harbors created thereby. For this purpose, any statements contained in this Annual Report on Form 10-K except for historical information may be deemed to be forward-looking statements. Without limiting the generality of the foregoing, words such as “may,” “will,” “expect,” “believe,” “anticipate,” “intend,” “could,” “estimate,” or “continue” or the negative or other variations thereof or comparable terminology are intended to identify forward-looking statements. In addition, any statements that refer to projections of our future financial performance, trends in our businesses, or other characterizations of future events or circumstances are forward-looking statements.</w:t>
      </w:r>
    </w:p>
    <w:p>
      <w:pPr>
        <w:spacing w:after="0" w:line="189" w:lineRule="exact"/>
        <w:rPr>
          <w:sz w:val="20"/>
          <w:szCs w:val="20"/>
          <w:color w:val="auto"/>
        </w:rPr>
      </w:pPr>
    </w:p>
    <w:p>
      <w:pPr>
        <w:ind w:firstLine="518"/>
        <w:spacing w:after="0" w:line="270" w:lineRule="auto"/>
        <w:rPr>
          <w:sz w:val="20"/>
          <w:szCs w:val="20"/>
          <w:color w:val="auto"/>
        </w:rPr>
      </w:pPr>
      <w:r>
        <w:rPr>
          <w:rFonts w:ascii="Arial" w:cs="Arial" w:eastAsia="Arial" w:hAnsi="Arial"/>
          <w:sz w:val="17"/>
          <w:szCs w:val="17"/>
          <w:i w:val="1"/>
          <w:iCs w:val="1"/>
          <w:color w:val="auto"/>
        </w:rPr>
        <w:t>The forward-looking statements included herein are based on current expectations of our management based on available information and involve a number of risks and uncertainties, all of which are difficult or impossible to predict accurately and many of which are beyond our control. As such, our actual results may differ significantly from those expressed in any forward-looking statements. Factors that may cause or contribute to such differences include, but are not limited to, those discussed in more detail in Item 1 (Business) and Item 1A (Risk Factors) of Part I and Item 7 (Management’s Discussion and Analysis of Financial Condition and Results of Operations) of Part II of this Annual Report on Form 10-K. Readers should carefully review these risks, as well as the additional risks described in other documents we file from time to time with the Securities and Exchange Commission. In light of the significant risks and uncertainties inherent in the forward-looking information included herein, the inclusion of such information should not be regarded as a representation by us or any other person that such results will be achieved, and readers are cautioned not to place undue reliance on such forward-looking information. Except as may be required by law, we disclaim any intent to revise the forward-looking statements contained herein to reflect events or circumstances after the date hereof or to reflect the occurrence of unanticipated events.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452120</wp:posOffset>
            </wp:positionV>
            <wp:extent cx="7289165"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553" w:right="259" w:bottom="1440" w:gutter="0" w:footer="0" w:header="0"/>
        </w:sectPr>
      </w:pPr>
    </w:p>
    <w:bookmarkStart w:id="3" w:name="page4"/>
    <w:bookmarkEnd w:id="3"/>
    <w:p>
      <w:pPr>
        <w:jc w:val="center"/>
        <w:ind w:right="-19"/>
        <w:spacing w:after="0"/>
        <w:rPr>
          <w:sz w:val="20"/>
          <w:szCs w:val="20"/>
          <w:color w:val="auto"/>
        </w:rPr>
      </w:pPr>
      <w:r>
        <w:rPr>
          <w:rFonts w:ascii="Arial" w:cs="Arial" w:eastAsia="Arial" w:hAnsi="Arial"/>
          <w:sz w:val="18"/>
          <w:szCs w:val="18"/>
          <w:b w:val="1"/>
          <w:bCs w:val="1"/>
          <w:color w:val="auto"/>
        </w:rPr>
        <w:t>PART I</w:t>
      </w:r>
    </w:p>
    <w:p>
      <w:pPr>
        <w:spacing w:after="0" w:line="229" w:lineRule="exact"/>
        <w:rPr>
          <w:sz w:val="20"/>
          <w:szCs w:val="20"/>
          <w:color w:val="auto"/>
        </w:rPr>
      </w:pPr>
    </w:p>
    <w:p>
      <w:pPr>
        <w:ind w:right="120" w:firstLine="518"/>
        <w:spacing w:after="0" w:line="297" w:lineRule="auto"/>
        <w:rPr>
          <w:sz w:val="20"/>
          <w:szCs w:val="20"/>
          <w:color w:val="auto"/>
        </w:rPr>
      </w:pPr>
      <w:r>
        <w:rPr>
          <w:rFonts w:ascii="Arial" w:cs="Arial" w:eastAsia="Arial" w:hAnsi="Arial"/>
          <w:sz w:val="16"/>
          <w:szCs w:val="16"/>
          <w:i w:val="1"/>
          <w:iCs w:val="1"/>
          <w:color w:val="auto"/>
        </w:rPr>
        <w:t>Unless otherwise noted, (1) the term “Arrowhead” refers to Arrowhead Pharmaceuticals, Inc., a Delaware corporation and its Subsidiaries, (2) the terms “Company,” “we,” “us,” and “our,” refer to the ongoing business operations of Arrowhead and its Subsidiaries, whether conducted through Arrowhead or a subsidiary of Arrowhead, (3) the term “Subsidiaries” refers collectively to Arrowhead Madison Inc. (“Arrowhead Madison”), Arrowhead Australia Pty Ltd (“Arrowhead Australia”) and Ablaris Therapeutics, Inc. (“Ablaris”), (4) the term “Common Stock” refers to Arrowhead’s Common Stock, (5) the term “Preferred Stock” refers to Arrowhead’s Preferred Stock and (6) the term “Stockholder(s)” refers to the holders of Arrowhead Common Stock.</w:t>
      </w:r>
    </w:p>
    <w:p>
      <w:pPr>
        <w:spacing w:after="0" w:line="154"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6"/>
          <w:szCs w:val="16"/>
          <w:b w:val="1"/>
          <w:bCs w:val="1"/>
          <w:color w:val="auto"/>
        </w:rPr>
        <w:t>BUSINESS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Description of Business</w:t>
      </w:r>
    </w:p>
    <w:p>
      <w:pPr>
        <w:spacing w:after="0" w:line="117" w:lineRule="exact"/>
        <w:rPr>
          <w:sz w:val="20"/>
          <w:szCs w:val="20"/>
          <w:color w:val="auto"/>
        </w:rPr>
      </w:pPr>
    </w:p>
    <w:p>
      <w:pPr>
        <w:ind w:firstLine="305"/>
        <w:spacing w:after="0" w:line="276" w:lineRule="auto"/>
        <w:rPr>
          <w:sz w:val="20"/>
          <w:szCs w:val="20"/>
          <w:color w:val="auto"/>
        </w:rPr>
      </w:pPr>
      <w:r>
        <w:rPr>
          <w:rFonts w:ascii="Arial" w:cs="Arial" w:eastAsia="Arial" w:hAnsi="Arial"/>
          <w:sz w:val="17"/>
          <w:szCs w:val="17"/>
          <w:color w:val="auto"/>
        </w:rPr>
        <w:t>Arrowhead develops medicines that treat intractable diseases by silencing the genes that cause them. Using a broad portfolio of RNA chemistries and efficient modes of delivery, Arrowhead therapies trigger the RNA interference mechanism to induce rapid, deep and durable knockdown of target genes. RNA interference, or RNAi, is a mechanism present in living cells that inhibits the expression of a specific gene, thereby affecting the production of a specific protein. Deemed to be one of the most important recent discoveries in life science with the potential to transform medicine, the discoverers of RNAi were awarded a Nobel Prize in 2006 for their work. Arrowhead’s RNAi-based therapeutics leverage this natural pathway of gene silencing.</w:t>
      </w:r>
    </w:p>
    <w:p>
      <w:pPr>
        <w:spacing w:after="0" w:line="64" w:lineRule="exact"/>
        <w:rPr>
          <w:sz w:val="20"/>
          <w:szCs w:val="20"/>
          <w:color w:val="auto"/>
        </w:rPr>
      </w:pPr>
    </w:p>
    <w:p>
      <w:pPr>
        <w:ind w:right="60" w:firstLine="305"/>
        <w:spacing w:after="0" w:line="255" w:lineRule="auto"/>
        <w:rPr>
          <w:sz w:val="20"/>
          <w:szCs w:val="20"/>
          <w:color w:val="auto"/>
        </w:rPr>
      </w:pPr>
      <w:r>
        <w:rPr>
          <w:rFonts w:ascii="Arial" w:cs="Arial" w:eastAsia="Arial" w:hAnsi="Arial"/>
          <w:sz w:val="18"/>
          <w:szCs w:val="18"/>
          <w:color w:val="auto"/>
        </w:rPr>
        <w:t>In fiscal 2017, Arrowhead refocused its resources on therapeutics that exclusively utilize the company’s Targeted RNAi Molecule (TRiM</w:t>
      </w:r>
      <w:r>
        <w:rPr>
          <w:rFonts w:ascii="Arial" w:cs="Arial" w:eastAsia="Arial" w:hAnsi="Arial"/>
          <w:sz w:val="15"/>
          <w:szCs w:val="15"/>
          <w:color w:val="auto"/>
        </w:rPr>
        <w:t>TM</w:t>
      </w:r>
      <w:r>
        <w:rPr>
          <w:rFonts w:ascii="Arial" w:cs="Arial" w:eastAsia="Arial" w:hAnsi="Arial"/>
          <w:sz w:val="18"/>
          <w:szCs w:val="18"/>
          <w:color w:val="auto"/>
        </w:rPr>
        <w:t>) platform technology. Therapeutics built on the TRiM</w:t>
      </w:r>
      <w:r>
        <w:rPr>
          <w:rFonts w:ascii="Arial" w:cs="Arial" w:eastAsia="Arial" w:hAnsi="Arial"/>
          <w:sz w:val="15"/>
          <w:szCs w:val="15"/>
          <w:color w:val="auto"/>
        </w:rPr>
        <w:t>TM</w:t>
      </w:r>
      <w:r>
        <w:rPr>
          <w:rFonts w:ascii="Arial" w:cs="Arial" w:eastAsia="Arial" w:hAnsi="Arial"/>
          <w:sz w:val="18"/>
          <w:szCs w:val="18"/>
          <w:color w:val="auto"/>
        </w:rPr>
        <w:t xml:space="preserve"> platform have demonstrated high levels of pharmacologic activity in multiple animal models spanning several therapeutic areas. TRiM</w:t>
      </w:r>
      <w:r>
        <w:rPr>
          <w:rFonts w:ascii="Arial" w:cs="Arial" w:eastAsia="Arial" w:hAnsi="Arial"/>
          <w:sz w:val="15"/>
          <w:szCs w:val="15"/>
          <w:color w:val="auto"/>
        </w:rPr>
        <w:t>TM</w:t>
      </w:r>
      <w:r>
        <w:rPr>
          <w:rFonts w:ascii="Arial" w:cs="Arial" w:eastAsia="Arial" w:hAnsi="Arial"/>
          <w:sz w:val="18"/>
          <w:szCs w:val="18"/>
          <w:color w:val="auto"/>
        </w:rPr>
        <w:t xml:space="preserve"> enabled therapeutics offer several potential advantages over prior generation and competing technologies, including: simplified manufacturing and reduced costs; multiple routes of administration including subcutaneous injection and inhaled administration; ability to target multiple tissue types including liver, lung, and tumors; and the potential for improved safety and reduced risk of intracellular buildup, because there are less metabolites from smaller, simpler molecules.</w:t>
      </w:r>
    </w:p>
    <w:p>
      <w:pPr>
        <w:spacing w:after="0" w:line="112" w:lineRule="exact"/>
        <w:rPr>
          <w:sz w:val="20"/>
          <w:szCs w:val="20"/>
          <w:color w:val="auto"/>
        </w:rPr>
      </w:pPr>
    </w:p>
    <w:p>
      <w:pPr>
        <w:ind w:right="100" w:firstLine="305"/>
        <w:spacing w:after="0" w:line="308" w:lineRule="auto"/>
        <w:rPr>
          <w:sz w:val="20"/>
          <w:szCs w:val="20"/>
          <w:color w:val="auto"/>
        </w:rPr>
      </w:pPr>
      <w:r>
        <w:rPr>
          <w:rFonts w:ascii="Arial" w:cs="Arial" w:eastAsia="Arial" w:hAnsi="Arial"/>
          <w:sz w:val="16"/>
          <w:szCs w:val="16"/>
          <w:color w:val="auto"/>
        </w:rPr>
        <w:t>As part of the refocusing of resources, Arrowhead announced in November 2016 that it would be discontinuing all clinical programs, that utilized the intravenously administered dynamic polyconjugate (DPC), or EX1, delivery vehicle. The decision to discontinue development of EX1-containing programs was based primarily on two factors. First, during discussions with regulatory agencies and outside experts, it became apparent that there would be substantial delays in all clinical programs that utilize EX1, while the Company further explored the cause of deaths in a non-clinical toxicology study in non-human primates exploring doses of EX1 higher than those planned to be used in humans. Second, the Company had made substantial advances in RNA chemistry and targeting, resulting in large potency gains for development programs utilizing the TRiM</w:t>
      </w:r>
      <w:r>
        <w:rPr>
          <w:rFonts w:ascii="Arial" w:cs="Arial" w:eastAsia="Arial" w:hAnsi="Arial"/>
          <w:sz w:val="13"/>
          <w:szCs w:val="13"/>
          <w:color w:val="auto"/>
        </w:rPr>
        <w:t>TM</w:t>
      </w:r>
      <w:r>
        <w:rPr>
          <w:rFonts w:ascii="Arial" w:cs="Arial" w:eastAsia="Arial" w:hAnsi="Arial"/>
          <w:sz w:val="16"/>
          <w:szCs w:val="16"/>
          <w:color w:val="auto"/>
        </w:rPr>
        <w:t xml:space="preserve"> technology, making EX1 no longer necessary.</w:t>
      </w:r>
    </w:p>
    <w:p>
      <w:pPr>
        <w:spacing w:after="0" w:line="15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4" w:name="page5"/>
    <w:bookmarkEnd w:id="4"/>
    <w:p>
      <w:pPr>
        <w:ind w:left="320"/>
        <w:spacing w:after="0"/>
        <w:rPr>
          <w:sz w:val="20"/>
          <w:szCs w:val="20"/>
          <w:color w:val="auto"/>
        </w:rPr>
      </w:pPr>
      <w:r>
        <w:rPr>
          <w:rFonts w:ascii="Arial" w:cs="Arial" w:eastAsia="Arial" w:hAnsi="Arial"/>
          <w:sz w:val="18"/>
          <w:szCs w:val="18"/>
          <w:b w:val="1"/>
          <w:bCs w:val="1"/>
          <w:i w:val="1"/>
          <w:iCs w:val="1"/>
          <w:color w:val="auto"/>
        </w:rPr>
        <w:t>Pipeline Overview</w:t>
      </w:r>
    </w:p>
    <w:p>
      <w:pPr>
        <w:spacing w:after="0" w:line="117" w:lineRule="exact"/>
        <w:rPr>
          <w:sz w:val="20"/>
          <w:szCs w:val="20"/>
          <w:color w:val="auto"/>
        </w:rPr>
      </w:pPr>
    </w:p>
    <w:p>
      <w:pPr>
        <w:jc w:val="both"/>
        <w:ind w:right="140" w:firstLine="518"/>
        <w:spacing w:after="0" w:line="264" w:lineRule="auto"/>
        <w:rPr>
          <w:sz w:val="20"/>
          <w:szCs w:val="20"/>
          <w:color w:val="auto"/>
        </w:rPr>
      </w:pPr>
      <w:r>
        <w:rPr>
          <w:rFonts w:ascii="Arial" w:cs="Arial" w:eastAsia="Arial" w:hAnsi="Arial"/>
          <w:sz w:val="18"/>
          <w:szCs w:val="18"/>
          <w:color w:val="auto"/>
        </w:rPr>
        <w:t>Arrowhead is focused on developing innovative drugs for diseases with a genetic basis, typically characterized by the overproduction of one or more proteins. The depth and versatility of our RNAi technologies enable us to address conditions in virtually any therapeutic area and pursue disease targets that are not otherwise addressable by small molecules and biologics.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193040</wp:posOffset>
            </wp:positionV>
            <wp:extent cx="5342890" cy="288163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5342890" cy="28816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*Planned CTA filing time points discussed in figure above and in the paragraphs below are based on calendar quarters, not fiscal.</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ARO-AAT</w:t>
      </w:r>
    </w:p>
    <w:p>
      <w:pPr>
        <w:spacing w:after="0" w:line="121" w:lineRule="exact"/>
        <w:rPr>
          <w:sz w:val="20"/>
          <w:szCs w:val="20"/>
          <w:color w:val="auto"/>
        </w:rPr>
      </w:pPr>
    </w:p>
    <w:p>
      <w:pPr>
        <w:ind w:firstLine="518"/>
        <w:spacing w:after="0" w:line="259" w:lineRule="auto"/>
        <w:rPr>
          <w:sz w:val="20"/>
          <w:szCs w:val="20"/>
          <w:color w:val="auto"/>
        </w:rPr>
      </w:pPr>
      <w:r>
        <w:rPr>
          <w:rFonts w:ascii="Arial" w:cs="Arial" w:eastAsia="Arial" w:hAnsi="Arial"/>
          <w:sz w:val="18"/>
          <w:szCs w:val="18"/>
          <w:color w:val="auto"/>
        </w:rPr>
        <w:t>ARO-AAT is an RNAi therapeutic candidate for the treatment of liver disease associated with alpha-1 antitrypsin deficiency. ARO-AAT is designed to knock down the Alpha-1 antitrypsin (AAT) gene transcript and reduce the hepatic production of the mutant AAT protein. ARO-AAT is a next-generation subcutaneously administered compound that follows previous generation AAT compound ARC-AAT. A Clinical Trial Application (CTA) is planned for the first quarter of 2018.</w:t>
      </w:r>
    </w:p>
    <w:p>
      <w:pPr>
        <w:spacing w:after="0" w:line="291" w:lineRule="exact"/>
        <w:rPr>
          <w:sz w:val="20"/>
          <w:szCs w:val="20"/>
          <w:color w:val="auto"/>
        </w:rPr>
      </w:pPr>
    </w:p>
    <w:p>
      <w:pPr>
        <w:ind w:left="520"/>
        <w:spacing w:after="0"/>
        <w:rPr>
          <w:sz w:val="20"/>
          <w:szCs w:val="20"/>
          <w:color w:val="auto"/>
        </w:rPr>
      </w:pPr>
      <w:r>
        <w:rPr>
          <w:rFonts w:ascii="Arial" w:cs="Arial" w:eastAsia="Arial" w:hAnsi="Arial"/>
          <w:sz w:val="18"/>
          <w:szCs w:val="18"/>
          <w:b w:val="1"/>
          <w:bCs w:val="1"/>
          <w:color w:val="auto"/>
        </w:rPr>
        <w:t>Goal of ARO-AAT Treatment</w:t>
      </w:r>
    </w:p>
    <w:p>
      <w:pPr>
        <w:spacing w:after="0" w:line="121" w:lineRule="exact"/>
        <w:rPr>
          <w:sz w:val="20"/>
          <w:szCs w:val="20"/>
          <w:color w:val="auto"/>
        </w:rPr>
      </w:pPr>
    </w:p>
    <w:p>
      <w:pPr>
        <w:ind w:right="80" w:firstLine="518"/>
        <w:spacing w:after="0" w:line="264" w:lineRule="auto"/>
        <w:rPr>
          <w:sz w:val="20"/>
          <w:szCs w:val="20"/>
          <w:color w:val="auto"/>
        </w:rPr>
      </w:pPr>
      <w:r>
        <w:rPr>
          <w:rFonts w:ascii="Arial" w:cs="Arial" w:eastAsia="Arial" w:hAnsi="Arial"/>
          <w:sz w:val="18"/>
          <w:szCs w:val="18"/>
          <w:color w:val="auto"/>
        </w:rPr>
        <w:t>The goal of ARO-AAT treatment is prevention and potential reversal of Z-AAT accumulation-related liver injury and fibrosis. Reduction of inflammatory Z-AAT protein, which has been clearly defined as the cause of progressive liver disease in AATD patients, is important as it is expected to halt the progression of liver disease and allow fibrotic tissue repair.</w:t>
      </w:r>
    </w:p>
    <w:p>
      <w:pPr>
        <w:spacing w:after="0" w:line="285" w:lineRule="exact"/>
        <w:rPr>
          <w:sz w:val="20"/>
          <w:szCs w:val="20"/>
          <w:color w:val="auto"/>
        </w:rPr>
      </w:pPr>
    </w:p>
    <w:p>
      <w:pPr>
        <w:ind w:left="520"/>
        <w:spacing w:after="0"/>
        <w:rPr>
          <w:sz w:val="20"/>
          <w:szCs w:val="20"/>
          <w:color w:val="auto"/>
        </w:rPr>
      </w:pPr>
      <w:r>
        <w:rPr>
          <w:rFonts w:ascii="Arial" w:cs="Arial" w:eastAsia="Arial" w:hAnsi="Arial"/>
          <w:sz w:val="18"/>
          <w:szCs w:val="18"/>
          <w:b w:val="1"/>
          <w:bCs w:val="1"/>
          <w:color w:val="auto"/>
        </w:rPr>
        <w:t>Alpha-1 Antitrypsin Deficiency (AATD)</w:t>
      </w:r>
    </w:p>
    <w:p>
      <w:pPr>
        <w:spacing w:after="0" w:line="121" w:lineRule="exact"/>
        <w:rPr>
          <w:sz w:val="20"/>
          <w:szCs w:val="20"/>
          <w:color w:val="auto"/>
        </w:rPr>
      </w:pPr>
    </w:p>
    <w:p>
      <w:pPr>
        <w:ind w:right="200" w:firstLine="518"/>
        <w:spacing w:after="0" w:line="276" w:lineRule="auto"/>
        <w:rPr>
          <w:sz w:val="20"/>
          <w:szCs w:val="20"/>
          <w:color w:val="auto"/>
        </w:rPr>
      </w:pPr>
      <w:r>
        <w:rPr>
          <w:rFonts w:ascii="Arial" w:cs="Arial" w:eastAsia="Arial" w:hAnsi="Arial"/>
          <w:sz w:val="17"/>
          <w:szCs w:val="17"/>
          <w:color w:val="auto"/>
        </w:rPr>
        <w:t>AATD is a genetic disorder associated with liver disease in children and adults, and pulmonary disease in adults. AAT is a circulating glycoprotein protease inhibitor that is primarily synthesized and secreted by liver hepatocytes. Its physiologic function is the inhibition of neutrophil proteases to protect healthy tissues during inflammation and prevent tissue damage. The most common disease variant, the Z mutant, has a single amino acid substitution that results in improper folding of the protein. The mutant protein cannot be effectively secreted and accumulates in globules in the hepatocytes. This triggers continuous hepatocyte injury, leading to fibrosis, cirrhosis, and increased risk of hepatocellular carcinoma.</w:t>
      </w:r>
    </w:p>
    <w:p>
      <w:pPr>
        <w:spacing w:after="0" w:line="277" w:lineRule="exact"/>
        <w:rPr>
          <w:sz w:val="20"/>
          <w:szCs w:val="20"/>
          <w:color w:val="auto"/>
        </w:rPr>
      </w:pPr>
    </w:p>
    <w:p>
      <w:pPr>
        <w:ind w:left="520"/>
        <w:spacing w:after="0"/>
        <w:rPr>
          <w:sz w:val="20"/>
          <w:szCs w:val="20"/>
          <w:color w:val="auto"/>
        </w:rPr>
      </w:pPr>
      <w:r>
        <w:rPr>
          <w:rFonts w:ascii="Arial" w:cs="Arial" w:eastAsia="Arial" w:hAnsi="Arial"/>
          <w:sz w:val="18"/>
          <w:szCs w:val="18"/>
          <w:b w:val="1"/>
          <w:bCs w:val="1"/>
          <w:color w:val="auto"/>
        </w:rPr>
        <w:t>Current Treatments</w:t>
      </w:r>
    </w:p>
    <w:p>
      <w:pPr>
        <w:spacing w:after="0" w:line="121" w:lineRule="exact"/>
        <w:rPr>
          <w:sz w:val="20"/>
          <w:szCs w:val="20"/>
          <w:color w:val="auto"/>
        </w:rPr>
      </w:pPr>
    </w:p>
    <w:p>
      <w:pPr>
        <w:ind w:right="220" w:firstLine="518"/>
        <w:spacing w:after="0" w:line="277" w:lineRule="auto"/>
        <w:rPr>
          <w:sz w:val="20"/>
          <w:szCs w:val="20"/>
          <w:color w:val="auto"/>
        </w:rPr>
      </w:pPr>
      <w:r>
        <w:rPr>
          <w:rFonts w:ascii="Arial" w:cs="Arial" w:eastAsia="Arial" w:hAnsi="Arial"/>
          <w:sz w:val="18"/>
          <w:szCs w:val="18"/>
          <w:color w:val="auto"/>
        </w:rPr>
        <w:t>Individuals with the homozygous PiZZ genotype have severe deficiency of functional AAT leading to pulmonary disease and hepatocyte injury and liver disease. Lung disease is frequently treated with AAT augmentation therapy. However, augmentation</w:t>
      </w:r>
    </w:p>
    <w:p>
      <w:pPr>
        <w:spacing w:after="0" w:line="17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80"/>
          </w:cols>
          <w:pgMar w:left="240" w:top="233" w:right="279" w:bottom="1440" w:gutter="0" w:footer="0" w:header="0"/>
        </w:sectPr>
      </w:pPr>
    </w:p>
    <w:bookmarkStart w:id="5" w:name="page6"/>
    <w:bookmarkEnd w:id="5"/>
    <w:p>
      <w:pPr>
        <w:ind w:right="320"/>
        <w:spacing w:after="0" w:line="277" w:lineRule="auto"/>
        <w:rPr>
          <w:sz w:val="20"/>
          <w:szCs w:val="20"/>
          <w:color w:val="auto"/>
        </w:rPr>
      </w:pPr>
      <w:r>
        <w:rPr>
          <w:rFonts w:ascii="Arial" w:cs="Arial" w:eastAsia="Arial" w:hAnsi="Arial"/>
          <w:sz w:val="18"/>
          <w:szCs w:val="18"/>
          <w:color w:val="auto"/>
        </w:rPr>
        <w:t>therapy does nothing to treat liver disease, and there is no specific therapy for hepatic manifestations. There is a significant unmet need as liver transplant, with its attendant morbidity and mortality, is currently the only available cure.</w:t>
      </w:r>
    </w:p>
    <w:p>
      <w:pPr>
        <w:spacing w:after="0" w:line="58" w:lineRule="exact"/>
        <w:rPr>
          <w:sz w:val="20"/>
          <w:szCs w:val="20"/>
          <w:color w:val="auto"/>
        </w:rPr>
      </w:pPr>
    </w:p>
    <w:p>
      <w:pPr>
        <w:ind w:left="520"/>
        <w:spacing w:after="0"/>
        <w:rPr>
          <w:sz w:val="20"/>
          <w:szCs w:val="20"/>
          <w:color w:val="auto"/>
        </w:rPr>
      </w:pPr>
      <w:r>
        <w:rPr>
          <w:rFonts w:ascii="Arial" w:cs="Arial" w:eastAsia="Arial" w:hAnsi="Arial"/>
          <w:sz w:val="18"/>
          <w:szCs w:val="18"/>
          <w:b w:val="1"/>
          <w:bCs w:val="1"/>
          <w:color w:val="auto"/>
        </w:rPr>
        <w:t>The Alpha-1 Project</w:t>
      </w:r>
    </w:p>
    <w:p>
      <w:pPr>
        <w:spacing w:after="0" w:line="121" w:lineRule="exact"/>
        <w:rPr>
          <w:sz w:val="20"/>
          <w:szCs w:val="20"/>
          <w:color w:val="auto"/>
        </w:rPr>
      </w:pPr>
    </w:p>
    <w:p>
      <w:pPr>
        <w:ind w:firstLine="518"/>
        <w:spacing w:after="0" w:line="279" w:lineRule="auto"/>
        <w:rPr>
          <w:sz w:val="20"/>
          <w:szCs w:val="20"/>
          <w:color w:val="auto"/>
        </w:rPr>
      </w:pPr>
      <w:r>
        <w:rPr>
          <w:rFonts w:ascii="Arial" w:cs="Arial" w:eastAsia="Arial" w:hAnsi="Arial"/>
          <w:sz w:val="17"/>
          <w:szCs w:val="17"/>
          <w:color w:val="auto"/>
        </w:rPr>
        <w:t>Arrowhead has an agreement with The Alpha-1 Project (TAP), the venture philanthropy subsidiary of the Alpha-1 Foundation. TAP’s mission is to support organizations in pursuit of cures and therapies for lung and liver disease caused by AATD. Under the terms of the agreement, TAP has partially funded development of ARO-AAT. In addition to the funding, TAP will make its scientific advisors available to Arrowhead, assist with patient recruitment for clinical trials with its Alpha-1 Foundation Patient Research Registry, and engage in other collaborative efforts that support development of ARO-AAT.</w:t>
      </w:r>
    </w:p>
    <w:p>
      <w:pPr>
        <w:spacing w:after="0" w:line="2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ARO-HBV</w:t>
      </w:r>
    </w:p>
    <w:p>
      <w:pPr>
        <w:spacing w:after="0" w:line="121" w:lineRule="exact"/>
        <w:rPr>
          <w:sz w:val="20"/>
          <w:szCs w:val="20"/>
          <w:color w:val="auto"/>
        </w:rPr>
      </w:pPr>
    </w:p>
    <w:p>
      <w:pPr>
        <w:ind w:right="20" w:firstLine="518"/>
        <w:spacing w:after="0" w:line="264" w:lineRule="auto"/>
        <w:rPr>
          <w:sz w:val="20"/>
          <w:szCs w:val="20"/>
          <w:color w:val="auto"/>
        </w:rPr>
      </w:pPr>
      <w:r>
        <w:rPr>
          <w:rFonts w:ascii="Arial" w:cs="Arial" w:eastAsia="Arial" w:hAnsi="Arial"/>
          <w:sz w:val="18"/>
          <w:szCs w:val="18"/>
          <w:color w:val="auto"/>
        </w:rPr>
        <w:t>ARO-HBV is an RNAi therapeutic candidate for the treatment of chronic hepatitis B infection with the goal of achieving a functional cure. ARO-HBV is a next-generation subcutaneously administered compound that follows previous generation HBV compounds ARC-520 and ARC-521. A CTA is planned for the second quarter of 2018.</w:t>
      </w:r>
    </w:p>
    <w:p>
      <w:pPr>
        <w:spacing w:after="0" w:line="285" w:lineRule="exact"/>
        <w:rPr>
          <w:sz w:val="20"/>
          <w:szCs w:val="20"/>
          <w:color w:val="auto"/>
        </w:rPr>
      </w:pPr>
    </w:p>
    <w:p>
      <w:pPr>
        <w:ind w:left="520"/>
        <w:spacing w:after="0"/>
        <w:rPr>
          <w:sz w:val="20"/>
          <w:szCs w:val="20"/>
          <w:color w:val="auto"/>
        </w:rPr>
      </w:pPr>
      <w:r>
        <w:rPr>
          <w:rFonts w:ascii="Arial" w:cs="Arial" w:eastAsia="Arial" w:hAnsi="Arial"/>
          <w:sz w:val="18"/>
          <w:szCs w:val="18"/>
          <w:b w:val="1"/>
          <w:bCs w:val="1"/>
          <w:color w:val="auto"/>
        </w:rPr>
        <w:t>Goal of ARO-HBV Treatment</w:t>
      </w:r>
    </w:p>
    <w:p>
      <w:pPr>
        <w:spacing w:after="0" w:line="121" w:lineRule="exact"/>
        <w:rPr>
          <w:sz w:val="20"/>
          <w:szCs w:val="20"/>
          <w:color w:val="auto"/>
        </w:rPr>
      </w:pPr>
    </w:p>
    <w:p>
      <w:pPr>
        <w:ind w:right="60" w:firstLine="518"/>
        <w:spacing w:after="0" w:line="272" w:lineRule="auto"/>
        <w:rPr>
          <w:sz w:val="20"/>
          <w:szCs w:val="20"/>
          <w:color w:val="auto"/>
        </w:rPr>
      </w:pPr>
      <w:r>
        <w:rPr>
          <w:rFonts w:ascii="Arial" w:cs="Arial" w:eastAsia="Arial" w:hAnsi="Arial"/>
          <w:sz w:val="17"/>
          <w:szCs w:val="17"/>
          <w:color w:val="auto"/>
        </w:rPr>
        <w:t>ARO-HBV is designed to silence the production of all HBV gene products with the goal of achieving a functional cure. The siRNAs target multiple components of HBV production including the pregenomic RNA that would be reverse transcribed to generate the viral DNA. The siRNAs intervene at the mRNA level, upstream of where NUCs act, and target the mRNAs that produce HBsAg proteins, the viral polymerase, the core protein that forms the capsid, the pre-genomic RNA, the HBeAg, and the hepatitis B X antigen (HBxAg). NUCs are effective at reducing production of viral particles, but are ineffective at controlling production of HBsAg and other HBV gene products. Arrowhead believes that a reduction in the production of HBsAg and other proteins that NUCs are ineffective at controlling is necessary to effective HBV therapy, because those proteins are thought to be major contributors to repression of the immune system and the persistence of liver disease secondary to HBV infection.</w:t>
      </w:r>
    </w:p>
    <w:p>
      <w:pPr>
        <w:spacing w:after="0" w:line="282" w:lineRule="exact"/>
        <w:rPr>
          <w:sz w:val="20"/>
          <w:szCs w:val="20"/>
          <w:color w:val="auto"/>
        </w:rPr>
      </w:pPr>
    </w:p>
    <w:p>
      <w:pPr>
        <w:ind w:left="520"/>
        <w:spacing w:after="0"/>
        <w:rPr>
          <w:sz w:val="20"/>
          <w:szCs w:val="20"/>
          <w:color w:val="auto"/>
        </w:rPr>
      </w:pPr>
      <w:r>
        <w:rPr>
          <w:rFonts w:ascii="Arial" w:cs="Arial" w:eastAsia="Arial" w:hAnsi="Arial"/>
          <w:sz w:val="18"/>
          <w:szCs w:val="18"/>
          <w:b w:val="1"/>
          <w:bCs w:val="1"/>
          <w:color w:val="auto"/>
        </w:rPr>
        <w:t>Chronic Hepatitis B Virus</w:t>
      </w:r>
    </w:p>
    <w:p>
      <w:pPr>
        <w:spacing w:after="0" w:line="121" w:lineRule="exact"/>
        <w:rPr>
          <w:sz w:val="20"/>
          <w:szCs w:val="20"/>
          <w:color w:val="auto"/>
        </w:rPr>
      </w:pPr>
    </w:p>
    <w:p>
      <w:pPr>
        <w:ind w:right="80" w:firstLine="518"/>
        <w:spacing w:after="0" w:line="272" w:lineRule="auto"/>
        <w:rPr>
          <w:sz w:val="20"/>
          <w:szCs w:val="20"/>
          <w:color w:val="auto"/>
        </w:rPr>
      </w:pPr>
      <w:r>
        <w:rPr>
          <w:rFonts w:ascii="Arial" w:cs="Arial" w:eastAsia="Arial" w:hAnsi="Arial"/>
          <w:sz w:val="17"/>
          <w:szCs w:val="17"/>
          <w:color w:val="auto"/>
        </w:rPr>
        <w:t>According to the World Health Organization, 240 million people worldwide are chronically infected with hepatitis B virus, of which 500,000 to 1,000,000 people die each year from HBV-related liver disease. Chronic HBV infection is defined by the presence of hepatitis B surface antigen (HBsAg) for more than six months. In the immune tolerant phase of chronic infection, which can last for many years, the infected person typically produces very high levels of viral DNA and viral antigens. However, the infection is not cytotoxic and the carrier may have no symptoms of illness. Over time, the ongoing production of viral antigens causes inflammation and necrosis, leading to elevation of liver enzymes such as alanine and aspartate transaminases, hepatitis, fibrosis, and liver cancer (hepatocellular carcinoma, or HCC). If untreated, as many as 25% to 40% of chronic HBV carriers ultimately develop cirrhosis or HCC. Antiviral therapy is generally prescribed when liver enzymes become elevated.</w:t>
      </w:r>
    </w:p>
    <w:p>
      <w:pPr>
        <w:spacing w:after="0" w:line="178" w:lineRule="exact"/>
        <w:rPr>
          <w:sz w:val="20"/>
          <w:szCs w:val="20"/>
          <w:color w:val="auto"/>
        </w:rPr>
      </w:pPr>
    </w:p>
    <w:p>
      <w:pPr>
        <w:ind w:right="40" w:firstLine="518"/>
        <w:spacing w:after="0" w:line="259" w:lineRule="auto"/>
        <w:rPr>
          <w:sz w:val="20"/>
          <w:szCs w:val="20"/>
          <w:color w:val="auto"/>
        </w:rPr>
      </w:pPr>
      <w:r>
        <w:rPr>
          <w:rFonts w:ascii="Arial" w:cs="Arial" w:eastAsia="Arial" w:hAnsi="Arial"/>
          <w:sz w:val="18"/>
          <w:szCs w:val="18"/>
          <w:color w:val="auto"/>
        </w:rPr>
        <w:t>We see the need for a next generation HBV treatment with a finite treatment period and an attractive dosing regimen, and that can be used at earlier stages of disease. We believe a novel therapeutic approach that can effectively treat or provide a functional cure (seroclearance of HBsAg and with or without development of excess patient antibodies against HBsAg) has the potential to take significant market share and may expand the available market to include patients that are currently untreated.</w:t>
      </w:r>
    </w:p>
    <w:p>
      <w:pPr>
        <w:spacing w:after="0" w:line="200" w:lineRule="exact"/>
        <w:rPr>
          <w:sz w:val="20"/>
          <w:szCs w:val="20"/>
          <w:color w:val="auto"/>
        </w:rPr>
      </w:pPr>
    </w:p>
    <w:p>
      <w:pPr>
        <w:spacing w:after="0" w:line="3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233" w:right="239" w:bottom="1440" w:gutter="0" w:footer="0" w:header="0"/>
        </w:sectPr>
      </w:pPr>
    </w:p>
    <w:bookmarkStart w:id="6" w:name="page7"/>
    <w:bookmarkEnd w:id="6"/>
    <w:p>
      <w:pPr>
        <w:ind w:left="520"/>
        <w:spacing w:after="0"/>
        <w:rPr>
          <w:sz w:val="20"/>
          <w:szCs w:val="20"/>
          <w:color w:val="auto"/>
        </w:rPr>
      </w:pPr>
      <w:r>
        <w:rPr>
          <w:rFonts w:ascii="Arial" w:cs="Arial" w:eastAsia="Arial" w:hAnsi="Arial"/>
          <w:sz w:val="18"/>
          <w:szCs w:val="18"/>
          <w:b w:val="1"/>
          <w:bCs w:val="1"/>
          <w:color w:val="auto"/>
        </w:rPr>
        <w:t>Current Treatments</w:t>
      </w:r>
    </w:p>
    <w:p>
      <w:pPr>
        <w:spacing w:after="0" w:line="121" w:lineRule="exact"/>
        <w:rPr>
          <w:sz w:val="20"/>
          <w:szCs w:val="20"/>
          <w:color w:val="auto"/>
        </w:rPr>
      </w:pPr>
    </w:p>
    <w:p>
      <w:pPr>
        <w:ind w:firstLine="518"/>
        <w:spacing w:after="0" w:line="279" w:lineRule="auto"/>
        <w:rPr>
          <w:sz w:val="20"/>
          <w:szCs w:val="20"/>
          <w:color w:val="auto"/>
        </w:rPr>
      </w:pPr>
      <w:r>
        <w:rPr>
          <w:rFonts w:ascii="Arial" w:cs="Arial" w:eastAsia="Arial" w:hAnsi="Arial"/>
          <w:sz w:val="17"/>
          <w:szCs w:val="17"/>
          <w:color w:val="auto"/>
        </w:rPr>
        <w:t>The current standard of care for treatment of chronic HBV infection is a daily oral dose of nucleotide/nucleoside analogs (NUCs) or a regimen of interferon injections for approximately one year. NUCs are generally well tolerated, but patients may need lifetime treatment because viral replication often rebounds upon cessation of treatment. Interferon therapeutics can result in a functional cure in 10-20% of some patient types, but treatment is often associated with significant side effects, including severe flu-like symptoms, marrow suppression, and autoimmune disorders.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615315</wp:posOffset>
            </wp:positionV>
            <wp:extent cx="6062980" cy="2675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062980" cy="2675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spacing w:after="0"/>
        <w:tabs>
          <w:tab w:leader="none" w:pos="5480" w:val="left"/>
        </w:tabs>
        <w:rPr>
          <w:sz w:val="20"/>
          <w:szCs w:val="20"/>
          <w:color w:val="auto"/>
        </w:rPr>
      </w:pPr>
      <w:r>
        <w:rPr>
          <w:rFonts w:ascii="Arial" w:cs="Arial" w:eastAsia="Arial" w:hAnsi="Arial"/>
          <w:sz w:val="16"/>
          <w:szCs w:val="16"/>
          <w:b w:val="1"/>
          <w:bCs w:val="1"/>
          <w:color w:val="4F81BD"/>
        </w:rPr>
        <w:t>Figure 1: Mechanism of action NUCs</w:t>
      </w:r>
      <w:r>
        <w:rPr>
          <w:sz w:val="20"/>
          <w:szCs w:val="20"/>
          <w:color w:val="auto"/>
        </w:rPr>
        <w:tab/>
      </w:r>
      <w:r>
        <w:rPr>
          <w:rFonts w:ascii="Arial" w:cs="Arial" w:eastAsia="Arial" w:hAnsi="Arial"/>
          <w:sz w:val="15"/>
          <w:szCs w:val="15"/>
          <w:b w:val="1"/>
          <w:bCs w:val="1"/>
          <w:color w:val="4F81BD"/>
        </w:rPr>
        <w:t>Figure 2: Mechanism of action ARO-HBV</w:t>
      </w:r>
    </w:p>
    <w:p>
      <w:pPr>
        <w:spacing w:after="0" w:line="33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ARO-APOC3</w:t>
      </w:r>
    </w:p>
    <w:p>
      <w:pPr>
        <w:spacing w:after="0" w:line="121" w:lineRule="exact"/>
        <w:rPr>
          <w:sz w:val="20"/>
          <w:szCs w:val="20"/>
          <w:color w:val="auto"/>
        </w:rPr>
      </w:pPr>
    </w:p>
    <w:p>
      <w:pPr>
        <w:ind w:right="60" w:firstLine="518"/>
        <w:spacing w:after="0" w:line="259" w:lineRule="auto"/>
        <w:rPr>
          <w:sz w:val="20"/>
          <w:szCs w:val="20"/>
          <w:color w:val="auto"/>
        </w:rPr>
      </w:pPr>
      <w:r>
        <w:rPr>
          <w:rFonts w:ascii="Arial" w:cs="Arial" w:eastAsia="Arial" w:hAnsi="Arial"/>
          <w:sz w:val="18"/>
          <w:szCs w:val="18"/>
          <w:color w:val="auto"/>
        </w:rPr>
        <w:t>ARO-APOC3 is designed to reduce production of Apolipoprotein C-III (apoC-III), a component of triglyceride rich lipoproteins (TRLs) including VLDL and chylomicrons and a key regulator of triglyceride metabolism. The company believes that knocking down the hepatic production of apoC-III may result in reduced VLDL synthesis and assembly, enhanced breakdown of TRLs, and better clearance of VLDL and chylomicron remnants. A CTA is planned for the fourth quarter of 2018.</w:t>
      </w:r>
    </w:p>
    <w:p>
      <w:pPr>
        <w:spacing w:after="0" w:line="75" w:lineRule="exact"/>
        <w:rPr>
          <w:sz w:val="20"/>
          <w:szCs w:val="20"/>
          <w:color w:val="auto"/>
        </w:rPr>
      </w:pPr>
    </w:p>
    <w:p>
      <w:pPr>
        <w:ind w:left="520"/>
        <w:spacing w:after="0"/>
        <w:rPr>
          <w:sz w:val="20"/>
          <w:szCs w:val="20"/>
          <w:color w:val="auto"/>
        </w:rPr>
      </w:pPr>
      <w:r>
        <w:rPr>
          <w:rFonts w:ascii="Arial" w:cs="Arial" w:eastAsia="Arial" w:hAnsi="Arial"/>
          <w:sz w:val="18"/>
          <w:szCs w:val="18"/>
          <w:b w:val="1"/>
          <w:bCs w:val="1"/>
          <w:color w:val="auto"/>
        </w:rPr>
        <w:t>Hypertriglyceridemia</w:t>
      </w:r>
    </w:p>
    <w:p>
      <w:pPr>
        <w:spacing w:after="0" w:line="121" w:lineRule="exact"/>
        <w:rPr>
          <w:sz w:val="20"/>
          <w:szCs w:val="20"/>
          <w:color w:val="auto"/>
        </w:rPr>
      </w:pPr>
    </w:p>
    <w:p>
      <w:pPr>
        <w:ind w:right="420" w:firstLine="518"/>
        <w:spacing w:after="0" w:line="308" w:lineRule="auto"/>
        <w:rPr>
          <w:sz w:val="20"/>
          <w:szCs w:val="20"/>
          <w:color w:val="auto"/>
        </w:rPr>
      </w:pPr>
      <w:r>
        <w:rPr>
          <w:rFonts w:ascii="Arial" w:cs="Arial" w:eastAsia="Arial" w:hAnsi="Arial"/>
          <w:sz w:val="17"/>
          <w:szCs w:val="17"/>
          <w:color w:val="auto"/>
        </w:rPr>
        <w:t>Elevated triglyceride levels are an independent risk factor for cardiovascular disease. Severely elevated triglycerides (often over 2,000 mg/dL) in patients with familial chylomicronemia syndrome (FCS), a rare genetic disorder, can result in potentially fatal acute pancreatitis.</w:t>
      </w:r>
    </w:p>
    <w:p>
      <w:pPr>
        <w:spacing w:after="0" w:line="3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ARO-ANG3</w:t>
      </w:r>
    </w:p>
    <w:p>
      <w:pPr>
        <w:spacing w:after="0" w:line="121" w:lineRule="exact"/>
        <w:rPr>
          <w:sz w:val="20"/>
          <w:szCs w:val="20"/>
          <w:color w:val="auto"/>
        </w:rPr>
      </w:pPr>
    </w:p>
    <w:p>
      <w:pPr>
        <w:ind w:right="300" w:firstLine="518"/>
        <w:spacing w:after="0" w:line="264" w:lineRule="auto"/>
        <w:rPr>
          <w:sz w:val="20"/>
          <w:szCs w:val="20"/>
          <w:color w:val="auto"/>
        </w:rPr>
      </w:pPr>
      <w:r>
        <w:rPr>
          <w:rFonts w:ascii="Arial" w:cs="Arial" w:eastAsia="Arial" w:hAnsi="Arial"/>
          <w:sz w:val="18"/>
          <w:szCs w:val="18"/>
          <w:color w:val="auto"/>
        </w:rPr>
        <w:t>ARO-ANG3 is designed to reduce production of angiopoietin-like protein 3 (ANGPTL3), a liver synthesized inhibitor of lipoprotein lipase and endothelial lipase. ANGPTL3 inhibition has been shown to lower serum LDL, serum and liver triglyceride and has genetic validation as a novel target for cardiovascular disease. A CTA is planned for the fourth quarter of 2018.</w:t>
      </w:r>
    </w:p>
    <w:p>
      <w:pPr>
        <w:spacing w:after="0" w:line="69" w:lineRule="exact"/>
        <w:rPr>
          <w:sz w:val="20"/>
          <w:szCs w:val="20"/>
          <w:color w:val="auto"/>
        </w:rPr>
      </w:pPr>
    </w:p>
    <w:p>
      <w:pPr>
        <w:ind w:left="520"/>
        <w:spacing w:after="0"/>
        <w:rPr>
          <w:sz w:val="20"/>
          <w:szCs w:val="20"/>
          <w:color w:val="auto"/>
        </w:rPr>
      </w:pPr>
      <w:r>
        <w:rPr>
          <w:rFonts w:ascii="Arial" w:cs="Arial" w:eastAsia="Arial" w:hAnsi="Arial"/>
          <w:sz w:val="18"/>
          <w:szCs w:val="18"/>
          <w:b w:val="1"/>
          <w:bCs w:val="1"/>
          <w:color w:val="auto"/>
        </w:rPr>
        <w:t>Hyperlipidemia and Hypertriglyceridemia</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Hyperlipidemia and hypertriglyceridemia are risk factors for atherosclerotic coronary heart disease and cardiovascular events.</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ARO-LUNG1</w:t>
      </w:r>
    </w:p>
    <w:p>
      <w:pPr>
        <w:spacing w:after="0" w:line="22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80"/>
          </w:cols>
          <w:pgMar w:left="240" w:top="445" w:right="279" w:bottom="1440" w:gutter="0" w:footer="0" w:header="0"/>
        </w:sectPr>
      </w:pPr>
    </w:p>
    <w:bookmarkStart w:id="7" w:name="page8"/>
    <w:bookmarkEnd w:id="7"/>
    <w:p>
      <w:pPr>
        <w:ind w:right="580" w:firstLine="518"/>
        <w:spacing w:after="0" w:line="277" w:lineRule="auto"/>
        <w:rPr>
          <w:sz w:val="20"/>
          <w:szCs w:val="20"/>
          <w:color w:val="auto"/>
        </w:rPr>
      </w:pPr>
      <w:r>
        <w:rPr>
          <w:rFonts w:ascii="Arial" w:cs="Arial" w:eastAsia="Arial" w:hAnsi="Arial"/>
          <w:sz w:val="18"/>
          <w:szCs w:val="18"/>
          <w:color w:val="auto"/>
        </w:rPr>
        <w:t>ARO-LUNG1 is Arrowhead’s first therapeutic candidate to utilize the TRiM</w:t>
      </w:r>
      <w:r>
        <w:rPr>
          <w:rFonts w:ascii="Arial" w:cs="Arial" w:eastAsia="Arial" w:hAnsi="Arial"/>
          <w:sz w:val="15"/>
          <w:szCs w:val="15"/>
          <w:color w:val="auto"/>
        </w:rPr>
        <w:t>TM</w:t>
      </w:r>
      <w:r>
        <w:rPr>
          <w:rFonts w:ascii="Arial" w:cs="Arial" w:eastAsia="Arial" w:hAnsi="Arial"/>
          <w:sz w:val="18"/>
          <w:szCs w:val="18"/>
          <w:color w:val="auto"/>
        </w:rPr>
        <w:t xml:space="preserve"> platform to target an undisclosed disease of the lung. A CTA is planned for the fourth quarter of 2018.</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ARO-HIF2</w:t>
      </w:r>
    </w:p>
    <w:p>
      <w:pPr>
        <w:spacing w:after="0" w:line="121" w:lineRule="exact"/>
        <w:rPr>
          <w:sz w:val="20"/>
          <w:szCs w:val="20"/>
          <w:color w:val="auto"/>
        </w:rPr>
      </w:pPr>
    </w:p>
    <w:p>
      <w:pPr>
        <w:jc w:val="both"/>
        <w:ind w:right="180" w:firstLine="518"/>
        <w:spacing w:after="0" w:line="302" w:lineRule="auto"/>
        <w:rPr>
          <w:sz w:val="20"/>
          <w:szCs w:val="20"/>
          <w:color w:val="auto"/>
        </w:rPr>
      </w:pPr>
      <w:r>
        <w:rPr>
          <w:rFonts w:ascii="Arial" w:cs="Arial" w:eastAsia="Arial" w:hAnsi="Arial"/>
          <w:sz w:val="16"/>
          <w:szCs w:val="16"/>
          <w:color w:val="auto"/>
        </w:rPr>
        <w:t>ARO-HIF2 is being developed for the treatment of clear cell renal cell carcinoma (ccRCC). ARO-HIF2 is designed to inhibit the production of HIF-2α, which has been linked to tumor progression and metastasis in ccRCC. Arrowhead believes it is an attractive target for intervention because over 90% of ccRCC tumors express a mutant form of the Von Hippel-Landau protein that is unable to degrade HIF-2α, leading to its accumulation during tumor hypoxia and promoting tumor growth. It is the first drug candidate to utilize the TRiM</w:t>
      </w:r>
      <w:r>
        <w:rPr>
          <w:rFonts w:ascii="Arial" w:cs="Arial" w:eastAsia="Arial" w:hAnsi="Arial"/>
          <w:sz w:val="13"/>
          <w:szCs w:val="13"/>
          <w:color w:val="auto"/>
        </w:rPr>
        <w:t>TM</w:t>
      </w:r>
      <w:r>
        <w:rPr>
          <w:rFonts w:ascii="Arial" w:cs="Arial" w:eastAsia="Arial" w:hAnsi="Arial"/>
          <w:sz w:val="16"/>
          <w:szCs w:val="16"/>
          <w:color w:val="auto"/>
        </w:rPr>
        <w:t xml:space="preserve"> platform to target tumors. A CTA is planned for 2019.</w:t>
      </w:r>
    </w:p>
    <w:p>
      <w:pPr>
        <w:spacing w:after="0" w:line="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ARO-F12</w:t>
      </w:r>
    </w:p>
    <w:p>
      <w:pPr>
        <w:spacing w:after="0" w:line="27" w:lineRule="exact"/>
        <w:rPr>
          <w:sz w:val="20"/>
          <w:szCs w:val="20"/>
          <w:color w:val="auto"/>
        </w:rPr>
      </w:pPr>
    </w:p>
    <w:p>
      <w:pPr>
        <w:jc w:val="both"/>
        <w:ind w:right="60" w:firstLine="518"/>
        <w:spacing w:after="0" w:line="250" w:lineRule="auto"/>
        <w:rPr>
          <w:sz w:val="20"/>
          <w:szCs w:val="20"/>
          <w:color w:val="auto"/>
        </w:rPr>
      </w:pPr>
      <w:r>
        <w:rPr>
          <w:rFonts w:ascii="Arial" w:cs="Arial" w:eastAsia="Arial" w:hAnsi="Arial"/>
          <w:sz w:val="18"/>
          <w:szCs w:val="18"/>
          <w:color w:val="auto"/>
        </w:rPr>
        <w:t>ARO-F12 is in development as a potential treatment for factor 12 (F12) mediated diseases such as hereditary angioedema (HAE) and thromboembolic disorders. Factor 12 initiates the intrinsic coagulation pathway and reducing its production using Arrowhead’s RNAi technology may present opportunities in both disease areas.</w:t>
      </w:r>
    </w:p>
    <w:p>
      <w:pPr>
        <w:spacing w:after="0" w:line="1" w:lineRule="exact"/>
        <w:rPr>
          <w:sz w:val="20"/>
          <w:szCs w:val="20"/>
          <w:color w:val="auto"/>
        </w:rPr>
      </w:pPr>
    </w:p>
    <w:p>
      <w:pPr>
        <w:ind w:left="520"/>
        <w:spacing w:after="0"/>
        <w:rPr>
          <w:sz w:val="20"/>
          <w:szCs w:val="20"/>
          <w:color w:val="auto"/>
        </w:rPr>
      </w:pPr>
      <w:r>
        <w:rPr>
          <w:rFonts w:ascii="Arial" w:cs="Arial" w:eastAsia="Arial" w:hAnsi="Arial"/>
          <w:sz w:val="18"/>
          <w:szCs w:val="18"/>
          <w:b w:val="1"/>
          <w:bCs w:val="1"/>
          <w:color w:val="auto"/>
        </w:rPr>
        <w:t>Thrombosis and HAE</w:t>
      </w:r>
    </w:p>
    <w:p>
      <w:pPr>
        <w:spacing w:after="0" w:line="9" w:lineRule="exact"/>
        <w:rPr>
          <w:sz w:val="20"/>
          <w:szCs w:val="20"/>
          <w:color w:val="auto"/>
        </w:rPr>
      </w:pPr>
    </w:p>
    <w:p>
      <w:pPr>
        <w:jc w:val="both"/>
        <w:ind w:right="200" w:firstLine="518"/>
        <w:spacing w:after="0" w:line="302" w:lineRule="auto"/>
        <w:rPr>
          <w:sz w:val="20"/>
          <w:szCs w:val="20"/>
          <w:color w:val="auto"/>
        </w:rPr>
      </w:pPr>
      <w:r>
        <w:rPr>
          <w:rFonts w:ascii="Arial" w:cs="Arial" w:eastAsia="Arial" w:hAnsi="Arial"/>
          <w:sz w:val="16"/>
          <w:szCs w:val="16"/>
          <w:color w:val="auto"/>
        </w:rPr>
        <w:t>Thrombosis is the formation of blood clots that can obstruct blood flow. Broadly speaking, thrombosis can occur in veins or arteries and may cause serious repercussions if not treated. HAE is a rare genetic disorder with a prevalence of approximately 1/5,000-1/10,000. Patients with HAE can experience recurrent and dangerous acute inflammatory attacks in multiple tissues, with attacks of laryngeal edema being particularly serious and potentially fatal.</w:t>
      </w:r>
    </w:p>
    <w:p>
      <w:pPr>
        <w:spacing w:after="0" w:line="2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Partner-based Programs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ARO-LPA (AMG 890) and ARO-AMG1</w:t>
      </w:r>
    </w:p>
    <w:p>
      <w:pPr>
        <w:spacing w:after="0" w:line="121" w:lineRule="exact"/>
        <w:rPr>
          <w:sz w:val="20"/>
          <w:szCs w:val="20"/>
          <w:color w:val="auto"/>
        </w:rPr>
      </w:pPr>
    </w:p>
    <w:p>
      <w:pPr>
        <w:ind w:right="20" w:firstLine="518"/>
        <w:spacing w:after="0" w:line="264" w:lineRule="auto"/>
        <w:rPr>
          <w:sz w:val="20"/>
          <w:szCs w:val="20"/>
          <w:color w:val="auto"/>
        </w:rPr>
      </w:pPr>
      <w:r>
        <w:rPr>
          <w:rFonts w:ascii="Arial" w:cs="Arial" w:eastAsia="Arial" w:hAnsi="Arial"/>
          <w:sz w:val="18"/>
          <w:szCs w:val="18"/>
          <w:color w:val="auto"/>
        </w:rPr>
        <w:t>ARO-LPA (AMG 890) is designed to reduce production of apolipoprotein A, a key component of lipoprotein(a), which has been genetically linked with increased risk of cardiovascular diseases, independent of cholesterol and LDL levels. Amgen acquired a worldwide, exclusive license in September 2016 to develop and commercialize ARO-LPA (AMG 890).</w:t>
      </w:r>
    </w:p>
    <w:p>
      <w:pPr>
        <w:spacing w:after="0" w:line="73" w:lineRule="exact"/>
        <w:rPr>
          <w:sz w:val="20"/>
          <w:szCs w:val="20"/>
          <w:color w:val="auto"/>
        </w:rPr>
      </w:pPr>
    </w:p>
    <w:p>
      <w:pPr>
        <w:ind w:right="200" w:firstLine="518"/>
        <w:spacing w:after="0" w:line="277" w:lineRule="auto"/>
        <w:rPr>
          <w:sz w:val="20"/>
          <w:szCs w:val="20"/>
          <w:color w:val="auto"/>
        </w:rPr>
      </w:pPr>
      <w:r>
        <w:rPr>
          <w:rFonts w:ascii="Arial" w:cs="Arial" w:eastAsia="Arial" w:hAnsi="Arial"/>
          <w:sz w:val="18"/>
          <w:szCs w:val="18"/>
          <w:color w:val="auto"/>
        </w:rPr>
        <w:t>ARO-AMG1 is being developed against an undisclosed genetically-validated cardiovascular target under a license and collaboration agreement with Amgen.</w:t>
      </w:r>
    </w:p>
    <w:p>
      <w:pPr>
        <w:spacing w:after="0" w:line="170" w:lineRule="exact"/>
        <w:rPr>
          <w:sz w:val="20"/>
          <w:szCs w:val="20"/>
          <w:color w:val="auto"/>
        </w:rPr>
      </w:pPr>
    </w:p>
    <w:p>
      <w:pPr>
        <w:jc w:val="both"/>
        <w:ind w:firstLine="600"/>
        <w:spacing w:after="0" w:line="302" w:lineRule="auto"/>
        <w:rPr>
          <w:sz w:val="20"/>
          <w:szCs w:val="20"/>
          <w:color w:val="auto"/>
        </w:rPr>
      </w:pPr>
      <w:r>
        <w:rPr>
          <w:rFonts w:ascii="Arial" w:cs="Arial" w:eastAsia="Arial" w:hAnsi="Arial"/>
          <w:sz w:val="16"/>
          <w:szCs w:val="16"/>
          <w:color w:val="auto"/>
        </w:rPr>
        <w:t>Under the terms of the agreements taken together for ARO-LPA (AMG 890) and ARO-AMG1, the Company received $35 million in upfront payments, $21.5 million in the form of an equity investment by Amgen in the Company’s Common Stock, and the Company is eligible to receive up to $617 million in option payments and development, regulatory and sales milestone payments. The Company is further eligible to receive single-digit royalties for sales of products under the ARO-AMG1 agreement and up to low double-digit royalties for sales of products under the ARO-LPA (AMG 890) agreement.</w:t>
      </w:r>
    </w:p>
    <w:p>
      <w:pPr>
        <w:spacing w:after="0" w:line="2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RNA Interference &amp; the Benefits of RNAi Therapeutics</w:t>
      </w:r>
    </w:p>
    <w:p>
      <w:pPr>
        <w:spacing w:after="0" w:line="117" w:lineRule="exact"/>
        <w:rPr>
          <w:sz w:val="20"/>
          <w:szCs w:val="20"/>
          <w:color w:val="auto"/>
        </w:rPr>
      </w:pPr>
    </w:p>
    <w:p>
      <w:pPr>
        <w:ind w:right="140" w:firstLine="518"/>
        <w:spacing w:after="0" w:line="259" w:lineRule="auto"/>
        <w:rPr>
          <w:sz w:val="20"/>
          <w:szCs w:val="20"/>
          <w:color w:val="auto"/>
        </w:rPr>
      </w:pPr>
      <w:r>
        <w:rPr>
          <w:rFonts w:ascii="Arial" w:cs="Arial" w:eastAsia="Arial" w:hAnsi="Arial"/>
          <w:sz w:val="18"/>
          <w:szCs w:val="18"/>
          <w:color w:val="auto"/>
        </w:rPr>
        <w:t>RNA interference (RNAi) is a mechanism present in living cells that inhibits the expression of a specific gene, thereby affecting the production of a specific protein. Deemed to be one of the most important recent discoveries in life science with the potential to transform medicine, the discoverers of RNAi were awarded a Nobel Prize in 2006 for their work. RNAi-based therapeutics may leverage this natural pathway of gene silencing to target and shut down specific disease-causing genes.</w:t>
      </w:r>
    </w:p>
    <w:p>
      <w:pPr>
        <w:spacing w:after="0" w:line="187" w:lineRule="exact"/>
        <w:rPr>
          <w:sz w:val="20"/>
          <w:szCs w:val="20"/>
          <w:color w:val="auto"/>
        </w:rPr>
      </w:pPr>
    </w:p>
    <w:p>
      <w:pPr>
        <w:ind w:right="80" w:firstLine="518"/>
        <w:spacing w:after="0" w:line="279" w:lineRule="auto"/>
        <w:rPr>
          <w:sz w:val="20"/>
          <w:szCs w:val="20"/>
          <w:color w:val="auto"/>
        </w:rPr>
      </w:pPr>
      <w:r>
        <w:rPr>
          <w:rFonts w:ascii="Arial" w:cs="Arial" w:eastAsia="Arial" w:hAnsi="Arial"/>
          <w:sz w:val="17"/>
          <w:szCs w:val="17"/>
          <w:color w:val="auto"/>
        </w:rPr>
        <w:t>Small molecule and antibody drugs have proven effective at inhibiting certain cell surface, intracellular, and extracellular targets. However, other drug targets have proven difficult to inhibit with traditional drug-based and biologic therapeutics. Developing effective drugs for these targets would have the potential to address large underserved markets for the treatment of many diseases. Using the ability to specifically silence any gene, RNAi therapeutics may be able to address previously “undruggable” targets, unlocking the market potential of such targets.</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8" w:name="page9"/>
    <w:bookmarkEnd w:id="8"/>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483235</wp:posOffset>
            </wp:positionH>
            <wp:positionV relativeFrom="page">
              <wp:posOffset>294640</wp:posOffset>
            </wp:positionV>
            <wp:extent cx="4347845" cy="290703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clrChange>
                        <a:clrFrom>
                          <a:srgbClr val="FFFFFF"/>
                        </a:clrFrom>
                        <a:clrTo>
                          <a:srgbClr val="FFFFFF">
                            <a:alpha val="0"/>
                          </a:srgbClr>
                        </a:clrTo>
                      </a:clrChange>
                      <a:extLst>
                        <a:ext uri="{28A0092B-C50C-407E-A947-70E740481C1C}"/>
                      </a:extLst>
                    </a:blip>
                    <a:srcRect/>
                    <a:stretch>
                      <a:fillRect/>
                    </a:stretch>
                  </pic:blipFill>
                  <pic:spPr bwMode="auto">
                    <a:xfrm>
                      <a:off x="0" y="0"/>
                      <a:ext cx="4347845" cy="29070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4F81BD"/>
        </w:rPr>
        <w:t>Figure 3: Mechanism of RNA interference</w:t>
      </w:r>
    </w:p>
    <w:p>
      <w:pPr>
        <w:spacing w:after="0" w:line="234" w:lineRule="exact"/>
        <w:rPr>
          <w:sz w:val="20"/>
          <w:szCs w:val="20"/>
          <w:color w:val="auto"/>
        </w:rPr>
      </w:pPr>
    </w:p>
    <w:p>
      <w:pPr>
        <w:ind w:firstLine="518"/>
        <w:spacing w:after="0" w:line="279" w:lineRule="auto"/>
        <w:rPr>
          <w:sz w:val="20"/>
          <w:szCs w:val="20"/>
          <w:color w:val="auto"/>
        </w:rPr>
      </w:pPr>
      <w:r>
        <w:rPr>
          <w:rFonts w:ascii="Arial" w:cs="Arial" w:eastAsia="Arial" w:hAnsi="Arial"/>
          <w:sz w:val="17"/>
          <w:szCs w:val="17"/>
          <w:color w:val="auto"/>
        </w:rPr>
        <w:t>This figure depicts the mechanism by which gene silencing occurs. Double stranded RNAi triggers are introduced into a cell and get loaded into the RNA-induced silencing complex, (RISC). The strands are then separated, leaving an active RISC/RNAi trigger complex. This complex can then pair with and degrade the complementary messenger RNAs (mRNA), and stop the production of the target proteins. RNAi is a catalytic process, so each RNAi trigger can degrade mRNA hundreds of times, which results in a relatively long duration of effect for RNAi therapeutics.</w:t>
      </w:r>
    </w:p>
    <w:p>
      <w:pPr>
        <w:spacing w:after="0" w:line="28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Key Advantages of RNAi as a Therapeutic Modality</w:t>
      </w:r>
    </w:p>
    <w:p>
      <w:pPr>
        <w:spacing w:after="0" w:line="117" w:lineRule="exact"/>
        <w:rPr>
          <w:sz w:val="20"/>
          <w:szCs w:val="20"/>
          <w:color w:val="auto"/>
        </w:rPr>
      </w:pPr>
    </w:p>
    <w:p>
      <w:pPr>
        <w:ind w:left="1040" w:hanging="384"/>
        <w:spacing w:after="0"/>
        <w:tabs>
          <w:tab w:leader="none" w:pos="1040" w:val="left"/>
        </w:tabs>
        <w:numPr>
          <w:ilvl w:val="0"/>
          <w:numId w:val="3"/>
        </w:numPr>
        <w:rPr>
          <w:rFonts w:ascii="Arial" w:cs="Arial" w:eastAsia="Arial" w:hAnsi="Arial"/>
          <w:sz w:val="18"/>
          <w:szCs w:val="18"/>
          <w:color w:val="auto"/>
        </w:rPr>
      </w:pPr>
      <w:r>
        <w:rPr>
          <w:rFonts w:ascii="Arial" w:cs="Arial" w:eastAsia="Arial" w:hAnsi="Arial"/>
          <w:sz w:val="18"/>
          <w:szCs w:val="18"/>
          <w:color w:val="auto"/>
        </w:rPr>
        <w:t>Silences the expression of disease causing genes;</w:t>
      </w:r>
    </w:p>
    <w:p>
      <w:pPr>
        <w:spacing w:after="0" w:line="117" w:lineRule="exact"/>
        <w:rPr>
          <w:rFonts w:ascii="Arial" w:cs="Arial" w:eastAsia="Arial" w:hAnsi="Arial"/>
          <w:sz w:val="18"/>
          <w:szCs w:val="18"/>
          <w:color w:val="auto"/>
        </w:rPr>
      </w:pPr>
    </w:p>
    <w:p>
      <w:pPr>
        <w:ind w:left="1040" w:hanging="384"/>
        <w:spacing w:after="0"/>
        <w:tabs>
          <w:tab w:leader="none" w:pos="1040" w:val="left"/>
        </w:tabs>
        <w:numPr>
          <w:ilvl w:val="0"/>
          <w:numId w:val="3"/>
        </w:numPr>
        <w:rPr>
          <w:rFonts w:ascii="Arial" w:cs="Arial" w:eastAsia="Arial" w:hAnsi="Arial"/>
          <w:sz w:val="18"/>
          <w:szCs w:val="18"/>
          <w:color w:val="auto"/>
        </w:rPr>
      </w:pPr>
      <w:r>
        <w:rPr>
          <w:rFonts w:ascii="Arial" w:cs="Arial" w:eastAsia="Arial" w:hAnsi="Arial"/>
          <w:sz w:val="18"/>
          <w:szCs w:val="18"/>
          <w:color w:val="auto"/>
        </w:rPr>
        <w:t>Potential to address any target in the transcriptome including previously "undruggable" targets;</w:t>
      </w:r>
    </w:p>
    <w:p>
      <w:pPr>
        <w:spacing w:after="0" w:line="117" w:lineRule="exact"/>
        <w:rPr>
          <w:rFonts w:ascii="Arial" w:cs="Arial" w:eastAsia="Arial" w:hAnsi="Arial"/>
          <w:sz w:val="18"/>
          <w:szCs w:val="18"/>
          <w:color w:val="auto"/>
        </w:rPr>
      </w:pPr>
    </w:p>
    <w:p>
      <w:pPr>
        <w:ind w:left="1040" w:hanging="384"/>
        <w:spacing w:after="0"/>
        <w:tabs>
          <w:tab w:leader="none" w:pos="1040" w:val="left"/>
        </w:tabs>
        <w:numPr>
          <w:ilvl w:val="0"/>
          <w:numId w:val="3"/>
        </w:numPr>
        <w:rPr>
          <w:rFonts w:ascii="Arial" w:cs="Arial" w:eastAsia="Arial" w:hAnsi="Arial"/>
          <w:sz w:val="18"/>
          <w:szCs w:val="18"/>
          <w:color w:val="auto"/>
        </w:rPr>
      </w:pPr>
      <w:r>
        <w:rPr>
          <w:rFonts w:ascii="Arial" w:cs="Arial" w:eastAsia="Arial" w:hAnsi="Arial"/>
          <w:sz w:val="18"/>
          <w:szCs w:val="18"/>
          <w:color w:val="auto"/>
        </w:rPr>
        <w:t>Rapid lead identification;</w:t>
      </w:r>
    </w:p>
    <w:p>
      <w:pPr>
        <w:spacing w:after="0" w:line="117" w:lineRule="exact"/>
        <w:rPr>
          <w:rFonts w:ascii="Arial" w:cs="Arial" w:eastAsia="Arial" w:hAnsi="Arial"/>
          <w:sz w:val="18"/>
          <w:szCs w:val="18"/>
          <w:color w:val="auto"/>
        </w:rPr>
      </w:pPr>
    </w:p>
    <w:p>
      <w:pPr>
        <w:ind w:left="1040" w:hanging="384"/>
        <w:spacing w:after="0"/>
        <w:tabs>
          <w:tab w:leader="none" w:pos="1040" w:val="left"/>
        </w:tabs>
        <w:numPr>
          <w:ilvl w:val="0"/>
          <w:numId w:val="3"/>
        </w:numPr>
        <w:rPr>
          <w:rFonts w:ascii="Arial" w:cs="Arial" w:eastAsia="Arial" w:hAnsi="Arial"/>
          <w:sz w:val="18"/>
          <w:szCs w:val="18"/>
          <w:color w:val="auto"/>
        </w:rPr>
      </w:pPr>
      <w:r>
        <w:rPr>
          <w:rFonts w:ascii="Arial" w:cs="Arial" w:eastAsia="Arial" w:hAnsi="Arial"/>
          <w:sz w:val="18"/>
          <w:szCs w:val="18"/>
          <w:color w:val="auto"/>
        </w:rPr>
        <w:t>High specificity;</w:t>
      </w:r>
    </w:p>
    <w:p>
      <w:pPr>
        <w:spacing w:after="0" w:line="117" w:lineRule="exact"/>
        <w:rPr>
          <w:rFonts w:ascii="Arial" w:cs="Arial" w:eastAsia="Arial" w:hAnsi="Arial"/>
          <w:sz w:val="18"/>
          <w:szCs w:val="18"/>
          <w:color w:val="auto"/>
        </w:rPr>
      </w:pPr>
    </w:p>
    <w:p>
      <w:pPr>
        <w:ind w:left="1040" w:hanging="384"/>
        <w:spacing w:after="0"/>
        <w:tabs>
          <w:tab w:leader="none" w:pos="1040" w:val="left"/>
        </w:tabs>
        <w:numPr>
          <w:ilvl w:val="0"/>
          <w:numId w:val="3"/>
        </w:numPr>
        <w:rPr>
          <w:rFonts w:ascii="Arial" w:cs="Arial" w:eastAsia="Arial" w:hAnsi="Arial"/>
          <w:sz w:val="18"/>
          <w:szCs w:val="18"/>
          <w:color w:val="auto"/>
        </w:rPr>
      </w:pPr>
      <w:r>
        <w:rPr>
          <w:rFonts w:ascii="Arial" w:cs="Arial" w:eastAsia="Arial" w:hAnsi="Arial"/>
          <w:sz w:val="18"/>
          <w:szCs w:val="18"/>
          <w:color w:val="auto"/>
        </w:rPr>
        <w:t>Opportunity to use multiple RNA sequences in one drug product for synergistic silencing of related targets; and</w:t>
      </w:r>
    </w:p>
    <w:p>
      <w:pPr>
        <w:spacing w:after="0" w:line="117" w:lineRule="exact"/>
        <w:rPr>
          <w:rFonts w:ascii="Arial" w:cs="Arial" w:eastAsia="Arial" w:hAnsi="Arial"/>
          <w:sz w:val="18"/>
          <w:szCs w:val="18"/>
          <w:color w:val="auto"/>
        </w:rPr>
      </w:pPr>
    </w:p>
    <w:p>
      <w:pPr>
        <w:ind w:left="1040" w:hanging="384"/>
        <w:spacing w:after="0"/>
        <w:tabs>
          <w:tab w:leader="none" w:pos="1040" w:val="left"/>
        </w:tabs>
        <w:numPr>
          <w:ilvl w:val="0"/>
          <w:numId w:val="3"/>
        </w:numPr>
        <w:rPr>
          <w:rFonts w:ascii="Arial" w:cs="Arial" w:eastAsia="Arial" w:hAnsi="Arial"/>
          <w:sz w:val="18"/>
          <w:szCs w:val="18"/>
          <w:color w:val="auto"/>
        </w:rPr>
      </w:pPr>
      <w:r>
        <w:rPr>
          <w:rFonts w:ascii="Arial" w:cs="Arial" w:eastAsia="Arial" w:hAnsi="Arial"/>
          <w:sz w:val="18"/>
          <w:szCs w:val="18"/>
          <w:color w:val="auto"/>
        </w:rPr>
        <w:t>RNAi therapeutics are uniquely suited for personalized medicine through target and cell specific delivery and gene knockdown.</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1440" w:right="259" w:bottom="1440" w:gutter="0" w:footer="0" w:header="0"/>
        </w:sectPr>
      </w:pPr>
    </w:p>
    <w:bookmarkStart w:id="9" w:name="page10"/>
    <w:bookmarkEnd w:id="9"/>
    <w:p>
      <w:pPr>
        <w:spacing w:after="0"/>
        <w:rPr>
          <w:sz w:val="20"/>
          <w:szCs w:val="20"/>
          <w:color w:val="auto"/>
        </w:rPr>
      </w:pPr>
      <w:r>
        <w:rPr>
          <w:rFonts w:ascii="Arial" w:cs="Arial" w:eastAsia="Arial" w:hAnsi="Arial"/>
          <w:sz w:val="18"/>
          <w:szCs w:val="18"/>
          <w:b w:val="1"/>
          <w:bCs w:val="1"/>
          <w:i w:val="1"/>
          <w:iCs w:val="1"/>
          <w:color w:val="auto"/>
        </w:rPr>
        <w:t>Targeted RNAi Molecule (TRiM</w:t>
      </w:r>
      <w:r>
        <w:rPr>
          <w:rFonts w:ascii="Arial" w:cs="Arial" w:eastAsia="Arial" w:hAnsi="Arial"/>
          <w:sz w:val="15"/>
          <w:szCs w:val="15"/>
          <w:b w:val="1"/>
          <w:bCs w:val="1"/>
          <w:i w:val="1"/>
          <w:iCs w:val="1"/>
          <w:color w:val="auto"/>
        </w:rPr>
        <w:t>TM</w:t>
      </w:r>
      <w:r>
        <w:rPr>
          <w:rFonts w:ascii="Arial" w:cs="Arial" w:eastAsia="Arial" w:hAnsi="Arial"/>
          <w:sz w:val="18"/>
          <w:szCs w:val="18"/>
          <w:b w:val="1"/>
          <w:bCs w:val="1"/>
          <w:i w:val="1"/>
          <w:iCs w:val="1"/>
          <w:color w:val="auto"/>
        </w:rPr>
        <w:t>) Platform</w:t>
      </w:r>
    </w:p>
    <w:p>
      <w:pPr>
        <w:spacing w:after="0" w:line="333" w:lineRule="exact"/>
        <w:rPr>
          <w:sz w:val="20"/>
          <w:szCs w:val="20"/>
          <w:color w:val="auto"/>
        </w:rPr>
      </w:pPr>
    </w:p>
    <w:p>
      <w:pPr>
        <w:ind w:right="100" w:firstLine="518"/>
        <w:spacing w:after="0" w:line="259" w:lineRule="auto"/>
        <w:rPr>
          <w:sz w:val="20"/>
          <w:szCs w:val="20"/>
          <w:color w:val="auto"/>
        </w:rPr>
      </w:pPr>
      <w:r>
        <w:rPr>
          <w:rFonts w:ascii="Arial" w:cs="Arial" w:eastAsia="Arial" w:hAnsi="Arial"/>
          <w:sz w:val="18"/>
          <w:szCs w:val="18"/>
          <w:color w:val="auto"/>
        </w:rPr>
        <w:t>Arrowhead’s Targeted RNAi Molecule (TRiM</w:t>
      </w:r>
      <w:r>
        <w:rPr>
          <w:rFonts w:ascii="Arial" w:cs="Arial" w:eastAsia="Arial" w:hAnsi="Arial"/>
          <w:sz w:val="15"/>
          <w:szCs w:val="15"/>
          <w:color w:val="auto"/>
        </w:rPr>
        <w:t>TM</w:t>
      </w:r>
      <w:r>
        <w:rPr>
          <w:rFonts w:ascii="Arial" w:cs="Arial" w:eastAsia="Arial" w:hAnsi="Arial"/>
          <w:sz w:val="18"/>
          <w:szCs w:val="18"/>
          <w:color w:val="auto"/>
        </w:rPr>
        <w:t>) platform utilizes ligand-mediated delivery and is designed to enable tissue-specific targeting while being structurally simple. Targeting has been core to Arrowhead’s development philosophy and the TRiM</w:t>
      </w:r>
      <w:r>
        <w:rPr>
          <w:rFonts w:ascii="Arial" w:cs="Arial" w:eastAsia="Arial" w:hAnsi="Arial"/>
          <w:sz w:val="15"/>
          <w:szCs w:val="15"/>
          <w:color w:val="auto"/>
        </w:rPr>
        <w:t>TM</w:t>
      </w:r>
      <w:r>
        <w:rPr>
          <w:rFonts w:ascii="Arial" w:cs="Arial" w:eastAsia="Arial" w:hAnsi="Arial"/>
          <w:sz w:val="18"/>
          <w:szCs w:val="18"/>
          <w:color w:val="auto"/>
        </w:rPr>
        <w:t xml:space="preserve"> platform builds on more than a decade of work on actively targeted drug delivery vehicles. Arrowhead scientists have discovered ways to progressively “TRiM” away extraneous features and chemistries and retain optimal pharmacologic activity.</w:t>
      </w:r>
    </w:p>
    <w:p>
      <w:pPr>
        <w:spacing w:after="0" w:line="295" w:lineRule="exact"/>
        <w:rPr>
          <w:sz w:val="20"/>
          <w:szCs w:val="20"/>
          <w:color w:val="auto"/>
        </w:rPr>
      </w:pPr>
    </w:p>
    <w:p>
      <w:pPr>
        <w:ind w:right="20" w:firstLine="518"/>
        <w:spacing w:after="0" w:line="264" w:lineRule="auto"/>
        <w:rPr>
          <w:sz w:val="20"/>
          <w:szCs w:val="20"/>
          <w:color w:val="auto"/>
        </w:rPr>
      </w:pPr>
      <w:r>
        <w:rPr>
          <w:rFonts w:ascii="Arial" w:cs="Arial" w:eastAsia="Arial" w:hAnsi="Arial"/>
          <w:sz w:val="18"/>
          <w:szCs w:val="18"/>
          <w:color w:val="auto"/>
        </w:rPr>
        <w:t>The TRiM</w:t>
      </w:r>
      <w:r>
        <w:rPr>
          <w:rFonts w:ascii="Arial" w:cs="Arial" w:eastAsia="Arial" w:hAnsi="Arial"/>
          <w:sz w:val="15"/>
          <w:szCs w:val="15"/>
          <w:color w:val="auto"/>
        </w:rPr>
        <w:t>TM</w:t>
      </w:r>
      <w:r>
        <w:rPr>
          <w:rFonts w:ascii="Arial" w:cs="Arial" w:eastAsia="Arial" w:hAnsi="Arial"/>
          <w:sz w:val="18"/>
          <w:szCs w:val="18"/>
          <w:color w:val="auto"/>
        </w:rPr>
        <w:t xml:space="preserve"> platform comprises a highly potent RNA trigger identified using Arrowhead’s proprietary trigger selection rules and algorithms with the following components optimized, as needed, for each drug candidate: a high affinity targeting ligand; various linker and chemistries; structures that enhance pharmacokinetics; and highly potent RNAi triggers with sequence specific stabilization chemistries.</w:t>
      </w:r>
    </w:p>
    <w:p>
      <w:pPr>
        <w:spacing w:after="0" w:line="289" w:lineRule="exact"/>
        <w:rPr>
          <w:sz w:val="20"/>
          <w:szCs w:val="20"/>
          <w:color w:val="auto"/>
        </w:rPr>
      </w:pPr>
    </w:p>
    <w:p>
      <w:pPr>
        <w:ind w:firstLine="518"/>
        <w:spacing w:after="0" w:line="259" w:lineRule="auto"/>
        <w:rPr>
          <w:sz w:val="20"/>
          <w:szCs w:val="20"/>
          <w:color w:val="auto"/>
        </w:rPr>
      </w:pPr>
      <w:r>
        <w:rPr>
          <w:rFonts w:ascii="Arial" w:cs="Arial" w:eastAsia="Arial" w:hAnsi="Arial"/>
          <w:sz w:val="18"/>
          <w:szCs w:val="18"/>
          <w:color w:val="auto"/>
        </w:rPr>
        <w:t>Therapeutics developed with the TRiM</w:t>
      </w:r>
      <w:r>
        <w:rPr>
          <w:rFonts w:ascii="Arial" w:cs="Arial" w:eastAsia="Arial" w:hAnsi="Arial"/>
          <w:sz w:val="15"/>
          <w:szCs w:val="15"/>
          <w:color w:val="auto"/>
        </w:rPr>
        <w:t>TM</w:t>
      </w:r>
      <w:r>
        <w:rPr>
          <w:rFonts w:ascii="Arial" w:cs="Arial" w:eastAsia="Arial" w:hAnsi="Arial"/>
          <w:sz w:val="18"/>
          <w:szCs w:val="18"/>
          <w:color w:val="auto"/>
        </w:rPr>
        <w:t xml:space="preserve"> platform offer several advantages: simplified manufacturing and reduced costs; multiple routes of administration; and potential for improved safety because there are less metabolites from smaller molecules, thereby reducing the risk of intracellular buildup. At Arrowhead, we also believe that for RNAi to reach its true potential, it must target organs outside the liver. Arrowhead is leading this expansion with the TRiM</w:t>
      </w:r>
      <w:r>
        <w:rPr>
          <w:rFonts w:ascii="Arial" w:cs="Arial" w:eastAsia="Arial" w:hAnsi="Arial"/>
          <w:sz w:val="15"/>
          <w:szCs w:val="15"/>
          <w:color w:val="auto"/>
        </w:rPr>
        <w:t>TM</w:t>
      </w:r>
      <w:r>
        <w:rPr>
          <w:rFonts w:ascii="Arial" w:cs="Arial" w:eastAsia="Arial" w:hAnsi="Arial"/>
          <w:sz w:val="18"/>
          <w:szCs w:val="18"/>
          <w:color w:val="auto"/>
        </w:rPr>
        <w:t xml:space="preserve"> platform, which has the potential to reach multiple tissues, including liver, lung, and tumor.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330835</wp:posOffset>
            </wp:positionH>
            <wp:positionV relativeFrom="paragraph">
              <wp:posOffset>196215</wp:posOffset>
            </wp:positionV>
            <wp:extent cx="5342890" cy="375602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5342890" cy="37560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jc w:val="center"/>
        <w:ind w:right="-39"/>
        <w:spacing w:after="0"/>
        <w:rPr>
          <w:sz w:val="20"/>
          <w:szCs w:val="20"/>
          <w:color w:val="auto"/>
        </w:rPr>
      </w:pPr>
      <w:r>
        <w:rPr>
          <w:rFonts w:ascii="Arial" w:cs="Arial" w:eastAsia="Arial" w:hAnsi="Arial"/>
          <w:sz w:val="16"/>
          <w:szCs w:val="16"/>
          <w:b w:val="1"/>
          <w:bCs w:val="1"/>
          <w:color w:val="4F81BD"/>
        </w:rPr>
        <w:t>Figure 4: Targeted RNAi Molecule (TRiM</w:t>
      </w:r>
      <w:r>
        <w:rPr>
          <w:rFonts w:ascii="Arial" w:cs="Arial" w:eastAsia="Arial" w:hAnsi="Arial"/>
          <w:sz w:val="27"/>
          <w:szCs w:val="27"/>
          <w:b w:val="1"/>
          <w:bCs w:val="1"/>
          <w:color w:val="4F81BD"/>
          <w:vertAlign w:val="superscript"/>
        </w:rPr>
        <w:t>TM</w:t>
      </w:r>
      <w:r>
        <w:rPr>
          <w:rFonts w:ascii="Arial" w:cs="Arial" w:eastAsia="Arial" w:hAnsi="Arial"/>
          <w:sz w:val="16"/>
          <w:szCs w:val="16"/>
          <w:b w:val="1"/>
          <w:bCs w:val="1"/>
          <w:color w:val="4F81BD"/>
        </w:rPr>
        <w:t>) Schematic</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RNA Chemistries</w:t>
      </w:r>
    </w:p>
    <w:p>
      <w:pPr>
        <w:spacing w:after="0" w:line="333" w:lineRule="exact"/>
        <w:rPr>
          <w:sz w:val="20"/>
          <w:szCs w:val="20"/>
          <w:color w:val="auto"/>
        </w:rPr>
      </w:pPr>
    </w:p>
    <w:p>
      <w:pPr>
        <w:ind w:right="120" w:firstLine="518"/>
        <w:spacing w:after="0" w:line="286" w:lineRule="auto"/>
        <w:rPr>
          <w:sz w:val="20"/>
          <w:szCs w:val="20"/>
          <w:color w:val="auto"/>
        </w:rPr>
      </w:pPr>
      <w:r>
        <w:rPr>
          <w:rFonts w:ascii="Arial" w:cs="Arial" w:eastAsia="Arial" w:hAnsi="Arial"/>
          <w:sz w:val="17"/>
          <w:szCs w:val="17"/>
          <w:color w:val="auto"/>
        </w:rPr>
        <w:t>The structure and chemistries of the oligonucleotide molecules used to trigger the RNAi mechanism can be tailored for optimal activity. Arrowhead’s broad portfolio of RNA trigger structures and chemistries, including some proprietary structures, enable the company to optimize each drug candidate on a target-by-target basis and utilize the combination of structure and chemical modifications that yield the most potent RNAi trigger.</w:t>
      </w:r>
    </w:p>
    <w:p>
      <w:pPr>
        <w:spacing w:after="0" w:line="274" w:lineRule="exact"/>
        <w:rPr>
          <w:sz w:val="20"/>
          <w:szCs w:val="20"/>
          <w:color w:val="auto"/>
        </w:rPr>
      </w:pPr>
    </w:p>
    <w:p>
      <w:pPr>
        <w:ind w:right="500" w:firstLine="518"/>
        <w:spacing w:after="0" w:line="277" w:lineRule="auto"/>
        <w:rPr>
          <w:sz w:val="20"/>
          <w:szCs w:val="20"/>
          <w:color w:val="auto"/>
        </w:rPr>
      </w:pPr>
      <w:r>
        <w:rPr>
          <w:rFonts w:ascii="Arial" w:cs="Arial" w:eastAsia="Arial" w:hAnsi="Arial"/>
          <w:sz w:val="18"/>
          <w:szCs w:val="18"/>
          <w:color w:val="auto"/>
        </w:rPr>
        <w:t>As a component of the TRiM</w:t>
      </w:r>
      <w:r>
        <w:rPr>
          <w:rFonts w:ascii="Arial" w:cs="Arial" w:eastAsia="Arial" w:hAnsi="Arial"/>
          <w:sz w:val="15"/>
          <w:szCs w:val="15"/>
          <w:color w:val="auto"/>
        </w:rPr>
        <w:t>TM</w:t>
      </w:r>
      <w:r>
        <w:rPr>
          <w:rFonts w:ascii="Arial" w:cs="Arial" w:eastAsia="Arial" w:hAnsi="Arial"/>
          <w:sz w:val="18"/>
          <w:szCs w:val="18"/>
          <w:color w:val="auto"/>
        </w:rPr>
        <w:t xml:space="preserve"> platform, Arrowhead’s design philosophy for RNA chemical modifications is to start with a structurally simple molecule and add only selective modification and stabilization chemistries as necessary to achieve the desired level</w:t>
      </w:r>
    </w:p>
    <w:p>
      <w:pPr>
        <w:spacing w:after="0" w:line="17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449" w:right="259" w:bottom="1440" w:gutter="0" w:footer="0" w:header="0"/>
        </w:sectPr>
      </w:pPr>
    </w:p>
    <w:bookmarkStart w:id="10" w:name="page11"/>
    <w:bookmarkEnd w:id="10"/>
    <w:p>
      <w:pPr>
        <w:ind w:right="140"/>
        <w:spacing w:after="0" w:line="259" w:lineRule="auto"/>
        <w:rPr>
          <w:sz w:val="20"/>
          <w:szCs w:val="20"/>
          <w:color w:val="auto"/>
        </w:rPr>
      </w:pPr>
      <w:r>
        <w:rPr>
          <w:rFonts w:ascii="Arial" w:cs="Arial" w:eastAsia="Arial" w:hAnsi="Arial"/>
          <w:sz w:val="18"/>
          <w:szCs w:val="18"/>
          <w:color w:val="auto"/>
        </w:rPr>
        <w:t>of target knockdown and duration of effect. The conceptual framework for the stabilization strategy starts with a more sophisticated RNAi trigger screening and selection process that identifies potent sequences rapidly in locations that others may miss. We pursue chemical stabilization strategies with a target duration of effect of 30-90 days and typically limit the use of strategies that produce longer activity because we anticipate that such strategies will increase long-term safety risks.</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Intellectual Property and Key Agreements</w:t>
      </w:r>
    </w:p>
    <w:p>
      <w:pPr>
        <w:spacing w:after="0" w:line="117" w:lineRule="exact"/>
        <w:rPr>
          <w:sz w:val="20"/>
          <w:szCs w:val="20"/>
          <w:color w:val="auto"/>
        </w:rPr>
      </w:pPr>
    </w:p>
    <w:p>
      <w:pPr>
        <w:ind w:firstLine="518"/>
        <w:spacing w:after="0" w:line="255" w:lineRule="auto"/>
        <w:rPr>
          <w:sz w:val="20"/>
          <w:szCs w:val="20"/>
          <w:color w:val="auto"/>
        </w:rPr>
      </w:pPr>
      <w:r>
        <w:rPr>
          <w:rFonts w:ascii="Arial" w:cs="Arial" w:eastAsia="Arial" w:hAnsi="Arial"/>
          <w:sz w:val="18"/>
          <w:szCs w:val="18"/>
          <w:color w:val="auto"/>
        </w:rPr>
        <w:t>The Company controls approximately 333 issued patents (including 179 directed to RNAi trigger molecules; 17 directed to targeting groups or targeting compounds; and 19 for hydrodynamic gene delivery), including European validations, and approximately 280 currently pending patent applications worldwide from 53 different patent families. The Company’s patent applications have been filed throughout the world, including, in the United States, Argentina, ARIPO (Africa Regional Intellectual Property Organization), Australia, Brazil, Canada, Chile, China, Eurasian Patent Organization, Europe, GCC (Gulf Cooperation Council), Hong Kong, Israel, India, Indonesia, Iraq, Jordan, Japan, Republic of Korea, Lebanon, Mexico, New Zealand, OAPI (African Intellectual Property Organization), Peru, Philippines, Russian Federation, Saudi Arabia, Singapore, Thailand, Taiwan, Uruguay, Venezuela, Vietnam, and South Africa.</w:t>
      </w:r>
    </w:p>
    <w:p>
      <w:pPr>
        <w:spacing w:after="0" w:line="293" w:lineRule="exact"/>
        <w:rPr>
          <w:sz w:val="20"/>
          <w:szCs w:val="20"/>
          <w:color w:val="auto"/>
        </w:rPr>
      </w:pPr>
    </w:p>
    <w:p>
      <w:pPr>
        <w:ind w:left="520"/>
        <w:spacing w:after="0"/>
        <w:rPr>
          <w:sz w:val="20"/>
          <w:szCs w:val="20"/>
          <w:color w:val="auto"/>
        </w:rPr>
      </w:pPr>
      <w:r>
        <w:rPr>
          <w:rFonts w:ascii="Arial" w:cs="Arial" w:eastAsia="Arial" w:hAnsi="Arial"/>
          <w:sz w:val="18"/>
          <w:szCs w:val="18"/>
          <w:b w:val="1"/>
          <w:bCs w:val="1"/>
          <w:color w:val="auto"/>
        </w:rPr>
        <w:t>RNAi Triggers</w:t>
      </w:r>
    </w:p>
    <w:p>
      <w:pPr>
        <w:spacing w:after="0" w:line="121" w:lineRule="exact"/>
        <w:rPr>
          <w:sz w:val="20"/>
          <w:szCs w:val="20"/>
          <w:color w:val="auto"/>
        </w:rPr>
      </w:pPr>
    </w:p>
    <w:p>
      <w:pPr>
        <w:ind w:right="420" w:firstLine="518"/>
        <w:spacing w:after="0" w:line="277" w:lineRule="auto"/>
        <w:rPr>
          <w:sz w:val="20"/>
          <w:szCs w:val="20"/>
          <w:color w:val="auto"/>
        </w:rPr>
      </w:pPr>
      <w:r>
        <w:rPr>
          <w:rFonts w:ascii="Arial" w:cs="Arial" w:eastAsia="Arial" w:hAnsi="Arial"/>
          <w:sz w:val="18"/>
          <w:szCs w:val="18"/>
          <w:color w:val="auto"/>
        </w:rPr>
        <w:t>The Company owns or has filed patent applications directed to RNAi trigger molecules, which serve as the foundation of Arrowhead’s TRiM</w:t>
      </w:r>
      <w:r>
        <w:rPr>
          <w:rFonts w:ascii="Arial" w:cs="Arial" w:eastAsia="Arial" w:hAnsi="Arial"/>
          <w:sz w:val="15"/>
          <w:szCs w:val="15"/>
          <w:color w:val="auto"/>
        </w:rPr>
        <w:t>TM</w:t>
      </w:r>
      <w:r>
        <w:rPr>
          <w:rFonts w:ascii="Arial" w:cs="Arial" w:eastAsia="Arial" w:hAnsi="Arial"/>
          <w:sz w:val="18"/>
          <w:szCs w:val="18"/>
          <w:color w:val="auto"/>
        </w:rPr>
        <w:t xml:space="preserve"> platform, and are targeted to reduce expression of several gene targets, including the following:</w:t>
      </w:r>
    </w:p>
    <w:p>
      <w:pPr>
        <w:spacing w:after="0" w:line="165" w:lineRule="exact"/>
        <w:rPr>
          <w:sz w:val="20"/>
          <w:szCs w:val="20"/>
          <w:color w:val="auto"/>
        </w:rPr>
      </w:pPr>
    </w:p>
    <w:tbl>
      <w:tblPr>
        <w:tblLayout w:type="fixed"/>
        <w:tblInd w:w="510" w:type="dxa"/>
        <w:tblCellMar>
          <w:top w:w="0" w:type="dxa"/>
          <w:left w:w="0" w:type="dxa"/>
          <w:bottom w:w="0" w:type="dxa"/>
          <w:right w:w="0" w:type="dxa"/>
        </w:tblCellMar>
      </w:tblPr>
      <w:tr>
        <w:trPr>
          <w:trHeight w:val="230"/>
        </w:trPr>
        <w:tc>
          <w:tcPr>
            <w:tcW w:w="5420" w:type="dxa"/>
            <w:vAlign w:val="bottom"/>
            <w:tcBorders>
              <w:top w:val="single" w:sz="8" w:color="auto"/>
              <w:left w:val="single" w:sz="8" w:color="auto"/>
              <w:bottom w:val="single" w:sz="8" w:color="auto"/>
              <w:right w:val="single" w:sz="8" w:color="auto"/>
            </w:tcBorders>
          </w:tcPr>
          <w:p>
            <w:pPr>
              <w:ind w:left="560"/>
              <w:spacing w:after="0"/>
              <w:rPr>
                <w:sz w:val="20"/>
                <w:szCs w:val="20"/>
                <w:color w:val="auto"/>
              </w:rPr>
            </w:pPr>
            <w:r>
              <w:rPr>
                <w:rFonts w:ascii="Arial" w:cs="Arial" w:eastAsia="Arial" w:hAnsi="Arial"/>
                <w:sz w:val="18"/>
                <w:szCs w:val="18"/>
                <w:b w:val="1"/>
                <w:bCs w:val="1"/>
                <w:color w:val="auto"/>
              </w:rPr>
              <w:t>Patent Group</w:t>
            </w:r>
          </w:p>
        </w:tc>
        <w:tc>
          <w:tcPr>
            <w:tcW w:w="3780" w:type="dxa"/>
            <w:vAlign w:val="bottom"/>
            <w:tcBorders>
              <w:top w:val="single" w:sz="8" w:color="auto"/>
              <w:bottom w:val="single" w:sz="8" w:color="auto"/>
              <w:right w:val="single" w:sz="8" w:color="auto"/>
            </w:tcBorders>
          </w:tcPr>
          <w:p>
            <w:pPr>
              <w:ind w:left="520"/>
              <w:spacing w:after="0"/>
              <w:rPr>
                <w:sz w:val="20"/>
                <w:szCs w:val="20"/>
                <w:color w:val="auto"/>
              </w:rPr>
            </w:pPr>
            <w:r>
              <w:rPr>
                <w:rFonts w:ascii="Arial" w:cs="Arial" w:eastAsia="Arial" w:hAnsi="Arial"/>
                <w:sz w:val="18"/>
                <w:szCs w:val="18"/>
                <w:b w:val="1"/>
                <w:bCs w:val="1"/>
                <w:color w:val="auto"/>
              </w:rPr>
              <w:t>Estimated Year(s) of Expiration</w:t>
            </w:r>
          </w:p>
        </w:tc>
      </w:tr>
      <w:tr>
        <w:trPr>
          <w:trHeight w:val="210"/>
        </w:trPr>
        <w:tc>
          <w:tcPr>
            <w:tcW w:w="5420" w:type="dxa"/>
            <w:vAlign w:val="bottom"/>
            <w:tcBorders>
              <w:left w:val="single" w:sz="8" w:color="auto"/>
              <w:bottom w:val="single" w:sz="8" w:color="auto"/>
              <w:right w:val="single" w:sz="8" w:color="EEECE1"/>
            </w:tcBorders>
            <w:shd w:val="clear" w:color="auto" w:fill="EEECE1"/>
          </w:tcPr>
          <w:p>
            <w:pPr>
              <w:ind w:left="560"/>
              <w:spacing w:after="0"/>
              <w:rPr>
                <w:sz w:val="20"/>
                <w:szCs w:val="20"/>
                <w:color w:val="auto"/>
              </w:rPr>
            </w:pPr>
            <w:r>
              <w:rPr>
                <w:rFonts w:ascii="Arial" w:cs="Arial" w:eastAsia="Arial" w:hAnsi="Arial"/>
                <w:sz w:val="18"/>
                <w:szCs w:val="18"/>
                <w:b w:val="1"/>
                <w:bCs w:val="1"/>
                <w:color w:val="auto"/>
              </w:rPr>
              <w:t>RNAi Triggers Gene Target</w:t>
            </w:r>
          </w:p>
        </w:tc>
        <w:tc>
          <w:tcPr>
            <w:tcW w:w="3780" w:type="dxa"/>
            <w:vAlign w:val="bottom"/>
            <w:tcBorders>
              <w:bottom w:val="single" w:sz="8" w:color="auto"/>
              <w:right w:val="single" w:sz="8" w:color="auto"/>
            </w:tcBorders>
            <w:shd w:val="clear" w:color="auto" w:fill="EEECE1"/>
          </w:tcPr>
          <w:p>
            <w:pPr>
              <w:spacing w:after="0"/>
              <w:rPr>
                <w:sz w:val="18"/>
                <w:szCs w:val="18"/>
                <w:color w:val="auto"/>
              </w:rPr>
            </w:pPr>
          </w:p>
        </w:tc>
      </w:tr>
      <w:tr>
        <w:trPr>
          <w:trHeight w:val="210"/>
        </w:trPr>
        <w:tc>
          <w:tcPr>
            <w:tcW w:w="5420" w:type="dxa"/>
            <w:vAlign w:val="bottom"/>
            <w:tcBorders>
              <w:left w:val="single" w:sz="8" w:color="auto"/>
              <w:bottom w:val="single" w:sz="8" w:color="auto"/>
              <w:right w:val="single" w:sz="8" w:color="auto"/>
            </w:tcBorders>
          </w:tcPr>
          <w:p>
            <w:pPr>
              <w:ind w:left="560"/>
              <w:spacing w:after="0"/>
              <w:rPr>
                <w:sz w:val="20"/>
                <w:szCs w:val="20"/>
                <w:color w:val="auto"/>
              </w:rPr>
            </w:pPr>
            <w:r>
              <w:rPr>
                <w:rFonts w:ascii="Arial" w:cs="Arial" w:eastAsia="Arial" w:hAnsi="Arial"/>
                <w:sz w:val="18"/>
                <w:szCs w:val="18"/>
                <w:color w:val="auto"/>
              </w:rPr>
              <w:t>HBV</w:t>
            </w:r>
          </w:p>
        </w:tc>
        <w:tc>
          <w:tcPr>
            <w:tcW w:w="3780" w:type="dxa"/>
            <w:vAlign w:val="bottom"/>
            <w:tcBorders>
              <w:bottom w:val="single" w:sz="8" w:color="auto"/>
              <w:right w:val="single" w:sz="8" w:color="auto"/>
            </w:tcBorders>
          </w:tcPr>
          <w:p>
            <w:pPr>
              <w:ind w:left="520"/>
              <w:spacing w:after="0"/>
              <w:rPr>
                <w:sz w:val="20"/>
                <w:szCs w:val="20"/>
                <w:color w:val="auto"/>
              </w:rPr>
            </w:pPr>
            <w:r>
              <w:rPr>
                <w:rFonts w:ascii="Arial" w:cs="Arial" w:eastAsia="Arial" w:hAnsi="Arial"/>
                <w:sz w:val="18"/>
                <w:szCs w:val="18"/>
                <w:color w:val="auto"/>
              </w:rPr>
              <w:t>2032, 2036, 2037</w:t>
            </w:r>
          </w:p>
        </w:tc>
      </w:tr>
      <w:tr>
        <w:trPr>
          <w:trHeight w:val="210"/>
        </w:trPr>
        <w:tc>
          <w:tcPr>
            <w:tcW w:w="5420" w:type="dxa"/>
            <w:vAlign w:val="bottom"/>
            <w:tcBorders>
              <w:left w:val="single" w:sz="8" w:color="auto"/>
              <w:bottom w:val="single" w:sz="8" w:color="auto"/>
              <w:right w:val="single" w:sz="8" w:color="auto"/>
            </w:tcBorders>
          </w:tcPr>
          <w:p>
            <w:pPr>
              <w:ind w:left="560"/>
              <w:spacing w:after="0"/>
              <w:rPr>
                <w:sz w:val="20"/>
                <w:szCs w:val="20"/>
                <w:color w:val="auto"/>
              </w:rPr>
            </w:pPr>
            <w:r>
              <w:rPr>
                <w:rFonts w:ascii="Arial" w:cs="Arial" w:eastAsia="Arial" w:hAnsi="Arial"/>
                <w:sz w:val="18"/>
                <w:szCs w:val="18"/>
                <w:color w:val="auto"/>
              </w:rPr>
              <w:t>AAT</w:t>
            </w:r>
          </w:p>
        </w:tc>
        <w:tc>
          <w:tcPr>
            <w:tcW w:w="3780" w:type="dxa"/>
            <w:vAlign w:val="bottom"/>
            <w:tcBorders>
              <w:bottom w:val="single" w:sz="8" w:color="auto"/>
              <w:right w:val="single" w:sz="8" w:color="auto"/>
            </w:tcBorders>
          </w:tcPr>
          <w:p>
            <w:pPr>
              <w:ind w:left="520"/>
              <w:spacing w:after="0"/>
              <w:rPr>
                <w:sz w:val="20"/>
                <w:szCs w:val="20"/>
                <w:color w:val="auto"/>
              </w:rPr>
            </w:pPr>
            <w:r>
              <w:rPr>
                <w:rFonts w:ascii="Arial" w:cs="Arial" w:eastAsia="Arial" w:hAnsi="Arial"/>
                <w:sz w:val="18"/>
                <w:szCs w:val="18"/>
                <w:color w:val="auto"/>
              </w:rPr>
              <w:t>2035</w:t>
            </w:r>
          </w:p>
        </w:tc>
      </w:tr>
      <w:tr>
        <w:trPr>
          <w:trHeight w:val="210"/>
        </w:trPr>
        <w:tc>
          <w:tcPr>
            <w:tcW w:w="5420" w:type="dxa"/>
            <w:vAlign w:val="bottom"/>
            <w:tcBorders>
              <w:left w:val="single" w:sz="8" w:color="auto"/>
              <w:bottom w:val="single" w:sz="8" w:color="auto"/>
              <w:right w:val="single" w:sz="8" w:color="auto"/>
            </w:tcBorders>
          </w:tcPr>
          <w:p>
            <w:pPr>
              <w:ind w:left="560"/>
              <w:spacing w:after="0"/>
              <w:rPr>
                <w:sz w:val="20"/>
                <w:szCs w:val="20"/>
                <w:color w:val="auto"/>
              </w:rPr>
            </w:pPr>
            <w:r>
              <w:rPr>
                <w:rFonts w:ascii="Arial" w:cs="Arial" w:eastAsia="Arial" w:hAnsi="Arial"/>
                <w:sz w:val="18"/>
                <w:szCs w:val="18"/>
                <w:color w:val="auto"/>
              </w:rPr>
              <w:t>LPA</w:t>
            </w:r>
          </w:p>
        </w:tc>
        <w:tc>
          <w:tcPr>
            <w:tcW w:w="3780" w:type="dxa"/>
            <w:vAlign w:val="bottom"/>
            <w:tcBorders>
              <w:bottom w:val="single" w:sz="8" w:color="auto"/>
              <w:right w:val="single" w:sz="8" w:color="auto"/>
            </w:tcBorders>
          </w:tcPr>
          <w:p>
            <w:pPr>
              <w:ind w:left="520"/>
              <w:spacing w:after="0"/>
              <w:rPr>
                <w:sz w:val="20"/>
                <w:szCs w:val="20"/>
                <w:color w:val="auto"/>
              </w:rPr>
            </w:pPr>
            <w:r>
              <w:rPr>
                <w:rFonts w:ascii="Arial" w:cs="Arial" w:eastAsia="Arial" w:hAnsi="Arial"/>
                <w:sz w:val="18"/>
                <w:szCs w:val="18"/>
                <w:color w:val="auto"/>
              </w:rPr>
              <w:t>2036</w:t>
            </w:r>
          </w:p>
        </w:tc>
      </w:tr>
      <w:tr>
        <w:trPr>
          <w:trHeight w:val="210"/>
        </w:trPr>
        <w:tc>
          <w:tcPr>
            <w:tcW w:w="5420" w:type="dxa"/>
            <w:vAlign w:val="bottom"/>
            <w:tcBorders>
              <w:left w:val="single" w:sz="8" w:color="auto"/>
              <w:bottom w:val="single" w:sz="8" w:color="auto"/>
              <w:right w:val="single" w:sz="8" w:color="auto"/>
            </w:tcBorders>
          </w:tcPr>
          <w:p>
            <w:pPr>
              <w:ind w:left="560"/>
              <w:spacing w:after="0"/>
              <w:rPr>
                <w:sz w:val="20"/>
                <w:szCs w:val="20"/>
                <w:color w:val="auto"/>
              </w:rPr>
            </w:pPr>
            <w:r>
              <w:rPr>
                <w:rFonts w:ascii="Arial" w:cs="Arial" w:eastAsia="Arial" w:hAnsi="Arial"/>
                <w:sz w:val="18"/>
                <w:szCs w:val="18"/>
                <w:color w:val="auto"/>
              </w:rPr>
              <w:t>Factor 12</w:t>
            </w:r>
          </w:p>
        </w:tc>
        <w:tc>
          <w:tcPr>
            <w:tcW w:w="3780" w:type="dxa"/>
            <w:vAlign w:val="bottom"/>
            <w:tcBorders>
              <w:bottom w:val="single" w:sz="8" w:color="auto"/>
              <w:right w:val="single" w:sz="8" w:color="auto"/>
            </w:tcBorders>
          </w:tcPr>
          <w:p>
            <w:pPr>
              <w:ind w:left="520"/>
              <w:spacing w:after="0"/>
              <w:rPr>
                <w:sz w:val="20"/>
                <w:szCs w:val="20"/>
                <w:color w:val="auto"/>
              </w:rPr>
            </w:pPr>
            <w:r>
              <w:rPr>
                <w:rFonts w:ascii="Arial" w:cs="Arial" w:eastAsia="Arial" w:hAnsi="Arial"/>
                <w:sz w:val="18"/>
                <w:szCs w:val="18"/>
                <w:color w:val="auto"/>
              </w:rPr>
              <w:t>2036</w:t>
            </w:r>
          </w:p>
        </w:tc>
      </w:tr>
      <w:tr>
        <w:trPr>
          <w:trHeight w:val="210"/>
        </w:trPr>
        <w:tc>
          <w:tcPr>
            <w:tcW w:w="5420" w:type="dxa"/>
            <w:vAlign w:val="bottom"/>
            <w:tcBorders>
              <w:left w:val="single" w:sz="8" w:color="auto"/>
              <w:bottom w:val="single" w:sz="8" w:color="auto"/>
              <w:right w:val="single" w:sz="8" w:color="auto"/>
            </w:tcBorders>
          </w:tcPr>
          <w:p>
            <w:pPr>
              <w:ind w:left="560"/>
              <w:spacing w:after="0"/>
              <w:rPr>
                <w:sz w:val="20"/>
                <w:szCs w:val="20"/>
                <w:color w:val="auto"/>
              </w:rPr>
            </w:pPr>
            <w:r>
              <w:rPr>
                <w:rFonts w:ascii="Arial" w:cs="Arial" w:eastAsia="Arial" w:hAnsi="Arial"/>
                <w:sz w:val="18"/>
                <w:szCs w:val="18"/>
                <w:color w:val="auto"/>
              </w:rPr>
              <w:t>HIF2α</w:t>
            </w:r>
          </w:p>
        </w:tc>
        <w:tc>
          <w:tcPr>
            <w:tcW w:w="3780" w:type="dxa"/>
            <w:vAlign w:val="bottom"/>
            <w:tcBorders>
              <w:bottom w:val="single" w:sz="8" w:color="auto"/>
              <w:right w:val="single" w:sz="8" w:color="auto"/>
            </w:tcBorders>
          </w:tcPr>
          <w:p>
            <w:pPr>
              <w:ind w:left="520"/>
              <w:spacing w:after="0"/>
              <w:rPr>
                <w:sz w:val="20"/>
                <w:szCs w:val="20"/>
                <w:color w:val="auto"/>
              </w:rPr>
            </w:pPr>
            <w:r>
              <w:rPr>
                <w:rFonts w:ascii="Arial" w:cs="Arial" w:eastAsia="Arial" w:hAnsi="Arial"/>
                <w:sz w:val="18"/>
                <w:szCs w:val="18"/>
                <w:color w:val="auto"/>
              </w:rPr>
              <w:t>2034, 2036</w:t>
            </w:r>
          </w:p>
        </w:tc>
      </w:tr>
      <w:tr>
        <w:trPr>
          <w:trHeight w:val="210"/>
        </w:trPr>
        <w:tc>
          <w:tcPr>
            <w:tcW w:w="5420" w:type="dxa"/>
            <w:vAlign w:val="bottom"/>
            <w:tcBorders>
              <w:left w:val="single" w:sz="8" w:color="auto"/>
              <w:bottom w:val="single" w:sz="8" w:color="auto"/>
              <w:right w:val="single" w:sz="8" w:color="auto"/>
            </w:tcBorders>
          </w:tcPr>
          <w:p>
            <w:pPr>
              <w:ind w:left="560"/>
              <w:spacing w:after="0"/>
              <w:rPr>
                <w:sz w:val="20"/>
                <w:szCs w:val="20"/>
                <w:color w:val="auto"/>
              </w:rPr>
            </w:pPr>
            <w:r>
              <w:rPr>
                <w:rFonts w:ascii="Arial" w:cs="Arial" w:eastAsia="Arial" w:hAnsi="Arial"/>
                <w:sz w:val="18"/>
                <w:szCs w:val="18"/>
                <w:color w:val="auto"/>
              </w:rPr>
              <w:t>RRM2</w:t>
            </w:r>
          </w:p>
        </w:tc>
        <w:tc>
          <w:tcPr>
            <w:tcW w:w="3780" w:type="dxa"/>
            <w:vAlign w:val="bottom"/>
            <w:tcBorders>
              <w:bottom w:val="single" w:sz="8" w:color="auto"/>
              <w:right w:val="single" w:sz="8" w:color="auto"/>
            </w:tcBorders>
          </w:tcPr>
          <w:p>
            <w:pPr>
              <w:ind w:left="520"/>
              <w:spacing w:after="0"/>
              <w:rPr>
                <w:sz w:val="20"/>
                <w:szCs w:val="20"/>
                <w:color w:val="auto"/>
              </w:rPr>
            </w:pPr>
            <w:r>
              <w:rPr>
                <w:rFonts w:ascii="Arial" w:cs="Arial" w:eastAsia="Arial" w:hAnsi="Arial"/>
                <w:sz w:val="18"/>
                <w:szCs w:val="18"/>
                <w:color w:val="auto"/>
              </w:rPr>
              <w:t>2031</w:t>
            </w:r>
          </w:p>
        </w:tc>
      </w:tr>
      <w:tr>
        <w:trPr>
          <w:trHeight w:val="210"/>
        </w:trPr>
        <w:tc>
          <w:tcPr>
            <w:tcW w:w="5420" w:type="dxa"/>
            <w:vAlign w:val="bottom"/>
            <w:tcBorders>
              <w:left w:val="single" w:sz="8" w:color="auto"/>
              <w:bottom w:val="single" w:sz="8" w:color="auto"/>
              <w:right w:val="single" w:sz="8" w:color="auto"/>
            </w:tcBorders>
          </w:tcPr>
          <w:p>
            <w:pPr>
              <w:ind w:left="560"/>
              <w:spacing w:after="0"/>
              <w:rPr>
                <w:sz w:val="20"/>
                <w:szCs w:val="20"/>
                <w:color w:val="auto"/>
              </w:rPr>
            </w:pPr>
            <w:r>
              <w:rPr>
                <w:rFonts w:ascii="Arial" w:cs="Arial" w:eastAsia="Arial" w:hAnsi="Arial"/>
                <w:sz w:val="18"/>
                <w:szCs w:val="18"/>
                <w:color w:val="auto"/>
              </w:rPr>
              <w:t>APOC3</w:t>
            </w:r>
          </w:p>
        </w:tc>
        <w:tc>
          <w:tcPr>
            <w:tcW w:w="3780" w:type="dxa"/>
            <w:vAlign w:val="bottom"/>
            <w:tcBorders>
              <w:bottom w:val="single" w:sz="8" w:color="auto"/>
              <w:right w:val="single" w:sz="8" w:color="auto"/>
            </w:tcBorders>
          </w:tcPr>
          <w:p>
            <w:pPr>
              <w:ind w:left="520"/>
              <w:spacing w:after="0"/>
              <w:rPr>
                <w:sz w:val="20"/>
                <w:szCs w:val="20"/>
                <w:color w:val="auto"/>
              </w:rPr>
            </w:pPr>
            <w:r>
              <w:rPr>
                <w:rFonts w:ascii="Arial" w:cs="Arial" w:eastAsia="Arial" w:hAnsi="Arial"/>
                <w:sz w:val="18"/>
                <w:szCs w:val="18"/>
                <w:color w:val="auto"/>
              </w:rPr>
              <w:t>2035</w:t>
            </w:r>
          </w:p>
        </w:tc>
      </w:tr>
      <w:tr>
        <w:trPr>
          <w:trHeight w:val="210"/>
        </w:trPr>
        <w:tc>
          <w:tcPr>
            <w:tcW w:w="5420" w:type="dxa"/>
            <w:vAlign w:val="bottom"/>
            <w:tcBorders>
              <w:left w:val="single" w:sz="8" w:color="auto"/>
              <w:bottom w:val="single" w:sz="8" w:color="auto"/>
              <w:right w:val="single" w:sz="8" w:color="auto"/>
            </w:tcBorders>
          </w:tcPr>
          <w:p>
            <w:pPr>
              <w:ind w:left="560"/>
              <w:spacing w:after="0"/>
              <w:rPr>
                <w:sz w:val="20"/>
                <w:szCs w:val="20"/>
                <w:color w:val="auto"/>
              </w:rPr>
            </w:pPr>
            <w:r>
              <w:rPr>
                <w:rFonts w:ascii="Arial" w:cs="Arial" w:eastAsia="Arial" w:hAnsi="Arial"/>
                <w:sz w:val="18"/>
                <w:szCs w:val="18"/>
                <w:color w:val="auto"/>
              </w:rPr>
              <w:t>α-ENaC</w:t>
            </w:r>
          </w:p>
        </w:tc>
        <w:tc>
          <w:tcPr>
            <w:tcW w:w="3780" w:type="dxa"/>
            <w:vAlign w:val="bottom"/>
            <w:tcBorders>
              <w:bottom w:val="single" w:sz="8" w:color="auto"/>
              <w:right w:val="single" w:sz="8" w:color="auto"/>
            </w:tcBorders>
          </w:tcPr>
          <w:p>
            <w:pPr>
              <w:ind w:left="520"/>
              <w:spacing w:after="0"/>
              <w:rPr>
                <w:sz w:val="20"/>
                <w:szCs w:val="20"/>
                <w:color w:val="auto"/>
              </w:rPr>
            </w:pPr>
            <w:r>
              <w:rPr>
                <w:rFonts w:ascii="Arial" w:cs="Arial" w:eastAsia="Arial" w:hAnsi="Arial"/>
                <w:sz w:val="18"/>
                <w:szCs w:val="18"/>
                <w:color w:val="auto"/>
              </w:rPr>
              <w:t>2028</w:t>
            </w:r>
          </w:p>
        </w:tc>
      </w:tr>
      <w:tr>
        <w:trPr>
          <w:trHeight w:val="210"/>
        </w:trPr>
        <w:tc>
          <w:tcPr>
            <w:tcW w:w="5420" w:type="dxa"/>
            <w:vAlign w:val="bottom"/>
            <w:tcBorders>
              <w:left w:val="single" w:sz="8" w:color="auto"/>
              <w:bottom w:val="single" w:sz="8" w:color="auto"/>
              <w:right w:val="single" w:sz="8" w:color="auto"/>
            </w:tcBorders>
          </w:tcPr>
          <w:p>
            <w:pPr>
              <w:ind w:left="560"/>
              <w:spacing w:after="0"/>
              <w:rPr>
                <w:sz w:val="20"/>
                <w:szCs w:val="20"/>
                <w:color w:val="auto"/>
              </w:rPr>
            </w:pPr>
            <w:r>
              <w:rPr>
                <w:rFonts w:ascii="Arial" w:cs="Arial" w:eastAsia="Arial" w:hAnsi="Arial"/>
                <w:sz w:val="18"/>
                <w:szCs w:val="18"/>
                <w:color w:val="auto"/>
              </w:rPr>
              <w:t>β-ENaC</w:t>
            </w:r>
          </w:p>
        </w:tc>
        <w:tc>
          <w:tcPr>
            <w:tcW w:w="3780" w:type="dxa"/>
            <w:vAlign w:val="bottom"/>
            <w:tcBorders>
              <w:bottom w:val="single" w:sz="8" w:color="auto"/>
              <w:right w:val="single" w:sz="8" w:color="auto"/>
            </w:tcBorders>
          </w:tcPr>
          <w:p>
            <w:pPr>
              <w:ind w:left="520"/>
              <w:spacing w:after="0"/>
              <w:rPr>
                <w:sz w:val="20"/>
                <w:szCs w:val="20"/>
                <w:color w:val="auto"/>
              </w:rPr>
            </w:pPr>
            <w:r>
              <w:rPr>
                <w:rFonts w:ascii="Arial" w:cs="Arial" w:eastAsia="Arial" w:hAnsi="Arial"/>
                <w:sz w:val="18"/>
                <w:szCs w:val="18"/>
                <w:color w:val="auto"/>
              </w:rPr>
              <w:t>2031</w:t>
            </w:r>
          </w:p>
        </w:tc>
      </w:tr>
      <w:tr>
        <w:trPr>
          <w:trHeight w:val="210"/>
        </w:trPr>
        <w:tc>
          <w:tcPr>
            <w:tcW w:w="5420" w:type="dxa"/>
            <w:vAlign w:val="bottom"/>
            <w:tcBorders>
              <w:left w:val="single" w:sz="8" w:color="auto"/>
              <w:bottom w:val="single" w:sz="8" w:color="auto"/>
              <w:right w:val="single" w:sz="8" w:color="auto"/>
            </w:tcBorders>
          </w:tcPr>
          <w:p>
            <w:pPr>
              <w:ind w:left="560"/>
              <w:spacing w:after="0"/>
              <w:rPr>
                <w:sz w:val="20"/>
                <w:szCs w:val="20"/>
                <w:color w:val="auto"/>
              </w:rPr>
            </w:pPr>
            <w:r>
              <w:rPr>
                <w:rFonts w:ascii="Arial" w:cs="Arial" w:eastAsia="Arial" w:hAnsi="Arial"/>
                <w:sz w:val="18"/>
                <w:szCs w:val="18"/>
                <w:color w:val="auto"/>
              </w:rPr>
              <w:t>β-Catenin</w:t>
            </w:r>
          </w:p>
        </w:tc>
        <w:tc>
          <w:tcPr>
            <w:tcW w:w="3780" w:type="dxa"/>
            <w:vAlign w:val="bottom"/>
            <w:tcBorders>
              <w:bottom w:val="single" w:sz="8" w:color="auto"/>
              <w:right w:val="single" w:sz="8" w:color="auto"/>
            </w:tcBorders>
          </w:tcPr>
          <w:p>
            <w:pPr>
              <w:ind w:left="520"/>
              <w:spacing w:after="0"/>
              <w:rPr>
                <w:sz w:val="20"/>
                <w:szCs w:val="20"/>
                <w:color w:val="auto"/>
              </w:rPr>
            </w:pPr>
            <w:r>
              <w:rPr>
                <w:rFonts w:ascii="Arial" w:cs="Arial" w:eastAsia="Arial" w:hAnsi="Arial"/>
                <w:sz w:val="18"/>
                <w:szCs w:val="18"/>
                <w:color w:val="auto"/>
              </w:rPr>
              <w:t>2033</w:t>
            </w:r>
          </w:p>
        </w:tc>
      </w:tr>
      <w:tr>
        <w:trPr>
          <w:trHeight w:val="210"/>
        </w:trPr>
        <w:tc>
          <w:tcPr>
            <w:tcW w:w="5420" w:type="dxa"/>
            <w:vAlign w:val="bottom"/>
            <w:tcBorders>
              <w:left w:val="single" w:sz="8" w:color="auto"/>
              <w:bottom w:val="single" w:sz="8" w:color="auto"/>
              <w:right w:val="single" w:sz="8" w:color="auto"/>
            </w:tcBorders>
          </w:tcPr>
          <w:p>
            <w:pPr>
              <w:ind w:left="560"/>
              <w:spacing w:after="0"/>
              <w:rPr>
                <w:sz w:val="20"/>
                <w:szCs w:val="20"/>
                <w:color w:val="auto"/>
              </w:rPr>
            </w:pPr>
            <w:r>
              <w:rPr>
                <w:rFonts w:ascii="Arial" w:cs="Arial" w:eastAsia="Arial" w:hAnsi="Arial"/>
                <w:sz w:val="18"/>
                <w:szCs w:val="18"/>
                <w:color w:val="auto"/>
              </w:rPr>
              <w:t>Cx43</w:t>
            </w:r>
          </w:p>
        </w:tc>
        <w:tc>
          <w:tcPr>
            <w:tcW w:w="3780" w:type="dxa"/>
            <w:vAlign w:val="bottom"/>
            <w:tcBorders>
              <w:bottom w:val="single" w:sz="8" w:color="auto"/>
              <w:right w:val="single" w:sz="8" w:color="auto"/>
            </w:tcBorders>
          </w:tcPr>
          <w:p>
            <w:pPr>
              <w:ind w:left="520"/>
              <w:spacing w:after="0"/>
              <w:rPr>
                <w:sz w:val="20"/>
                <w:szCs w:val="20"/>
                <w:color w:val="auto"/>
              </w:rPr>
            </w:pPr>
            <w:r>
              <w:rPr>
                <w:rFonts w:ascii="Arial" w:cs="Arial" w:eastAsia="Arial" w:hAnsi="Arial"/>
                <w:sz w:val="18"/>
                <w:szCs w:val="18"/>
                <w:color w:val="auto"/>
              </w:rPr>
              <w:t>2029</w:t>
            </w:r>
          </w:p>
        </w:tc>
      </w:tr>
      <w:tr>
        <w:trPr>
          <w:trHeight w:val="210"/>
        </w:trPr>
        <w:tc>
          <w:tcPr>
            <w:tcW w:w="5420" w:type="dxa"/>
            <w:vAlign w:val="bottom"/>
            <w:tcBorders>
              <w:left w:val="single" w:sz="8" w:color="auto"/>
              <w:bottom w:val="single" w:sz="8" w:color="auto"/>
              <w:right w:val="single" w:sz="8" w:color="auto"/>
            </w:tcBorders>
          </w:tcPr>
          <w:p>
            <w:pPr>
              <w:ind w:left="560"/>
              <w:spacing w:after="0"/>
              <w:rPr>
                <w:sz w:val="20"/>
                <w:szCs w:val="20"/>
                <w:color w:val="auto"/>
              </w:rPr>
            </w:pPr>
            <w:r>
              <w:rPr>
                <w:rFonts w:ascii="Arial" w:cs="Arial" w:eastAsia="Arial" w:hAnsi="Arial"/>
                <w:sz w:val="18"/>
                <w:szCs w:val="18"/>
                <w:color w:val="auto"/>
              </w:rPr>
              <w:t>HCV</w:t>
            </w:r>
          </w:p>
        </w:tc>
        <w:tc>
          <w:tcPr>
            <w:tcW w:w="3780" w:type="dxa"/>
            <w:vAlign w:val="bottom"/>
            <w:tcBorders>
              <w:bottom w:val="single" w:sz="8" w:color="auto"/>
              <w:right w:val="single" w:sz="8" w:color="auto"/>
            </w:tcBorders>
          </w:tcPr>
          <w:p>
            <w:pPr>
              <w:ind w:left="520"/>
              <w:spacing w:after="0"/>
              <w:rPr>
                <w:sz w:val="20"/>
                <w:szCs w:val="20"/>
                <w:color w:val="auto"/>
              </w:rPr>
            </w:pPr>
            <w:r>
              <w:rPr>
                <w:rFonts w:ascii="Arial" w:cs="Arial" w:eastAsia="Arial" w:hAnsi="Arial"/>
                <w:sz w:val="18"/>
                <w:szCs w:val="18"/>
                <w:color w:val="auto"/>
              </w:rPr>
              <w:t>2023</w:t>
            </w:r>
          </w:p>
        </w:tc>
      </w:tr>
      <w:tr>
        <w:trPr>
          <w:trHeight w:val="210"/>
        </w:trPr>
        <w:tc>
          <w:tcPr>
            <w:tcW w:w="5420" w:type="dxa"/>
            <w:vAlign w:val="bottom"/>
            <w:tcBorders>
              <w:left w:val="single" w:sz="8" w:color="auto"/>
              <w:bottom w:val="single" w:sz="8" w:color="auto"/>
              <w:right w:val="single" w:sz="8" w:color="auto"/>
            </w:tcBorders>
          </w:tcPr>
          <w:p>
            <w:pPr>
              <w:ind w:left="560"/>
              <w:spacing w:after="0"/>
              <w:rPr>
                <w:sz w:val="20"/>
                <w:szCs w:val="20"/>
                <w:color w:val="auto"/>
              </w:rPr>
            </w:pPr>
            <w:r>
              <w:rPr>
                <w:rFonts w:ascii="Arial" w:cs="Arial" w:eastAsia="Arial" w:hAnsi="Arial"/>
                <w:sz w:val="18"/>
                <w:szCs w:val="18"/>
                <w:color w:val="auto"/>
              </w:rPr>
              <w:t>HIF1A</w:t>
            </w:r>
          </w:p>
        </w:tc>
        <w:tc>
          <w:tcPr>
            <w:tcW w:w="3780" w:type="dxa"/>
            <w:vAlign w:val="bottom"/>
            <w:tcBorders>
              <w:bottom w:val="single" w:sz="8" w:color="auto"/>
              <w:right w:val="single" w:sz="8" w:color="auto"/>
            </w:tcBorders>
          </w:tcPr>
          <w:p>
            <w:pPr>
              <w:ind w:left="520"/>
              <w:spacing w:after="0"/>
              <w:rPr>
                <w:sz w:val="20"/>
                <w:szCs w:val="20"/>
                <w:color w:val="auto"/>
              </w:rPr>
            </w:pPr>
            <w:r>
              <w:rPr>
                <w:rFonts w:ascii="Arial" w:cs="Arial" w:eastAsia="Arial" w:hAnsi="Arial"/>
                <w:sz w:val="18"/>
                <w:szCs w:val="18"/>
                <w:color w:val="auto"/>
              </w:rPr>
              <w:t>2026</w:t>
            </w:r>
          </w:p>
        </w:tc>
      </w:tr>
      <w:tr>
        <w:trPr>
          <w:trHeight w:val="210"/>
        </w:trPr>
        <w:tc>
          <w:tcPr>
            <w:tcW w:w="5420" w:type="dxa"/>
            <w:vAlign w:val="bottom"/>
            <w:tcBorders>
              <w:left w:val="single" w:sz="8" w:color="auto"/>
              <w:bottom w:val="single" w:sz="8" w:color="auto"/>
              <w:right w:val="single" w:sz="8" w:color="auto"/>
            </w:tcBorders>
          </w:tcPr>
          <w:p>
            <w:pPr>
              <w:ind w:left="560"/>
              <w:spacing w:after="0"/>
              <w:rPr>
                <w:sz w:val="20"/>
                <w:szCs w:val="20"/>
                <w:color w:val="auto"/>
              </w:rPr>
            </w:pPr>
            <w:r>
              <w:rPr>
                <w:rFonts w:ascii="Arial" w:cs="Arial" w:eastAsia="Arial" w:hAnsi="Arial"/>
                <w:sz w:val="18"/>
                <w:szCs w:val="18"/>
                <w:color w:val="auto"/>
              </w:rPr>
              <w:t>HRH1</w:t>
            </w:r>
          </w:p>
        </w:tc>
        <w:tc>
          <w:tcPr>
            <w:tcW w:w="3780" w:type="dxa"/>
            <w:vAlign w:val="bottom"/>
            <w:tcBorders>
              <w:bottom w:val="single" w:sz="8" w:color="auto"/>
              <w:right w:val="single" w:sz="8" w:color="auto"/>
            </w:tcBorders>
          </w:tcPr>
          <w:p>
            <w:pPr>
              <w:ind w:left="520"/>
              <w:spacing w:after="0"/>
              <w:rPr>
                <w:sz w:val="20"/>
                <w:szCs w:val="20"/>
                <w:color w:val="auto"/>
              </w:rPr>
            </w:pPr>
            <w:r>
              <w:rPr>
                <w:rFonts w:ascii="Arial" w:cs="Arial" w:eastAsia="Arial" w:hAnsi="Arial"/>
                <w:sz w:val="18"/>
                <w:szCs w:val="18"/>
                <w:color w:val="auto"/>
              </w:rPr>
              <w:t>2027</w:t>
            </w:r>
          </w:p>
        </w:tc>
      </w:tr>
      <w:tr>
        <w:trPr>
          <w:trHeight w:val="210"/>
        </w:trPr>
        <w:tc>
          <w:tcPr>
            <w:tcW w:w="5420" w:type="dxa"/>
            <w:vAlign w:val="bottom"/>
            <w:tcBorders>
              <w:left w:val="single" w:sz="8" w:color="auto"/>
              <w:bottom w:val="single" w:sz="8" w:color="auto"/>
              <w:right w:val="single" w:sz="8" w:color="auto"/>
            </w:tcBorders>
          </w:tcPr>
          <w:p>
            <w:pPr>
              <w:ind w:left="560"/>
              <w:spacing w:after="0"/>
              <w:rPr>
                <w:sz w:val="20"/>
                <w:szCs w:val="20"/>
                <w:color w:val="auto"/>
              </w:rPr>
            </w:pPr>
            <w:r>
              <w:rPr>
                <w:rFonts w:ascii="Arial" w:cs="Arial" w:eastAsia="Arial" w:hAnsi="Arial"/>
                <w:sz w:val="18"/>
                <w:szCs w:val="18"/>
                <w:color w:val="auto"/>
              </w:rPr>
              <w:t>HSF1</w:t>
            </w:r>
          </w:p>
        </w:tc>
        <w:tc>
          <w:tcPr>
            <w:tcW w:w="3780" w:type="dxa"/>
            <w:vAlign w:val="bottom"/>
            <w:tcBorders>
              <w:bottom w:val="single" w:sz="8" w:color="auto"/>
              <w:right w:val="single" w:sz="8" w:color="auto"/>
            </w:tcBorders>
          </w:tcPr>
          <w:p>
            <w:pPr>
              <w:ind w:left="520"/>
              <w:spacing w:after="0"/>
              <w:rPr>
                <w:sz w:val="20"/>
                <w:szCs w:val="20"/>
                <w:color w:val="auto"/>
              </w:rPr>
            </w:pPr>
            <w:r>
              <w:rPr>
                <w:rFonts w:ascii="Arial" w:cs="Arial" w:eastAsia="Arial" w:hAnsi="Arial"/>
                <w:sz w:val="18"/>
                <w:szCs w:val="18"/>
                <w:color w:val="auto"/>
              </w:rPr>
              <w:t>2030, 2032</w:t>
            </w:r>
          </w:p>
        </w:tc>
      </w:tr>
      <w:tr>
        <w:trPr>
          <w:trHeight w:val="210"/>
        </w:trPr>
        <w:tc>
          <w:tcPr>
            <w:tcW w:w="5420" w:type="dxa"/>
            <w:vAlign w:val="bottom"/>
            <w:tcBorders>
              <w:left w:val="single" w:sz="8" w:color="auto"/>
              <w:bottom w:val="single" w:sz="8" w:color="auto"/>
              <w:right w:val="single" w:sz="8" w:color="auto"/>
            </w:tcBorders>
          </w:tcPr>
          <w:p>
            <w:pPr>
              <w:ind w:left="560"/>
              <w:spacing w:after="0"/>
              <w:rPr>
                <w:sz w:val="20"/>
                <w:szCs w:val="20"/>
                <w:color w:val="auto"/>
              </w:rPr>
            </w:pPr>
            <w:r>
              <w:rPr>
                <w:rFonts w:ascii="Arial" w:cs="Arial" w:eastAsia="Arial" w:hAnsi="Arial"/>
                <w:sz w:val="18"/>
                <w:szCs w:val="18"/>
                <w:color w:val="auto"/>
              </w:rPr>
              <w:t>FRP-1</w:t>
            </w:r>
          </w:p>
        </w:tc>
        <w:tc>
          <w:tcPr>
            <w:tcW w:w="3780" w:type="dxa"/>
            <w:vAlign w:val="bottom"/>
            <w:tcBorders>
              <w:bottom w:val="single" w:sz="8" w:color="auto"/>
              <w:right w:val="single" w:sz="8" w:color="auto"/>
            </w:tcBorders>
          </w:tcPr>
          <w:p>
            <w:pPr>
              <w:ind w:left="520"/>
              <w:spacing w:after="0"/>
              <w:rPr>
                <w:sz w:val="20"/>
                <w:szCs w:val="20"/>
                <w:color w:val="auto"/>
              </w:rPr>
            </w:pPr>
            <w:r>
              <w:rPr>
                <w:rFonts w:ascii="Arial" w:cs="Arial" w:eastAsia="Arial" w:hAnsi="Arial"/>
                <w:sz w:val="18"/>
                <w:szCs w:val="18"/>
                <w:color w:val="auto"/>
              </w:rPr>
              <w:t>2026</w:t>
            </w:r>
          </w:p>
        </w:tc>
      </w:tr>
      <w:tr>
        <w:trPr>
          <w:trHeight w:val="210"/>
        </w:trPr>
        <w:tc>
          <w:tcPr>
            <w:tcW w:w="5420" w:type="dxa"/>
            <w:vAlign w:val="bottom"/>
            <w:tcBorders>
              <w:left w:val="single" w:sz="8" w:color="auto"/>
              <w:bottom w:val="single" w:sz="8" w:color="auto"/>
              <w:right w:val="single" w:sz="8" w:color="auto"/>
            </w:tcBorders>
          </w:tcPr>
          <w:p>
            <w:pPr>
              <w:ind w:left="560"/>
              <w:spacing w:after="0"/>
              <w:rPr>
                <w:sz w:val="20"/>
                <w:szCs w:val="20"/>
                <w:color w:val="auto"/>
              </w:rPr>
            </w:pPr>
            <w:r>
              <w:rPr>
                <w:rFonts w:ascii="Arial" w:cs="Arial" w:eastAsia="Arial" w:hAnsi="Arial"/>
                <w:sz w:val="18"/>
                <w:szCs w:val="18"/>
                <w:color w:val="auto"/>
              </w:rPr>
              <w:t>KRAS</w:t>
            </w:r>
          </w:p>
        </w:tc>
        <w:tc>
          <w:tcPr>
            <w:tcW w:w="3780" w:type="dxa"/>
            <w:vAlign w:val="bottom"/>
            <w:tcBorders>
              <w:bottom w:val="single" w:sz="8" w:color="auto"/>
              <w:right w:val="single" w:sz="8" w:color="auto"/>
            </w:tcBorders>
          </w:tcPr>
          <w:p>
            <w:pPr>
              <w:ind w:left="520"/>
              <w:spacing w:after="0"/>
              <w:rPr>
                <w:sz w:val="20"/>
                <w:szCs w:val="20"/>
                <w:color w:val="auto"/>
              </w:rPr>
            </w:pPr>
            <w:r>
              <w:rPr>
                <w:rFonts w:ascii="Arial" w:cs="Arial" w:eastAsia="Arial" w:hAnsi="Arial"/>
                <w:sz w:val="18"/>
                <w:szCs w:val="18"/>
                <w:color w:val="auto"/>
              </w:rPr>
              <w:t>2033</w:t>
            </w:r>
          </w:p>
        </w:tc>
      </w:tr>
      <w:tr>
        <w:trPr>
          <w:trHeight w:val="210"/>
        </w:trPr>
        <w:tc>
          <w:tcPr>
            <w:tcW w:w="5420" w:type="dxa"/>
            <w:vAlign w:val="bottom"/>
            <w:tcBorders>
              <w:left w:val="single" w:sz="8" w:color="auto"/>
              <w:bottom w:val="single" w:sz="8" w:color="auto"/>
              <w:right w:val="single" w:sz="8" w:color="auto"/>
            </w:tcBorders>
          </w:tcPr>
          <w:p>
            <w:pPr>
              <w:ind w:left="560"/>
              <w:spacing w:after="0"/>
              <w:rPr>
                <w:sz w:val="20"/>
                <w:szCs w:val="20"/>
                <w:color w:val="auto"/>
              </w:rPr>
            </w:pPr>
            <w:r>
              <w:rPr>
                <w:rFonts w:ascii="Arial" w:cs="Arial" w:eastAsia="Arial" w:hAnsi="Arial"/>
                <w:sz w:val="18"/>
                <w:szCs w:val="18"/>
                <w:color w:val="auto"/>
              </w:rPr>
              <w:t>PDtype4</w:t>
            </w:r>
          </w:p>
        </w:tc>
        <w:tc>
          <w:tcPr>
            <w:tcW w:w="3780" w:type="dxa"/>
            <w:vAlign w:val="bottom"/>
            <w:tcBorders>
              <w:bottom w:val="single" w:sz="8" w:color="auto"/>
              <w:right w:val="single" w:sz="8" w:color="auto"/>
            </w:tcBorders>
          </w:tcPr>
          <w:p>
            <w:pPr>
              <w:ind w:left="520"/>
              <w:spacing w:after="0"/>
              <w:rPr>
                <w:sz w:val="20"/>
                <w:szCs w:val="20"/>
                <w:color w:val="auto"/>
              </w:rPr>
            </w:pPr>
            <w:r>
              <w:rPr>
                <w:rFonts w:ascii="Arial" w:cs="Arial" w:eastAsia="Arial" w:hAnsi="Arial"/>
                <w:sz w:val="18"/>
                <w:szCs w:val="18"/>
                <w:color w:val="auto"/>
              </w:rPr>
              <w:t>2026</w:t>
            </w:r>
          </w:p>
        </w:tc>
      </w:tr>
      <w:tr>
        <w:trPr>
          <w:trHeight w:val="210"/>
        </w:trPr>
        <w:tc>
          <w:tcPr>
            <w:tcW w:w="5420" w:type="dxa"/>
            <w:vAlign w:val="bottom"/>
            <w:tcBorders>
              <w:left w:val="single" w:sz="8" w:color="auto"/>
              <w:bottom w:val="single" w:sz="8" w:color="auto"/>
              <w:right w:val="single" w:sz="8" w:color="auto"/>
            </w:tcBorders>
          </w:tcPr>
          <w:p>
            <w:pPr>
              <w:ind w:left="560"/>
              <w:spacing w:after="0"/>
              <w:rPr>
                <w:sz w:val="20"/>
                <w:szCs w:val="20"/>
                <w:color w:val="auto"/>
              </w:rPr>
            </w:pPr>
            <w:r>
              <w:rPr>
                <w:rFonts w:ascii="Arial" w:cs="Arial" w:eastAsia="Arial" w:hAnsi="Arial"/>
                <w:sz w:val="18"/>
                <w:szCs w:val="18"/>
                <w:color w:val="auto"/>
              </w:rPr>
              <w:t>PI4Kinase</w:t>
            </w:r>
          </w:p>
        </w:tc>
        <w:tc>
          <w:tcPr>
            <w:tcW w:w="3780" w:type="dxa"/>
            <w:vAlign w:val="bottom"/>
            <w:tcBorders>
              <w:bottom w:val="single" w:sz="8" w:color="auto"/>
              <w:right w:val="single" w:sz="8" w:color="auto"/>
            </w:tcBorders>
          </w:tcPr>
          <w:p>
            <w:pPr>
              <w:ind w:left="520"/>
              <w:spacing w:after="0"/>
              <w:rPr>
                <w:sz w:val="20"/>
                <w:szCs w:val="20"/>
                <w:color w:val="auto"/>
              </w:rPr>
            </w:pPr>
            <w:r>
              <w:rPr>
                <w:rFonts w:ascii="Arial" w:cs="Arial" w:eastAsia="Arial" w:hAnsi="Arial"/>
                <w:sz w:val="18"/>
                <w:szCs w:val="18"/>
                <w:color w:val="auto"/>
              </w:rPr>
              <w:t>2028</w:t>
            </w:r>
          </w:p>
        </w:tc>
      </w:tr>
      <w:tr>
        <w:trPr>
          <w:trHeight w:val="210"/>
        </w:trPr>
        <w:tc>
          <w:tcPr>
            <w:tcW w:w="5420" w:type="dxa"/>
            <w:vAlign w:val="bottom"/>
            <w:tcBorders>
              <w:left w:val="single" w:sz="8" w:color="auto"/>
              <w:bottom w:val="single" w:sz="8" w:color="auto"/>
              <w:right w:val="single" w:sz="8" w:color="auto"/>
            </w:tcBorders>
          </w:tcPr>
          <w:p>
            <w:pPr>
              <w:ind w:left="560"/>
              <w:spacing w:after="0"/>
              <w:rPr>
                <w:sz w:val="20"/>
                <w:szCs w:val="20"/>
                <w:color w:val="auto"/>
              </w:rPr>
            </w:pPr>
            <w:r>
              <w:rPr>
                <w:rFonts w:ascii="Arial" w:cs="Arial" w:eastAsia="Arial" w:hAnsi="Arial"/>
                <w:sz w:val="18"/>
                <w:szCs w:val="18"/>
                <w:color w:val="auto"/>
              </w:rPr>
              <w:t>SYK</w:t>
            </w:r>
          </w:p>
        </w:tc>
        <w:tc>
          <w:tcPr>
            <w:tcW w:w="3780" w:type="dxa"/>
            <w:vAlign w:val="bottom"/>
            <w:tcBorders>
              <w:bottom w:val="single" w:sz="8" w:color="auto"/>
              <w:right w:val="single" w:sz="8" w:color="auto"/>
            </w:tcBorders>
          </w:tcPr>
          <w:p>
            <w:pPr>
              <w:ind w:left="520"/>
              <w:spacing w:after="0"/>
              <w:rPr>
                <w:sz w:val="20"/>
                <w:szCs w:val="20"/>
                <w:color w:val="auto"/>
              </w:rPr>
            </w:pPr>
            <w:r>
              <w:rPr>
                <w:rFonts w:ascii="Arial" w:cs="Arial" w:eastAsia="Arial" w:hAnsi="Arial"/>
                <w:sz w:val="18"/>
                <w:szCs w:val="18"/>
                <w:color w:val="auto"/>
              </w:rPr>
              <w:t>2027</w:t>
            </w:r>
          </w:p>
        </w:tc>
      </w:tr>
      <w:tr>
        <w:trPr>
          <w:trHeight w:val="210"/>
        </w:trPr>
        <w:tc>
          <w:tcPr>
            <w:tcW w:w="5420" w:type="dxa"/>
            <w:vAlign w:val="bottom"/>
            <w:tcBorders>
              <w:left w:val="single" w:sz="8" w:color="auto"/>
              <w:bottom w:val="single" w:sz="8" w:color="auto"/>
              <w:right w:val="single" w:sz="8" w:color="auto"/>
            </w:tcBorders>
          </w:tcPr>
          <w:p>
            <w:pPr>
              <w:ind w:left="560"/>
              <w:spacing w:after="0"/>
              <w:rPr>
                <w:sz w:val="20"/>
                <w:szCs w:val="20"/>
                <w:color w:val="auto"/>
              </w:rPr>
            </w:pPr>
            <w:r>
              <w:rPr>
                <w:rFonts w:ascii="Arial" w:cs="Arial" w:eastAsia="Arial" w:hAnsi="Arial"/>
                <w:sz w:val="18"/>
                <w:szCs w:val="18"/>
                <w:color w:val="auto"/>
              </w:rPr>
              <w:t>TNF-α</w:t>
            </w:r>
          </w:p>
        </w:tc>
        <w:tc>
          <w:tcPr>
            <w:tcW w:w="3780" w:type="dxa"/>
            <w:vAlign w:val="bottom"/>
            <w:tcBorders>
              <w:bottom w:val="single" w:sz="8" w:color="auto"/>
              <w:right w:val="single" w:sz="8" w:color="auto"/>
            </w:tcBorders>
          </w:tcPr>
          <w:p>
            <w:pPr>
              <w:ind w:left="520"/>
              <w:spacing w:after="0"/>
              <w:rPr>
                <w:sz w:val="20"/>
                <w:szCs w:val="20"/>
                <w:color w:val="auto"/>
              </w:rPr>
            </w:pPr>
            <w:r>
              <w:rPr>
                <w:rFonts w:ascii="Arial" w:cs="Arial" w:eastAsia="Arial" w:hAnsi="Arial"/>
                <w:sz w:val="18"/>
                <w:szCs w:val="18"/>
                <w:color w:val="auto"/>
              </w:rPr>
              <w:t>2027, 2028</w:t>
            </w:r>
          </w:p>
        </w:tc>
      </w:tr>
    </w:tbl>
    <w:p>
      <w:pPr>
        <w:spacing w:after="0" w:line="306" w:lineRule="exact"/>
        <w:rPr>
          <w:sz w:val="20"/>
          <w:szCs w:val="20"/>
          <w:color w:val="auto"/>
        </w:rPr>
      </w:pPr>
    </w:p>
    <w:p>
      <w:pPr>
        <w:ind w:left="520"/>
        <w:spacing w:after="0"/>
        <w:rPr>
          <w:sz w:val="20"/>
          <w:szCs w:val="20"/>
          <w:color w:val="auto"/>
        </w:rPr>
      </w:pPr>
      <w:r>
        <w:rPr>
          <w:rFonts w:ascii="Arial" w:cs="Arial" w:eastAsia="Arial" w:hAnsi="Arial"/>
          <w:sz w:val="18"/>
          <w:szCs w:val="18"/>
          <w:b w:val="1"/>
          <w:bCs w:val="1"/>
          <w:color w:val="auto"/>
        </w:rPr>
        <w:t>Delivery Technologies</w:t>
      </w:r>
    </w:p>
    <w:p>
      <w:pPr>
        <w:spacing w:after="0" w:line="121" w:lineRule="exact"/>
        <w:rPr>
          <w:sz w:val="20"/>
          <w:szCs w:val="20"/>
          <w:color w:val="auto"/>
        </w:rPr>
      </w:pPr>
    </w:p>
    <w:p>
      <w:pPr>
        <w:ind w:right="20" w:firstLine="518"/>
        <w:spacing w:after="0" w:line="255" w:lineRule="auto"/>
        <w:rPr>
          <w:sz w:val="20"/>
          <w:szCs w:val="20"/>
          <w:color w:val="auto"/>
        </w:rPr>
      </w:pPr>
      <w:r>
        <w:rPr>
          <w:rFonts w:ascii="Arial" w:cs="Arial" w:eastAsia="Arial" w:hAnsi="Arial"/>
          <w:sz w:val="18"/>
          <w:szCs w:val="18"/>
          <w:color w:val="auto"/>
        </w:rPr>
        <w:t>The delivery technology-related patent applications, which include components used in Arrowhead’s TRiM</w:t>
      </w:r>
      <w:r>
        <w:rPr>
          <w:rFonts w:ascii="Arial" w:cs="Arial" w:eastAsia="Arial" w:hAnsi="Arial"/>
          <w:sz w:val="15"/>
          <w:szCs w:val="15"/>
          <w:color w:val="auto"/>
        </w:rPr>
        <w:t>TM</w:t>
      </w:r>
      <w:r>
        <w:rPr>
          <w:rFonts w:ascii="Arial" w:cs="Arial" w:eastAsia="Arial" w:hAnsi="Arial"/>
          <w:sz w:val="18"/>
          <w:szCs w:val="18"/>
          <w:color w:val="auto"/>
        </w:rPr>
        <w:t xml:space="preserve"> platform, have been filed and issued in the United States, Australia, Canada, Europe, France, Germany, Italy, Spain, Switzerland, United Kingdom, India, Japan, Mexico, New Zealand, Philippines, Russia, South Korea, Singapore, and South Africa. The Company also controls a number of patents directed to hydrodynamic nucleic acid delivery, which issued in the United States, Australia and Europe (validated in Austria, Belgium, Switzerland, Germany, Denmark, Spain, Finland, France, the United Kingdom, Hungary, Ireland, Italy, Netherlands and Sweden). The approximate year of expiration for each of these various groups of patents are set forth below:</w:t>
      </w:r>
    </w:p>
    <w:p>
      <w:pPr>
        <w:spacing w:after="0" w:line="193"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60"/>
          </w:cols>
          <w:pgMar w:left="240" w:top="449" w:right="299" w:bottom="1440" w:gutter="0" w:footer="0" w:header="0"/>
        </w:sectPr>
      </w:pPr>
    </w:p>
    <w:bookmarkStart w:id="11" w:name="page12"/>
    <w:bookmarkEnd w:id="11"/>
    <w:tbl>
      <w:tblPr>
        <w:tblLayout w:type="fixed"/>
        <w:tblInd w:w="510" w:type="dxa"/>
        <w:tblCellMar>
          <w:top w:w="0" w:type="dxa"/>
          <w:left w:w="0" w:type="dxa"/>
          <w:bottom w:w="0" w:type="dxa"/>
          <w:right w:w="0" w:type="dxa"/>
        </w:tblCellMar>
      </w:tblPr>
      <w:tr>
        <w:trPr>
          <w:trHeight w:val="230"/>
        </w:trPr>
        <w:tc>
          <w:tcPr>
            <w:tcW w:w="5960" w:type="dxa"/>
            <w:vAlign w:val="bottom"/>
            <w:tcBorders>
              <w:top w:val="single" w:sz="8" w:color="auto"/>
              <w:left w:val="single" w:sz="8" w:color="auto"/>
              <w:bottom w:val="single" w:sz="8" w:color="auto"/>
              <w:right w:val="single" w:sz="8" w:color="auto"/>
            </w:tcBorders>
          </w:tcPr>
          <w:p>
            <w:pPr>
              <w:ind w:left="560"/>
              <w:spacing w:after="0"/>
              <w:rPr>
                <w:sz w:val="20"/>
                <w:szCs w:val="20"/>
                <w:color w:val="auto"/>
              </w:rPr>
            </w:pPr>
            <w:r>
              <w:rPr>
                <w:rFonts w:ascii="Arial" w:cs="Arial" w:eastAsia="Arial" w:hAnsi="Arial"/>
                <w:sz w:val="18"/>
                <w:szCs w:val="18"/>
                <w:b w:val="1"/>
                <w:bCs w:val="1"/>
                <w:color w:val="auto"/>
              </w:rPr>
              <w:t>Patent Group</w:t>
            </w:r>
          </w:p>
        </w:tc>
        <w:tc>
          <w:tcPr>
            <w:tcW w:w="3260" w:type="dxa"/>
            <w:vAlign w:val="bottom"/>
            <w:tcBorders>
              <w:top w:val="single" w:sz="8" w:color="auto"/>
              <w:bottom w:val="single" w:sz="8" w:color="auto"/>
              <w:right w:val="single" w:sz="8" w:color="auto"/>
            </w:tcBorders>
          </w:tcPr>
          <w:p>
            <w:pPr>
              <w:jc w:val="right"/>
              <w:ind w:right="510"/>
              <w:spacing w:after="0"/>
              <w:rPr>
                <w:sz w:val="20"/>
                <w:szCs w:val="20"/>
                <w:color w:val="auto"/>
              </w:rPr>
            </w:pPr>
            <w:r>
              <w:rPr>
                <w:rFonts w:ascii="Arial" w:cs="Arial" w:eastAsia="Arial" w:hAnsi="Arial"/>
                <w:sz w:val="18"/>
                <w:szCs w:val="18"/>
                <w:b w:val="1"/>
                <w:bCs w:val="1"/>
                <w:color w:val="auto"/>
              </w:rPr>
              <w:t>Estimated Year of Expiration</w:t>
            </w:r>
          </w:p>
        </w:tc>
      </w:tr>
      <w:tr>
        <w:trPr>
          <w:trHeight w:val="210"/>
        </w:trPr>
        <w:tc>
          <w:tcPr>
            <w:tcW w:w="5960" w:type="dxa"/>
            <w:vAlign w:val="bottom"/>
            <w:tcBorders>
              <w:left w:val="single" w:sz="8" w:color="auto"/>
              <w:bottom w:val="single" w:sz="8" w:color="auto"/>
              <w:right w:val="single" w:sz="8" w:color="EEECE1"/>
            </w:tcBorders>
            <w:shd w:val="clear" w:color="auto" w:fill="EEECE1"/>
          </w:tcPr>
          <w:p>
            <w:pPr>
              <w:ind w:left="560"/>
              <w:spacing w:after="0"/>
              <w:rPr>
                <w:sz w:val="20"/>
                <w:szCs w:val="20"/>
                <w:color w:val="auto"/>
              </w:rPr>
            </w:pPr>
            <w:r>
              <w:rPr>
                <w:rFonts w:ascii="Arial" w:cs="Arial" w:eastAsia="Arial" w:hAnsi="Arial"/>
                <w:sz w:val="18"/>
                <w:szCs w:val="18"/>
                <w:b w:val="1"/>
                <w:bCs w:val="1"/>
                <w:color w:val="auto"/>
              </w:rPr>
              <w:t>Targeting ligands and other RNAi delivery technologies</w:t>
            </w:r>
          </w:p>
        </w:tc>
        <w:tc>
          <w:tcPr>
            <w:tcW w:w="3260" w:type="dxa"/>
            <w:vAlign w:val="bottom"/>
            <w:tcBorders>
              <w:bottom w:val="single" w:sz="8" w:color="auto"/>
              <w:right w:val="single" w:sz="8" w:color="auto"/>
            </w:tcBorders>
            <w:shd w:val="clear" w:color="auto" w:fill="EEECE1"/>
          </w:tcPr>
          <w:p>
            <w:pPr>
              <w:spacing w:after="0"/>
              <w:rPr>
                <w:sz w:val="18"/>
                <w:szCs w:val="18"/>
                <w:color w:val="auto"/>
              </w:rPr>
            </w:pPr>
          </w:p>
        </w:tc>
      </w:tr>
      <w:tr>
        <w:trPr>
          <w:trHeight w:val="210"/>
        </w:trPr>
        <w:tc>
          <w:tcPr>
            <w:tcW w:w="5960" w:type="dxa"/>
            <w:vAlign w:val="bottom"/>
            <w:tcBorders>
              <w:left w:val="single" w:sz="8" w:color="auto"/>
              <w:bottom w:val="single" w:sz="8" w:color="auto"/>
              <w:right w:val="single" w:sz="8" w:color="auto"/>
            </w:tcBorders>
          </w:tcPr>
          <w:p>
            <w:pPr>
              <w:ind w:left="560"/>
              <w:spacing w:after="0"/>
              <w:rPr>
                <w:sz w:val="20"/>
                <w:szCs w:val="20"/>
                <w:color w:val="auto"/>
              </w:rPr>
            </w:pPr>
            <w:r>
              <w:rPr>
                <w:rFonts w:ascii="Arial" w:cs="Arial" w:eastAsia="Arial" w:hAnsi="Arial"/>
                <w:sz w:val="18"/>
                <w:szCs w:val="18"/>
                <w:color w:val="auto"/>
              </w:rPr>
              <w:t xml:space="preserve">Targeting groups </w:t>
            </w:r>
            <w:r>
              <w:rPr>
                <w:rFonts w:ascii="Arial" w:cs="Arial" w:eastAsia="Arial" w:hAnsi="Arial"/>
                <w:sz w:val="18"/>
                <w:szCs w:val="18"/>
                <w:i w:val="1"/>
                <w:iCs w:val="1"/>
                <w:color w:val="auto"/>
              </w:rPr>
              <w:t>(</w:t>
            </w:r>
            <w:r>
              <w:rPr>
                <w:rFonts w:ascii="Arial" w:cs="Arial" w:eastAsia="Arial" w:hAnsi="Arial"/>
                <w:sz w:val="18"/>
                <w:szCs w:val="18"/>
                <w:color w:val="auto"/>
              </w:rPr>
              <w:t>Galactose derivative trimer-PK</w:t>
            </w:r>
            <w:r>
              <w:rPr>
                <w:rFonts w:ascii="Arial" w:cs="Arial" w:eastAsia="Arial" w:hAnsi="Arial"/>
                <w:sz w:val="18"/>
                <w:szCs w:val="18"/>
                <w:i w:val="1"/>
                <w:iCs w:val="1"/>
                <w:color w:val="auto"/>
              </w:rPr>
              <w:t>)</w:t>
            </w:r>
          </w:p>
        </w:tc>
        <w:tc>
          <w:tcPr>
            <w:tcW w:w="3260" w:type="dxa"/>
            <w:vAlign w:val="bottom"/>
            <w:tcBorders>
              <w:bottom w:val="single" w:sz="8" w:color="auto"/>
              <w:right w:val="single" w:sz="8" w:color="auto"/>
            </w:tcBorders>
          </w:tcPr>
          <w:p>
            <w:pPr>
              <w:jc w:val="right"/>
              <w:ind w:right="2290"/>
              <w:spacing w:after="0"/>
              <w:rPr>
                <w:sz w:val="20"/>
                <w:szCs w:val="20"/>
                <w:color w:val="auto"/>
              </w:rPr>
            </w:pPr>
            <w:r>
              <w:rPr>
                <w:rFonts w:ascii="Arial" w:cs="Arial" w:eastAsia="Arial" w:hAnsi="Arial"/>
                <w:sz w:val="18"/>
                <w:szCs w:val="18"/>
                <w:color w:val="auto"/>
              </w:rPr>
              <w:t>2031</w:t>
            </w:r>
          </w:p>
        </w:tc>
      </w:tr>
      <w:tr>
        <w:trPr>
          <w:trHeight w:val="210"/>
        </w:trPr>
        <w:tc>
          <w:tcPr>
            <w:tcW w:w="5960" w:type="dxa"/>
            <w:vAlign w:val="bottom"/>
            <w:tcBorders>
              <w:left w:val="single" w:sz="8" w:color="auto"/>
              <w:bottom w:val="single" w:sz="8" w:color="auto"/>
              <w:right w:val="single" w:sz="8" w:color="auto"/>
            </w:tcBorders>
          </w:tcPr>
          <w:p>
            <w:pPr>
              <w:ind w:left="560"/>
              <w:spacing w:after="0"/>
              <w:rPr>
                <w:sz w:val="20"/>
                <w:szCs w:val="20"/>
                <w:color w:val="auto"/>
              </w:rPr>
            </w:pPr>
            <w:r>
              <w:rPr>
                <w:rFonts w:ascii="Arial" w:cs="Arial" w:eastAsia="Arial" w:hAnsi="Arial"/>
                <w:sz w:val="18"/>
                <w:szCs w:val="18"/>
                <w:color w:val="auto"/>
              </w:rPr>
              <w:t>Targeting groups (αvβ3 integrin)</w:t>
            </w:r>
          </w:p>
        </w:tc>
        <w:tc>
          <w:tcPr>
            <w:tcW w:w="3260" w:type="dxa"/>
            <w:vAlign w:val="bottom"/>
            <w:tcBorders>
              <w:bottom w:val="single" w:sz="8" w:color="auto"/>
              <w:right w:val="single" w:sz="8" w:color="auto"/>
            </w:tcBorders>
          </w:tcPr>
          <w:p>
            <w:pPr>
              <w:jc w:val="right"/>
              <w:ind w:right="2290"/>
              <w:spacing w:after="0"/>
              <w:rPr>
                <w:sz w:val="20"/>
                <w:szCs w:val="20"/>
                <w:color w:val="auto"/>
              </w:rPr>
            </w:pPr>
            <w:r>
              <w:rPr>
                <w:rFonts w:ascii="Arial" w:cs="Arial" w:eastAsia="Arial" w:hAnsi="Arial"/>
                <w:sz w:val="18"/>
                <w:szCs w:val="18"/>
                <w:color w:val="auto"/>
              </w:rPr>
              <w:t>2035</w:t>
            </w:r>
          </w:p>
        </w:tc>
      </w:tr>
      <w:tr>
        <w:trPr>
          <w:trHeight w:val="210"/>
        </w:trPr>
        <w:tc>
          <w:tcPr>
            <w:tcW w:w="5960" w:type="dxa"/>
            <w:vAlign w:val="bottom"/>
            <w:tcBorders>
              <w:left w:val="single" w:sz="8" w:color="auto"/>
              <w:bottom w:val="single" w:sz="8" w:color="auto"/>
              <w:right w:val="single" w:sz="8" w:color="auto"/>
            </w:tcBorders>
          </w:tcPr>
          <w:p>
            <w:pPr>
              <w:ind w:left="560"/>
              <w:spacing w:after="0"/>
              <w:rPr>
                <w:sz w:val="20"/>
                <w:szCs w:val="20"/>
                <w:color w:val="auto"/>
              </w:rPr>
            </w:pPr>
            <w:r>
              <w:rPr>
                <w:rFonts w:ascii="Arial" w:cs="Arial" w:eastAsia="Arial" w:hAnsi="Arial"/>
                <w:sz w:val="18"/>
                <w:szCs w:val="18"/>
                <w:color w:val="auto"/>
              </w:rPr>
              <w:t>Targeting groups (αvβ6 integrin)</w:t>
            </w:r>
          </w:p>
        </w:tc>
        <w:tc>
          <w:tcPr>
            <w:tcW w:w="3260" w:type="dxa"/>
            <w:vAlign w:val="bottom"/>
            <w:tcBorders>
              <w:bottom w:val="single" w:sz="8" w:color="auto"/>
              <w:right w:val="single" w:sz="8" w:color="auto"/>
            </w:tcBorders>
          </w:tcPr>
          <w:p>
            <w:pPr>
              <w:jc w:val="right"/>
              <w:ind w:right="2290"/>
              <w:spacing w:after="0"/>
              <w:rPr>
                <w:sz w:val="20"/>
                <w:szCs w:val="20"/>
                <w:color w:val="auto"/>
              </w:rPr>
            </w:pPr>
            <w:r>
              <w:rPr>
                <w:rFonts w:ascii="Arial" w:cs="Arial" w:eastAsia="Arial" w:hAnsi="Arial"/>
                <w:sz w:val="18"/>
                <w:szCs w:val="18"/>
                <w:color w:val="auto"/>
              </w:rPr>
              <w:t>2037</w:t>
            </w:r>
          </w:p>
        </w:tc>
      </w:tr>
      <w:tr>
        <w:trPr>
          <w:trHeight w:val="210"/>
        </w:trPr>
        <w:tc>
          <w:tcPr>
            <w:tcW w:w="5960" w:type="dxa"/>
            <w:vAlign w:val="bottom"/>
            <w:tcBorders>
              <w:left w:val="single" w:sz="8" w:color="auto"/>
              <w:bottom w:val="single" w:sz="8" w:color="auto"/>
              <w:right w:val="single" w:sz="8" w:color="auto"/>
            </w:tcBorders>
          </w:tcPr>
          <w:p>
            <w:pPr>
              <w:ind w:left="560"/>
              <w:spacing w:after="0"/>
              <w:rPr>
                <w:sz w:val="20"/>
                <w:szCs w:val="20"/>
                <w:color w:val="auto"/>
              </w:rPr>
            </w:pPr>
            <w:r>
              <w:rPr>
                <w:rFonts w:ascii="Arial" w:cs="Arial" w:eastAsia="Arial" w:hAnsi="Arial"/>
                <w:sz w:val="18"/>
                <w:szCs w:val="18"/>
                <w:color w:val="auto"/>
              </w:rPr>
              <w:t>Targeting groups (Galactose derivative ligands)</w:t>
            </w:r>
          </w:p>
        </w:tc>
        <w:tc>
          <w:tcPr>
            <w:tcW w:w="3260" w:type="dxa"/>
            <w:vAlign w:val="bottom"/>
            <w:tcBorders>
              <w:bottom w:val="single" w:sz="8" w:color="auto"/>
              <w:right w:val="single" w:sz="8" w:color="auto"/>
            </w:tcBorders>
          </w:tcPr>
          <w:p>
            <w:pPr>
              <w:jc w:val="right"/>
              <w:ind w:right="2290"/>
              <w:spacing w:after="0"/>
              <w:rPr>
                <w:sz w:val="20"/>
                <w:szCs w:val="20"/>
                <w:color w:val="auto"/>
              </w:rPr>
            </w:pPr>
            <w:r>
              <w:rPr>
                <w:rFonts w:ascii="Arial" w:cs="Arial" w:eastAsia="Arial" w:hAnsi="Arial"/>
                <w:sz w:val="18"/>
                <w:szCs w:val="18"/>
                <w:color w:val="auto"/>
              </w:rPr>
              <w:t>2037</w:t>
            </w:r>
          </w:p>
        </w:tc>
      </w:tr>
      <w:tr>
        <w:trPr>
          <w:trHeight w:val="210"/>
        </w:trPr>
        <w:tc>
          <w:tcPr>
            <w:tcW w:w="5960" w:type="dxa"/>
            <w:vAlign w:val="bottom"/>
            <w:tcBorders>
              <w:left w:val="single" w:sz="8" w:color="auto"/>
              <w:bottom w:val="single" w:sz="8" w:color="auto"/>
              <w:right w:val="single" w:sz="8" w:color="auto"/>
            </w:tcBorders>
          </w:tcPr>
          <w:p>
            <w:pPr>
              <w:ind w:left="560"/>
              <w:spacing w:after="0"/>
              <w:rPr>
                <w:sz w:val="20"/>
                <w:szCs w:val="20"/>
                <w:color w:val="auto"/>
              </w:rPr>
            </w:pPr>
            <w:r>
              <w:rPr>
                <w:rFonts w:ascii="Arial" w:cs="Arial" w:eastAsia="Arial" w:hAnsi="Arial"/>
                <w:sz w:val="18"/>
                <w:szCs w:val="18"/>
                <w:color w:val="auto"/>
              </w:rPr>
              <w:t>RNAi agent design (5′-phosphate mimic)</w:t>
            </w:r>
          </w:p>
        </w:tc>
        <w:tc>
          <w:tcPr>
            <w:tcW w:w="3260" w:type="dxa"/>
            <w:vAlign w:val="bottom"/>
            <w:tcBorders>
              <w:bottom w:val="single" w:sz="8" w:color="auto"/>
              <w:right w:val="single" w:sz="8" w:color="auto"/>
            </w:tcBorders>
          </w:tcPr>
          <w:p>
            <w:pPr>
              <w:jc w:val="right"/>
              <w:ind w:right="2290"/>
              <w:spacing w:after="0"/>
              <w:rPr>
                <w:sz w:val="20"/>
                <w:szCs w:val="20"/>
                <w:color w:val="auto"/>
              </w:rPr>
            </w:pPr>
            <w:r>
              <w:rPr>
                <w:rFonts w:ascii="Arial" w:cs="Arial" w:eastAsia="Arial" w:hAnsi="Arial"/>
                <w:sz w:val="18"/>
                <w:szCs w:val="18"/>
                <w:color w:val="auto"/>
              </w:rPr>
              <w:t>2037</w:t>
            </w:r>
          </w:p>
        </w:tc>
      </w:tr>
      <w:tr>
        <w:trPr>
          <w:trHeight w:val="210"/>
        </w:trPr>
        <w:tc>
          <w:tcPr>
            <w:tcW w:w="5960" w:type="dxa"/>
            <w:vAlign w:val="bottom"/>
            <w:tcBorders>
              <w:left w:val="single" w:sz="8" w:color="auto"/>
              <w:bottom w:val="single" w:sz="8" w:color="auto"/>
              <w:right w:val="single" w:sz="8" w:color="auto"/>
            </w:tcBorders>
          </w:tcPr>
          <w:p>
            <w:pPr>
              <w:ind w:left="560"/>
              <w:spacing w:after="0"/>
              <w:rPr>
                <w:sz w:val="20"/>
                <w:szCs w:val="20"/>
                <w:color w:val="auto"/>
              </w:rPr>
            </w:pPr>
            <w:r>
              <w:rPr>
                <w:rFonts w:ascii="Arial" w:cs="Arial" w:eastAsia="Arial" w:hAnsi="Arial"/>
                <w:sz w:val="18"/>
                <w:szCs w:val="18"/>
                <w:color w:val="auto"/>
              </w:rPr>
              <w:t>Physiologically labile linkers</w:t>
            </w:r>
          </w:p>
        </w:tc>
        <w:tc>
          <w:tcPr>
            <w:tcW w:w="3260" w:type="dxa"/>
            <w:vAlign w:val="bottom"/>
            <w:tcBorders>
              <w:bottom w:val="single" w:sz="8" w:color="auto"/>
              <w:right w:val="single" w:sz="8" w:color="auto"/>
            </w:tcBorders>
          </w:tcPr>
          <w:p>
            <w:pPr>
              <w:jc w:val="right"/>
              <w:ind w:right="2290"/>
              <w:spacing w:after="0"/>
              <w:rPr>
                <w:sz w:val="20"/>
                <w:szCs w:val="20"/>
                <w:color w:val="auto"/>
              </w:rPr>
            </w:pPr>
            <w:r>
              <w:rPr>
                <w:rFonts w:ascii="Arial" w:cs="Arial" w:eastAsia="Arial" w:hAnsi="Arial"/>
                <w:sz w:val="18"/>
                <w:szCs w:val="18"/>
                <w:color w:val="auto"/>
              </w:rPr>
              <w:t>2036</w:t>
            </w:r>
          </w:p>
        </w:tc>
      </w:tr>
      <w:tr>
        <w:trPr>
          <w:trHeight w:val="210"/>
        </w:trPr>
        <w:tc>
          <w:tcPr>
            <w:tcW w:w="5960" w:type="dxa"/>
            <w:vAlign w:val="bottom"/>
            <w:tcBorders>
              <w:left w:val="single" w:sz="8" w:color="auto"/>
              <w:bottom w:val="single" w:sz="8" w:color="auto"/>
              <w:right w:val="single" w:sz="8" w:color="auto"/>
            </w:tcBorders>
          </w:tcPr>
          <w:p>
            <w:pPr>
              <w:ind w:left="560"/>
              <w:spacing w:after="0"/>
              <w:rPr>
                <w:sz w:val="20"/>
                <w:szCs w:val="20"/>
                <w:color w:val="auto"/>
              </w:rPr>
            </w:pPr>
            <w:r>
              <w:rPr>
                <w:rFonts w:ascii="Arial" w:cs="Arial" w:eastAsia="Arial" w:hAnsi="Arial"/>
                <w:sz w:val="18"/>
                <w:szCs w:val="18"/>
                <w:color w:val="auto"/>
              </w:rPr>
              <w:t>Biologically cleavable linkers</w:t>
            </w:r>
          </w:p>
        </w:tc>
        <w:tc>
          <w:tcPr>
            <w:tcW w:w="3260" w:type="dxa"/>
            <w:vAlign w:val="bottom"/>
            <w:tcBorders>
              <w:bottom w:val="single" w:sz="8" w:color="auto"/>
              <w:right w:val="single" w:sz="8" w:color="auto"/>
            </w:tcBorders>
          </w:tcPr>
          <w:p>
            <w:pPr>
              <w:jc w:val="right"/>
              <w:ind w:right="2290"/>
              <w:spacing w:after="0"/>
              <w:rPr>
                <w:sz w:val="20"/>
                <w:szCs w:val="20"/>
                <w:color w:val="auto"/>
              </w:rPr>
            </w:pPr>
            <w:r>
              <w:rPr>
                <w:rFonts w:ascii="Arial" w:cs="Arial" w:eastAsia="Arial" w:hAnsi="Arial"/>
                <w:sz w:val="18"/>
                <w:szCs w:val="18"/>
                <w:color w:val="auto"/>
              </w:rPr>
              <w:t>2036</w:t>
            </w:r>
          </w:p>
        </w:tc>
      </w:tr>
      <w:tr>
        <w:trPr>
          <w:trHeight w:val="210"/>
        </w:trPr>
        <w:tc>
          <w:tcPr>
            <w:tcW w:w="5960" w:type="dxa"/>
            <w:vAlign w:val="bottom"/>
            <w:tcBorders>
              <w:left w:val="single" w:sz="8" w:color="auto"/>
              <w:bottom w:val="single" w:sz="8" w:color="auto"/>
              <w:right w:val="single" w:sz="8" w:color="auto"/>
            </w:tcBorders>
          </w:tcPr>
          <w:p>
            <w:pPr>
              <w:ind w:left="560"/>
              <w:spacing w:after="0"/>
              <w:rPr>
                <w:sz w:val="20"/>
                <w:szCs w:val="20"/>
                <w:color w:val="auto"/>
              </w:rPr>
            </w:pPr>
            <w:r>
              <w:rPr>
                <w:rFonts w:ascii="Arial" w:cs="Arial" w:eastAsia="Arial" w:hAnsi="Arial"/>
                <w:sz w:val="18"/>
                <w:szCs w:val="18"/>
                <w:color w:val="auto"/>
              </w:rPr>
              <w:t>Transferrin targeting</w:t>
            </w:r>
          </w:p>
        </w:tc>
        <w:tc>
          <w:tcPr>
            <w:tcW w:w="3260" w:type="dxa"/>
            <w:vAlign w:val="bottom"/>
            <w:tcBorders>
              <w:bottom w:val="single" w:sz="8" w:color="auto"/>
              <w:right w:val="single" w:sz="8" w:color="auto"/>
            </w:tcBorders>
          </w:tcPr>
          <w:p>
            <w:pPr>
              <w:jc w:val="right"/>
              <w:ind w:right="2290"/>
              <w:spacing w:after="0"/>
              <w:rPr>
                <w:sz w:val="20"/>
                <w:szCs w:val="20"/>
                <w:color w:val="auto"/>
              </w:rPr>
            </w:pPr>
            <w:r>
              <w:rPr>
                <w:rFonts w:ascii="Arial" w:cs="Arial" w:eastAsia="Arial" w:hAnsi="Arial"/>
                <w:sz w:val="18"/>
                <w:szCs w:val="18"/>
                <w:color w:val="auto"/>
              </w:rPr>
              <w:t>2028</w:t>
            </w:r>
          </w:p>
        </w:tc>
      </w:tr>
      <w:tr>
        <w:trPr>
          <w:trHeight w:val="210"/>
        </w:trPr>
        <w:tc>
          <w:tcPr>
            <w:tcW w:w="5960" w:type="dxa"/>
            <w:vAlign w:val="bottom"/>
            <w:tcBorders>
              <w:left w:val="single" w:sz="8" w:color="auto"/>
              <w:bottom w:val="single" w:sz="8" w:color="auto"/>
              <w:right w:val="single" w:sz="8" w:color="auto"/>
            </w:tcBorders>
          </w:tcPr>
          <w:p>
            <w:pPr>
              <w:ind w:left="560"/>
              <w:spacing w:after="0"/>
              <w:rPr>
                <w:sz w:val="20"/>
                <w:szCs w:val="20"/>
                <w:color w:val="auto"/>
              </w:rPr>
            </w:pPr>
            <w:r>
              <w:rPr>
                <w:rFonts w:ascii="Arial" w:cs="Arial" w:eastAsia="Arial" w:hAnsi="Arial"/>
                <w:sz w:val="18"/>
                <w:szCs w:val="18"/>
                <w:color w:val="auto"/>
              </w:rPr>
              <w:t>LDLR targeting</w:t>
            </w:r>
          </w:p>
        </w:tc>
        <w:tc>
          <w:tcPr>
            <w:tcW w:w="3260" w:type="dxa"/>
            <w:vAlign w:val="bottom"/>
            <w:tcBorders>
              <w:bottom w:val="single" w:sz="8" w:color="auto"/>
              <w:right w:val="single" w:sz="8" w:color="auto"/>
            </w:tcBorders>
          </w:tcPr>
          <w:p>
            <w:pPr>
              <w:jc w:val="right"/>
              <w:ind w:right="2290"/>
              <w:spacing w:after="0"/>
              <w:rPr>
                <w:sz w:val="20"/>
                <w:szCs w:val="20"/>
                <w:color w:val="auto"/>
              </w:rPr>
            </w:pPr>
            <w:r>
              <w:rPr>
                <w:rFonts w:ascii="Arial" w:cs="Arial" w:eastAsia="Arial" w:hAnsi="Arial"/>
                <w:sz w:val="18"/>
                <w:szCs w:val="18"/>
                <w:color w:val="auto"/>
              </w:rPr>
              <w:t>2028</w:t>
            </w:r>
          </w:p>
        </w:tc>
      </w:tr>
      <w:tr>
        <w:trPr>
          <w:trHeight w:val="210"/>
        </w:trPr>
        <w:tc>
          <w:tcPr>
            <w:tcW w:w="5960" w:type="dxa"/>
            <w:vAlign w:val="bottom"/>
            <w:tcBorders>
              <w:left w:val="single" w:sz="8" w:color="auto"/>
              <w:bottom w:val="single" w:sz="8" w:color="auto"/>
              <w:right w:val="single" w:sz="8" w:color="auto"/>
            </w:tcBorders>
          </w:tcPr>
          <w:p>
            <w:pPr>
              <w:ind w:left="560"/>
              <w:spacing w:after="0"/>
              <w:rPr>
                <w:sz w:val="20"/>
                <w:szCs w:val="20"/>
                <w:color w:val="auto"/>
              </w:rPr>
            </w:pPr>
            <w:r>
              <w:rPr>
                <w:rFonts w:ascii="Arial" w:cs="Arial" w:eastAsia="Arial" w:hAnsi="Arial"/>
                <w:sz w:val="18"/>
                <w:szCs w:val="18"/>
                <w:color w:val="auto"/>
              </w:rPr>
              <w:t>Peptide targeting (CPP-Arg)</w:t>
            </w:r>
          </w:p>
        </w:tc>
        <w:tc>
          <w:tcPr>
            <w:tcW w:w="3260" w:type="dxa"/>
            <w:vAlign w:val="bottom"/>
            <w:tcBorders>
              <w:bottom w:val="single" w:sz="8" w:color="auto"/>
              <w:right w:val="single" w:sz="8" w:color="auto"/>
            </w:tcBorders>
          </w:tcPr>
          <w:p>
            <w:pPr>
              <w:jc w:val="right"/>
              <w:ind w:right="2290"/>
              <w:spacing w:after="0"/>
              <w:rPr>
                <w:sz w:val="20"/>
                <w:szCs w:val="20"/>
                <w:color w:val="auto"/>
              </w:rPr>
            </w:pPr>
            <w:r>
              <w:rPr>
                <w:rFonts w:ascii="Arial" w:cs="Arial" w:eastAsia="Arial" w:hAnsi="Arial"/>
                <w:sz w:val="18"/>
                <w:szCs w:val="18"/>
                <w:color w:val="auto"/>
              </w:rPr>
              <w:t>2028</w:t>
            </w:r>
          </w:p>
        </w:tc>
      </w:tr>
      <w:tr>
        <w:trPr>
          <w:trHeight w:val="210"/>
        </w:trPr>
        <w:tc>
          <w:tcPr>
            <w:tcW w:w="5960" w:type="dxa"/>
            <w:vAlign w:val="bottom"/>
            <w:tcBorders>
              <w:left w:val="single" w:sz="8" w:color="auto"/>
              <w:bottom w:val="single" w:sz="8" w:color="auto"/>
              <w:right w:val="single" w:sz="8" w:color="auto"/>
            </w:tcBorders>
          </w:tcPr>
          <w:p>
            <w:pPr>
              <w:ind w:left="560"/>
              <w:spacing w:after="0"/>
              <w:rPr>
                <w:sz w:val="20"/>
                <w:szCs w:val="20"/>
                <w:color w:val="auto"/>
              </w:rPr>
            </w:pPr>
            <w:r>
              <w:rPr>
                <w:rFonts w:ascii="Arial" w:cs="Arial" w:eastAsia="Arial" w:hAnsi="Arial"/>
                <w:sz w:val="18"/>
                <w:szCs w:val="18"/>
                <w:color w:val="auto"/>
              </w:rPr>
              <w:t>Peptide targeting (YM3-10H)</w:t>
            </w:r>
          </w:p>
        </w:tc>
        <w:tc>
          <w:tcPr>
            <w:tcW w:w="3260" w:type="dxa"/>
            <w:vAlign w:val="bottom"/>
            <w:tcBorders>
              <w:bottom w:val="single" w:sz="8" w:color="auto"/>
              <w:right w:val="single" w:sz="8" w:color="auto"/>
            </w:tcBorders>
          </w:tcPr>
          <w:p>
            <w:pPr>
              <w:jc w:val="right"/>
              <w:ind w:right="2290"/>
              <w:spacing w:after="0"/>
              <w:rPr>
                <w:sz w:val="20"/>
                <w:szCs w:val="20"/>
                <w:color w:val="auto"/>
              </w:rPr>
            </w:pPr>
            <w:r>
              <w:rPr>
                <w:rFonts w:ascii="Arial" w:cs="Arial" w:eastAsia="Arial" w:hAnsi="Arial"/>
                <w:sz w:val="18"/>
                <w:szCs w:val="18"/>
                <w:color w:val="auto"/>
              </w:rPr>
              <w:t>2032</w:t>
            </w:r>
          </w:p>
        </w:tc>
      </w:tr>
      <w:tr>
        <w:trPr>
          <w:trHeight w:val="210"/>
        </w:trPr>
        <w:tc>
          <w:tcPr>
            <w:tcW w:w="5960" w:type="dxa"/>
            <w:vAlign w:val="bottom"/>
            <w:tcBorders>
              <w:left w:val="single" w:sz="8" w:color="auto"/>
              <w:bottom w:val="single" w:sz="8" w:color="auto"/>
            </w:tcBorders>
          </w:tcPr>
          <w:p>
            <w:pPr>
              <w:spacing w:after="0"/>
              <w:rPr>
                <w:sz w:val="18"/>
                <w:szCs w:val="18"/>
                <w:color w:val="auto"/>
              </w:rPr>
            </w:pPr>
          </w:p>
        </w:tc>
        <w:tc>
          <w:tcPr>
            <w:tcW w:w="3260" w:type="dxa"/>
            <w:vAlign w:val="bottom"/>
            <w:tcBorders>
              <w:bottom w:val="single" w:sz="8" w:color="auto"/>
              <w:right w:val="single" w:sz="8" w:color="auto"/>
            </w:tcBorders>
          </w:tcPr>
          <w:p>
            <w:pPr>
              <w:spacing w:after="0"/>
              <w:rPr>
                <w:sz w:val="18"/>
                <w:szCs w:val="18"/>
                <w:color w:val="auto"/>
              </w:rPr>
            </w:pPr>
          </w:p>
        </w:tc>
      </w:tr>
      <w:tr>
        <w:trPr>
          <w:trHeight w:val="210"/>
        </w:trPr>
        <w:tc>
          <w:tcPr>
            <w:tcW w:w="5960" w:type="dxa"/>
            <w:vAlign w:val="bottom"/>
            <w:tcBorders>
              <w:left w:val="single" w:sz="8" w:color="auto"/>
              <w:bottom w:val="single" w:sz="8" w:color="auto"/>
              <w:right w:val="single" w:sz="8" w:color="EEECE1"/>
            </w:tcBorders>
            <w:shd w:val="clear" w:color="auto" w:fill="EEECE1"/>
          </w:tcPr>
          <w:p>
            <w:pPr>
              <w:ind w:left="560"/>
              <w:spacing w:after="0"/>
              <w:rPr>
                <w:sz w:val="20"/>
                <w:szCs w:val="20"/>
                <w:color w:val="auto"/>
              </w:rPr>
            </w:pPr>
            <w:r>
              <w:rPr>
                <w:rFonts w:ascii="Arial" w:cs="Arial" w:eastAsia="Arial" w:hAnsi="Arial"/>
                <w:sz w:val="18"/>
                <w:szCs w:val="18"/>
                <w:b w:val="1"/>
                <w:bCs w:val="1"/>
                <w:color w:val="auto"/>
              </w:rPr>
              <w:t>Hydrodynamic delivery</w:t>
            </w:r>
          </w:p>
        </w:tc>
        <w:tc>
          <w:tcPr>
            <w:tcW w:w="3260" w:type="dxa"/>
            <w:vAlign w:val="bottom"/>
            <w:tcBorders>
              <w:bottom w:val="single" w:sz="8" w:color="auto"/>
              <w:right w:val="single" w:sz="8" w:color="auto"/>
            </w:tcBorders>
            <w:shd w:val="clear" w:color="auto" w:fill="EEECE1"/>
          </w:tcPr>
          <w:p>
            <w:pPr>
              <w:spacing w:after="0"/>
              <w:rPr>
                <w:sz w:val="18"/>
                <w:szCs w:val="18"/>
                <w:color w:val="auto"/>
              </w:rPr>
            </w:pPr>
          </w:p>
        </w:tc>
      </w:tr>
      <w:tr>
        <w:trPr>
          <w:trHeight w:val="210"/>
        </w:trPr>
        <w:tc>
          <w:tcPr>
            <w:tcW w:w="5960" w:type="dxa"/>
            <w:vAlign w:val="bottom"/>
            <w:tcBorders>
              <w:left w:val="single" w:sz="8" w:color="auto"/>
              <w:bottom w:val="single" w:sz="8" w:color="auto"/>
              <w:right w:val="single" w:sz="8" w:color="auto"/>
            </w:tcBorders>
          </w:tcPr>
          <w:p>
            <w:pPr>
              <w:ind w:left="560"/>
              <w:spacing w:after="0"/>
              <w:rPr>
                <w:sz w:val="20"/>
                <w:szCs w:val="20"/>
                <w:color w:val="auto"/>
              </w:rPr>
            </w:pPr>
            <w:r>
              <w:rPr>
                <w:rFonts w:ascii="Arial" w:cs="Arial" w:eastAsia="Arial" w:hAnsi="Arial"/>
                <w:sz w:val="18"/>
                <w:szCs w:val="18"/>
                <w:color w:val="auto"/>
              </w:rPr>
              <w:t>Second iteration</w:t>
            </w:r>
          </w:p>
        </w:tc>
        <w:tc>
          <w:tcPr>
            <w:tcW w:w="3260" w:type="dxa"/>
            <w:vAlign w:val="bottom"/>
            <w:tcBorders>
              <w:bottom w:val="single" w:sz="8" w:color="auto"/>
              <w:right w:val="single" w:sz="8" w:color="auto"/>
            </w:tcBorders>
          </w:tcPr>
          <w:p>
            <w:pPr>
              <w:jc w:val="right"/>
              <w:ind w:right="2290"/>
              <w:spacing w:after="0"/>
              <w:rPr>
                <w:sz w:val="20"/>
                <w:szCs w:val="20"/>
                <w:color w:val="auto"/>
              </w:rPr>
            </w:pPr>
            <w:r>
              <w:rPr>
                <w:rFonts w:ascii="Arial" w:cs="Arial" w:eastAsia="Arial" w:hAnsi="Arial"/>
                <w:sz w:val="18"/>
                <w:szCs w:val="18"/>
                <w:color w:val="auto"/>
              </w:rPr>
              <w:t>2020</w:t>
            </w:r>
          </w:p>
        </w:tc>
      </w:tr>
      <w:tr>
        <w:trPr>
          <w:trHeight w:val="210"/>
        </w:trPr>
        <w:tc>
          <w:tcPr>
            <w:tcW w:w="5960" w:type="dxa"/>
            <w:vAlign w:val="bottom"/>
            <w:tcBorders>
              <w:left w:val="single" w:sz="8" w:color="auto"/>
              <w:bottom w:val="single" w:sz="8" w:color="auto"/>
              <w:right w:val="single" w:sz="8" w:color="auto"/>
            </w:tcBorders>
          </w:tcPr>
          <w:p>
            <w:pPr>
              <w:ind w:left="560"/>
              <w:spacing w:after="0"/>
              <w:rPr>
                <w:sz w:val="20"/>
                <w:szCs w:val="20"/>
                <w:color w:val="auto"/>
              </w:rPr>
            </w:pPr>
            <w:r>
              <w:rPr>
                <w:rFonts w:ascii="Arial" w:cs="Arial" w:eastAsia="Arial" w:hAnsi="Arial"/>
                <w:sz w:val="18"/>
                <w:szCs w:val="18"/>
                <w:color w:val="auto"/>
              </w:rPr>
              <w:t>Third iteration</w:t>
            </w:r>
          </w:p>
        </w:tc>
        <w:tc>
          <w:tcPr>
            <w:tcW w:w="3260" w:type="dxa"/>
            <w:vAlign w:val="bottom"/>
            <w:tcBorders>
              <w:bottom w:val="single" w:sz="8" w:color="auto"/>
              <w:right w:val="single" w:sz="8" w:color="auto"/>
            </w:tcBorders>
          </w:tcPr>
          <w:p>
            <w:pPr>
              <w:jc w:val="right"/>
              <w:ind w:right="2290"/>
              <w:spacing w:after="0"/>
              <w:rPr>
                <w:sz w:val="20"/>
                <w:szCs w:val="20"/>
                <w:color w:val="auto"/>
              </w:rPr>
            </w:pPr>
            <w:r>
              <w:rPr>
                <w:rFonts w:ascii="Arial" w:cs="Arial" w:eastAsia="Arial" w:hAnsi="Arial"/>
                <w:sz w:val="18"/>
                <w:szCs w:val="18"/>
                <w:color w:val="auto"/>
              </w:rPr>
              <w:t>2024</w:t>
            </w:r>
          </w:p>
        </w:tc>
      </w:tr>
    </w:tbl>
    <w:p>
      <w:pPr>
        <w:spacing w:after="0" w:line="202" w:lineRule="exact"/>
        <w:rPr>
          <w:sz w:val="20"/>
          <w:szCs w:val="20"/>
          <w:color w:val="auto"/>
        </w:rPr>
      </w:pPr>
    </w:p>
    <w:p>
      <w:pPr>
        <w:ind w:right="200" w:firstLine="518"/>
        <w:spacing w:after="0" w:line="342" w:lineRule="auto"/>
        <w:rPr>
          <w:sz w:val="20"/>
          <w:szCs w:val="20"/>
          <w:color w:val="auto"/>
        </w:rPr>
      </w:pPr>
      <w:r>
        <w:rPr>
          <w:rFonts w:ascii="Arial" w:cs="Arial" w:eastAsia="Arial" w:hAnsi="Arial"/>
          <w:sz w:val="16"/>
          <w:szCs w:val="16"/>
          <w:color w:val="auto"/>
        </w:rPr>
        <w:t>The RNAi and drug delivery patent landscapes are complex and rapidly evolving. As such, we may need to obtain additional patent licenses prior to commercialization of our candidates. You should review the factors identified in “Risk Factors” in Part I, Item 1A of this Annual Report on Form 10-K.</w:t>
      </w:r>
    </w:p>
    <w:p>
      <w:pPr>
        <w:spacing w:after="0" w:line="228" w:lineRule="exact"/>
        <w:rPr>
          <w:sz w:val="20"/>
          <w:szCs w:val="20"/>
          <w:color w:val="auto"/>
        </w:rPr>
      </w:pPr>
    </w:p>
    <w:p>
      <w:pPr>
        <w:ind w:left="320"/>
        <w:spacing w:after="0"/>
        <w:rPr>
          <w:sz w:val="20"/>
          <w:szCs w:val="20"/>
          <w:color w:val="auto"/>
        </w:rPr>
      </w:pPr>
      <w:r>
        <w:rPr>
          <w:rFonts w:ascii="Arial" w:cs="Arial" w:eastAsia="Arial" w:hAnsi="Arial"/>
          <w:sz w:val="18"/>
          <w:szCs w:val="18"/>
          <w:b w:val="1"/>
          <w:bCs w:val="1"/>
          <w:color w:val="auto"/>
        </w:rPr>
        <w:t>Non-Exclusively Licensed Patent Rights obtained from Roche</w:t>
      </w:r>
    </w:p>
    <w:p>
      <w:pPr>
        <w:spacing w:after="0" w:line="229" w:lineRule="exact"/>
        <w:rPr>
          <w:sz w:val="20"/>
          <w:szCs w:val="20"/>
          <w:color w:val="auto"/>
        </w:rPr>
      </w:pPr>
    </w:p>
    <w:p>
      <w:pPr>
        <w:ind w:firstLine="518"/>
        <w:spacing w:after="0" w:line="276" w:lineRule="auto"/>
        <w:rPr>
          <w:sz w:val="20"/>
          <w:szCs w:val="20"/>
          <w:color w:val="auto"/>
        </w:rPr>
      </w:pPr>
      <w:r>
        <w:rPr>
          <w:rFonts w:ascii="Arial" w:cs="Arial" w:eastAsia="Arial" w:hAnsi="Arial"/>
          <w:sz w:val="17"/>
          <w:szCs w:val="17"/>
          <w:color w:val="auto"/>
        </w:rPr>
        <w:t>On October 21, 2011, Arrowhead acquired the RNAi therapeutics business of Hoffmann-La Roche, Inc. and F. Hoffmann-La Roche Ltd. (collectively, “Roche”). Roche built this business unit in a manner that only a large pharmaceutical company is capable of: backed by expansive capital resources, Roche systematically acquired technologies, licensed expansive intellectual property rights, attracted leading scientists, and developed new technologies internally. At a time when the markets were questioning whether RNAi could become a viable therapeutic modality, we saw great promise in the technology broadly and the quality of what Roche built specifically. The acquisition provided us with two primary sources of value:</w:t>
      </w:r>
    </w:p>
    <w:p>
      <w:pPr>
        <w:spacing w:after="0" w:line="64" w:lineRule="exact"/>
        <w:rPr>
          <w:sz w:val="20"/>
          <w:szCs w:val="20"/>
          <w:color w:val="auto"/>
        </w:rPr>
      </w:pPr>
    </w:p>
    <w:p>
      <w:pPr>
        <w:ind w:left="900" w:right="420" w:hanging="379"/>
        <w:spacing w:after="0" w:line="277" w:lineRule="auto"/>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color w:val="auto"/>
        </w:rPr>
        <w:t>Broad freedom to operate with respect to key patents directed to the primary RNAi-trigger formats: canonical, UNA, meroduplex, and dicer substrate structures; and</w:t>
      </w:r>
    </w:p>
    <w:p>
      <w:pPr>
        <w:spacing w:after="0" w:line="62" w:lineRule="exact"/>
        <w:rPr>
          <w:rFonts w:ascii="Arial" w:cs="Arial" w:eastAsia="Arial" w:hAnsi="Arial"/>
          <w:sz w:val="18"/>
          <w:szCs w:val="18"/>
          <w:color w:val="auto"/>
        </w:rPr>
      </w:pPr>
    </w:p>
    <w:p>
      <w:pPr>
        <w:ind w:left="900" w:hanging="379"/>
        <w:spacing w:after="0"/>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color w:val="auto"/>
        </w:rPr>
        <w:t>A large team of scientists experienced in RNAi and oligonucleotide delivery.</w:t>
      </w:r>
    </w:p>
    <w:p>
      <w:pPr>
        <w:spacing w:after="0" w:line="117" w:lineRule="exact"/>
        <w:rPr>
          <w:sz w:val="20"/>
          <w:szCs w:val="20"/>
          <w:color w:val="auto"/>
        </w:rPr>
      </w:pPr>
    </w:p>
    <w:p>
      <w:pPr>
        <w:ind w:right="100" w:firstLine="518"/>
        <w:spacing w:after="0" w:line="293" w:lineRule="auto"/>
        <w:rPr>
          <w:sz w:val="20"/>
          <w:szCs w:val="20"/>
          <w:color w:val="auto"/>
        </w:rPr>
      </w:pPr>
      <w:r>
        <w:rPr>
          <w:rFonts w:ascii="Arial" w:cs="Arial" w:eastAsia="Arial" w:hAnsi="Arial"/>
          <w:sz w:val="16"/>
          <w:szCs w:val="16"/>
          <w:color w:val="auto"/>
        </w:rPr>
        <w:t>Pursuant to this acquisition, Roche assigned to Arrowhead its entire rights under certain licenses including: the License and Collaboration Agreement between Roche and Alnylam Pharmaceuticals, Inc. (“Alnylam”) dated July 8, 2007 (the “Alnylam License”); the Non-Exclusive Patent License Agreement between Roche and MDRNA, Inc. dated February 12, 2009 (“MDRNA License”); and the Non-Exclusive License Agreement between Roche and City of Hope dated September 19, 2011 (the “COH License”) (Collectively the “RNAi Licenses”). The RNAi Licenses provide the Company with non-exclusive, worldwide, perpetual, irrevocable, royalty-bearing rights and the right to sublicense a broad portfolio of intellectual property relating to the discovery, development, manufacture, characterization, and use of therapeutic products that function through the mechanism of RNA interference for specified targets.</w:t>
      </w:r>
    </w:p>
    <w:p>
      <w:pPr>
        <w:spacing w:after="0" w:line="269" w:lineRule="exact"/>
        <w:rPr>
          <w:sz w:val="20"/>
          <w:szCs w:val="20"/>
          <w:color w:val="auto"/>
        </w:rPr>
      </w:pPr>
    </w:p>
    <w:p>
      <w:pPr>
        <w:ind w:left="320"/>
        <w:spacing w:after="0"/>
        <w:rPr>
          <w:sz w:val="20"/>
          <w:szCs w:val="20"/>
          <w:color w:val="auto"/>
        </w:rPr>
      </w:pPr>
      <w:r>
        <w:rPr>
          <w:rFonts w:ascii="Arial" w:cs="Arial" w:eastAsia="Arial" w:hAnsi="Arial"/>
          <w:sz w:val="18"/>
          <w:szCs w:val="18"/>
          <w:b w:val="1"/>
          <w:bCs w:val="1"/>
          <w:color w:val="auto"/>
        </w:rPr>
        <w:t>Terms of the 2007 Alnylam License</w:t>
      </w:r>
    </w:p>
    <w:p>
      <w:pPr>
        <w:spacing w:after="0" w:line="121" w:lineRule="exact"/>
        <w:rPr>
          <w:sz w:val="20"/>
          <w:szCs w:val="20"/>
          <w:color w:val="auto"/>
        </w:rPr>
      </w:pPr>
    </w:p>
    <w:p>
      <w:pPr>
        <w:ind w:right="180" w:firstLine="518"/>
        <w:spacing w:after="0" w:line="273" w:lineRule="auto"/>
        <w:rPr>
          <w:sz w:val="20"/>
          <w:szCs w:val="20"/>
          <w:color w:val="auto"/>
        </w:rPr>
      </w:pPr>
      <w:r>
        <w:rPr>
          <w:rFonts w:ascii="Arial" w:cs="Arial" w:eastAsia="Arial" w:hAnsi="Arial"/>
          <w:sz w:val="17"/>
          <w:szCs w:val="17"/>
          <w:color w:val="auto"/>
        </w:rPr>
        <w:t>The Alnylam License provides us with a non-exclusive, worldwide, perpetual, irrevocable, royalty-bearing right and sublicensable license under Alnylam’s rights in certain intellectual property existing as of its effective date, to engage in discovery, development, commercialization and manufacturing activities, including to make, have made, use, offer for sale, sell and import certain licensed products in certain fields. The fields include the treatment or prophylaxis of indications comprising an RNAi compound complementary to, and function in mediating the RNAi of, a target known or believed to be primarily implicated in one or more primary therapeutic areas. The primary therapeutic areas are cancer, hepatic, metabolic disease and pulmonary disease. The hepatic therapeutic area specifically excludes targets of infectious pathogen.</w:t>
      </w:r>
    </w:p>
    <w:p>
      <w:pPr>
        <w:spacing w:after="0" w:line="178" w:lineRule="exact"/>
        <w:rPr>
          <w:sz w:val="20"/>
          <w:szCs w:val="20"/>
          <w:color w:val="auto"/>
        </w:rPr>
      </w:pPr>
    </w:p>
    <w:p>
      <w:pPr>
        <w:ind w:right="220" w:firstLine="518"/>
        <w:spacing w:after="0" w:line="277" w:lineRule="auto"/>
        <w:rPr>
          <w:sz w:val="20"/>
          <w:szCs w:val="20"/>
          <w:color w:val="auto"/>
        </w:rPr>
      </w:pPr>
      <w:r>
        <w:rPr>
          <w:rFonts w:ascii="Arial" w:cs="Arial" w:eastAsia="Arial" w:hAnsi="Arial"/>
          <w:sz w:val="18"/>
          <w:szCs w:val="18"/>
          <w:color w:val="auto"/>
        </w:rPr>
        <w:t>The Alnylam License excludes access to intellectual property specifically related to “Blocked Targets.” “Blocked Targets” are those targets that are subject to a contractual obligation of a pre-existing agreement between Alnylam and its alliance partners.</w:t>
      </w:r>
    </w:p>
    <w:p>
      <w:pPr>
        <w:spacing w:after="0" w:line="170" w:lineRule="exact"/>
        <w:rPr>
          <w:sz w:val="20"/>
          <w:szCs w:val="20"/>
          <w:color w:val="auto"/>
        </w:rPr>
      </w:pPr>
    </w:p>
    <w:p>
      <w:pPr>
        <w:ind w:right="60" w:firstLine="518"/>
        <w:spacing w:after="0" w:line="277" w:lineRule="auto"/>
        <w:rPr>
          <w:sz w:val="20"/>
          <w:szCs w:val="20"/>
          <w:color w:val="auto"/>
        </w:rPr>
      </w:pPr>
      <w:r>
        <w:rPr>
          <w:rFonts w:ascii="Arial" w:cs="Arial" w:eastAsia="Arial" w:hAnsi="Arial"/>
          <w:sz w:val="18"/>
          <w:szCs w:val="18"/>
          <w:color w:val="auto"/>
        </w:rPr>
        <w:t>Under the Alnylam License, we may be obligated to pay development and sales milestone payments of up to the mid to upper double-digit millions of dollars for each licensed product that progresses through clinical trials in a particular indication, receives</w:t>
      </w:r>
    </w:p>
    <w:p>
      <w:pPr>
        <w:spacing w:after="0" w:line="17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336" w:right="259" w:bottom="1440" w:gutter="0" w:footer="0" w:header="0"/>
        </w:sectPr>
      </w:pPr>
    </w:p>
    <w:bookmarkStart w:id="12" w:name="page13"/>
    <w:bookmarkEnd w:id="12"/>
    <w:p>
      <w:pPr>
        <w:ind w:right="660"/>
        <w:spacing w:after="0" w:line="277" w:lineRule="auto"/>
        <w:rPr>
          <w:sz w:val="20"/>
          <w:szCs w:val="20"/>
          <w:color w:val="auto"/>
        </w:rPr>
      </w:pPr>
      <w:r>
        <w:rPr>
          <w:rFonts w:ascii="Arial" w:cs="Arial" w:eastAsia="Arial" w:hAnsi="Arial"/>
          <w:sz w:val="18"/>
          <w:szCs w:val="18"/>
          <w:color w:val="auto"/>
        </w:rPr>
        <w:t>marketing approval for that indication and is the subject of a first commercial sale. Additionally, we may be obligated to pay mid to high single-digit percentage royalties on sales of such products.</w:t>
      </w:r>
    </w:p>
    <w:p>
      <w:pPr>
        <w:spacing w:after="0" w:line="275" w:lineRule="exact"/>
        <w:rPr>
          <w:sz w:val="20"/>
          <w:szCs w:val="20"/>
          <w:color w:val="auto"/>
        </w:rPr>
      </w:pPr>
    </w:p>
    <w:p>
      <w:pPr>
        <w:ind w:left="320"/>
        <w:spacing w:after="0"/>
        <w:rPr>
          <w:sz w:val="20"/>
          <w:szCs w:val="20"/>
          <w:color w:val="auto"/>
        </w:rPr>
      </w:pPr>
      <w:r>
        <w:rPr>
          <w:rFonts w:ascii="Arial" w:cs="Arial" w:eastAsia="Arial" w:hAnsi="Arial"/>
          <w:sz w:val="18"/>
          <w:szCs w:val="18"/>
          <w:b w:val="1"/>
          <w:bCs w:val="1"/>
          <w:color w:val="auto"/>
        </w:rPr>
        <w:t>Core Patents relating to RNAi</w:t>
      </w:r>
    </w:p>
    <w:p>
      <w:pPr>
        <w:spacing w:after="0" w:line="121" w:lineRule="exact"/>
        <w:rPr>
          <w:sz w:val="20"/>
          <w:szCs w:val="20"/>
          <w:color w:val="auto"/>
        </w:rPr>
      </w:pPr>
    </w:p>
    <w:p>
      <w:pPr>
        <w:ind w:right="60" w:firstLine="518"/>
        <w:spacing w:after="0" w:line="276" w:lineRule="auto"/>
        <w:rPr>
          <w:sz w:val="20"/>
          <w:szCs w:val="20"/>
          <w:color w:val="auto"/>
        </w:rPr>
      </w:pPr>
      <w:r>
        <w:rPr>
          <w:rFonts w:ascii="Arial" w:cs="Arial" w:eastAsia="Arial" w:hAnsi="Arial"/>
          <w:sz w:val="17"/>
          <w:szCs w:val="17"/>
          <w:color w:val="auto"/>
        </w:rPr>
        <w:t>The RNAi Licenses include patents relating to the general structure, architecture, and design of double-stranded oligonucleotide molecules, which engage RNA interference mechanisms in a cell. These rights include the “Tuschl II” patents, including issued U.S. Patent Nos. 7,056,704; 7,078,196; 7,078,196; 8,329,463; 8,362,231; 8,372,968; and 8,445,327; “Tuschl I” patents, including U.S. Patent Nos. 8,394,628 and 8,420,391; and allowed “Tuschl I” patent application, U.S. Publication No. 2011024446; “City of Hope” patents, including U.S. Patent No. 8,084,599; and “Kreutzer-Limmer” patents assigned to Alnylam, including U.S. Patent Nos. 7,829,693; 8,101,594; 8,119,608; 8,202,980; and 8,168,776.</w:t>
      </w:r>
    </w:p>
    <w:p>
      <w:pPr>
        <w:spacing w:after="0" w:line="173" w:lineRule="exact"/>
        <w:rPr>
          <w:sz w:val="20"/>
          <w:szCs w:val="20"/>
          <w:color w:val="auto"/>
        </w:rPr>
      </w:pPr>
    </w:p>
    <w:p>
      <w:pPr>
        <w:ind w:right="60" w:firstLine="518"/>
        <w:spacing w:after="0" w:line="255" w:lineRule="auto"/>
        <w:rPr>
          <w:sz w:val="20"/>
          <w:szCs w:val="20"/>
          <w:color w:val="auto"/>
        </w:rPr>
      </w:pPr>
      <w:r>
        <w:rPr>
          <w:rFonts w:ascii="Arial" w:cs="Arial" w:eastAsia="Arial" w:hAnsi="Arial"/>
          <w:sz w:val="18"/>
          <w:szCs w:val="18"/>
          <w:color w:val="auto"/>
        </w:rPr>
        <w:t>Thomas Tuschl is the first named inventor on “Tuschl I” and “Tuschl II.” “Tuschl I” patents refers to the patents arising from the patent application entitled “The Uses of 21-23 Sequence-Specific Mediators of Double-Stranded RNA Interference as a Tool to Study Gene Function and as a Gene-Specific Therapeutic.” “Tuschl II” patents refer to the patents and patent applications arising from the patent application entitled “RNA Interference Mediating Small RNA Molecules.” “City of Hope” is the first named assignee of certain core RNAi trigger patents. The second named assignee of these patents is Integrated DNA Technologies, Inc. Kreutzer-Limmer patents refer to the Alnylam patents and patent applications, relating to core siRNA IP, which includes inventors Roland Kreutzer and Stefan Limmer.</w:t>
      </w:r>
    </w:p>
    <w:p>
      <w:pPr>
        <w:spacing w:after="0" w:line="297" w:lineRule="exact"/>
        <w:rPr>
          <w:sz w:val="20"/>
          <w:szCs w:val="20"/>
          <w:color w:val="auto"/>
        </w:rPr>
      </w:pPr>
    </w:p>
    <w:p>
      <w:pPr>
        <w:ind w:left="320"/>
        <w:spacing w:after="0"/>
        <w:rPr>
          <w:sz w:val="20"/>
          <w:szCs w:val="20"/>
          <w:color w:val="auto"/>
        </w:rPr>
      </w:pPr>
      <w:r>
        <w:rPr>
          <w:rFonts w:ascii="Arial" w:cs="Arial" w:eastAsia="Arial" w:hAnsi="Arial"/>
          <w:sz w:val="18"/>
          <w:szCs w:val="18"/>
          <w:b w:val="1"/>
          <w:bCs w:val="1"/>
          <w:color w:val="auto"/>
        </w:rPr>
        <w:t>Chemical modifications of double-stranded oligonucleotides</w:t>
      </w:r>
    </w:p>
    <w:p>
      <w:pPr>
        <w:spacing w:after="0" w:line="121" w:lineRule="exact"/>
        <w:rPr>
          <w:sz w:val="20"/>
          <w:szCs w:val="20"/>
          <w:color w:val="auto"/>
        </w:rPr>
      </w:pPr>
    </w:p>
    <w:p>
      <w:pPr>
        <w:ind w:right="80" w:firstLine="518"/>
        <w:spacing w:after="0" w:line="271" w:lineRule="auto"/>
        <w:rPr>
          <w:sz w:val="20"/>
          <w:szCs w:val="20"/>
          <w:color w:val="auto"/>
        </w:rPr>
      </w:pPr>
      <w:r>
        <w:rPr>
          <w:rFonts w:ascii="Arial" w:cs="Arial" w:eastAsia="Arial" w:hAnsi="Arial"/>
          <w:sz w:val="17"/>
          <w:szCs w:val="17"/>
          <w:color w:val="auto"/>
        </w:rPr>
        <w:t>The RNAi Licenses also include patents related to modifications of double-stranded oligonucleotides, including modifications to the base, sugar, or internucleoside linkage, nucleotide mimetics, and end modifications, which do not abolish the RNAi activity of the double-stranded oligonucleotides. Also included are patents relating to modified double-stranded oligonucleotides, such as meroduplexes described in U.S. Patent No. 9,074,205 assigned to Marina Biotech (f/k/a MDRNA, Inc.), and microRNAs described in U.S. Patent Nos. 7,582,744; 7,674,778, and 7,772,387 assigned to Alnylam, as well as U.S. Patent No. 8,314,227 related to unlocked nucleic acids (UNA). The ‘227 patent was assigned by Marina Biotech to Arcturus Therapeutics, Inc. but remains part of the MDRNA License. The RNAi Licenses also include rights from INEX/Tekmira relating to lipid-nucleic acid particles, and oligonucleotide modifications to improve pharmacokinetic activity including resistance to degradation, increased stability, and more specific targeting of cells from Alnylam and Ionis Pharmaceuticals, Inc. (f/k/a ISIS Pharmaceuticals, Inc.).</w:t>
      </w:r>
    </w:p>
    <w:p>
      <w:pPr>
        <w:spacing w:after="0" w:line="283" w:lineRule="exact"/>
        <w:rPr>
          <w:sz w:val="20"/>
          <w:szCs w:val="20"/>
          <w:color w:val="auto"/>
        </w:rPr>
      </w:pPr>
    </w:p>
    <w:p>
      <w:pPr>
        <w:ind w:left="320"/>
        <w:spacing w:after="0"/>
        <w:rPr>
          <w:sz w:val="20"/>
          <w:szCs w:val="20"/>
          <w:color w:val="auto"/>
        </w:rPr>
      </w:pPr>
      <w:r>
        <w:rPr>
          <w:rFonts w:ascii="Arial" w:cs="Arial" w:eastAsia="Arial" w:hAnsi="Arial"/>
          <w:sz w:val="18"/>
          <w:szCs w:val="18"/>
          <w:b w:val="1"/>
          <w:bCs w:val="1"/>
          <w:color w:val="auto"/>
        </w:rPr>
        <w:t>Manufacturing techniques for the double-stranded oligonucleotide molecules or chemical modifications</w:t>
      </w:r>
    </w:p>
    <w:p>
      <w:pPr>
        <w:spacing w:after="0" w:line="121" w:lineRule="exact"/>
        <w:rPr>
          <w:sz w:val="20"/>
          <w:szCs w:val="20"/>
          <w:color w:val="auto"/>
        </w:rPr>
      </w:pPr>
    </w:p>
    <w:p>
      <w:pPr>
        <w:ind w:right="480" w:firstLine="518"/>
        <w:spacing w:after="0" w:line="273" w:lineRule="auto"/>
        <w:rPr>
          <w:sz w:val="20"/>
          <w:szCs w:val="20"/>
          <w:color w:val="auto"/>
        </w:rPr>
      </w:pPr>
      <w:r>
        <w:rPr>
          <w:rFonts w:ascii="Arial" w:cs="Arial" w:eastAsia="Arial" w:hAnsi="Arial"/>
          <w:sz w:val="17"/>
          <w:szCs w:val="17"/>
          <w:color w:val="auto"/>
        </w:rPr>
        <w:t>The RNAi Licenses also include patents relating to the synthesis and manufacture of double-stranded oligonucleotide molecules for use in RNA interference, as well as chemical modifications of such molecules, as described above. These include methods of synthesizing the double-stranded oligonucleotide molecules such as in the core “Tuschl I” allowed U.S. Application No. 12/897,749, the core “Tuschl II” U.S. Patent Nos. 7,056,704; 7,078,196; and 8,445,327; and Alnylam’s U.S. Patent No. 8,168,776, as well as methods of making chemical modifications of the double-stranded oligonucleotides such as described in Alnylam’s U.S. Patent No. 7,723,509. Patent applications are currently pending that further cover manufacturing techniques for double-stranded oligonucleotide molecules or chemical modifications.</w:t>
      </w:r>
    </w:p>
    <w:p>
      <w:pPr>
        <w:spacing w:after="0" w:line="283" w:lineRule="exact"/>
        <w:rPr>
          <w:sz w:val="20"/>
          <w:szCs w:val="20"/>
          <w:color w:val="auto"/>
        </w:rPr>
      </w:pPr>
    </w:p>
    <w:p>
      <w:pPr>
        <w:ind w:left="320"/>
        <w:spacing w:after="0"/>
        <w:rPr>
          <w:sz w:val="20"/>
          <w:szCs w:val="20"/>
          <w:color w:val="auto"/>
        </w:rPr>
      </w:pPr>
      <w:r>
        <w:rPr>
          <w:rFonts w:ascii="Arial" w:cs="Arial" w:eastAsia="Arial" w:hAnsi="Arial"/>
          <w:sz w:val="18"/>
          <w:szCs w:val="18"/>
          <w:b w:val="1"/>
          <w:bCs w:val="1"/>
          <w:color w:val="auto"/>
        </w:rPr>
        <w:t>Uses and Applications of Double-Stranded Oligonucleotide Molecules or Chemical modifications</w:t>
      </w:r>
    </w:p>
    <w:p>
      <w:pPr>
        <w:spacing w:after="0" w:line="121" w:lineRule="exact"/>
        <w:rPr>
          <w:sz w:val="20"/>
          <w:szCs w:val="20"/>
          <w:color w:val="auto"/>
        </w:rPr>
      </w:pPr>
    </w:p>
    <w:p>
      <w:pPr>
        <w:ind w:right="20" w:firstLine="518"/>
        <w:spacing w:after="0" w:line="302" w:lineRule="auto"/>
        <w:rPr>
          <w:sz w:val="20"/>
          <w:szCs w:val="20"/>
          <w:color w:val="auto"/>
        </w:rPr>
      </w:pPr>
      <w:r>
        <w:rPr>
          <w:rFonts w:ascii="Arial" w:cs="Arial" w:eastAsia="Arial" w:hAnsi="Arial"/>
          <w:sz w:val="16"/>
          <w:szCs w:val="16"/>
          <w:color w:val="auto"/>
        </w:rPr>
        <w:t>The RNAi Licenses also include patents related to uses of the double-stranded oligonucleotides that function through the mechanism of RNA interference. These include for example, the core “Tuschl I” U.S. Patent No. 8,394,628 and “Tuschl II” U.S. Patent No. 8,329,463; Alnylam’s U.S. Patent Nos. 7,763,590; 8,101,594, and 8,119,608, and City of Hope‘s U.S. Patent No. 8,084,599. Other more specific uses have been acquired and patent applications are currently pending that cover additional end uses and applications of double-stranded oligonucleotides functioning through RNA interference.</w:t>
      </w:r>
    </w:p>
    <w:p>
      <w:pPr>
        <w:spacing w:after="0" w:line="258" w:lineRule="exact"/>
        <w:rPr>
          <w:sz w:val="20"/>
          <w:szCs w:val="20"/>
          <w:color w:val="auto"/>
        </w:rPr>
      </w:pPr>
    </w:p>
    <w:p>
      <w:pPr>
        <w:ind w:left="320"/>
        <w:spacing w:after="0"/>
        <w:rPr>
          <w:sz w:val="20"/>
          <w:szCs w:val="20"/>
          <w:color w:val="auto"/>
        </w:rPr>
      </w:pPr>
      <w:r>
        <w:rPr>
          <w:rFonts w:ascii="Arial" w:cs="Arial" w:eastAsia="Arial" w:hAnsi="Arial"/>
          <w:sz w:val="18"/>
          <w:szCs w:val="18"/>
          <w:b w:val="1"/>
          <w:bCs w:val="1"/>
          <w:color w:val="auto"/>
        </w:rPr>
        <w:t>2012 License to Alnylam</w:t>
      </w:r>
    </w:p>
    <w:p>
      <w:pPr>
        <w:spacing w:after="0" w:line="121" w:lineRule="exact"/>
        <w:rPr>
          <w:sz w:val="20"/>
          <w:szCs w:val="20"/>
          <w:color w:val="auto"/>
        </w:rPr>
      </w:pPr>
    </w:p>
    <w:p>
      <w:pPr>
        <w:ind w:firstLine="518"/>
        <w:spacing w:after="0" w:line="255" w:lineRule="auto"/>
        <w:rPr>
          <w:sz w:val="20"/>
          <w:szCs w:val="20"/>
          <w:color w:val="auto"/>
        </w:rPr>
      </w:pPr>
      <w:r>
        <w:rPr>
          <w:rFonts w:ascii="Arial" w:cs="Arial" w:eastAsia="Arial" w:hAnsi="Arial"/>
          <w:sz w:val="18"/>
          <w:szCs w:val="18"/>
          <w:color w:val="auto"/>
        </w:rPr>
        <w:t>In consideration for licenses obtained from Alnylam to certain RNAi intellectual property, in January 2012 we granted Alnylam a worldwide non-exclusive, sublicensable royalty-bearing license under our broad and target-specific DPC intellectual property rights to research, develop and commercialize RNAi-based products against a single undisclosed target in combination with DPC technology. Under the license to Alnylam, Alnylam may be obligated to pay us development and sales milestone payments of up to the low double-digit millions of dollars for each licensed product that progresses through clinical trials, receives marketing approval and is the subject of a first commercial sale. Additionally, Alnylam may be obligated to pay us low single-digit percentage royalties on sales of such products.</w:t>
      </w:r>
    </w:p>
    <w:p>
      <w:pPr>
        <w:spacing w:after="0" w:line="200" w:lineRule="exact"/>
        <w:rPr>
          <w:sz w:val="20"/>
          <w:szCs w:val="20"/>
          <w:color w:val="auto"/>
        </w:rPr>
      </w:pPr>
    </w:p>
    <w:p>
      <w:pPr>
        <w:spacing w:after="0" w:line="20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80"/>
          </w:cols>
          <w:pgMar w:left="240" w:top="341" w:right="279" w:bottom="1440" w:gutter="0" w:footer="0" w:header="0"/>
        </w:sectPr>
      </w:pPr>
    </w:p>
    <w:bookmarkStart w:id="13" w:name="page14"/>
    <w:bookmarkEnd w:id="13"/>
    <w:p>
      <w:pPr>
        <w:ind w:left="320"/>
        <w:spacing w:after="0"/>
        <w:rPr>
          <w:sz w:val="20"/>
          <w:szCs w:val="20"/>
          <w:color w:val="auto"/>
        </w:rPr>
      </w:pPr>
      <w:r>
        <w:rPr>
          <w:rFonts w:ascii="Arial" w:cs="Arial" w:eastAsia="Arial" w:hAnsi="Arial"/>
          <w:sz w:val="18"/>
          <w:szCs w:val="18"/>
          <w:b w:val="1"/>
          <w:bCs w:val="1"/>
          <w:color w:val="auto"/>
        </w:rPr>
        <w:t>Acquisition of Assets from Novartis</w:t>
      </w:r>
    </w:p>
    <w:p>
      <w:pPr>
        <w:spacing w:after="0" w:line="229" w:lineRule="exact"/>
        <w:rPr>
          <w:sz w:val="20"/>
          <w:szCs w:val="20"/>
          <w:color w:val="auto"/>
        </w:rPr>
      </w:pPr>
    </w:p>
    <w:p>
      <w:pPr>
        <w:ind w:right="20" w:firstLine="295"/>
        <w:spacing w:after="0" w:line="288" w:lineRule="auto"/>
        <w:rPr>
          <w:sz w:val="20"/>
          <w:szCs w:val="20"/>
          <w:color w:val="auto"/>
        </w:rPr>
      </w:pPr>
      <w:r>
        <w:rPr>
          <w:rFonts w:ascii="Arial" w:cs="Arial" w:eastAsia="Arial" w:hAnsi="Arial"/>
          <w:sz w:val="16"/>
          <w:szCs w:val="16"/>
          <w:color w:val="auto"/>
        </w:rPr>
        <w:t>On March 3, 2015, the Company entered into an Asset Purchase and Exclusive License Agreement (the “RNAi Purchase Agreement”) with Novartis pursuant to which the Company acquired Novartis’ RNAi assets and rights thereunder. Pursuant to the RNAi Purchase Agreement, the Company acquired or licensed certain patents and patent applications owned or controlled by Novartis related to RNAi therapeutics, assignment of Novartis’s rights under a license from Alnylam (the “Alnylam-Novartis License”), rights to three pre-clinical RNAi candidates, and a license to certain Novartis assets (the “Licensed Novartis Assets”). The patents acquired from Novartis include multiple patent families covering delivery technologies and RNAi-trigger design rules and modifications. The Licensed Novartis Assets include an exclusive, worldwide right and license, solely in the RNAi field, with the right to grant sublicenses through multiple tiers under or with respect to certain patent rights and know how relating to delivery technologies and RNAi-trigger design rules and modifications. Under the assigned Alnylam-Novartis License, the Company acquired a worldwide, royalty-bearing, exclusive license with limited sublicensing rights to existing and future Alnylam intellectual property (including intellectual property that came under Alnylam’s control on or before March 31, 2016), excluding intellectual property concerning delivery technology, to research, develop and commercialize 30 undisclosed gene targets.</w:t>
      </w:r>
    </w:p>
    <w:p>
      <w:pPr>
        <w:spacing w:after="0" w:line="169" w:lineRule="exact"/>
        <w:rPr>
          <w:sz w:val="20"/>
          <w:szCs w:val="20"/>
          <w:color w:val="auto"/>
        </w:rPr>
      </w:pPr>
    </w:p>
    <w:p>
      <w:pPr>
        <w:ind w:right="180" w:firstLine="315"/>
        <w:spacing w:after="0" w:line="342" w:lineRule="auto"/>
        <w:rPr>
          <w:sz w:val="20"/>
          <w:szCs w:val="20"/>
          <w:color w:val="auto"/>
        </w:rPr>
      </w:pPr>
      <w:r>
        <w:rPr>
          <w:rFonts w:ascii="Arial" w:cs="Arial" w:eastAsia="Arial" w:hAnsi="Arial"/>
          <w:sz w:val="16"/>
          <w:szCs w:val="16"/>
          <w:color w:val="auto"/>
        </w:rPr>
        <w:t>We see the Roche and Novartis acquisitions as a powerful combination of intellectual property, R&amp;D infrastructure, and RNAi experts. This foundation and substantial progress made by Arrowhead scientists over the last few years enable us to develop what we think are optimal RNAi therapeutics.</w:t>
      </w:r>
    </w:p>
    <w:p>
      <w:pPr>
        <w:spacing w:after="0" w:line="336" w:lineRule="exact"/>
        <w:rPr>
          <w:sz w:val="20"/>
          <w:szCs w:val="20"/>
          <w:color w:val="auto"/>
        </w:rPr>
      </w:pPr>
    </w:p>
    <w:p>
      <w:pPr>
        <w:ind w:left="320"/>
        <w:spacing w:after="0"/>
        <w:rPr>
          <w:sz w:val="20"/>
          <w:szCs w:val="20"/>
          <w:color w:val="auto"/>
        </w:rPr>
      </w:pPr>
      <w:r>
        <w:rPr>
          <w:rFonts w:ascii="Arial" w:cs="Arial" w:eastAsia="Arial" w:hAnsi="Arial"/>
          <w:sz w:val="18"/>
          <w:szCs w:val="18"/>
          <w:b w:val="1"/>
          <w:bCs w:val="1"/>
          <w:color w:val="auto"/>
        </w:rPr>
        <w:t>Cardiovascular Collaboration and License Agreements with Amgen</w:t>
      </w:r>
    </w:p>
    <w:p>
      <w:pPr>
        <w:spacing w:after="0" w:line="162" w:lineRule="exact"/>
        <w:rPr>
          <w:sz w:val="20"/>
          <w:szCs w:val="20"/>
          <w:color w:val="auto"/>
        </w:rPr>
      </w:pPr>
    </w:p>
    <w:p>
      <w:pPr>
        <w:jc w:val="both"/>
        <w:ind w:firstLine="323"/>
        <w:spacing w:after="0" w:line="289" w:lineRule="auto"/>
        <w:rPr>
          <w:sz w:val="20"/>
          <w:szCs w:val="20"/>
          <w:color w:val="auto"/>
        </w:rPr>
      </w:pPr>
      <w:r>
        <w:rPr>
          <w:rFonts w:ascii="Arial" w:cs="Arial" w:eastAsia="Arial" w:hAnsi="Arial"/>
          <w:sz w:val="16"/>
          <w:szCs w:val="16"/>
          <w:color w:val="auto"/>
        </w:rPr>
        <w:t>On September 28, 2016, the Company entered into two Collaboration and License agreements and a Common Stock Purchase Agreement with Amgen. Under the First Collaboration and License Agreement, Amgen received an option to a worldwide, exclusive license to ARO-AMG1</w:t>
      </w:r>
      <w:r>
        <w:rPr>
          <w:rFonts w:ascii="Arial" w:cs="Arial" w:eastAsia="Arial" w:hAnsi="Arial"/>
          <w:sz w:val="13"/>
          <w:szCs w:val="13"/>
          <w:color w:val="auto"/>
        </w:rPr>
        <w:t>,</w:t>
      </w:r>
      <w:r>
        <w:rPr>
          <w:rFonts w:ascii="Arial" w:cs="Arial" w:eastAsia="Arial" w:hAnsi="Arial"/>
          <w:sz w:val="16"/>
          <w:szCs w:val="16"/>
          <w:color w:val="auto"/>
        </w:rPr>
        <w:t xml:space="preserve"> an RNAi therapy for an undisclosed genetically validated cardiovascular target. Under the Second Collaboration and License, Amgen received a worldwide, exclusive license to Arrowhead’s novel, RNAi ARO-LPA (AMG 890) program. The ARO-LPA (AMG-890) RNAi molecules are designed to reduce elevated lipoprotein(a), which is a genetically validated, independent risk factor for atherosclerotic cardiovascular disease. In both agreements, Amgen is wholly responsible for clinical development and commercialization. Under the terms of the agreements taken together, the Company has received $35 million in upfront payments, $21.5 million in the form of an equity investment by Amgen in the Company’s Common Stock, and may receive up to $617 million in option payments and development, regulatory and sales milestone payments. The Company is further eligible to receive single-digit royalties for sales of products under the ARO-AMG1 agreement and up to low double-digit royalties for sales of products under the ARO-LPA (AMG 890) agreement.</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Research and Development Facility</w:t>
      </w:r>
    </w:p>
    <w:p>
      <w:pPr>
        <w:spacing w:after="0" w:line="117" w:lineRule="exact"/>
        <w:rPr>
          <w:sz w:val="20"/>
          <w:szCs w:val="20"/>
          <w:color w:val="auto"/>
        </w:rPr>
      </w:pPr>
    </w:p>
    <w:p>
      <w:pPr>
        <w:ind w:right="200" w:firstLine="518"/>
        <w:spacing w:after="0" w:line="308" w:lineRule="auto"/>
        <w:rPr>
          <w:sz w:val="20"/>
          <w:szCs w:val="20"/>
          <w:color w:val="auto"/>
        </w:rPr>
      </w:pPr>
      <w:r>
        <w:rPr>
          <w:rFonts w:ascii="Arial" w:cs="Arial" w:eastAsia="Arial" w:hAnsi="Arial"/>
          <w:sz w:val="17"/>
          <w:szCs w:val="17"/>
          <w:color w:val="auto"/>
        </w:rPr>
        <w:t>Arrowhead’s research and development operations are located in Madison, Wisconsin. Substantially all of the Company’s assets are located either in this facility or in our corporate headquarters in Pasadena. A summary of our research and development resources is provided below:</w:t>
      </w:r>
    </w:p>
    <w:p>
      <w:pPr>
        <w:spacing w:after="0" w:line="38" w:lineRule="exact"/>
        <w:rPr>
          <w:sz w:val="20"/>
          <w:szCs w:val="20"/>
          <w:color w:val="auto"/>
        </w:rPr>
      </w:pPr>
    </w:p>
    <w:p>
      <w:pPr>
        <w:ind w:left="1040" w:hanging="384"/>
        <w:spacing w:after="0"/>
        <w:tabs>
          <w:tab w:leader="none" w:pos="1040" w:val="left"/>
        </w:tabs>
        <w:numPr>
          <w:ilvl w:val="0"/>
          <w:numId w:val="5"/>
        </w:numPr>
        <w:rPr>
          <w:rFonts w:ascii="Arial" w:cs="Arial" w:eastAsia="Arial" w:hAnsi="Arial"/>
          <w:sz w:val="18"/>
          <w:szCs w:val="18"/>
          <w:color w:val="auto"/>
        </w:rPr>
      </w:pPr>
      <w:r>
        <w:rPr>
          <w:rFonts w:ascii="Arial" w:cs="Arial" w:eastAsia="Arial" w:hAnsi="Arial"/>
          <w:sz w:val="18"/>
          <w:szCs w:val="18"/>
          <w:color w:val="auto"/>
        </w:rPr>
        <w:t>Approximately 70 scientists currently;</w:t>
      </w:r>
    </w:p>
    <w:p>
      <w:pPr>
        <w:spacing w:after="0" w:line="117" w:lineRule="exact"/>
        <w:rPr>
          <w:rFonts w:ascii="Arial" w:cs="Arial" w:eastAsia="Arial" w:hAnsi="Arial"/>
          <w:sz w:val="18"/>
          <w:szCs w:val="18"/>
          <w:color w:val="auto"/>
        </w:rPr>
      </w:pPr>
    </w:p>
    <w:p>
      <w:pPr>
        <w:ind w:left="1040" w:hanging="384"/>
        <w:spacing w:after="0"/>
        <w:tabs>
          <w:tab w:leader="none" w:pos="1040" w:val="left"/>
        </w:tabs>
        <w:numPr>
          <w:ilvl w:val="0"/>
          <w:numId w:val="5"/>
        </w:numPr>
        <w:rPr>
          <w:rFonts w:ascii="Arial" w:cs="Arial" w:eastAsia="Arial" w:hAnsi="Arial"/>
          <w:sz w:val="18"/>
          <w:szCs w:val="18"/>
          <w:color w:val="auto"/>
        </w:rPr>
      </w:pPr>
      <w:r>
        <w:rPr>
          <w:rFonts w:ascii="Arial" w:cs="Arial" w:eastAsia="Arial" w:hAnsi="Arial"/>
          <w:sz w:val="18"/>
          <w:szCs w:val="18"/>
          <w:color w:val="auto"/>
        </w:rPr>
        <w:t>State-of-the-art laboratories consisting of 60,000 total sq. ft.;</w:t>
      </w:r>
    </w:p>
    <w:p>
      <w:pPr>
        <w:spacing w:after="0" w:line="117" w:lineRule="exact"/>
        <w:rPr>
          <w:rFonts w:ascii="Arial" w:cs="Arial" w:eastAsia="Arial" w:hAnsi="Arial"/>
          <w:sz w:val="18"/>
          <w:szCs w:val="18"/>
          <w:color w:val="auto"/>
        </w:rPr>
      </w:pPr>
    </w:p>
    <w:p>
      <w:pPr>
        <w:ind w:left="1040" w:hanging="384"/>
        <w:spacing w:after="0"/>
        <w:tabs>
          <w:tab w:leader="none" w:pos="1040" w:val="left"/>
        </w:tabs>
        <w:numPr>
          <w:ilvl w:val="0"/>
          <w:numId w:val="5"/>
        </w:numPr>
        <w:rPr>
          <w:rFonts w:ascii="Arial" w:cs="Arial" w:eastAsia="Arial" w:hAnsi="Arial"/>
          <w:sz w:val="18"/>
          <w:szCs w:val="18"/>
          <w:color w:val="auto"/>
        </w:rPr>
      </w:pPr>
      <w:r>
        <w:rPr>
          <w:rFonts w:ascii="Arial" w:cs="Arial" w:eastAsia="Arial" w:hAnsi="Arial"/>
          <w:sz w:val="18"/>
          <w:szCs w:val="18"/>
          <w:color w:val="auto"/>
        </w:rPr>
        <w:t>Complete small animal facility;</w:t>
      </w:r>
    </w:p>
    <w:p>
      <w:pPr>
        <w:spacing w:after="0" w:line="117" w:lineRule="exact"/>
        <w:rPr>
          <w:rFonts w:ascii="Arial" w:cs="Arial" w:eastAsia="Arial" w:hAnsi="Arial"/>
          <w:sz w:val="18"/>
          <w:szCs w:val="18"/>
          <w:color w:val="auto"/>
        </w:rPr>
      </w:pPr>
    </w:p>
    <w:p>
      <w:pPr>
        <w:ind w:left="1040" w:hanging="384"/>
        <w:spacing w:after="0"/>
        <w:tabs>
          <w:tab w:leader="none" w:pos="1040" w:val="left"/>
        </w:tabs>
        <w:numPr>
          <w:ilvl w:val="0"/>
          <w:numId w:val="5"/>
        </w:numPr>
        <w:rPr>
          <w:rFonts w:ascii="Arial" w:cs="Arial" w:eastAsia="Arial" w:hAnsi="Arial"/>
          <w:sz w:val="18"/>
          <w:szCs w:val="18"/>
          <w:color w:val="auto"/>
        </w:rPr>
      </w:pPr>
      <w:r>
        <w:rPr>
          <w:rFonts w:ascii="Arial" w:cs="Arial" w:eastAsia="Arial" w:hAnsi="Arial"/>
          <w:sz w:val="18"/>
          <w:szCs w:val="18"/>
          <w:color w:val="auto"/>
        </w:rPr>
        <w:t>Primate colony housed at the Wisconsin National Primate Research Center, an affiliate of the University of Wisconsin;</w:t>
      </w:r>
    </w:p>
    <w:p>
      <w:pPr>
        <w:spacing w:after="0" w:line="117" w:lineRule="exact"/>
        <w:rPr>
          <w:rFonts w:ascii="Arial" w:cs="Arial" w:eastAsia="Arial" w:hAnsi="Arial"/>
          <w:sz w:val="18"/>
          <w:szCs w:val="18"/>
          <w:color w:val="auto"/>
        </w:rPr>
      </w:pPr>
    </w:p>
    <w:p>
      <w:pPr>
        <w:ind w:left="1040" w:hanging="384"/>
        <w:spacing w:after="0"/>
        <w:tabs>
          <w:tab w:leader="none" w:pos="1040" w:val="left"/>
        </w:tabs>
        <w:numPr>
          <w:ilvl w:val="0"/>
          <w:numId w:val="5"/>
        </w:numPr>
        <w:rPr>
          <w:rFonts w:ascii="Arial" w:cs="Arial" w:eastAsia="Arial" w:hAnsi="Arial"/>
          <w:sz w:val="18"/>
          <w:szCs w:val="18"/>
          <w:color w:val="auto"/>
        </w:rPr>
      </w:pPr>
      <w:r>
        <w:rPr>
          <w:rFonts w:ascii="Arial" w:cs="Arial" w:eastAsia="Arial" w:hAnsi="Arial"/>
          <w:sz w:val="18"/>
          <w:szCs w:val="18"/>
          <w:color w:val="auto"/>
        </w:rPr>
        <w:t>In-house histopathology capabilities;</w:t>
      </w:r>
    </w:p>
    <w:p>
      <w:pPr>
        <w:spacing w:after="0" w:line="117" w:lineRule="exact"/>
        <w:rPr>
          <w:rFonts w:ascii="Arial" w:cs="Arial" w:eastAsia="Arial" w:hAnsi="Arial"/>
          <w:sz w:val="18"/>
          <w:szCs w:val="18"/>
          <w:color w:val="auto"/>
        </w:rPr>
      </w:pPr>
    </w:p>
    <w:p>
      <w:pPr>
        <w:ind w:left="1040" w:hanging="384"/>
        <w:spacing w:after="0"/>
        <w:tabs>
          <w:tab w:leader="none" w:pos="1040" w:val="left"/>
        </w:tabs>
        <w:numPr>
          <w:ilvl w:val="0"/>
          <w:numId w:val="5"/>
        </w:numPr>
        <w:rPr>
          <w:rFonts w:ascii="Arial" w:cs="Arial" w:eastAsia="Arial" w:hAnsi="Arial"/>
          <w:sz w:val="18"/>
          <w:szCs w:val="18"/>
          <w:color w:val="auto"/>
        </w:rPr>
      </w:pPr>
      <w:r>
        <w:rPr>
          <w:rFonts w:ascii="Arial" w:cs="Arial" w:eastAsia="Arial" w:hAnsi="Arial"/>
          <w:sz w:val="18"/>
          <w:szCs w:val="18"/>
          <w:color w:val="auto"/>
        </w:rPr>
        <w:t>Animal models for cardio metabolic, viral, lung, and oncologic diseases;</w:t>
      </w:r>
    </w:p>
    <w:p>
      <w:pPr>
        <w:spacing w:after="0" w:line="117" w:lineRule="exact"/>
        <w:rPr>
          <w:rFonts w:ascii="Arial" w:cs="Arial" w:eastAsia="Arial" w:hAnsi="Arial"/>
          <w:sz w:val="18"/>
          <w:szCs w:val="18"/>
          <w:color w:val="auto"/>
        </w:rPr>
      </w:pPr>
    </w:p>
    <w:p>
      <w:pPr>
        <w:ind w:left="1040" w:hanging="384"/>
        <w:spacing w:after="0"/>
        <w:tabs>
          <w:tab w:leader="none" w:pos="1040" w:val="left"/>
        </w:tabs>
        <w:numPr>
          <w:ilvl w:val="0"/>
          <w:numId w:val="5"/>
        </w:numPr>
        <w:rPr>
          <w:rFonts w:ascii="Arial" w:cs="Arial" w:eastAsia="Arial" w:hAnsi="Arial"/>
          <w:sz w:val="18"/>
          <w:szCs w:val="18"/>
          <w:color w:val="auto"/>
        </w:rPr>
      </w:pPr>
      <w:r>
        <w:rPr>
          <w:rFonts w:ascii="Arial" w:cs="Arial" w:eastAsia="Arial" w:hAnsi="Arial"/>
          <w:sz w:val="18"/>
          <w:szCs w:val="18"/>
          <w:color w:val="auto"/>
        </w:rPr>
        <w:t>Animal efficacy and safety assessment;</w:t>
      </w:r>
    </w:p>
    <w:p>
      <w:pPr>
        <w:spacing w:after="0" w:line="117" w:lineRule="exact"/>
        <w:rPr>
          <w:rFonts w:ascii="Arial" w:cs="Arial" w:eastAsia="Arial" w:hAnsi="Arial"/>
          <w:sz w:val="18"/>
          <w:szCs w:val="18"/>
          <w:color w:val="auto"/>
        </w:rPr>
      </w:pPr>
    </w:p>
    <w:p>
      <w:pPr>
        <w:ind w:left="1040" w:hanging="384"/>
        <w:spacing w:after="0"/>
        <w:tabs>
          <w:tab w:leader="none" w:pos="1040" w:val="left"/>
        </w:tabs>
        <w:numPr>
          <w:ilvl w:val="0"/>
          <w:numId w:val="5"/>
        </w:numPr>
        <w:rPr>
          <w:rFonts w:ascii="Arial" w:cs="Arial" w:eastAsia="Arial" w:hAnsi="Arial"/>
          <w:sz w:val="18"/>
          <w:szCs w:val="18"/>
          <w:color w:val="auto"/>
        </w:rPr>
      </w:pPr>
      <w:r>
        <w:rPr>
          <w:rFonts w:ascii="Arial" w:cs="Arial" w:eastAsia="Arial" w:hAnsi="Arial"/>
          <w:sz w:val="18"/>
          <w:szCs w:val="18"/>
          <w:color w:val="auto"/>
        </w:rPr>
        <w:t>In-house drug manufacturing capabilities to produce first-in-human GMP (phase appropriate) material;</w:t>
      </w:r>
    </w:p>
    <w:p>
      <w:pPr>
        <w:spacing w:after="0" w:line="117" w:lineRule="exact"/>
        <w:rPr>
          <w:rFonts w:ascii="Arial" w:cs="Arial" w:eastAsia="Arial" w:hAnsi="Arial"/>
          <w:sz w:val="18"/>
          <w:szCs w:val="18"/>
          <w:color w:val="auto"/>
        </w:rPr>
      </w:pPr>
    </w:p>
    <w:p>
      <w:pPr>
        <w:ind w:left="1040" w:hanging="384"/>
        <w:spacing w:after="0"/>
        <w:tabs>
          <w:tab w:leader="none" w:pos="1040" w:val="left"/>
        </w:tabs>
        <w:numPr>
          <w:ilvl w:val="0"/>
          <w:numId w:val="5"/>
        </w:numPr>
        <w:rPr>
          <w:rFonts w:ascii="Arial" w:cs="Arial" w:eastAsia="Arial" w:hAnsi="Arial"/>
          <w:sz w:val="18"/>
          <w:szCs w:val="18"/>
          <w:color w:val="auto"/>
        </w:rPr>
      </w:pPr>
      <w:r>
        <w:rPr>
          <w:rFonts w:ascii="Arial" w:cs="Arial" w:eastAsia="Arial" w:hAnsi="Arial"/>
          <w:sz w:val="18"/>
          <w:szCs w:val="18"/>
          <w:color w:val="auto"/>
        </w:rPr>
        <w:t>Polymer, peptide, oligonucleotide and small molecule synthesis and analytics capabilities (HPLC, NMR, MS, etc.);</w:t>
      </w:r>
    </w:p>
    <w:p>
      <w:pPr>
        <w:spacing w:after="0" w:line="117" w:lineRule="exact"/>
        <w:rPr>
          <w:rFonts w:ascii="Arial" w:cs="Arial" w:eastAsia="Arial" w:hAnsi="Arial"/>
          <w:sz w:val="18"/>
          <w:szCs w:val="18"/>
          <w:color w:val="auto"/>
        </w:rPr>
      </w:pPr>
    </w:p>
    <w:p>
      <w:pPr>
        <w:ind w:left="1040" w:hanging="384"/>
        <w:spacing w:after="0"/>
        <w:tabs>
          <w:tab w:leader="none" w:pos="1040" w:val="left"/>
        </w:tabs>
        <w:numPr>
          <w:ilvl w:val="0"/>
          <w:numId w:val="5"/>
        </w:numPr>
        <w:rPr>
          <w:rFonts w:ascii="Arial" w:cs="Arial" w:eastAsia="Arial" w:hAnsi="Arial"/>
          <w:sz w:val="18"/>
          <w:szCs w:val="18"/>
          <w:color w:val="auto"/>
        </w:rPr>
      </w:pPr>
      <w:r>
        <w:rPr>
          <w:rFonts w:ascii="Arial" w:cs="Arial" w:eastAsia="Arial" w:hAnsi="Arial"/>
          <w:sz w:val="18"/>
          <w:szCs w:val="18"/>
          <w:color w:val="auto"/>
        </w:rPr>
        <w:t>Polymer, peptide and oligonucleotide PK, biodistribution, clearance methodologies; and</w:t>
      </w:r>
    </w:p>
    <w:p>
      <w:pPr>
        <w:spacing w:after="0" w:line="117" w:lineRule="exact"/>
        <w:rPr>
          <w:rFonts w:ascii="Arial" w:cs="Arial" w:eastAsia="Arial" w:hAnsi="Arial"/>
          <w:sz w:val="18"/>
          <w:szCs w:val="18"/>
          <w:color w:val="auto"/>
        </w:rPr>
      </w:pPr>
    </w:p>
    <w:p>
      <w:pPr>
        <w:ind w:left="1040" w:hanging="384"/>
        <w:spacing w:after="0"/>
        <w:tabs>
          <w:tab w:leader="none" w:pos="1040" w:val="left"/>
        </w:tabs>
        <w:numPr>
          <w:ilvl w:val="0"/>
          <w:numId w:val="5"/>
        </w:numPr>
        <w:rPr>
          <w:rFonts w:ascii="Arial" w:cs="Arial" w:eastAsia="Arial" w:hAnsi="Arial"/>
          <w:sz w:val="18"/>
          <w:szCs w:val="18"/>
          <w:color w:val="auto"/>
        </w:rPr>
      </w:pPr>
      <w:r>
        <w:rPr>
          <w:rFonts w:ascii="Arial" w:cs="Arial" w:eastAsia="Arial" w:hAnsi="Arial"/>
          <w:sz w:val="18"/>
          <w:szCs w:val="18"/>
          <w:color w:val="auto"/>
        </w:rPr>
        <w:t>Conventional and confocal microscopy, flow cytometry, Luminex platform, qRT-PCR, clinical chemistry analytics.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14" w:name="page15"/>
    <w:bookmarkEnd w:id="14"/>
    <w:p>
      <w:pPr>
        <w:spacing w:after="0"/>
        <w:rPr>
          <w:sz w:val="20"/>
          <w:szCs w:val="20"/>
          <w:color w:val="auto"/>
        </w:rPr>
      </w:pPr>
      <w:r>
        <w:rPr>
          <w:rFonts w:ascii="Arial" w:cs="Arial" w:eastAsia="Arial" w:hAnsi="Arial"/>
          <w:sz w:val="18"/>
          <w:szCs w:val="18"/>
          <w:b w:val="1"/>
          <w:bCs w:val="1"/>
          <w:i w:val="1"/>
          <w:iCs w:val="1"/>
          <w:color w:val="auto"/>
        </w:rPr>
        <w:t>Research and Development Expenses</w:t>
      </w:r>
    </w:p>
    <w:p>
      <w:pPr>
        <w:spacing w:after="0" w:line="117" w:lineRule="exact"/>
        <w:rPr>
          <w:sz w:val="20"/>
          <w:szCs w:val="20"/>
          <w:color w:val="auto"/>
        </w:rPr>
      </w:pPr>
    </w:p>
    <w:p>
      <w:pPr>
        <w:ind w:right="40" w:firstLine="518"/>
        <w:spacing w:after="0" w:line="297" w:lineRule="auto"/>
        <w:rPr>
          <w:sz w:val="20"/>
          <w:szCs w:val="20"/>
          <w:color w:val="auto"/>
        </w:rPr>
      </w:pPr>
      <w:r>
        <w:rPr>
          <w:rFonts w:ascii="Arial" w:cs="Arial" w:eastAsia="Arial" w:hAnsi="Arial"/>
          <w:sz w:val="16"/>
          <w:szCs w:val="16"/>
          <w:color w:val="auto"/>
        </w:rPr>
        <w:t>Research and development (R&amp;D) expenses consist of costs incurred in discovering, developing and testing our clinical and preclinical candidates and platform technologies. R&amp;D expenses also include costs related to clinical trials, including costs of contract research organizations to recruit patients and manage clinical trials. Other costs associated with clinical trials include manufacturing of clinical supplies, as well as good laboratory practice (“GLP”) toxicology studies necessary to support clinical trials, both of which are outsourced to cGMP-compliant manufacturers and GLP-compliant laboratories. Total research and development expense for fiscal 2017 was $31.7 million, a decrease from $41.5 million in 2016 and a decrease from $47.3 million in 2015.</w:t>
      </w:r>
    </w:p>
    <w:p>
      <w:pPr>
        <w:spacing w:after="0" w:line="50" w:lineRule="exact"/>
        <w:rPr>
          <w:sz w:val="20"/>
          <w:szCs w:val="20"/>
          <w:color w:val="auto"/>
        </w:rPr>
      </w:pPr>
    </w:p>
    <w:p>
      <w:pPr>
        <w:ind w:right="80" w:firstLine="518"/>
        <w:spacing w:after="0" w:line="255" w:lineRule="auto"/>
        <w:rPr>
          <w:sz w:val="20"/>
          <w:szCs w:val="20"/>
          <w:color w:val="auto"/>
        </w:rPr>
      </w:pPr>
      <w:r>
        <w:rPr>
          <w:rFonts w:ascii="Arial" w:cs="Arial" w:eastAsia="Arial" w:hAnsi="Arial"/>
          <w:sz w:val="18"/>
          <w:szCs w:val="18"/>
          <w:color w:val="auto"/>
        </w:rPr>
        <w:t>At September 30, 2017, we employed approximately 76 employees in an R&amp;D function, primarily working from our facility in Madison, Wisconsin. These employees are engaged in various areas of research on Arrowhead candidate and platform development including synthesis and analytics, PK/biodistribution, formulation, CMC and analytics, tumor and extra-hepatic targeting, bioassays, live animal research, toxicology/histopathology, clinical and regulatory operations, and other areas. Salaries and payroll-related expenses for our R&amp;D activities were $11.7 million in fiscal 2017, $13.9 million in fiscal 2016, and $11.6 million in fiscal 2015. Laboratory supplies including animal-related costs for in-vivo studies were $7.7 million, $4.3 million, and $3.1 million in fiscal 2017, 2016, and 2015, respectively.</w:t>
      </w:r>
    </w:p>
    <w:p>
      <w:pPr>
        <w:spacing w:after="0" w:line="85" w:lineRule="exact"/>
        <w:rPr>
          <w:sz w:val="20"/>
          <w:szCs w:val="20"/>
          <w:color w:val="auto"/>
        </w:rPr>
      </w:pPr>
    </w:p>
    <w:p>
      <w:pPr>
        <w:ind w:right="60" w:firstLine="518"/>
        <w:spacing w:after="0" w:line="277" w:lineRule="auto"/>
        <w:rPr>
          <w:sz w:val="20"/>
          <w:szCs w:val="20"/>
          <w:color w:val="auto"/>
        </w:rPr>
      </w:pPr>
      <w:r>
        <w:rPr>
          <w:rFonts w:ascii="Arial" w:cs="Arial" w:eastAsia="Arial" w:hAnsi="Arial"/>
          <w:sz w:val="18"/>
          <w:szCs w:val="18"/>
          <w:color w:val="auto"/>
        </w:rPr>
        <w:t>Costs related to the manufacture of clinical supplies, GLP toxicology studies and other outsourced lab studies, as well as clinical trial costs were $21.3 million, $32.6 million, and $41.8 million in fiscal 2017, 2016, and 2015, respectively.</w:t>
      </w:r>
    </w:p>
    <w:p>
      <w:pPr>
        <w:spacing w:after="0" w:line="62" w:lineRule="exact"/>
        <w:rPr>
          <w:sz w:val="20"/>
          <w:szCs w:val="20"/>
          <w:color w:val="auto"/>
        </w:rPr>
      </w:pPr>
    </w:p>
    <w:p>
      <w:pPr>
        <w:ind w:right="60" w:firstLine="518"/>
        <w:spacing w:after="0" w:line="259" w:lineRule="auto"/>
        <w:rPr>
          <w:sz w:val="20"/>
          <w:szCs w:val="20"/>
          <w:color w:val="auto"/>
        </w:rPr>
      </w:pPr>
      <w:r>
        <w:rPr>
          <w:rFonts w:ascii="Arial" w:cs="Arial" w:eastAsia="Arial" w:hAnsi="Arial"/>
          <w:sz w:val="18"/>
          <w:szCs w:val="18"/>
          <w:color w:val="auto"/>
        </w:rPr>
        <w:t>Facility-related costs, primarily rental costs for our leased laboratory in Madison, Wisconsin were $2.3 million, $1.3 million, and $1.0 million in fiscal 2017, 2016, and 2015, respectively. Other research and development expenses were $0.3 million, $3.2 million, and $1.4 million in fiscal 2017, 2016 and 2015, respectively. These expenses are primarily related to milestone payments, which can vary from period to period depending on the nature of our various license agreements, and the timing of reaching various development milestones requiring payment.</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Government Regulation</w:t>
      </w:r>
    </w:p>
    <w:p>
      <w:pPr>
        <w:spacing w:after="0" w:line="117" w:lineRule="exact"/>
        <w:rPr>
          <w:sz w:val="20"/>
          <w:szCs w:val="20"/>
          <w:color w:val="auto"/>
        </w:rPr>
      </w:pPr>
    </w:p>
    <w:p>
      <w:pPr>
        <w:ind w:right="80" w:firstLine="518"/>
        <w:spacing w:after="0" w:line="255" w:lineRule="auto"/>
        <w:rPr>
          <w:sz w:val="20"/>
          <w:szCs w:val="20"/>
          <w:color w:val="auto"/>
        </w:rPr>
      </w:pPr>
      <w:r>
        <w:rPr>
          <w:rFonts w:ascii="Arial" w:cs="Arial" w:eastAsia="Arial" w:hAnsi="Arial"/>
          <w:sz w:val="18"/>
          <w:szCs w:val="18"/>
          <w:color w:val="auto"/>
        </w:rPr>
        <w:t>Government authorities in the United States, at the federal, state, and local levels, and in other countries and jurisdictions, including the European Union, extensively regulate, among other things, the research, development, testing, product approval, manufacture, quality control, manufacturing changes, packaging, storage, recordkeeping, labeling, promotion, advertising, sales, distribution, marketing, and import and export of drugs and biologic products. All of our foreseeable product candidates are expected to be regulated as drugs. The processes for obtaining regulatory approval in the U.S. and in foreign countries and jurisdictions, along with compliance with applicable statutes and regulations and other regulatory authorities both pre- and post-commercialization, are a significant factor in the production and marketing of our products and our R&amp;D activities and require the expenditure of substantial time and financial resources.</w:t>
      </w:r>
    </w:p>
    <w:p>
      <w:pPr>
        <w:spacing w:after="0" w:line="293" w:lineRule="exact"/>
        <w:rPr>
          <w:sz w:val="20"/>
          <w:szCs w:val="20"/>
          <w:color w:val="auto"/>
        </w:rPr>
      </w:pPr>
    </w:p>
    <w:p>
      <w:pPr>
        <w:ind w:left="520"/>
        <w:spacing w:after="0"/>
        <w:rPr>
          <w:sz w:val="20"/>
          <w:szCs w:val="20"/>
          <w:color w:val="auto"/>
        </w:rPr>
      </w:pPr>
      <w:r>
        <w:rPr>
          <w:rFonts w:ascii="Arial" w:cs="Arial" w:eastAsia="Arial" w:hAnsi="Arial"/>
          <w:sz w:val="18"/>
          <w:szCs w:val="18"/>
          <w:b w:val="1"/>
          <w:bCs w:val="1"/>
          <w:color w:val="auto"/>
        </w:rPr>
        <w:t>Review and Approval of Drugs in the United States</w:t>
      </w:r>
    </w:p>
    <w:p>
      <w:pPr>
        <w:spacing w:after="0" w:line="121" w:lineRule="exact"/>
        <w:rPr>
          <w:sz w:val="20"/>
          <w:szCs w:val="20"/>
          <w:color w:val="auto"/>
        </w:rPr>
      </w:pPr>
    </w:p>
    <w:p>
      <w:pPr>
        <w:ind w:firstLine="518"/>
        <w:spacing w:after="0" w:line="271" w:lineRule="auto"/>
        <w:rPr>
          <w:sz w:val="20"/>
          <w:szCs w:val="20"/>
          <w:color w:val="auto"/>
        </w:rPr>
      </w:pPr>
      <w:r>
        <w:rPr>
          <w:rFonts w:ascii="Arial" w:cs="Arial" w:eastAsia="Arial" w:hAnsi="Arial"/>
          <w:sz w:val="17"/>
          <w:szCs w:val="17"/>
          <w:color w:val="auto"/>
        </w:rPr>
        <w:t>In the U.S., the FDA and other government entities regulate drugs under the Federal Food, Drug, and Cosmetic Act (the “FDCA”), the Public Health Service Act, and the regulations promulgated under those statutes, as well as other federal and state statutes and regulations. Failure to comply with applicable legal and regulatory requirements in the U.S. at any time during the product development process, approval process, or after approval, may subject us to a variety of administrative or judicial sanctions, such as a delay in approving or refusal by the FDA to approve pending applications, withdrawal of approvals, delay or suspension of clinical trials, issuance of warning letters and other types of regulatory letters, product recalls, product seizures, total or partial suspension of production or distribution, injunctions, fines, civil monetary penalties, refusals of or debarment from government contracts, exclusion from the federal healthcare programs, restitution, disgorgement of profits, civil or criminal investigations by the FDA, U.S. Department of Justice, State Attorneys General, and/or other agencies, False Claims Act suits and/or other litigation, and/or criminal prosecutions.</w:t>
      </w:r>
    </w:p>
    <w:p>
      <w:pPr>
        <w:spacing w:after="0" w:line="179" w:lineRule="exact"/>
        <w:rPr>
          <w:sz w:val="20"/>
          <w:szCs w:val="20"/>
          <w:color w:val="auto"/>
        </w:rPr>
      </w:pPr>
    </w:p>
    <w:p>
      <w:pPr>
        <w:ind w:left="520"/>
        <w:spacing w:after="0"/>
        <w:rPr>
          <w:sz w:val="20"/>
          <w:szCs w:val="20"/>
          <w:color w:val="auto"/>
        </w:rPr>
      </w:pPr>
      <w:r>
        <w:rPr>
          <w:rFonts w:ascii="Arial" w:cs="Arial" w:eastAsia="Arial" w:hAnsi="Arial"/>
          <w:sz w:val="18"/>
          <w:szCs w:val="18"/>
          <w:color w:val="auto"/>
        </w:rPr>
        <w:t>An applicant seeking approval to market and distribute a new drug in the U.S. must typically undertake the following:</w:t>
      </w:r>
    </w:p>
    <w:p>
      <w:pPr>
        <w:spacing w:after="0" w:line="225" w:lineRule="exact"/>
        <w:rPr>
          <w:sz w:val="20"/>
          <w:szCs w:val="20"/>
          <w:color w:val="auto"/>
        </w:rPr>
      </w:pPr>
    </w:p>
    <w:p>
      <w:pPr>
        <w:ind w:left="780" w:hanging="254"/>
        <w:spacing w:after="0"/>
        <w:tabs>
          <w:tab w:leader="none" w:pos="780" w:val="left"/>
        </w:tabs>
        <w:numPr>
          <w:ilvl w:val="0"/>
          <w:numId w:val="6"/>
        </w:numPr>
        <w:rPr>
          <w:rFonts w:ascii="Arial" w:cs="Arial" w:eastAsia="Arial" w:hAnsi="Arial"/>
          <w:sz w:val="18"/>
          <w:szCs w:val="18"/>
          <w:color w:val="auto"/>
        </w:rPr>
      </w:pPr>
      <w:r>
        <w:rPr>
          <w:rFonts w:ascii="Arial" w:cs="Arial" w:eastAsia="Arial" w:hAnsi="Arial"/>
          <w:sz w:val="18"/>
          <w:szCs w:val="18"/>
          <w:color w:val="auto"/>
        </w:rPr>
        <w:t>completion of pre-clinical laboratory tests, animal studies, and formulation studies in compliance with the FDA’s GLP regulations;</w:t>
      </w:r>
    </w:p>
    <w:p>
      <w:pPr>
        <w:spacing w:after="0" w:line="225" w:lineRule="exact"/>
        <w:rPr>
          <w:rFonts w:ascii="Arial" w:cs="Arial" w:eastAsia="Arial" w:hAnsi="Arial"/>
          <w:sz w:val="18"/>
          <w:szCs w:val="18"/>
          <w:color w:val="auto"/>
        </w:rPr>
      </w:pPr>
    </w:p>
    <w:p>
      <w:pPr>
        <w:ind w:right="20" w:firstLine="526"/>
        <w:spacing w:after="0" w:line="277" w:lineRule="auto"/>
        <w:tabs>
          <w:tab w:leader="none" w:pos="773" w:val="left"/>
        </w:tabs>
        <w:numPr>
          <w:ilvl w:val="0"/>
          <w:numId w:val="6"/>
        </w:numPr>
        <w:rPr>
          <w:rFonts w:ascii="Arial" w:cs="Arial" w:eastAsia="Arial" w:hAnsi="Arial"/>
          <w:sz w:val="18"/>
          <w:szCs w:val="18"/>
          <w:color w:val="auto"/>
        </w:rPr>
      </w:pPr>
      <w:r>
        <w:rPr>
          <w:rFonts w:ascii="Arial" w:cs="Arial" w:eastAsia="Arial" w:hAnsi="Arial"/>
          <w:sz w:val="18"/>
          <w:szCs w:val="18"/>
          <w:color w:val="auto"/>
        </w:rPr>
        <w:t>submission to the FDA of an Investigational New Drug Application (“IND”) for human clinical testing, which must become effective without FDA objection before human clinical trials may begin;</w:t>
      </w:r>
    </w:p>
    <w:p>
      <w:pPr>
        <w:spacing w:after="0" w:line="170" w:lineRule="exact"/>
        <w:rPr>
          <w:rFonts w:ascii="Arial" w:cs="Arial" w:eastAsia="Arial" w:hAnsi="Arial"/>
          <w:sz w:val="18"/>
          <w:szCs w:val="18"/>
          <w:color w:val="auto"/>
        </w:rPr>
      </w:pPr>
    </w:p>
    <w:p>
      <w:pPr>
        <w:ind w:left="780" w:hanging="254"/>
        <w:spacing w:after="0"/>
        <w:tabs>
          <w:tab w:leader="none" w:pos="780" w:val="left"/>
        </w:tabs>
        <w:numPr>
          <w:ilvl w:val="0"/>
          <w:numId w:val="6"/>
        </w:numPr>
        <w:rPr>
          <w:rFonts w:ascii="Arial" w:cs="Arial" w:eastAsia="Arial" w:hAnsi="Arial"/>
          <w:sz w:val="18"/>
          <w:szCs w:val="18"/>
          <w:color w:val="auto"/>
        </w:rPr>
      </w:pPr>
      <w:r>
        <w:rPr>
          <w:rFonts w:ascii="Arial" w:cs="Arial" w:eastAsia="Arial" w:hAnsi="Arial"/>
          <w:sz w:val="18"/>
          <w:szCs w:val="18"/>
          <w:color w:val="auto"/>
        </w:rPr>
        <w:t>approval by an independent institutional review board (“IRB”), representing each clinical site before each clinical trial may be initiated;</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449" w:right="239" w:bottom="1440" w:gutter="0" w:footer="0" w:header="0"/>
        </w:sectPr>
      </w:pPr>
    </w:p>
    <w:bookmarkStart w:id="15" w:name="page16"/>
    <w:bookmarkEnd w:id="15"/>
    <w:p>
      <w:pPr>
        <w:ind w:right="800" w:firstLine="526"/>
        <w:spacing w:after="0" w:line="308" w:lineRule="auto"/>
        <w:tabs>
          <w:tab w:leader="none" w:pos="773" w:val="left"/>
        </w:tabs>
        <w:numPr>
          <w:ilvl w:val="0"/>
          <w:numId w:val="7"/>
        </w:numPr>
        <w:rPr>
          <w:rFonts w:ascii="Arial" w:cs="Arial" w:eastAsia="Arial" w:hAnsi="Arial"/>
          <w:sz w:val="17"/>
          <w:szCs w:val="17"/>
          <w:color w:val="auto"/>
        </w:rPr>
      </w:pPr>
      <w:r>
        <w:rPr>
          <w:rFonts w:ascii="Arial" w:cs="Arial" w:eastAsia="Arial" w:hAnsi="Arial"/>
          <w:sz w:val="17"/>
          <w:szCs w:val="17"/>
          <w:color w:val="auto"/>
        </w:rPr>
        <w:t>performance of adequate and well-controlled human clinical trials in accordance with the FDA’s current good clinical practice (“cGCP”) regulations, to establish the safety and effectiveness of the proposed drug product for each indication for which approval is sought;</w:t>
      </w:r>
    </w:p>
    <w:p>
      <w:pPr>
        <w:spacing w:after="0" w:line="146" w:lineRule="exact"/>
        <w:rPr>
          <w:rFonts w:ascii="Arial" w:cs="Arial" w:eastAsia="Arial" w:hAnsi="Arial"/>
          <w:sz w:val="17"/>
          <w:szCs w:val="17"/>
          <w:color w:val="auto"/>
        </w:rPr>
      </w:pPr>
    </w:p>
    <w:p>
      <w:pPr>
        <w:ind w:left="780" w:hanging="254"/>
        <w:spacing w:after="0"/>
        <w:tabs>
          <w:tab w:leader="none" w:pos="780" w:val="left"/>
        </w:tabs>
        <w:numPr>
          <w:ilvl w:val="0"/>
          <w:numId w:val="7"/>
        </w:numPr>
        <w:rPr>
          <w:rFonts w:ascii="Arial" w:cs="Arial" w:eastAsia="Arial" w:hAnsi="Arial"/>
          <w:sz w:val="18"/>
          <w:szCs w:val="18"/>
          <w:color w:val="auto"/>
        </w:rPr>
      </w:pPr>
      <w:r>
        <w:rPr>
          <w:rFonts w:ascii="Arial" w:cs="Arial" w:eastAsia="Arial" w:hAnsi="Arial"/>
          <w:sz w:val="18"/>
          <w:szCs w:val="18"/>
          <w:color w:val="auto"/>
        </w:rPr>
        <w:t>preparation and submission to the FDA of a New Drug Application (“NDA”);</w:t>
      </w:r>
    </w:p>
    <w:p>
      <w:pPr>
        <w:spacing w:after="0" w:line="225" w:lineRule="exact"/>
        <w:rPr>
          <w:rFonts w:ascii="Arial" w:cs="Arial" w:eastAsia="Arial" w:hAnsi="Arial"/>
          <w:sz w:val="18"/>
          <w:szCs w:val="18"/>
          <w:color w:val="auto"/>
        </w:rPr>
      </w:pPr>
    </w:p>
    <w:p>
      <w:pPr>
        <w:ind w:left="780" w:hanging="254"/>
        <w:spacing w:after="0"/>
        <w:tabs>
          <w:tab w:leader="none" w:pos="780" w:val="left"/>
        </w:tabs>
        <w:numPr>
          <w:ilvl w:val="0"/>
          <w:numId w:val="7"/>
        </w:numPr>
        <w:rPr>
          <w:rFonts w:ascii="Arial" w:cs="Arial" w:eastAsia="Arial" w:hAnsi="Arial"/>
          <w:sz w:val="18"/>
          <w:szCs w:val="18"/>
          <w:color w:val="auto"/>
        </w:rPr>
      </w:pPr>
      <w:r>
        <w:rPr>
          <w:rFonts w:ascii="Arial" w:cs="Arial" w:eastAsia="Arial" w:hAnsi="Arial"/>
          <w:sz w:val="18"/>
          <w:szCs w:val="18"/>
          <w:color w:val="auto"/>
        </w:rPr>
        <w:t>satisfactory review of the NDA by an FDA advisory committee, where appropriate or if applicable,</w:t>
      </w:r>
    </w:p>
    <w:p>
      <w:pPr>
        <w:spacing w:after="0" w:line="225" w:lineRule="exact"/>
        <w:rPr>
          <w:rFonts w:ascii="Arial" w:cs="Arial" w:eastAsia="Arial" w:hAnsi="Arial"/>
          <w:sz w:val="18"/>
          <w:szCs w:val="18"/>
          <w:color w:val="auto"/>
        </w:rPr>
      </w:pPr>
    </w:p>
    <w:p>
      <w:pPr>
        <w:ind w:right="160" w:firstLine="526"/>
        <w:spacing w:after="0" w:line="286" w:lineRule="auto"/>
        <w:tabs>
          <w:tab w:leader="none" w:pos="773" w:val="left"/>
        </w:tabs>
        <w:numPr>
          <w:ilvl w:val="0"/>
          <w:numId w:val="7"/>
        </w:numPr>
        <w:rPr>
          <w:rFonts w:ascii="Arial" w:cs="Arial" w:eastAsia="Arial" w:hAnsi="Arial"/>
          <w:sz w:val="17"/>
          <w:szCs w:val="17"/>
          <w:color w:val="auto"/>
        </w:rPr>
      </w:pPr>
      <w:r>
        <w:rPr>
          <w:rFonts w:ascii="Arial" w:cs="Arial" w:eastAsia="Arial" w:hAnsi="Arial"/>
          <w:sz w:val="17"/>
          <w:szCs w:val="17"/>
          <w:color w:val="auto"/>
        </w:rPr>
        <w:t>satisfactory completion of one or more FDA inspections of the manufacturing facility or facilities at which the drug product, and the active pharmaceutical ingredient or ingredients thereof, are produced to assess compliance with current good manufacturing practice (“cGMP”) regulations and to assure that the facilities, methods, and controls are adequate to ensure the product’s identity, strength, quality, and purity;</w:t>
      </w:r>
    </w:p>
    <w:p>
      <w:pPr>
        <w:spacing w:after="0" w:line="165" w:lineRule="exact"/>
        <w:rPr>
          <w:rFonts w:ascii="Arial" w:cs="Arial" w:eastAsia="Arial" w:hAnsi="Arial"/>
          <w:sz w:val="17"/>
          <w:szCs w:val="17"/>
          <w:color w:val="auto"/>
        </w:rPr>
      </w:pPr>
    </w:p>
    <w:p>
      <w:pPr>
        <w:ind w:left="780" w:hanging="254"/>
        <w:spacing w:after="0"/>
        <w:tabs>
          <w:tab w:leader="none" w:pos="780" w:val="left"/>
        </w:tabs>
        <w:numPr>
          <w:ilvl w:val="0"/>
          <w:numId w:val="7"/>
        </w:numPr>
        <w:rPr>
          <w:rFonts w:ascii="Arial" w:cs="Arial" w:eastAsia="Arial" w:hAnsi="Arial"/>
          <w:sz w:val="18"/>
          <w:szCs w:val="18"/>
          <w:color w:val="auto"/>
        </w:rPr>
      </w:pPr>
      <w:r>
        <w:rPr>
          <w:rFonts w:ascii="Arial" w:cs="Arial" w:eastAsia="Arial" w:hAnsi="Arial"/>
          <w:sz w:val="18"/>
          <w:szCs w:val="18"/>
          <w:color w:val="auto"/>
        </w:rPr>
        <w:t>payment of user fees, as applicable, and securing FDA approval of the NDA; and</w:t>
      </w:r>
    </w:p>
    <w:p>
      <w:pPr>
        <w:spacing w:after="0" w:line="225" w:lineRule="exact"/>
        <w:rPr>
          <w:rFonts w:ascii="Arial" w:cs="Arial" w:eastAsia="Arial" w:hAnsi="Arial"/>
          <w:sz w:val="18"/>
          <w:szCs w:val="18"/>
          <w:color w:val="auto"/>
        </w:rPr>
      </w:pPr>
    </w:p>
    <w:p>
      <w:pPr>
        <w:ind w:right="540" w:firstLine="526"/>
        <w:spacing w:after="0" w:line="277" w:lineRule="auto"/>
        <w:tabs>
          <w:tab w:leader="none" w:pos="773" w:val="left"/>
        </w:tabs>
        <w:numPr>
          <w:ilvl w:val="0"/>
          <w:numId w:val="7"/>
        </w:numPr>
        <w:rPr>
          <w:rFonts w:ascii="Arial" w:cs="Arial" w:eastAsia="Arial" w:hAnsi="Arial"/>
          <w:sz w:val="18"/>
          <w:szCs w:val="18"/>
          <w:color w:val="auto"/>
        </w:rPr>
      </w:pPr>
      <w:r>
        <w:rPr>
          <w:rFonts w:ascii="Arial" w:cs="Arial" w:eastAsia="Arial" w:hAnsi="Arial"/>
          <w:sz w:val="18"/>
          <w:szCs w:val="18"/>
          <w:color w:val="auto"/>
        </w:rPr>
        <w:t>compliance with any post-approval requirements, such as any Risk Evaluation and Mitigation Strategies (“REMS”) or post-approval studies required by the FDA.</w:t>
      </w:r>
    </w:p>
    <w:p>
      <w:pPr>
        <w:spacing w:after="0" w:line="279" w:lineRule="exact"/>
        <w:rPr>
          <w:sz w:val="20"/>
          <w:szCs w:val="20"/>
          <w:color w:val="auto"/>
        </w:rPr>
      </w:pPr>
    </w:p>
    <w:p>
      <w:pPr>
        <w:ind w:left="520"/>
        <w:spacing w:after="0"/>
        <w:rPr>
          <w:sz w:val="20"/>
          <w:szCs w:val="20"/>
          <w:color w:val="auto"/>
        </w:rPr>
      </w:pPr>
      <w:r>
        <w:rPr>
          <w:rFonts w:ascii="Arial" w:cs="Arial" w:eastAsia="Arial" w:hAnsi="Arial"/>
          <w:sz w:val="18"/>
          <w:szCs w:val="18"/>
          <w:i w:val="1"/>
          <w:iCs w:val="1"/>
          <w:color w:val="auto"/>
        </w:rPr>
        <w:t>Preclinical Studies and an IND</w:t>
      </w:r>
    </w:p>
    <w:p>
      <w:pPr>
        <w:spacing w:after="0" w:line="117" w:lineRule="exact"/>
        <w:rPr>
          <w:sz w:val="20"/>
          <w:szCs w:val="20"/>
          <w:color w:val="auto"/>
        </w:rPr>
      </w:pPr>
    </w:p>
    <w:p>
      <w:pPr>
        <w:ind w:right="60" w:firstLine="518"/>
        <w:spacing w:after="0" w:line="289" w:lineRule="auto"/>
        <w:rPr>
          <w:sz w:val="20"/>
          <w:szCs w:val="20"/>
          <w:color w:val="auto"/>
        </w:rPr>
      </w:pPr>
      <w:r>
        <w:rPr>
          <w:rFonts w:ascii="Arial" w:cs="Arial" w:eastAsia="Arial" w:hAnsi="Arial"/>
          <w:sz w:val="16"/>
          <w:szCs w:val="16"/>
          <w:color w:val="auto"/>
        </w:rPr>
        <w:t xml:space="preserve">Preclinical studies can include </w:t>
      </w:r>
      <w:r>
        <w:rPr>
          <w:rFonts w:ascii="Arial" w:cs="Arial" w:eastAsia="Arial" w:hAnsi="Arial"/>
          <w:sz w:val="16"/>
          <w:szCs w:val="16"/>
          <w:i w:val="1"/>
          <w:iCs w:val="1"/>
          <w:color w:val="auto"/>
        </w:rPr>
        <w:t>in vitro</w:t>
      </w:r>
      <w:r>
        <w:rPr>
          <w:rFonts w:ascii="Arial" w:cs="Arial" w:eastAsia="Arial" w:hAnsi="Arial"/>
          <w:sz w:val="16"/>
          <w:szCs w:val="16"/>
          <w:color w:val="auto"/>
        </w:rPr>
        <w:t xml:space="preserve"> and animal studies to assess the potential for adverse events and, in some cases, to establish a rationale for therapeutic use. The conduct of preclinical studies is subject to federal regulations and requirements, including GLP regulations. Other studies include laboratory evaluation of the purity, stability and physical form of the manufactured drug substance or active pharmaceutical ingredient and the physical properties, stability and reproducibility of the formulated drug or drug product. An IND sponsor must submit the results of the preclinical tests, together with manufacturing information, analytical data, any available clinical data or literature and plans for clinical studies, among other things, to the FDA as part of an IND. Some preclinical testing, such as longer-term toxicity testing, animal tests of reproductive adverse events and carcinogenicity, may continue after the IND is submitted. An IND automatically becomes effective 30 days after receipt by the FDA, unless before that time the FDA raises concerns or questions related to a proposed clinical trial and places the trial on clinical hold. In such a case, the IND sponsor and the FDA must resolve any outstanding concerns before the clinical trial can begin. As a result, submission of an IND may not result in the FDA allowing clinical trials to commence.</w:t>
      </w:r>
    </w:p>
    <w:p>
      <w:pPr>
        <w:spacing w:after="0" w:line="167" w:lineRule="exact"/>
        <w:rPr>
          <w:sz w:val="20"/>
          <w:szCs w:val="20"/>
          <w:color w:val="auto"/>
        </w:rPr>
      </w:pPr>
    </w:p>
    <w:p>
      <w:pPr>
        <w:ind w:right="60" w:firstLine="518"/>
        <w:spacing w:after="0" w:line="272" w:lineRule="auto"/>
        <w:rPr>
          <w:sz w:val="20"/>
          <w:szCs w:val="20"/>
          <w:color w:val="auto"/>
        </w:rPr>
      </w:pPr>
      <w:r>
        <w:rPr>
          <w:rFonts w:ascii="Arial" w:cs="Arial" w:eastAsia="Arial" w:hAnsi="Arial"/>
          <w:sz w:val="17"/>
          <w:szCs w:val="17"/>
          <w:color w:val="auto"/>
        </w:rPr>
        <w:t>Following commencement of a clinical trial under an IND, the FDA may place a clinical hold on that trial. A clinical hold is an order issued by the FDA to the sponsor to delay a proposed clinical investigation or to suspend an ongoing investigation. A partial clinical hold is a delay or suspension of only part of the clinical work requested under the IND. For example, a specific protocol or part of a protocol is not allowed to proceed, while other protocols may do so. No more than 30 days after imposition of a clinical hold or partial clinical hold, the FDA will provide the sponsor a written explanation of the basis for the hold. Following issuance of a clinical hold or partial clinical hold, an investigation may only resume after the FDA has notified the sponsor that the investigation may proceed. The FDA will base that determination on information provided by the sponsor correcting the deficiencies previously cited or otherwise satisfying the FDA that the investigation can proceed.</w:t>
      </w:r>
    </w:p>
    <w:p>
      <w:pPr>
        <w:spacing w:after="0" w:line="286" w:lineRule="exact"/>
        <w:rPr>
          <w:sz w:val="20"/>
          <w:szCs w:val="20"/>
          <w:color w:val="auto"/>
        </w:rPr>
      </w:pPr>
    </w:p>
    <w:p>
      <w:pPr>
        <w:ind w:left="520"/>
        <w:spacing w:after="0"/>
        <w:rPr>
          <w:sz w:val="20"/>
          <w:szCs w:val="20"/>
          <w:color w:val="auto"/>
        </w:rPr>
      </w:pPr>
      <w:r>
        <w:rPr>
          <w:rFonts w:ascii="Arial" w:cs="Arial" w:eastAsia="Arial" w:hAnsi="Arial"/>
          <w:sz w:val="18"/>
          <w:szCs w:val="18"/>
          <w:i w:val="1"/>
          <w:iCs w:val="1"/>
          <w:color w:val="auto"/>
        </w:rPr>
        <w:t>Human Clinical Studies in Support of an NDA</w:t>
      </w:r>
    </w:p>
    <w:p>
      <w:pPr>
        <w:spacing w:after="0" w:line="117" w:lineRule="exact"/>
        <w:rPr>
          <w:sz w:val="20"/>
          <w:szCs w:val="20"/>
          <w:color w:val="auto"/>
        </w:rPr>
      </w:pPr>
    </w:p>
    <w:p>
      <w:pPr>
        <w:ind w:firstLine="518"/>
        <w:spacing w:after="0" w:line="270" w:lineRule="auto"/>
        <w:rPr>
          <w:sz w:val="20"/>
          <w:szCs w:val="20"/>
          <w:color w:val="auto"/>
        </w:rPr>
      </w:pPr>
      <w:r>
        <w:rPr>
          <w:rFonts w:ascii="Arial" w:cs="Arial" w:eastAsia="Arial" w:hAnsi="Arial"/>
          <w:sz w:val="17"/>
          <w:szCs w:val="17"/>
          <w:color w:val="auto"/>
        </w:rPr>
        <w:t>Clinical trials involve the administration of the investigational product to human subjects under the supervision of qualified investigators in accordance with cGCP requirements, which include, among other things, the requirement that all research subjects provide their informed consent in writing before their participation in any clinical trial. Clinical trials are conducted under written study protocols detailing, among other things, the objectives of the study, the parameters to be used in monitoring safety and the effectiveness criteria to be evaluated. A protocol for each clinical trial and any subsequent protocol amendments must be submitted to the FDA as part of the IND. In addition, an IRB representing each institution participating in the clinical trial must review and approve the plan for any clinical trial before it commences at that institution, and the IRB must conduct continuing review and reapprove the study at least annually. The IRB must review and approve, among other things, the study protocol and informed consent information to be provided to study subjects. An IRB must operate in compliance with FDA regulations. Information about certain clinical trials must be submitted within specific timeframes to the NIH for public dissemination on its ClinicalTrials.gov website.</w:t>
      </w:r>
    </w:p>
    <w:p>
      <w:pPr>
        <w:spacing w:after="0" w:line="182" w:lineRule="exact"/>
        <w:rPr>
          <w:sz w:val="20"/>
          <w:szCs w:val="20"/>
          <w:color w:val="auto"/>
        </w:rPr>
      </w:pPr>
    </w:p>
    <w:p>
      <w:pPr>
        <w:ind w:left="520"/>
        <w:spacing w:after="0"/>
        <w:rPr>
          <w:sz w:val="20"/>
          <w:szCs w:val="20"/>
          <w:color w:val="auto"/>
        </w:rPr>
      </w:pPr>
      <w:r>
        <w:rPr>
          <w:rFonts w:ascii="Arial" w:cs="Arial" w:eastAsia="Arial" w:hAnsi="Arial"/>
          <w:sz w:val="18"/>
          <w:szCs w:val="18"/>
          <w:color w:val="auto"/>
        </w:rPr>
        <w:t>Human clinical trials are typically conducted in three sequential phases, which may overlap or be combined:</w:t>
      </w:r>
    </w:p>
    <w:p>
      <w:pPr>
        <w:spacing w:after="0" w:line="225" w:lineRule="exact"/>
        <w:rPr>
          <w:sz w:val="20"/>
          <w:szCs w:val="20"/>
          <w:color w:val="auto"/>
        </w:rPr>
      </w:pPr>
    </w:p>
    <w:p>
      <w:pPr>
        <w:ind w:right="100" w:firstLine="518"/>
        <w:spacing w:after="0" w:line="308" w:lineRule="auto"/>
        <w:rPr>
          <w:sz w:val="20"/>
          <w:szCs w:val="20"/>
          <w:color w:val="auto"/>
        </w:rPr>
      </w:pPr>
      <w:r>
        <w:rPr>
          <w:rFonts w:ascii="Arial" w:cs="Arial" w:eastAsia="Arial" w:hAnsi="Arial"/>
          <w:sz w:val="17"/>
          <w:szCs w:val="17"/>
          <w:color w:val="auto"/>
        </w:rPr>
        <w:t>Phase 1: The product candidate is initially introduced into healthy human subjects or patients with the target disease or condition and tested for safety, dosage tolerance, absorption, metabolism, distribution, excretion and, if possible, to gain an early indication of its effectiveness.</w:t>
      </w:r>
    </w:p>
    <w:p>
      <w:pPr>
        <w:spacing w:after="0" w:line="1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16" w:name="page17"/>
    <w:bookmarkEnd w:id="16"/>
    <w:p>
      <w:pPr>
        <w:ind w:right="360" w:firstLine="518"/>
        <w:spacing w:after="0" w:line="277" w:lineRule="auto"/>
        <w:rPr>
          <w:sz w:val="20"/>
          <w:szCs w:val="20"/>
          <w:color w:val="auto"/>
        </w:rPr>
      </w:pPr>
      <w:r>
        <w:rPr>
          <w:rFonts w:ascii="Arial" w:cs="Arial" w:eastAsia="Arial" w:hAnsi="Arial"/>
          <w:sz w:val="18"/>
          <w:szCs w:val="18"/>
          <w:color w:val="auto"/>
        </w:rPr>
        <w:t>Phase 2: The product candidate is administered to a limited patient population to identify possible adverse effects and safety risks, to preliminarily evaluate the efficacy of the product for specific targeted diseases and to determine dosage tolerance and optimal dosage.</w:t>
      </w:r>
    </w:p>
    <w:p>
      <w:pPr>
        <w:spacing w:after="0" w:line="170" w:lineRule="exact"/>
        <w:rPr>
          <w:sz w:val="20"/>
          <w:szCs w:val="20"/>
          <w:color w:val="auto"/>
        </w:rPr>
      </w:pPr>
    </w:p>
    <w:p>
      <w:pPr>
        <w:ind w:firstLine="518"/>
        <w:spacing w:after="0" w:line="264" w:lineRule="auto"/>
        <w:rPr>
          <w:sz w:val="20"/>
          <w:szCs w:val="20"/>
          <w:color w:val="auto"/>
        </w:rPr>
      </w:pPr>
      <w:r>
        <w:rPr>
          <w:rFonts w:ascii="Arial" w:cs="Arial" w:eastAsia="Arial" w:hAnsi="Arial"/>
          <w:sz w:val="18"/>
          <w:szCs w:val="18"/>
          <w:color w:val="auto"/>
        </w:rPr>
        <w:t>Phase 3: The product candidate is administered to an expanded patient population, generally at geographically dispersed clinical trial sites, in well-controlled clinical trials to generate enough data to statistically evaluate the efficacy and safety of the product for approval, to establish the overall risk-benefit profile of the product, and to provide adequate information for the labeling of the product.</w:t>
      </w:r>
    </w:p>
    <w:p>
      <w:pPr>
        <w:spacing w:after="0" w:line="181" w:lineRule="exact"/>
        <w:rPr>
          <w:sz w:val="20"/>
          <w:szCs w:val="20"/>
          <w:color w:val="auto"/>
        </w:rPr>
      </w:pPr>
    </w:p>
    <w:p>
      <w:pPr>
        <w:ind w:right="80" w:firstLine="518"/>
        <w:spacing w:after="0" w:line="293" w:lineRule="auto"/>
        <w:rPr>
          <w:sz w:val="20"/>
          <w:szCs w:val="20"/>
          <w:color w:val="auto"/>
        </w:rPr>
      </w:pPr>
      <w:r>
        <w:rPr>
          <w:rFonts w:ascii="Arial" w:cs="Arial" w:eastAsia="Arial" w:hAnsi="Arial"/>
          <w:sz w:val="16"/>
          <w:szCs w:val="16"/>
          <w:color w:val="auto"/>
        </w:rPr>
        <w:t>Progress reports detailing the results of the clinical trials must be submitted at least annually to the FDA and more frequently if serious adverse events occur. Phase 1, Phase 2, and Phase 3 clinical trials may not be completed successfully within any specified period, or at all. Furthermore, the FDA or the sponsor may suspend or terminate a clinical trial at any time on various grounds, including a finding that the research subjects are being exposed to an unacceptable health risk. Similarly, an IRB can suspend or terminate approval of a clinical trial at its institution, or an institution it represents, if the clinical trial is not being conducted in accordance with the IRB’s requirements or if the drug has been associated with unexpected serious harm to patients. The FDA will typically inspect one or more clinical sites in late-stage clinical trials to assure compliance with cGCP and the integrity of the clinical data submitted.</w:t>
      </w:r>
    </w:p>
    <w:p>
      <w:pPr>
        <w:spacing w:after="0" w:line="273" w:lineRule="exact"/>
        <w:rPr>
          <w:sz w:val="20"/>
          <w:szCs w:val="20"/>
          <w:color w:val="auto"/>
        </w:rPr>
      </w:pPr>
    </w:p>
    <w:p>
      <w:pPr>
        <w:ind w:left="520"/>
        <w:spacing w:after="0"/>
        <w:rPr>
          <w:sz w:val="20"/>
          <w:szCs w:val="20"/>
          <w:color w:val="auto"/>
        </w:rPr>
      </w:pPr>
      <w:r>
        <w:rPr>
          <w:rFonts w:ascii="Arial" w:cs="Arial" w:eastAsia="Arial" w:hAnsi="Arial"/>
          <w:sz w:val="18"/>
          <w:szCs w:val="18"/>
          <w:i w:val="1"/>
          <w:iCs w:val="1"/>
          <w:color w:val="auto"/>
        </w:rPr>
        <w:t>Submission of an NDA to the FDA</w:t>
      </w:r>
    </w:p>
    <w:p>
      <w:pPr>
        <w:spacing w:after="0" w:line="117" w:lineRule="exact"/>
        <w:rPr>
          <w:sz w:val="20"/>
          <w:szCs w:val="20"/>
          <w:color w:val="auto"/>
        </w:rPr>
      </w:pPr>
    </w:p>
    <w:p>
      <w:pPr>
        <w:ind w:right="40" w:firstLine="518"/>
        <w:spacing w:after="0" w:line="276" w:lineRule="auto"/>
        <w:rPr>
          <w:sz w:val="20"/>
          <w:szCs w:val="20"/>
          <w:color w:val="auto"/>
        </w:rPr>
      </w:pPr>
      <w:r>
        <w:rPr>
          <w:rFonts w:ascii="Arial" w:cs="Arial" w:eastAsia="Arial" w:hAnsi="Arial"/>
          <w:sz w:val="17"/>
          <w:szCs w:val="17"/>
          <w:color w:val="auto"/>
        </w:rPr>
        <w:t>Assuming successful completion of required clinical testing and other requirements, the results of the preclinical and clinical studies, together with detailed information relating to the product’s chemistry, manufacture, controls and proposed labeling, among other things, are submitted to the FDA as part of an NDA requesting approval to market the drug product for one or more indications. Under federal law, the submission of most NDAs is additionally subject to an application user fee, currently exceeding $2.4 million for applications requiring clinical data, and the sponsor of an approved NDA is also subject to an annual program fee, currently exceeding $300,000. These fees are typically increased annually.</w:t>
      </w:r>
    </w:p>
    <w:p>
      <w:pPr>
        <w:spacing w:after="0" w:line="173" w:lineRule="exact"/>
        <w:rPr>
          <w:sz w:val="20"/>
          <w:szCs w:val="20"/>
          <w:color w:val="auto"/>
        </w:rPr>
      </w:pPr>
    </w:p>
    <w:p>
      <w:pPr>
        <w:ind w:right="160" w:firstLine="518"/>
        <w:spacing w:after="0" w:line="297" w:lineRule="auto"/>
        <w:rPr>
          <w:sz w:val="20"/>
          <w:szCs w:val="20"/>
          <w:color w:val="auto"/>
        </w:rPr>
      </w:pPr>
      <w:r>
        <w:rPr>
          <w:rFonts w:ascii="Arial" w:cs="Arial" w:eastAsia="Arial" w:hAnsi="Arial"/>
          <w:sz w:val="16"/>
          <w:szCs w:val="16"/>
          <w:color w:val="auto"/>
        </w:rPr>
        <w:t>Under certain circumstances, the FDA will waive the application fee for the first human drug application that a small business, defined as a company with less than 500 employees, including employees of affiliates, submits for review. An affiliate is defined as a business entity that has a relationship with a second business entity if one business entity controls, or has the power to control, the other business entity, or a third party controls, or has the power to control, both entities. In addition, an application to market a prescription drug product that has received orphan designation is not subject to a prescription drug user fee unless the application includes an indication for other than the rare disease or condition for which the drug was designated.</w:t>
      </w:r>
    </w:p>
    <w:p>
      <w:pPr>
        <w:spacing w:after="0" w:line="158" w:lineRule="exact"/>
        <w:rPr>
          <w:sz w:val="20"/>
          <w:szCs w:val="20"/>
          <w:color w:val="auto"/>
        </w:rPr>
      </w:pPr>
    </w:p>
    <w:p>
      <w:pPr>
        <w:ind w:firstLine="518"/>
        <w:spacing w:after="0" w:line="271" w:lineRule="auto"/>
        <w:rPr>
          <w:sz w:val="20"/>
          <w:szCs w:val="20"/>
          <w:color w:val="auto"/>
        </w:rPr>
      </w:pPr>
      <w:r>
        <w:rPr>
          <w:rFonts w:ascii="Arial" w:cs="Arial" w:eastAsia="Arial" w:hAnsi="Arial"/>
          <w:sz w:val="17"/>
          <w:szCs w:val="17"/>
          <w:color w:val="auto"/>
        </w:rPr>
        <w:t>The FDA conducts a preliminary review of an NDA within 60 days of its receipt and informs the sponsor by the 74th day after the FDA’s receipt of the submission to determine whether the application is sufficiently complete to permit substantive review. The FDA may request additional information rather than accept an NDA for filing. In this event, the application must be resubmitted with the additional information. The resubmitted application is also subject to review before the FDA accepts it for filing. Once the submission is accepted for filing, the FDA begins an in-depth substantive review. The FDA has agreed to specified performance goals in the review process of NDAs. Most such applications are meant to be reviewed within ten months from the date of filing, and most applications for “priority review” products are meant to be reviewed within six months of filing. The review process may be extended by the FDA for three additional months to consider new information or clarification provided by the applicant to address an outstanding deficiency identified by the FDA following the original submission.</w:t>
      </w:r>
    </w:p>
    <w:p>
      <w:pPr>
        <w:spacing w:after="0" w:line="179" w:lineRule="exact"/>
        <w:rPr>
          <w:sz w:val="20"/>
          <w:szCs w:val="20"/>
          <w:color w:val="auto"/>
        </w:rPr>
      </w:pPr>
    </w:p>
    <w:p>
      <w:pPr>
        <w:ind w:right="120" w:firstLine="518"/>
        <w:spacing w:after="0" w:line="259" w:lineRule="auto"/>
        <w:rPr>
          <w:sz w:val="20"/>
          <w:szCs w:val="20"/>
          <w:color w:val="auto"/>
        </w:rPr>
      </w:pPr>
      <w:r>
        <w:rPr>
          <w:rFonts w:ascii="Arial" w:cs="Arial" w:eastAsia="Arial" w:hAnsi="Arial"/>
          <w:sz w:val="18"/>
          <w:szCs w:val="18"/>
          <w:color w:val="auto"/>
        </w:rPr>
        <w:t>Before approving an NDA, the FDA typically will inspect the facility or facilities where the product is manufactured. The FDA will not approve an application unless it determines that the manufacturing processes and facilities are in compliance with cGMP requirements and adequate to assure consistent production of the product within required specifications. Additionally, before approving an NDA, the FDA will typically inspect one or more clinical sites to assure compliance with cGCP.</w:t>
      </w:r>
    </w:p>
    <w:p>
      <w:pPr>
        <w:spacing w:after="0" w:line="187" w:lineRule="exact"/>
        <w:rPr>
          <w:sz w:val="20"/>
          <w:szCs w:val="20"/>
          <w:color w:val="auto"/>
        </w:rPr>
      </w:pPr>
    </w:p>
    <w:p>
      <w:pPr>
        <w:ind w:right="640" w:firstLine="518"/>
        <w:spacing w:after="0" w:line="264" w:lineRule="auto"/>
        <w:rPr>
          <w:sz w:val="20"/>
          <w:szCs w:val="20"/>
          <w:color w:val="auto"/>
        </w:rPr>
      </w:pPr>
      <w:r>
        <w:rPr>
          <w:rFonts w:ascii="Arial" w:cs="Arial" w:eastAsia="Arial" w:hAnsi="Arial"/>
          <w:sz w:val="18"/>
          <w:szCs w:val="18"/>
          <w:color w:val="auto"/>
        </w:rPr>
        <w:t>The FDA also may require submission of an REMS plan to mitigate any identified or suspected serious risks. The REMS plan could include medication guides, physician communication plans, assessment plans, and elements to assure safe use, such as restricted distribution methods, patient registries, or other risk minimization tools.</w:t>
      </w:r>
    </w:p>
    <w:p>
      <w:pPr>
        <w:spacing w:after="0" w:line="181" w:lineRule="exact"/>
        <w:rPr>
          <w:sz w:val="20"/>
          <w:szCs w:val="20"/>
          <w:color w:val="auto"/>
        </w:rPr>
      </w:pPr>
    </w:p>
    <w:p>
      <w:pPr>
        <w:ind w:right="20" w:firstLine="518"/>
        <w:spacing w:after="0" w:line="259" w:lineRule="auto"/>
        <w:rPr>
          <w:sz w:val="20"/>
          <w:szCs w:val="20"/>
          <w:color w:val="auto"/>
        </w:rPr>
      </w:pPr>
      <w:r>
        <w:rPr>
          <w:rFonts w:ascii="Arial" w:cs="Arial" w:eastAsia="Arial" w:hAnsi="Arial"/>
          <w:sz w:val="18"/>
          <w:szCs w:val="18"/>
          <w:color w:val="auto"/>
        </w:rPr>
        <w:t>The FDA is required to refer an application for a novel drug to an advisory committee or explain why such referral was not made. Typically, an advisory committee is a panel of independent experts, including clinicians and other scientific experts, that reviews, evaluates and provides a recommendation as to whether the application should be approved and under what conditions. The FDA is not bound by the recommendations of an advisory committee, but it considers such recommendations carefully when making decisions.</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17" w:name="page18"/>
    <w:bookmarkEnd w:id="17"/>
    <w:p>
      <w:pPr>
        <w:ind w:left="520"/>
        <w:spacing w:after="0"/>
        <w:rPr>
          <w:sz w:val="20"/>
          <w:szCs w:val="20"/>
          <w:color w:val="auto"/>
        </w:rPr>
      </w:pPr>
      <w:r>
        <w:rPr>
          <w:rFonts w:ascii="Arial" w:cs="Arial" w:eastAsia="Arial" w:hAnsi="Arial"/>
          <w:sz w:val="18"/>
          <w:szCs w:val="18"/>
          <w:i w:val="1"/>
          <w:iCs w:val="1"/>
          <w:color w:val="auto"/>
        </w:rPr>
        <w:t>The FDA’s Decision on an NDA</w:t>
      </w:r>
    </w:p>
    <w:p>
      <w:pPr>
        <w:spacing w:after="0" w:line="117" w:lineRule="exact"/>
        <w:rPr>
          <w:sz w:val="20"/>
          <w:szCs w:val="20"/>
          <w:color w:val="auto"/>
        </w:rPr>
      </w:pPr>
    </w:p>
    <w:p>
      <w:pPr>
        <w:ind w:right="40" w:firstLine="518"/>
        <w:spacing w:after="0" w:line="272" w:lineRule="auto"/>
        <w:rPr>
          <w:sz w:val="20"/>
          <w:szCs w:val="20"/>
          <w:color w:val="auto"/>
        </w:rPr>
      </w:pPr>
      <w:r>
        <w:rPr>
          <w:rFonts w:ascii="Arial" w:cs="Arial" w:eastAsia="Arial" w:hAnsi="Arial"/>
          <w:sz w:val="17"/>
          <w:szCs w:val="17"/>
          <w:color w:val="auto"/>
        </w:rPr>
        <w:t>On the basis of the FDA’s evaluation of the NDA and accompanying information, including the results of the inspection of the manufacturing facilities, the FDA may issue an approval letter or a complete response letter. An approval letter authorizes commercial marketing of the product with specific prescribing information for specific indications. A complete response letter generally outlines the deficiencies in the submission and may require substantial additional testing or information in order for the FDA to reconsider the application. If and when those deficiencies have been addressed to the FDA’s satisfaction in a resubmission of the NDA, the FDA will issue an approval letter. The FDA has committed to reviewing such resubmissions in two or six months depending on the type of information included. Even with submission of this additional information, the FDA ultimately may decide that the application does not satisfy the regulatory criteria for approval.</w:t>
      </w:r>
    </w:p>
    <w:p>
      <w:pPr>
        <w:spacing w:after="0" w:line="178" w:lineRule="exact"/>
        <w:rPr>
          <w:sz w:val="20"/>
          <w:szCs w:val="20"/>
          <w:color w:val="auto"/>
        </w:rPr>
      </w:pPr>
    </w:p>
    <w:p>
      <w:pPr>
        <w:ind w:firstLine="518"/>
        <w:spacing w:after="0" w:line="255" w:lineRule="auto"/>
        <w:rPr>
          <w:sz w:val="20"/>
          <w:szCs w:val="20"/>
          <w:color w:val="auto"/>
        </w:rPr>
      </w:pPr>
      <w:r>
        <w:rPr>
          <w:rFonts w:ascii="Arial" w:cs="Arial" w:eastAsia="Arial" w:hAnsi="Arial"/>
          <w:sz w:val="18"/>
          <w:szCs w:val="18"/>
          <w:color w:val="auto"/>
        </w:rPr>
        <w:t>If the FDA approves a product, it may limit the approved indications for use for the product, require that contraindications, warnings or precautions be included in the product labeling, require that post-approval studies, be conducted to further assess the drug’s safety after approval, require testing and surveillance programs to monitor the product after commercialization, or impose other conditions, including distribution restrictions or other risk management mechanisms, including REMS, which can materially affect the potential market and profitability of the product. After approval, the FDA may seek to prevent or limit further marketing of a product based on the results of post-market studies or surveillance programs. Some types of changes to the approved product, such as adding new indications, manufacturing changes and additional labeling claims, are subject to further testing requirements and FDA review and approval.</w:t>
      </w:r>
    </w:p>
    <w:p>
      <w:pPr>
        <w:spacing w:after="0" w:line="189" w:lineRule="exact"/>
        <w:rPr>
          <w:sz w:val="20"/>
          <w:szCs w:val="20"/>
          <w:color w:val="auto"/>
        </w:rPr>
      </w:pPr>
    </w:p>
    <w:p>
      <w:pPr>
        <w:ind w:right="220" w:firstLine="518"/>
        <w:spacing w:after="0" w:line="257" w:lineRule="auto"/>
        <w:rPr>
          <w:sz w:val="20"/>
          <w:szCs w:val="20"/>
          <w:color w:val="auto"/>
        </w:rPr>
      </w:pPr>
      <w:r>
        <w:rPr>
          <w:rFonts w:ascii="Arial" w:cs="Arial" w:eastAsia="Arial" w:hAnsi="Arial"/>
          <w:sz w:val="18"/>
          <w:szCs w:val="18"/>
          <w:color w:val="auto"/>
        </w:rPr>
        <w:t>The product may also be subject to official lot release, meaning that the manufacturer is required to perform certain tests on each lot of the product before it is released for distribution. If the product is subject to official release, the manufacturer must submit samples of each lot, together with a release protocol showing a summary of the history of manufacture of the lot and the results of all of the manufacturer’s tests performed on the lot, to the FDA. The FDA may in addition perform certain confirmatory tests on lots of some products before releasing the lots for distribution. Finally, the FDA will conduct laboratory research related to the safety and effectiveness of drug products.</w:t>
      </w:r>
    </w:p>
    <w:p>
      <w:pPr>
        <w:spacing w:after="0" w:line="188" w:lineRule="exact"/>
        <w:rPr>
          <w:sz w:val="20"/>
          <w:szCs w:val="20"/>
          <w:color w:val="auto"/>
        </w:rPr>
      </w:pPr>
    </w:p>
    <w:p>
      <w:pPr>
        <w:ind w:right="20" w:firstLine="518"/>
        <w:spacing w:after="0" w:line="271" w:lineRule="auto"/>
        <w:rPr>
          <w:sz w:val="20"/>
          <w:szCs w:val="20"/>
          <w:color w:val="auto"/>
        </w:rPr>
      </w:pPr>
      <w:r>
        <w:rPr>
          <w:rFonts w:ascii="Arial" w:cs="Arial" w:eastAsia="Arial" w:hAnsi="Arial"/>
          <w:sz w:val="17"/>
          <w:szCs w:val="17"/>
          <w:color w:val="auto"/>
        </w:rPr>
        <w:t>Under the Orphan Drug Act, the FDA may grant orphan drug designation to a drug intended to treat a rare disease or condition, which is generally a disease or condition that affects fewer than 200,000 individuals in the United States, or more than 200,000 individuals in the U.S. and for which there is no reasonable expectation that the cost of developing and making available in the U.S. a drug for this type of disease or condition will be recovered from sales in the U.S. for that drug. Orphan drug designation entitles the applicant to incentives such as grant funding towards clinical study costs, tax advantages, and waivers of FDA user fees. Orphan drug designation must be requested before submitting an NDA, and both the drug and the disease or condition must meet certain criteria specified in the Orphan Drug Act and FDA’s implementing regulations at 21 C.F.R. Part 316. The granting of an orphan drug designation does not alter the standard regulatory requirements and process for obtaining marketing approval. Safety and effectiveness of a drug must be established through adequate and well-controlled studies.</w:t>
      </w:r>
    </w:p>
    <w:p>
      <w:pPr>
        <w:spacing w:after="0" w:line="179" w:lineRule="exact"/>
        <w:rPr>
          <w:sz w:val="20"/>
          <w:szCs w:val="20"/>
          <w:color w:val="auto"/>
        </w:rPr>
      </w:pPr>
    </w:p>
    <w:p>
      <w:pPr>
        <w:ind w:firstLine="518"/>
        <w:spacing w:after="0" w:line="257" w:lineRule="auto"/>
        <w:rPr>
          <w:sz w:val="20"/>
          <w:szCs w:val="20"/>
          <w:color w:val="auto"/>
        </w:rPr>
      </w:pPr>
      <w:r>
        <w:rPr>
          <w:rFonts w:ascii="Arial" w:cs="Arial" w:eastAsia="Arial" w:hAnsi="Arial"/>
          <w:sz w:val="18"/>
          <w:szCs w:val="18"/>
          <w:color w:val="auto"/>
        </w:rPr>
        <w:t>After the FDA grants orphan drug designation, the identity of the therapeutic agent and its potential orphan use are disclosed publicly by the FDA. If a product that has orphan drug designation subsequently receives the first FDA approval for the disease for which it has such designation, the product is entitled to orphan product exclusivity, which means that the FDA may not approve any other application to market the same drug for the same indication, except in very limited circumstances, for seven years. Orphan drug exclusivity does not prevent the FDA from approving a different drug for the same disease or condition, or the same drug for a different disease or condition.</w:t>
      </w:r>
    </w:p>
    <w:p>
      <w:pPr>
        <w:spacing w:after="0" w:line="188" w:lineRule="exact"/>
        <w:rPr>
          <w:sz w:val="20"/>
          <w:szCs w:val="20"/>
          <w:color w:val="auto"/>
        </w:rPr>
      </w:pPr>
    </w:p>
    <w:p>
      <w:pPr>
        <w:ind w:left="520"/>
        <w:spacing w:after="0"/>
        <w:rPr>
          <w:sz w:val="20"/>
          <w:szCs w:val="20"/>
          <w:color w:val="auto"/>
        </w:rPr>
      </w:pPr>
      <w:r>
        <w:rPr>
          <w:rFonts w:ascii="Arial" w:cs="Arial" w:eastAsia="Arial" w:hAnsi="Arial"/>
          <w:sz w:val="18"/>
          <w:szCs w:val="18"/>
          <w:i w:val="1"/>
          <w:iCs w:val="1"/>
          <w:color w:val="auto"/>
        </w:rPr>
        <w:t>Expedited Review and Accelerated Approval Programs</w:t>
      </w:r>
    </w:p>
    <w:p>
      <w:pPr>
        <w:spacing w:after="0" w:line="225" w:lineRule="exact"/>
        <w:rPr>
          <w:sz w:val="20"/>
          <w:szCs w:val="20"/>
          <w:color w:val="auto"/>
        </w:rPr>
      </w:pPr>
    </w:p>
    <w:p>
      <w:pPr>
        <w:ind w:right="100" w:firstLine="518"/>
        <w:spacing w:after="0" w:line="271" w:lineRule="auto"/>
        <w:rPr>
          <w:sz w:val="20"/>
          <w:szCs w:val="20"/>
          <w:color w:val="auto"/>
        </w:rPr>
      </w:pPr>
      <w:r>
        <w:rPr>
          <w:rFonts w:ascii="Arial" w:cs="Arial" w:eastAsia="Arial" w:hAnsi="Arial"/>
          <w:sz w:val="17"/>
          <w:szCs w:val="17"/>
          <w:color w:val="auto"/>
        </w:rPr>
        <w:t>A sponsor may seek approval of its product candidate under programs designed to accelerate the FDA’s review and approval of NDAs. For example, Fast Track Designation may be granted to a drug intended for treatment of a serious or life threatening disease or condition and data demonstrate its potential to address unmet medical needs for the disease or condition. The key benefits of Fast Track Designation are the eligibility for priority review, rolling review (submission of portions of an application before the complete marketing application is submitted), and accelerated approval, if relevant criteria are met. The FDA may grant the NDA a priority review designation, which sets the target date for FDA action on the application at six months after the FDA accepts the application for filing. Priority review is granted where there is evidence that the proposed product would be a significant improvement in the safety or effectiveness of the treatment, diagnosis, or prevention of a serious condition. Priority review designation does not change the scientific/medical standard for approval or the quality of evidence necessary to support approval.</w:t>
      </w:r>
    </w:p>
    <w:p>
      <w:pPr>
        <w:spacing w:after="0" w:line="179" w:lineRule="exact"/>
        <w:rPr>
          <w:sz w:val="20"/>
          <w:szCs w:val="20"/>
          <w:color w:val="auto"/>
        </w:rPr>
      </w:pPr>
    </w:p>
    <w:p>
      <w:pPr>
        <w:ind w:right="160" w:firstLine="518"/>
        <w:spacing w:after="0" w:line="257" w:lineRule="auto"/>
        <w:rPr>
          <w:sz w:val="20"/>
          <w:szCs w:val="20"/>
          <w:color w:val="auto"/>
        </w:rPr>
      </w:pPr>
      <w:r>
        <w:rPr>
          <w:rFonts w:ascii="Arial" w:cs="Arial" w:eastAsia="Arial" w:hAnsi="Arial"/>
          <w:sz w:val="18"/>
          <w:szCs w:val="18"/>
          <w:color w:val="auto"/>
        </w:rPr>
        <w:t>The FDA may approve an NDA under the accelerated approval program if the drug treats a serious condition, provides a meaningful advantage over available therapies, and demonstrates an effect on either (1) a surrogate endpoint that is reasonably likely to predict clinical benefit, or (2) on a clinical endpoint that can be measured earlier than irreversible morbidity or mortality, that is reasonably likely to predict an effect on irreversible morbidity or mortality or other clinical benefit, taking into account the severity, rarity, or prevalence of the condition and the availability or lack of alternative treatments. Post-marketing studies or completion of</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449" w:right="239" w:bottom="1440" w:gutter="0" w:footer="0" w:header="0"/>
        </w:sectPr>
      </w:pPr>
    </w:p>
    <w:bookmarkStart w:id="18" w:name="page19"/>
    <w:bookmarkEnd w:id="18"/>
    <w:p>
      <w:pPr>
        <w:ind w:right="540"/>
        <w:spacing w:after="0" w:line="277" w:lineRule="auto"/>
        <w:rPr>
          <w:sz w:val="20"/>
          <w:szCs w:val="20"/>
          <w:color w:val="auto"/>
        </w:rPr>
      </w:pPr>
      <w:r>
        <w:rPr>
          <w:rFonts w:ascii="Arial" w:cs="Arial" w:eastAsia="Arial" w:hAnsi="Arial"/>
          <w:sz w:val="18"/>
          <w:szCs w:val="18"/>
          <w:color w:val="auto"/>
        </w:rPr>
        <w:t>ongoing studies after marketing approval are generally required to verify the drug’s clinical benefit in relationship to the surrogate endpoint or ultimate outcome in relationship to the clinical benefit.</w:t>
      </w:r>
    </w:p>
    <w:p>
      <w:pPr>
        <w:spacing w:after="0" w:line="170" w:lineRule="exact"/>
        <w:rPr>
          <w:sz w:val="20"/>
          <w:szCs w:val="20"/>
          <w:color w:val="auto"/>
        </w:rPr>
      </w:pPr>
    </w:p>
    <w:p>
      <w:pPr>
        <w:ind w:right="40" w:firstLine="518"/>
        <w:spacing w:after="0" w:line="255" w:lineRule="auto"/>
        <w:rPr>
          <w:sz w:val="20"/>
          <w:szCs w:val="20"/>
          <w:color w:val="auto"/>
        </w:rPr>
      </w:pPr>
      <w:r>
        <w:rPr>
          <w:rFonts w:ascii="Arial" w:cs="Arial" w:eastAsia="Arial" w:hAnsi="Arial"/>
          <w:sz w:val="18"/>
          <w:szCs w:val="18"/>
          <w:color w:val="auto"/>
        </w:rPr>
        <w:t>In addition, the Food and Drug Administration Safety and Innovation Act of 2012, or FDASIA, established the Breakthrough Therapy designation. A sponsor may seek FDA designation of its product candidate as a breakthrough therapy if the drug is intended, alone or in combination with one or more other drugs, to treat a serious or life-threatening disease or condition and preliminary clinical evidence indicates that the drug may demonstrate substantial improvement over existing therapies on one or more clinically significant endpoints, such as substantial treatment effects observed early in clinical development. If a drug is designated as breakthrough therapy, FDA will provide more intensive guidance on the drug development program and expedite its review.</w:t>
      </w:r>
    </w:p>
    <w:p>
      <w:pPr>
        <w:spacing w:after="0" w:line="301" w:lineRule="exact"/>
        <w:rPr>
          <w:sz w:val="20"/>
          <w:szCs w:val="20"/>
          <w:color w:val="auto"/>
        </w:rPr>
      </w:pPr>
    </w:p>
    <w:p>
      <w:pPr>
        <w:ind w:left="520"/>
        <w:spacing w:after="0"/>
        <w:rPr>
          <w:sz w:val="20"/>
          <w:szCs w:val="20"/>
          <w:color w:val="auto"/>
        </w:rPr>
      </w:pPr>
      <w:r>
        <w:rPr>
          <w:rFonts w:ascii="Arial" w:cs="Arial" w:eastAsia="Arial" w:hAnsi="Arial"/>
          <w:sz w:val="18"/>
          <w:szCs w:val="18"/>
          <w:i w:val="1"/>
          <w:iCs w:val="1"/>
          <w:color w:val="auto"/>
        </w:rPr>
        <w:t>Post-Approval Requirements</w:t>
      </w:r>
    </w:p>
    <w:p>
      <w:pPr>
        <w:spacing w:after="0" w:line="117" w:lineRule="exact"/>
        <w:rPr>
          <w:sz w:val="20"/>
          <w:szCs w:val="20"/>
          <w:color w:val="auto"/>
        </w:rPr>
      </w:pPr>
    </w:p>
    <w:p>
      <w:pPr>
        <w:ind w:right="120" w:firstLine="518"/>
        <w:spacing w:after="0" w:line="276" w:lineRule="auto"/>
        <w:rPr>
          <w:sz w:val="20"/>
          <w:szCs w:val="20"/>
          <w:color w:val="auto"/>
        </w:rPr>
      </w:pPr>
      <w:r>
        <w:rPr>
          <w:rFonts w:ascii="Arial" w:cs="Arial" w:eastAsia="Arial" w:hAnsi="Arial"/>
          <w:sz w:val="17"/>
          <w:szCs w:val="17"/>
          <w:color w:val="auto"/>
        </w:rPr>
        <w:t>Drugs manufactured or distributed pursuant to FDA approvals are subject to pervasive and continuing regulation by the FDA, including, among other things, requirements relating to recordkeeping, periodic reporting, product sampling and distribution, advertising and promotion and reporting of adverse experiences with the product. After approval, most changes to the approved product, such as adding new indications or other labeling claims, are subject to prior FDA review and approval. There also are continuing, annual user fee requirements for any marketed products and the establishments at which such products are manufactured, as well as new application fees for supplemental applications with clinical data.</w:t>
      </w:r>
    </w:p>
    <w:p>
      <w:pPr>
        <w:spacing w:after="0" w:line="173" w:lineRule="exact"/>
        <w:rPr>
          <w:sz w:val="20"/>
          <w:szCs w:val="20"/>
          <w:color w:val="auto"/>
        </w:rPr>
      </w:pPr>
    </w:p>
    <w:p>
      <w:pPr>
        <w:ind w:firstLine="518"/>
        <w:spacing w:after="0" w:line="273" w:lineRule="auto"/>
        <w:rPr>
          <w:sz w:val="20"/>
          <w:szCs w:val="20"/>
          <w:color w:val="auto"/>
        </w:rPr>
      </w:pPr>
      <w:r>
        <w:rPr>
          <w:rFonts w:ascii="Arial" w:cs="Arial" w:eastAsia="Arial" w:hAnsi="Arial"/>
          <w:sz w:val="17"/>
          <w:szCs w:val="17"/>
          <w:color w:val="auto"/>
        </w:rPr>
        <w:t>In addition, drug manufacturers and other entities involved in the manufacture and distribution of approved drugs are required to register their establishments with the FDA and state agencies, and are subject to periodic unannounced inspections by the FDA and these state agencies for compliance with cGMP requirements. Changes to the manufacturing process are strictly regulated and often require prior FDA approval before being implemented. FDA regulations also require investigation and correction of any deviations from cGMP and impose reporting and documentation requirements upon the sponsor and any third-party manufacturers that the sponsor may decide to use. Accordingly, manufacturers must continue to expend time, money, and effort in the area of production and quality control to maintain cGMP compliance.</w:t>
      </w:r>
    </w:p>
    <w:p>
      <w:pPr>
        <w:spacing w:after="0" w:line="178" w:lineRule="exact"/>
        <w:rPr>
          <w:sz w:val="20"/>
          <w:szCs w:val="20"/>
          <w:color w:val="auto"/>
        </w:rPr>
      </w:pPr>
    </w:p>
    <w:p>
      <w:pPr>
        <w:ind w:right="20" w:firstLine="518"/>
        <w:spacing w:after="0" w:line="276" w:lineRule="auto"/>
        <w:rPr>
          <w:sz w:val="20"/>
          <w:szCs w:val="20"/>
          <w:color w:val="auto"/>
        </w:rPr>
      </w:pPr>
      <w:r>
        <w:rPr>
          <w:rFonts w:ascii="Arial" w:cs="Arial" w:eastAsia="Arial" w:hAnsi="Arial"/>
          <w:sz w:val="17"/>
          <w:szCs w:val="17"/>
          <w:color w:val="auto"/>
        </w:rPr>
        <w:t>Once an approval is granted, the FDA may withdraw the approval if compliance with regulatory requirements and standards is not maintained or if problems occur after the product reaches the market. Later discovery of previously unknown problems with a product, including adverse events or problems with manufacturing processes of unanticipated severity or frequency, or failure to comply with regulatory requirements, may result in revisions to the approved labeling to add new safety information; imposition of post-market studies or clinical trials to assess new safety risks; or imposition of distribution or other restrictions under a REMS program. Other potential consequences include, among other things:</w:t>
      </w:r>
    </w:p>
    <w:p>
      <w:pPr>
        <w:spacing w:after="0" w:line="64" w:lineRule="exact"/>
        <w:rPr>
          <w:sz w:val="20"/>
          <w:szCs w:val="20"/>
          <w:color w:val="auto"/>
        </w:rPr>
      </w:pPr>
    </w:p>
    <w:p>
      <w:pPr>
        <w:ind w:left="1040" w:hanging="384"/>
        <w:spacing w:after="0"/>
        <w:tabs>
          <w:tab w:leader="none" w:pos="1040" w:val="left"/>
        </w:tabs>
        <w:numPr>
          <w:ilvl w:val="0"/>
          <w:numId w:val="8"/>
        </w:numPr>
        <w:rPr>
          <w:rFonts w:ascii="Arial" w:cs="Arial" w:eastAsia="Arial" w:hAnsi="Arial"/>
          <w:sz w:val="17"/>
          <w:szCs w:val="17"/>
          <w:color w:val="auto"/>
        </w:rPr>
      </w:pPr>
      <w:r>
        <w:rPr>
          <w:rFonts w:ascii="Arial" w:cs="Arial" w:eastAsia="Arial" w:hAnsi="Arial"/>
          <w:sz w:val="17"/>
          <w:szCs w:val="17"/>
          <w:color w:val="auto"/>
        </w:rPr>
        <w:t>restrictions on the marketing or manufacturing of the product, complete withdrawal of the product from the market or product recalls;</w:t>
      </w:r>
    </w:p>
    <w:p>
      <w:pPr>
        <w:spacing w:after="0" w:line="128" w:lineRule="exact"/>
        <w:rPr>
          <w:rFonts w:ascii="Arial" w:cs="Arial" w:eastAsia="Arial" w:hAnsi="Arial"/>
          <w:sz w:val="17"/>
          <w:szCs w:val="17"/>
          <w:color w:val="auto"/>
        </w:rPr>
      </w:pPr>
    </w:p>
    <w:p>
      <w:pPr>
        <w:ind w:left="1040" w:hanging="384"/>
        <w:spacing w:after="0"/>
        <w:tabs>
          <w:tab w:leader="none" w:pos="1040" w:val="left"/>
        </w:tabs>
        <w:numPr>
          <w:ilvl w:val="0"/>
          <w:numId w:val="8"/>
        </w:numPr>
        <w:rPr>
          <w:rFonts w:ascii="Arial" w:cs="Arial" w:eastAsia="Arial" w:hAnsi="Arial"/>
          <w:sz w:val="18"/>
          <w:szCs w:val="18"/>
          <w:color w:val="auto"/>
        </w:rPr>
      </w:pPr>
      <w:r>
        <w:rPr>
          <w:rFonts w:ascii="Arial" w:cs="Arial" w:eastAsia="Arial" w:hAnsi="Arial"/>
          <w:sz w:val="18"/>
          <w:szCs w:val="18"/>
          <w:color w:val="auto"/>
        </w:rPr>
        <w:t>fines, warning letters or holds on post-approval clinical trials;</w:t>
      </w:r>
    </w:p>
    <w:p>
      <w:pPr>
        <w:spacing w:after="0" w:line="117" w:lineRule="exact"/>
        <w:rPr>
          <w:rFonts w:ascii="Arial" w:cs="Arial" w:eastAsia="Arial" w:hAnsi="Arial"/>
          <w:sz w:val="18"/>
          <w:szCs w:val="18"/>
          <w:color w:val="auto"/>
        </w:rPr>
      </w:pPr>
    </w:p>
    <w:p>
      <w:pPr>
        <w:ind w:left="1040" w:hanging="384"/>
        <w:spacing w:after="0"/>
        <w:tabs>
          <w:tab w:leader="none" w:pos="1040" w:val="left"/>
        </w:tabs>
        <w:numPr>
          <w:ilvl w:val="0"/>
          <w:numId w:val="8"/>
        </w:numPr>
        <w:rPr>
          <w:rFonts w:ascii="Arial" w:cs="Arial" w:eastAsia="Arial" w:hAnsi="Arial"/>
          <w:sz w:val="16"/>
          <w:szCs w:val="16"/>
          <w:color w:val="auto"/>
        </w:rPr>
      </w:pPr>
      <w:r>
        <w:rPr>
          <w:rFonts w:ascii="Arial" w:cs="Arial" w:eastAsia="Arial" w:hAnsi="Arial"/>
          <w:sz w:val="16"/>
          <w:szCs w:val="16"/>
          <w:color w:val="auto"/>
        </w:rPr>
        <w:t>refusal of the FDA to approve pending NDAs or supplements to approved NDAs, or suspension or revocation of product license approvals;</w:t>
      </w:r>
    </w:p>
    <w:p>
      <w:pPr>
        <w:spacing w:after="0" w:line="140" w:lineRule="exact"/>
        <w:rPr>
          <w:rFonts w:ascii="Arial" w:cs="Arial" w:eastAsia="Arial" w:hAnsi="Arial"/>
          <w:sz w:val="16"/>
          <w:szCs w:val="16"/>
          <w:color w:val="auto"/>
        </w:rPr>
      </w:pPr>
    </w:p>
    <w:p>
      <w:pPr>
        <w:ind w:left="1040" w:hanging="384"/>
        <w:spacing w:after="0"/>
        <w:tabs>
          <w:tab w:leader="none" w:pos="1040" w:val="left"/>
        </w:tabs>
        <w:numPr>
          <w:ilvl w:val="0"/>
          <w:numId w:val="8"/>
        </w:numPr>
        <w:rPr>
          <w:rFonts w:ascii="Arial" w:cs="Arial" w:eastAsia="Arial" w:hAnsi="Arial"/>
          <w:sz w:val="18"/>
          <w:szCs w:val="18"/>
          <w:color w:val="auto"/>
        </w:rPr>
      </w:pPr>
      <w:r>
        <w:rPr>
          <w:rFonts w:ascii="Arial" w:cs="Arial" w:eastAsia="Arial" w:hAnsi="Arial"/>
          <w:sz w:val="18"/>
          <w:szCs w:val="18"/>
          <w:color w:val="auto"/>
        </w:rPr>
        <w:t>product seizure or detention, or refusal to permit the import or export of products; or</w:t>
      </w:r>
    </w:p>
    <w:p>
      <w:pPr>
        <w:spacing w:after="0" w:line="117" w:lineRule="exact"/>
        <w:rPr>
          <w:rFonts w:ascii="Arial" w:cs="Arial" w:eastAsia="Arial" w:hAnsi="Arial"/>
          <w:sz w:val="18"/>
          <w:szCs w:val="18"/>
          <w:color w:val="auto"/>
        </w:rPr>
      </w:pPr>
    </w:p>
    <w:p>
      <w:pPr>
        <w:ind w:left="1040" w:hanging="384"/>
        <w:spacing w:after="0"/>
        <w:tabs>
          <w:tab w:leader="none" w:pos="1040" w:val="left"/>
        </w:tabs>
        <w:numPr>
          <w:ilvl w:val="0"/>
          <w:numId w:val="8"/>
        </w:numPr>
        <w:rPr>
          <w:rFonts w:ascii="Arial" w:cs="Arial" w:eastAsia="Arial" w:hAnsi="Arial"/>
          <w:sz w:val="18"/>
          <w:szCs w:val="18"/>
          <w:color w:val="auto"/>
        </w:rPr>
      </w:pPr>
      <w:r>
        <w:rPr>
          <w:rFonts w:ascii="Arial" w:cs="Arial" w:eastAsia="Arial" w:hAnsi="Arial"/>
          <w:sz w:val="18"/>
          <w:szCs w:val="18"/>
          <w:color w:val="auto"/>
        </w:rPr>
        <w:t>injunctions or the imposition of civil or criminal penalties.</w:t>
      </w:r>
    </w:p>
    <w:p>
      <w:pPr>
        <w:spacing w:after="0" w:line="225" w:lineRule="exact"/>
        <w:rPr>
          <w:sz w:val="20"/>
          <w:szCs w:val="20"/>
          <w:color w:val="auto"/>
        </w:rPr>
      </w:pPr>
    </w:p>
    <w:p>
      <w:pPr>
        <w:jc w:val="both"/>
        <w:ind w:right="100" w:firstLine="518"/>
        <w:spacing w:after="0" w:line="312" w:lineRule="auto"/>
        <w:rPr>
          <w:sz w:val="20"/>
          <w:szCs w:val="20"/>
          <w:color w:val="auto"/>
        </w:rPr>
      </w:pPr>
      <w:r>
        <w:rPr>
          <w:rFonts w:ascii="Arial" w:cs="Arial" w:eastAsia="Arial" w:hAnsi="Arial"/>
          <w:sz w:val="16"/>
          <w:szCs w:val="16"/>
          <w:color w:val="auto"/>
        </w:rPr>
        <w:t>The FDA strictly regulates marketing, labeling, advertising and promotion of products that are placed on the market. Drugs may be promoted only for the approved indications and in accordance with the provisions of the approved label. The FDA and other agencies actively enforce the laws and regulations prohibiting the promotion of off-label uses, and a company that is found to have improperly promoted off-label uses may be subject to significant liability.</w:t>
      </w:r>
    </w:p>
    <w:p>
      <w:pPr>
        <w:spacing w:after="0" w:line="147" w:lineRule="exact"/>
        <w:rPr>
          <w:sz w:val="20"/>
          <w:szCs w:val="20"/>
          <w:color w:val="auto"/>
        </w:rPr>
      </w:pPr>
    </w:p>
    <w:p>
      <w:pPr>
        <w:ind w:right="240" w:firstLine="518"/>
        <w:spacing w:after="0" w:line="259" w:lineRule="auto"/>
        <w:rPr>
          <w:sz w:val="20"/>
          <w:szCs w:val="20"/>
          <w:color w:val="auto"/>
        </w:rPr>
      </w:pPr>
      <w:r>
        <w:rPr>
          <w:rFonts w:ascii="Arial" w:cs="Arial" w:eastAsia="Arial" w:hAnsi="Arial"/>
          <w:sz w:val="18"/>
          <w:szCs w:val="18"/>
          <w:color w:val="auto"/>
        </w:rPr>
        <w:t>In addition, the distribution of prescription pharmaceutical products is subject to the Prescription Drug Marketing Act (PDMA), which regulates the distribution of drugs and drug samples at the federal level, and sets minimum standards for the registration and regulation of drug distributors by the states. Both the PDMA and state laws limit the distribution of prescription pharmaceutical product samples and impose requirements to ensure accountability in distribution.</w:t>
      </w:r>
    </w:p>
    <w:p>
      <w:pPr>
        <w:spacing w:after="0" w:line="295" w:lineRule="exact"/>
        <w:rPr>
          <w:sz w:val="20"/>
          <w:szCs w:val="20"/>
          <w:color w:val="auto"/>
        </w:rPr>
      </w:pPr>
    </w:p>
    <w:p>
      <w:pPr>
        <w:ind w:left="520"/>
        <w:spacing w:after="0"/>
        <w:rPr>
          <w:sz w:val="20"/>
          <w:szCs w:val="20"/>
          <w:color w:val="auto"/>
        </w:rPr>
      </w:pPr>
      <w:r>
        <w:rPr>
          <w:rFonts w:ascii="Arial" w:cs="Arial" w:eastAsia="Arial" w:hAnsi="Arial"/>
          <w:sz w:val="18"/>
          <w:szCs w:val="18"/>
          <w:i w:val="1"/>
          <w:iCs w:val="1"/>
          <w:color w:val="auto"/>
        </w:rPr>
        <w:t>Abbreviated New Drug Applications for Generic Drugs</w:t>
      </w:r>
    </w:p>
    <w:p>
      <w:pPr>
        <w:spacing w:after="0" w:line="117" w:lineRule="exact"/>
        <w:rPr>
          <w:sz w:val="20"/>
          <w:szCs w:val="20"/>
          <w:color w:val="auto"/>
        </w:rPr>
      </w:pPr>
    </w:p>
    <w:p>
      <w:pPr>
        <w:ind w:right="120" w:firstLine="518"/>
        <w:spacing w:after="0" w:line="257" w:lineRule="auto"/>
        <w:rPr>
          <w:sz w:val="20"/>
          <w:szCs w:val="20"/>
          <w:color w:val="auto"/>
        </w:rPr>
      </w:pPr>
      <w:r>
        <w:rPr>
          <w:rFonts w:ascii="Arial" w:cs="Arial" w:eastAsia="Arial" w:hAnsi="Arial"/>
          <w:sz w:val="18"/>
          <w:szCs w:val="18"/>
          <w:color w:val="auto"/>
        </w:rPr>
        <w:t>In 1984, with passage of the Drug Price Competition and Patent Term Restoration Act of 1984 (commonly referred to as the “Hatch-Waxman Amendments”) amending the FDCA, Congress authorized the FDA to approve generic drugs that are the same as drugs previously approved by the FDA under the NDA provisions of the statute. To obtain approval of a generic drug, an applicant must submit an abbreviated new drug application (ANDA) to the agency. In support of such applications, a generic manufacturer may rely on the preclinical and clinical testing previously conducted for a drug product previously approved under an NDA, known as the</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19" w:name="page20"/>
    <w:bookmarkEnd w:id="19"/>
    <w:p>
      <w:pPr>
        <w:ind w:right="180"/>
        <w:spacing w:after="0" w:line="312" w:lineRule="auto"/>
        <w:rPr>
          <w:sz w:val="20"/>
          <w:szCs w:val="20"/>
          <w:color w:val="auto"/>
        </w:rPr>
      </w:pPr>
      <w:r>
        <w:rPr>
          <w:rFonts w:ascii="Arial" w:cs="Arial" w:eastAsia="Arial" w:hAnsi="Arial"/>
          <w:sz w:val="16"/>
          <w:szCs w:val="16"/>
          <w:color w:val="auto"/>
        </w:rPr>
        <w:t>reference listed drug, or RLD. To reference that information, however, the ANDA applicant must demonstrate, and the FDA must conclude, that the generic drug does, in fact, perform in the same way as the RLD it purports to copy. Specifically, in order for an ANDA to be approved, the FDA must find that the generic version is identical to the RLD with respect to the active ingredients, the route of administration, the dosage form, and the strength of the drug.</w:t>
      </w:r>
    </w:p>
    <w:p>
      <w:pPr>
        <w:spacing w:after="0" w:line="147" w:lineRule="exact"/>
        <w:rPr>
          <w:sz w:val="20"/>
          <w:szCs w:val="20"/>
          <w:color w:val="auto"/>
        </w:rPr>
      </w:pPr>
    </w:p>
    <w:p>
      <w:pPr>
        <w:ind w:firstLine="518"/>
        <w:spacing w:after="0" w:line="291" w:lineRule="auto"/>
        <w:rPr>
          <w:sz w:val="20"/>
          <w:szCs w:val="20"/>
          <w:color w:val="auto"/>
        </w:rPr>
      </w:pPr>
      <w:r>
        <w:rPr>
          <w:rFonts w:ascii="Arial" w:cs="Arial" w:eastAsia="Arial" w:hAnsi="Arial"/>
          <w:sz w:val="16"/>
          <w:szCs w:val="16"/>
          <w:color w:val="auto"/>
        </w:rPr>
        <w:t>At the same time, the FDA must also determine that the generic drug is “bioequivalent” to the innovator drug. Under the statute, a generic drug is bioequivalent to a RLD if “the rate and extent of absorption of the generic drug do not show a significant difference from the rate and extent of absorption of the RLD.” Upon approval of an ANDA, the FDA indicates that the generic product is “therapeutically equivalent” to the RLD and it assigns a therapeutic equivalence rating to the approved generic drug in its publication “Approved Drug Products with Therapeutic Equivalence Evaluations,” also referred to as the “Orange Book.” Physicians and pharmacists consider the therapeutic equivalence rating to mean that a generic drug is fully substitutable for the RLD. In addition, by operation of certain state laws and numerous health insurance programs, the FDA’s designation of a therapeutic equivalence rating often results in substitution of the generic drug without the knowledge or consent of either the prescribing physician or patient.</w:t>
      </w:r>
    </w:p>
    <w:p>
      <w:pPr>
        <w:spacing w:after="0" w:line="167" w:lineRule="exact"/>
        <w:rPr>
          <w:sz w:val="20"/>
          <w:szCs w:val="20"/>
          <w:color w:val="auto"/>
        </w:rPr>
      </w:pPr>
    </w:p>
    <w:p>
      <w:pPr>
        <w:ind w:right="120" w:firstLine="518"/>
        <w:spacing w:after="0" w:line="272" w:lineRule="auto"/>
        <w:rPr>
          <w:sz w:val="20"/>
          <w:szCs w:val="20"/>
          <w:color w:val="auto"/>
        </w:rPr>
      </w:pPr>
      <w:r>
        <w:rPr>
          <w:rFonts w:ascii="Arial" w:cs="Arial" w:eastAsia="Arial" w:hAnsi="Arial"/>
          <w:sz w:val="17"/>
          <w:szCs w:val="17"/>
          <w:color w:val="auto"/>
        </w:rPr>
        <w:t>Under the Hatch-Waxman Amendments, the FDA may not approve an ANDA until any applicable period of nonpatent exclusivity for the RLD has expired. The FDCA provides a period of five years of data exclusivity for new drug containing a new chemical entity. In cases where such exclusivity has been granted, an ANDA may not be filed with the FDA until the expiration of five years unless the submission is accompanied by a Paragraph IV certification, in which case the applicant may submit its application four years following the original product approval. The FDCA also provides for a period of three years of exclusivity if the NDA includes reports of one or more new clinical investigations, other than bioavailability or bioequivalence studies, that were conducted by or for the applicant and are essential to the approval of the application. This three-year exclusivity period often protects changes to a previously approved drug product, such as a new dosage form, route of administration, combination or indication.</w:t>
      </w:r>
    </w:p>
    <w:p>
      <w:pPr>
        <w:spacing w:after="0" w:line="286" w:lineRule="exact"/>
        <w:rPr>
          <w:sz w:val="20"/>
          <w:szCs w:val="20"/>
          <w:color w:val="auto"/>
        </w:rPr>
      </w:pPr>
    </w:p>
    <w:p>
      <w:pPr>
        <w:ind w:left="520"/>
        <w:spacing w:after="0"/>
        <w:rPr>
          <w:sz w:val="20"/>
          <w:szCs w:val="20"/>
          <w:color w:val="auto"/>
        </w:rPr>
      </w:pPr>
      <w:r>
        <w:rPr>
          <w:rFonts w:ascii="Arial" w:cs="Arial" w:eastAsia="Arial" w:hAnsi="Arial"/>
          <w:sz w:val="18"/>
          <w:szCs w:val="18"/>
          <w:i w:val="1"/>
          <w:iCs w:val="1"/>
          <w:color w:val="auto"/>
        </w:rPr>
        <w:t>Hatch-Waxman Patent Certification and the 30 Month Stay</w:t>
      </w:r>
    </w:p>
    <w:p>
      <w:pPr>
        <w:spacing w:after="0" w:line="117" w:lineRule="exact"/>
        <w:rPr>
          <w:sz w:val="20"/>
          <w:szCs w:val="20"/>
          <w:color w:val="auto"/>
        </w:rPr>
      </w:pPr>
    </w:p>
    <w:p>
      <w:pPr>
        <w:ind w:right="100" w:firstLine="518"/>
        <w:spacing w:after="0" w:line="259" w:lineRule="auto"/>
        <w:rPr>
          <w:sz w:val="20"/>
          <w:szCs w:val="20"/>
          <w:color w:val="auto"/>
        </w:rPr>
      </w:pPr>
      <w:r>
        <w:rPr>
          <w:rFonts w:ascii="Arial" w:cs="Arial" w:eastAsia="Arial" w:hAnsi="Arial"/>
          <w:sz w:val="18"/>
          <w:szCs w:val="18"/>
          <w:color w:val="auto"/>
        </w:rPr>
        <w:t>Upon approval of an NDA or a supplement thereto, NDA sponsors are required to list with the FDA each patent with claims that cover the applicant’s product or a method of using the product. Each of the patents listed by the NDA sponsor is published in the Orange Book. When an ANDA applicant files its application with the FDA, the applicant is required to certify to the FDA concerning any patents listed for the reference product in the Orange Book, except for patents covering methods of use for which the ANDA applicant is not seeking approval.</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Specifically, the applicant must certify with respect to each patent that:</w:t>
      </w:r>
    </w:p>
    <w:p>
      <w:pPr>
        <w:spacing w:after="0" w:line="117" w:lineRule="exact"/>
        <w:rPr>
          <w:sz w:val="20"/>
          <w:szCs w:val="20"/>
          <w:color w:val="auto"/>
        </w:rPr>
      </w:pPr>
    </w:p>
    <w:p>
      <w:pPr>
        <w:ind w:left="1040" w:hanging="384"/>
        <w:spacing w:after="0"/>
        <w:tabs>
          <w:tab w:leader="none" w:pos="104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required patent information has not been filed;</w:t>
      </w:r>
    </w:p>
    <w:p>
      <w:pPr>
        <w:spacing w:after="0" w:line="117" w:lineRule="exact"/>
        <w:rPr>
          <w:rFonts w:ascii="Arial" w:cs="Arial" w:eastAsia="Arial" w:hAnsi="Arial"/>
          <w:sz w:val="18"/>
          <w:szCs w:val="18"/>
          <w:color w:val="auto"/>
        </w:rPr>
      </w:pPr>
    </w:p>
    <w:p>
      <w:pPr>
        <w:ind w:left="1040" w:hanging="384"/>
        <w:spacing w:after="0"/>
        <w:tabs>
          <w:tab w:leader="none" w:pos="104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listed patent has expired;</w:t>
      </w:r>
    </w:p>
    <w:p>
      <w:pPr>
        <w:spacing w:after="0" w:line="117" w:lineRule="exact"/>
        <w:rPr>
          <w:rFonts w:ascii="Arial" w:cs="Arial" w:eastAsia="Arial" w:hAnsi="Arial"/>
          <w:sz w:val="18"/>
          <w:szCs w:val="18"/>
          <w:color w:val="auto"/>
        </w:rPr>
      </w:pPr>
    </w:p>
    <w:p>
      <w:pPr>
        <w:ind w:left="1040" w:hanging="384"/>
        <w:spacing w:after="0"/>
        <w:tabs>
          <w:tab w:leader="none" w:pos="104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listed patent has not expired, but will expire on a particular date and approval is sought after patent expiration; or</w:t>
      </w:r>
    </w:p>
    <w:p>
      <w:pPr>
        <w:spacing w:after="0" w:line="117" w:lineRule="exact"/>
        <w:rPr>
          <w:rFonts w:ascii="Arial" w:cs="Arial" w:eastAsia="Arial" w:hAnsi="Arial"/>
          <w:sz w:val="18"/>
          <w:szCs w:val="18"/>
          <w:color w:val="auto"/>
        </w:rPr>
      </w:pPr>
    </w:p>
    <w:p>
      <w:pPr>
        <w:ind w:left="1040" w:hanging="384"/>
        <w:spacing w:after="0"/>
        <w:tabs>
          <w:tab w:leader="none" w:pos="104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listed patent is invalid, unenforceable or will not be infringed by the new product.</w:t>
      </w:r>
    </w:p>
    <w:p>
      <w:pPr>
        <w:spacing w:after="0" w:line="225" w:lineRule="exact"/>
        <w:rPr>
          <w:sz w:val="20"/>
          <w:szCs w:val="20"/>
          <w:color w:val="auto"/>
        </w:rPr>
      </w:pPr>
    </w:p>
    <w:p>
      <w:pPr>
        <w:ind w:right="60" w:firstLine="518"/>
        <w:spacing w:after="0" w:line="271" w:lineRule="auto"/>
        <w:rPr>
          <w:sz w:val="20"/>
          <w:szCs w:val="20"/>
          <w:color w:val="auto"/>
        </w:rPr>
      </w:pPr>
      <w:r>
        <w:rPr>
          <w:rFonts w:ascii="Arial" w:cs="Arial" w:eastAsia="Arial" w:hAnsi="Arial"/>
          <w:sz w:val="17"/>
          <w:szCs w:val="17"/>
          <w:color w:val="auto"/>
        </w:rPr>
        <w:t>A certification that the new product will not infringe the already approved product’s listed patents or that such patents are invalid or unenforceable is called a Paragraph IV certification. If the applicant does not challenge the listed patents or indicate that it is not seeking approval of a patented method of use, the ANDA application will not be approved until all the listed patents claiming the referenced product have expired. If the ANDA applicant has provided a Paragraph IV certification to the FDA, the applicant must also send notice of the Paragraph IV certification to the NDA and patent holders once the ANDA has been accepted for filing by the FDA. The NDA and patent holders may then initiate a patent infringement lawsuit in response to the notice of the Paragraph IV certification. The filing of a patent infringement lawsuit within 45 days after the receipt of a Paragraph IV certification automatically prevents the FDA from approving the ANDA until the earlier of 30 months, expiration of the patent, settlement of the lawsuit or a decision in the infringement case that is favorable to the ANDA applicant.</w:t>
      </w:r>
    </w:p>
    <w:p>
      <w:pPr>
        <w:spacing w:after="0" w:line="179" w:lineRule="exact"/>
        <w:rPr>
          <w:sz w:val="20"/>
          <w:szCs w:val="20"/>
          <w:color w:val="auto"/>
        </w:rPr>
      </w:pPr>
    </w:p>
    <w:p>
      <w:pPr>
        <w:ind w:right="140" w:firstLine="518"/>
        <w:spacing w:after="0" w:line="255" w:lineRule="auto"/>
        <w:rPr>
          <w:sz w:val="20"/>
          <w:szCs w:val="20"/>
          <w:color w:val="auto"/>
        </w:rPr>
      </w:pPr>
      <w:r>
        <w:rPr>
          <w:rFonts w:ascii="Arial" w:cs="Arial" w:eastAsia="Arial" w:hAnsi="Arial"/>
          <w:sz w:val="18"/>
          <w:szCs w:val="18"/>
          <w:color w:val="auto"/>
        </w:rPr>
        <w:t>To the extent that a Section 505(b)(2) applicant is relying on studies conducted for an already approved product, the applicant is required to certify to the FDA concerning any patents listed for the approved product in the Orange Book to the same extent that an ANDA applicant would. As a result, approval of a 505(b)(2) NDA can be stalled until all the listed patents claiming the referenced product have expired, until any non-patent exclusivity, such as exclusivity for obtaining approval of a new chemical entity, listed in the Orange Book for the referenced product has expired, and, in the case of a Paragraph IV certification and subsequent patent infringement suit, until the earlier of 30 months, settlement of the lawsuit or a decision in the infringement case that is favorable to the Section 505(b)(2) applicant.</w:t>
      </w:r>
    </w:p>
    <w:p>
      <w:pPr>
        <w:spacing w:after="0" w:line="1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233" w:right="239" w:bottom="1440" w:gutter="0" w:footer="0" w:header="0"/>
        </w:sectPr>
      </w:pPr>
    </w:p>
    <w:bookmarkStart w:id="20" w:name="page21"/>
    <w:bookmarkEnd w:id="20"/>
    <w:p>
      <w:pPr>
        <w:ind w:left="520"/>
        <w:spacing w:after="0"/>
        <w:rPr>
          <w:sz w:val="20"/>
          <w:szCs w:val="20"/>
          <w:color w:val="auto"/>
        </w:rPr>
      </w:pPr>
      <w:r>
        <w:rPr>
          <w:rFonts w:ascii="Arial" w:cs="Arial" w:eastAsia="Arial" w:hAnsi="Arial"/>
          <w:sz w:val="18"/>
          <w:szCs w:val="18"/>
          <w:i w:val="1"/>
          <w:iCs w:val="1"/>
          <w:color w:val="auto"/>
        </w:rPr>
        <w:t>Pediatric Studies and Exclusivity</w:t>
      </w:r>
    </w:p>
    <w:p>
      <w:pPr>
        <w:spacing w:after="0" w:line="117" w:lineRule="exact"/>
        <w:rPr>
          <w:sz w:val="20"/>
          <w:szCs w:val="20"/>
          <w:color w:val="auto"/>
        </w:rPr>
      </w:pPr>
    </w:p>
    <w:p>
      <w:pPr>
        <w:ind w:right="20" w:firstLine="518"/>
        <w:spacing w:after="0" w:line="255" w:lineRule="auto"/>
        <w:rPr>
          <w:sz w:val="20"/>
          <w:szCs w:val="20"/>
          <w:color w:val="auto"/>
        </w:rPr>
      </w:pPr>
      <w:r>
        <w:rPr>
          <w:rFonts w:ascii="Arial" w:cs="Arial" w:eastAsia="Arial" w:hAnsi="Arial"/>
          <w:sz w:val="18"/>
          <w:szCs w:val="18"/>
          <w:color w:val="auto"/>
        </w:rPr>
        <w:t>Under the Pediatric Research Equity Act of 2003, an NDA or supplement thereto must contain data that are adequate to assess the safety and effectiveness of the drug product for the claimed indications in all relevant pediatric subpopulations, and to support dosing and administration for each pediatric subpopulation for which the product is safe and effective. With the enactment of FDASIA, sponsors must also submit pediatric study plans prior to the assessment data. Those plans must contain an outline of the proposed pediatric study or studies the applicant plans to conduct, including study objectives and design, any deferral or waiver requests, and other information required by regulation. The applicant, the FDA, and the FDA’s internal review committee must then review the information submitted, consult with each other, and agree upon a final plan. The FDA or the applicant may request an amendment to the plan at any time.</w:t>
      </w:r>
    </w:p>
    <w:p>
      <w:pPr>
        <w:spacing w:after="0" w:line="189" w:lineRule="exact"/>
        <w:rPr>
          <w:sz w:val="20"/>
          <w:szCs w:val="20"/>
          <w:color w:val="auto"/>
        </w:rPr>
      </w:pPr>
    </w:p>
    <w:p>
      <w:pPr>
        <w:ind w:right="40" w:firstLine="518"/>
        <w:spacing w:after="0" w:line="259" w:lineRule="auto"/>
        <w:rPr>
          <w:sz w:val="20"/>
          <w:szCs w:val="20"/>
          <w:color w:val="auto"/>
        </w:rPr>
      </w:pPr>
      <w:r>
        <w:rPr>
          <w:rFonts w:ascii="Arial" w:cs="Arial" w:eastAsia="Arial" w:hAnsi="Arial"/>
          <w:sz w:val="18"/>
          <w:szCs w:val="18"/>
          <w:color w:val="auto"/>
        </w:rPr>
        <w:t>The FDA may, on its own initiative or at the request of the applicant, grant deferrals for submission of some or all pediatric data until after approval of the product for use in adults, or full or partial waivers from the pediatric data requirements. Additional requirements and procedures relating to deferral requests and requests for extension of deferrals are contained in FDASIA. Unless otherwise required by regulation, the pediatric data requirements do not apply to products with orphan designation.</w:t>
      </w:r>
    </w:p>
    <w:p>
      <w:pPr>
        <w:spacing w:after="0" w:line="187" w:lineRule="exact"/>
        <w:rPr>
          <w:sz w:val="20"/>
          <w:szCs w:val="20"/>
          <w:color w:val="auto"/>
        </w:rPr>
      </w:pPr>
    </w:p>
    <w:p>
      <w:pPr>
        <w:ind w:right="20" w:firstLine="518"/>
        <w:spacing w:after="0" w:line="272" w:lineRule="auto"/>
        <w:rPr>
          <w:sz w:val="20"/>
          <w:szCs w:val="20"/>
          <w:color w:val="auto"/>
        </w:rPr>
      </w:pPr>
      <w:r>
        <w:rPr>
          <w:rFonts w:ascii="Arial" w:cs="Arial" w:eastAsia="Arial" w:hAnsi="Arial"/>
          <w:sz w:val="17"/>
          <w:szCs w:val="17"/>
          <w:color w:val="auto"/>
        </w:rPr>
        <w:t>Pediatric exclusivity is another type of non-patent marketing exclusivity in the United States and, if granted, provides for the attachment of an additional six months of marketing protection to the term of any existing regulatory exclusivity, including the non-patent and orphan exclusivity. This six-month exclusivity may be granted if an NDA sponsor submits pediatric data that fairly respond to a written request from the FDA for such data. The data do not need to show the product to be effective in the pediatric population studied; rather, if the clinical trial is deemed to fairly respond to the FDA’s request, the additional protection is granted. If reports of requested pediatric studies are submitted to and accepted by the FDA within the statutory time limits, whatever statutory or regulatory periods of exclusivity or patent protection cover the product are extended by six months. This is not a patent term extension, but it effectively extends the regulatory period during which the FDA cannot accept or approve another application.</w:t>
      </w:r>
    </w:p>
    <w:p>
      <w:pPr>
        <w:spacing w:after="0" w:line="286" w:lineRule="exact"/>
        <w:rPr>
          <w:sz w:val="20"/>
          <w:szCs w:val="20"/>
          <w:color w:val="auto"/>
        </w:rPr>
      </w:pPr>
    </w:p>
    <w:p>
      <w:pPr>
        <w:ind w:left="520"/>
        <w:spacing w:after="0"/>
        <w:rPr>
          <w:sz w:val="20"/>
          <w:szCs w:val="20"/>
          <w:color w:val="auto"/>
        </w:rPr>
      </w:pPr>
      <w:r>
        <w:rPr>
          <w:rFonts w:ascii="Arial" w:cs="Arial" w:eastAsia="Arial" w:hAnsi="Arial"/>
          <w:sz w:val="18"/>
          <w:szCs w:val="18"/>
          <w:i w:val="1"/>
          <w:iCs w:val="1"/>
          <w:color w:val="auto"/>
        </w:rPr>
        <w:t>Patent Term Restoration and Extension</w:t>
      </w:r>
    </w:p>
    <w:p>
      <w:pPr>
        <w:spacing w:after="0" w:line="117" w:lineRule="exact"/>
        <w:rPr>
          <w:sz w:val="20"/>
          <w:szCs w:val="20"/>
          <w:color w:val="auto"/>
        </w:rPr>
      </w:pPr>
    </w:p>
    <w:p>
      <w:pPr>
        <w:ind w:right="40" w:firstLine="518"/>
        <w:spacing w:after="0" w:line="255" w:lineRule="auto"/>
        <w:rPr>
          <w:sz w:val="20"/>
          <w:szCs w:val="20"/>
          <w:color w:val="auto"/>
        </w:rPr>
      </w:pPr>
      <w:r>
        <w:rPr>
          <w:rFonts w:ascii="Arial" w:cs="Arial" w:eastAsia="Arial" w:hAnsi="Arial"/>
          <w:sz w:val="18"/>
          <w:szCs w:val="18"/>
          <w:color w:val="auto"/>
        </w:rPr>
        <w:t>A patent claiming a new drug product may be eligible for a limited patent term extension under the Hatch-Waxman Amendments. Those Amendments permit a patent restoration of up to five years for patent term lost during product development and the FDA regulatory review. The restoration period granted is typically one-half the time between the effective date of an IND and the submission date of a NDA, plus the time between the submission date of a NDA and ultimate approval. Patent term restoration cannot be used to extend the remaining term of a patent past a total of 14 years from the product’s approval date. Only one patent applicable to an approved drug product is eligible for the extension, and the application for the extension must be submitted prior to the expiration of the patent in question. The U.S. Patent and Trademark Office reviews and approves the application for any patent term extension or restoration in consultation with the FDA.</w:t>
      </w:r>
    </w:p>
    <w:p>
      <w:pPr>
        <w:spacing w:after="0" w:line="81" w:lineRule="exact"/>
        <w:rPr>
          <w:sz w:val="20"/>
          <w:szCs w:val="20"/>
          <w:color w:val="auto"/>
        </w:rPr>
      </w:pPr>
    </w:p>
    <w:p>
      <w:pPr>
        <w:ind w:left="520"/>
        <w:spacing w:after="0"/>
        <w:rPr>
          <w:sz w:val="20"/>
          <w:szCs w:val="20"/>
          <w:color w:val="auto"/>
        </w:rPr>
      </w:pPr>
      <w:r>
        <w:rPr>
          <w:rFonts w:ascii="Arial" w:cs="Arial" w:eastAsia="Arial" w:hAnsi="Arial"/>
          <w:sz w:val="18"/>
          <w:szCs w:val="18"/>
          <w:i w:val="1"/>
          <w:iCs w:val="1"/>
          <w:color w:val="auto"/>
        </w:rPr>
        <w:t>Legislative Developments</w:t>
      </w:r>
    </w:p>
    <w:p>
      <w:pPr>
        <w:spacing w:after="0" w:line="117" w:lineRule="exact"/>
        <w:rPr>
          <w:sz w:val="20"/>
          <w:szCs w:val="20"/>
          <w:color w:val="auto"/>
        </w:rPr>
      </w:pPr>
    </w:p>
    <w:p>
      <w:pPr>
        <w:ind w:right="20" w:firstLine="518"/>
        <w:spacing w:after="0" w:line="273" w:lineRule="auto"/>
        <w:rPr>
          <w:sz w:val="20"/>
          <w:szCs w:val="20"/>
          <w:color w:val="auto"/>
        </w:rPr>
      </w:pPr>
      <w:r>
        <w:rPr>
          <w:rFonts w:ascii="Arial" w:cs="Arial" w:eastAsia="Arial" w:hAnsi="Arial"/>
          <w:sz w:val="17"/>
          <w:szCs w:val="17"/>
          <w:color w:val="auto"/>
        </w:rPr>
        <w:t>The 21st Century Cures Act (Cures Act), which was signed into law in December 2016, includes provisions to accelerate the development and delivery of new treatments. For example, the Cures Act requires the FDA to establish a program to evaluate the potential use of real world evidence to help to support the approval of a new indication for an approved drug and to help to support or satisfy post-approval study requirements, to issue guidance on adaptive and novel clinical trial designs for new drugs, and to establish a process for qualifying drug development tools used to support FDA approval for marketing or investigational use of a drug. The Cures Act also permits the FDA to rely on qualified data summaries to support the approval of a supplemental application for an already approved drug. The FDA is in the process of implementing the Cures Act requirements.</w:t>
      </w:r>
    </w:p>
    <w:p>
      <w:pPr>
        <w:spacing w:after="0" w:line="283" w:lineRule="exact"/>
        <w:rPr>
          <w:sz w:val="20"/>
          <w:szCs w:val="20"/>
          <w:color w:val="auto"/>
        </w:rPr>
      </w:pPr>
    </w:p>
    <w:p>
      <w:pPr>
        <w:ind w:left="520"/>
        <w:spacing w:after="0"/>
        <w:rPr>
          <w:sz w:val="20"/>
          <w:szCs w:val="20"/>
          <w:color w:val="auto"/>
        </w:rPr>
      </w:pPr>
      <w:r>
        <w:rPr>
          <w:rFonts w:ascii="Arial" w:cs="Arial" w:eastAsia="Arial" w:hAnsi="Arial"/>
          <w:sz w:val="18"/>
          <w:szCs w:val="18"/>
          <w:b w:val="1"/>
          <w:bCs w:val="1"/>
          <w:color w:val="auto"/>
        </w:rPr>
        <w:t>Review and Approval of Drug Products in the European Union</w:t>
      </w:r>
    </w:p>
    <w:p>
      <w:pPr>
        <w:spacing w:after="0" w:line="121" w:lineRule="exact"/>
        <w:rPr>
          <w:sz w:val="20"/>
          <w:szCs w:val="20"/>
          <w:color w:val="auto"/>
        </w:rPr>
      </w:pPr>
    </w:p>
    <w:p>
      <w:pPr>
        <w:ind w:firstLine="518"/>
        <w:spacing w:after="0" w:line="271" w:lineRule="auto"/>
        <w:rPr>
          <w:sz w:val="20"/>
          <w:szCs w:val="20"/>
          <w:color w:val="auto"/>
        </w:rPr>
      </w:pPr>
      <w:r>
        <w:rPr>
          <w:rFonts w:ascii="Arial" w:cs="Arial" w:eastAsia="Arial" w:hAnsi="Arial"/>
          <w:sz w:val="17"/>
          <w:szCs w:val="17"/>
          <w:color w:val="auto"/>
        </w:rPr>
        <w:t>In order to market any product outside of the United States, a company must also comply with numerous and varying regulatory requirements of other countries and jurisdictions regarding quality, safety and efficacy and governing, among other things, clinical trials, marketing authorization, commercial sales and distribution of our products. Whether or not it obtains FDA approval for a product, the company would need to obtain the necessary approvals by the comparable foreign regulatory authorities before it can commence clinical trials or marketing of the product in those countries or jurisdictions. The approval process ultimately varies between countries and jurisdictions and can involve additional product testing and additional administrative review periods. The time required to obtain approval in other countries and jurisdictions might differ from and be longer than that required to obtain FDA approval. Regulatory approval in one country or jurisdiction does not ensure regulatory approval in another, but a failure or delay in obtaining regulatory approval in one country or jurisdiction may negatively impact the regulatory process in others.</w:t>
      </w:r>
    </w:p>
    <w:p>
      <w:pPr>
        <w:spacing w:after="0" w:line="179" w:lineRule="exact"/>
        <w:rPr>
          <w:sz w:val="20"/>
          <w:szCs w:val="20"/>
          <w:color w:val="auto"/>
        </w:rPr>
      </w:pPr>
    </w:p>
    <w:p>
      <w:pPr>
        <w:ind w:right="60" w:firstLine="518"/>
        <w:spacing w:after="0" w:line="259" w:lineRule="auto"/>
        <w:rPr>
          <w:sz w:val="20"/>
          <w:szCs w:val="20"/>
          <w:color w:val="auto"/>
        </w:rPr>
      </w:pPr>
      <w:r>
        <w:rPr>
          <w:rFonts w:ascii="Arial" w:cs="Arial" w:eastAsia="Arial" w:hAnsi="Arial"/>
          <w:sz w:val="18"/>
          <w:szCs w:val="18"/>
          <w:color w:val="auto"/>
        </w:rPr>
        <w:t>Pursuant to the EU Clinical Trial Directive 2001/20/EC, a system for the approval of clinical trials in the European Union has been implemented through national legislation of the member states. Under this system, an applicant must obtain approval from the competent national authority of a European Union member state in which the clinical trial is to be conducted. Furthermore, the applicant may only start a clinical trial after a competent ethics committee has issued a favorable opinion. Clinical trial applications</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449" w:right="259" w:bottom="1440" w:gutter="0" w:footer="0" w:header="0"/>
        </w:sectPr>
      </w:pPr>
    </w:p>
    <w:bookmarkStart w:id="21" w:name="page22"/>
    <w:bookmarkEnd w:id="21"/>
    <w:p>
      <w:pPr>
        <w:ind w:right="200"/>
        <w:spacing w:after="0" w:line="277" w:lineRule="auto"/>
        <w:rPr>
          <w:sz w:val="20"/>
          <w:szCs w:val="20"/>
          <w:color w:val="auto"/>
        </w:rPr>
      </w:pPr>
      <w:r>
        <w:rPr>
          <w:rFonts w:ascii="Arial" w:cs="Arial" w:eastAsia="Arial" w:hAnsi="Arial"/>
          <w:sz w:val="18"/>
          <w:szCs w:val="18"/>
          <w:color w:val="auto"/>
        </w:rPr>
        <w:t>must be accompanied by an investigational medicinal product dossier with supporting information prescribed by the European Clinical Trials Directive and corresponding national laws of the member states and further detailed in applicable guidance documents.</w:t>
      </w:r>
    </w:p>
    <w:p>
      <w:pPr>
        <w:spacing w:after="0" w:line="170" w:lineRule="exact"/>
        <w:rPr>
          <w:sz w:val="20"/>
          <w:szCs w:val="20"/>
          <w:color w:val="auto"/>
        </w:rPr>
      </w:pPr>
    </w:p>
    <w:p>
      <w:pPr>
        <w:ind w:right="40" w:firstLine="518"/>
        <w:spacing w:after="0" w:line="288" w:lineRule="auto"/>
        <w:rPr>
          <w:sz w:val="20"/>
          <w:szCs w:val="20"/>
          <w:color w:val="auto"/>
        </w:rPr>
      </w:pPr>
      <w:r>
        <w:rPr>
          <w:rFonts w:ascii="Arial" w:cs="Arial" w:eastAsia="Arial" w:hAnsi="Arial"/>
          <w:sz w:val="16"/>
          <w:szCs w:val="16"/>
          <w:color w:val="auto"/>
        </w:rPr>
        <w:t>In 2014, a new Clinical Trial Regulation 536/2014, replacing the EU Clinical Trials Directive, was adopted. The new Regulation will become directly applicable in all European Union member states (without national implementation) once the relevant EU portal and database are fully functional. It is expected that this will occur in the second half of 2019. The new Regulation seeks to simplify and streamline the approval of clinical trials in the European Union, in particular through a harmonised electronic submission and assessment process for clinical trials conducted in multiple Member States. As part of the application process, the sponsor shall propose a reporting Member State, who will coordinate the validation and evaluation of the application. The reporting member state shall consult and coordinate with the other concerned member states. If an application is rejected, it can be amended and resubmitted through the EU portal. If an approval is issued, the sponsor can start the clinical trial in all concerned member states. However, a concerned member state can in limited circumstances declare an “opt-out” from an approval. In such a case, the clinical trial cannot be conducted in that member state. The Regulation also aims to streamline and simplify the rules on safety reporting, and introduces enhanced transparency requirements such as mandatory submission of a summary of the clinical trial results to the EU database. Information stored in the EU database will be made publicly available subject to transparency rules.</w:t>
      </w:r>
    </w:p>
    <w:p>
      <w:pPr>
        <w:spacing w:after="0" w:line="169" w:lineRule="exact"/>
        <w:rPr>
          <w:sz w:val="20"/>
          <w:szCs w:val="20"/>
          <w:color w:val="auto"/>
        </w:rPr>
      </w:pPr>
    </w:p>
    <w:p>
      <w:pPr>
        <w:ind w:right="320" w:firstLine="518"/>
        <w:spacing w:after="0" w:line="277" w:lineRule="auto"/>
        <w:rPr>
          <w:sz w:val="20"/>
          <w:szCs w:val="20"/>
          <w:color w:val="auto"/>
        </w:rPr>
      </w:pPr>
      <w:r>
        <w:rPr>
          <w:rFonts w:ascii="Arial" w:cs="Arial" w:eastAsia="Arial" w:hAnsi="Arial"/>
          <w:sz w:val="18"/>
          <w:szCs w:val="18"/>
          <w:color w:val="auto"/>
        </w:rPr>
        <w:t>To obtain marketing approval of a drug under European Union regulatory systems, an applicant must submit a marketing authorization application (MAA) either under a centralized or decentralized procedure.</w:t>
      </w:r>
    </w:p>
    <w:p>
      <w:pPr>
        <w:spacing w:after="0" w:line="170" w:lineRule="exact"/>
        <w:rPr>
          <w:sz w:val="20"/>
          <w:szCs w:val="20"/>
          <w:color w:val="auto"/>
        </w:rPr>
      </w:pPr>
    </w:p>
    <w:p>
      <w:pPr>
        <w:ind w:right="60" w:firstLine="518"/>
        <w:spacing w:after="0" w:line="255" w:lineRule="auto"/>
        <w:rPr>
          <w:sz w:val="20"/>
          <w:szCs w:val="20"/>
          <w:color w:val="auto"/>
        </w:rPr>
      </w:pPr>
      <w:r>
        <w:rPr>
          <w:rFonts w:ascii="Arial" w:cs="Arial" w:eastAsia="Arial" w:hAnsi="Arial"/>
          <w:sz w:val="18"/>
          <w:szCs w:val="18"/>
          <w:color w:val="auto"/>
        </w:rPr>
        <w:t>The centralized procedure provides for the grant of a single marketing authorization by the European Commission that is valid for all European Union member states. The centralized procedure is compulsory for specific products, including for medicines produced by certain biotechnological processes, products designated as orphan medicinal products, advanced therapy products and products with a new active substance indicated for the treatment of certain diseases (AIDS, cancer, neurodegenerative disorders, diabetes, auto-immune and viral diseases). For products with a new active substance indicated for the treatment of other diseases and products that are highly innovative or for which a centralized process is in the interest of patients, the centralized procedure may be optional.</w:t>
      </w:r>
    </w:p>
    <w:p>
      <w:pPr>
        <w:spacing w:after="0" w:line="193" w:lineRule="exact"/>
        <w:rPr>
          <w:sz w:val="20"/>
          <w:szCs w:val="20"/>
          <w:color w:val="auto"/>
        </w:rPr>
      </w:pPr>
    </w:p>
    <w:p>
      <w:pPr>
        <w:ind w:right="20" w:firstLine="518"/>
        <w:spacing w:after="0" w:line="272" w:lineRule="auto"/>
        <w:rPr>
          <w:sz w:val="20"/>
          <w:szCs w:val="20"/>
          <w:color w:val="auto"/>
        </w:rPr>
      </w:pPr>
      <w:r>
        <w:rPr>
          <w:rFonts w:ascii="Arial" w:cs="Arial" w:eastAsia="Arial" w:hAnsi="Arial"/>
          <w:sz w:val="17"/>
          <w:szCs w:val="17"/>
          <w:color w:val="auto"/>
        </w:rPr>
        <w:t>Under the centralized procedure, the Committee for Medicinal Products for Human Use (CHMP) established at the European Medicines Agency (EMA) is responsible for conducting the initial assessment of a drug. The CHMP is also responsible for several post-authorization and maintenance activities, such as the assessment of modifications or extensions to an existing marketing authorization. Under the centralized procedure in the European Union, the maximum timeframe for the evaluation of an MAA is 210 days, excluding clock stops, when additional information or written or oral explanation is to be provided by the applicant in response to questions of the CHMP. Accelerated evaluation might be granted by the CHMP in exceptional cases, when a medicinal product is of major interest from the point of view of public health and in particular from the viewpoint of therapeutic innovation. In this circumstance, the EMA ensures that the opinion of the CHMP is given within 150 days.</w:t>
      </w:r>
    </w:p>
    <w:p>
      <w:pPr>
        <w:spacing w:after="0" w:line="178" w:lineRule="exact"/>
        <w:rPr>
          <w:sz w:val="20"/>
          <w:szCs w:val="20"/>
          <w:color w:val="auto"/>
        </w:rPr>
      </w:pPr>
    </w:p>
    <w:p>
      <w:pPr>
        <w:ind w:firstLine="518"/>
        <w:spacing w:after="0" w:line="254" w:lineRule="auto"/>
        <w:rPr>
          <w:sz w:val="20"/>
          <w:szCs w:val="20"/>
          <w:color w:val="auto"/>
        </w:rPr>
      </w:pPr>
      <w:r>
        <w:rPr>
          <w:rFonts w:ascii="Arial" w:cs="Arial" w:eastAsia="Arial" w:hAnsi="Arial"/>
          <w:sz w:val="18"/>
          <w:szCs w:val="18"/>
          <w:color w:val="auto"/>
        </w:rPr>
        <w:t>The decentralized procedure is available to applicants who wish to market a product in various European Union member states where such product has not received marketing approval in any European Union member state before. The decentralized procedure provides for approval by one or more other, or concerned, member states of an assessment of an application performed by one member state designated by the applicant, known as the reference member state. Under this procedure, an applicant submits an application based on identical dossiers and related materials, including a draft summary of product characteristics, and draft labeling and package leaflet, to the reference member state and concerned member states. The reference member state prepares a draft assessment report and drafts of the related materials within 120 days after receipt of a valid application. Within 90 days of receiving the reference member state’s assessment report and related materials, each concerned member state must decide whether to approve the assessment report and related materials.</w:t>
      </w:r>
    </w:p>
    <w:p>
      <w:pPr>
        <w:spacing w:after="0" w:line="192" w:lineRule="exact"/>
        <w:rPr>
          <w:sz w:val="20"/>
          <w:szCs w:val="20"/>
          <w:color w:val="auto"/>
        </w:rPr>
      </w:pPr>
    </w:p>
    <w:p>
      <w:pPr>
        <w:ind w:right="160" w:firstLine="518"/>
        <w:spacing w:after="0" w:line="264" w:lineRule="auto"/>
        <w:rPr>
          <w:sz w:val="20"/>
          <w:szCs w:val="20"/>
          <w:color w:val="auto"/>
        </w:rPr>
      </w:pPr>
      <w:r>
        <w:rPr>
          <w:rFonts w:ascii="Arial" w:cs="Arial" w:eastAsia="Arial" w:hAnsi="Arial"/>
          <w:sz w:val="18"/>
          <w:szCs w:val="18"/>
          <w:color w:val="auto"/>
        </w:rPr>
        <w:t>If a member state cannot approve the assessment report and related materials on the grounds of potential serious risk to public health, the disputed points are subject to a dispute resolution mechanism and may eventually be referred to the European Commission, whose decision is binding on all member states.</w:t>
      </w:r>
    </w:p>
    <w:p>
      <w:pPr>
        <w:spacing w:after="0" w:line="18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341" w:right="259" w:bottom="1440" w:gutter="0" w:footer="0" w:header="0"/>
        </w:sectPr>
      </w:pPr>
    </w:p>
    <w:bookmarkStart w:id="22" w:name="page23"/>
    <w:bookmarkEnd w:id="22"/>
    <w:p>
      <w:pPr>
        <w:ind w:left="520"/>
        <w:spacing w:after="0"/>
        <w:rPr>
          <w:sz w:val="20"/>
          <w:szCs w:val="20"/>
          <w:color w:val="auto"/>
        </w:rPr>
      </w:pPr>
      <w:r>
        <w:rPr>
          <w:rFonts w:ascii="Arial" w:cs="Arial" w:eastAsia="Arial" w:hAnsi="Arial"/>
          <w:sz w:val="18"/>
          <w:szCs w:val="18"/>
          <w:i w:val="1"/>
          <w:iCs w:val="1"/>
          <w:color w:val="auto"/>
        </w:rPr>
        <w:t>Data and Market Exclusivity in the European Union</w:t>
      </w:r>
    </w:p>
    <w:p>
      <w:pPr>
        <w:spacing w:after="0" w:line="117" w:lineRule="exact"/>
        <w:rPr>
          <w:sz w:val="20"/>
          <w:szCs w:val="20"/>
          <w:color w:val="auto"/>
        </w:rPr>
      </w:pPr>
    </w:p>
    <w:p>
      <w:pPr>
        <w:ind w:right="60" w:firstLine="518"/>
        <w:spacing w:after="0" w:line="270" w:lineRule="auto"/>
        <w:rPr>
          <w:sz w:val="20"/>
          <w:szCs w:val="20"/>
          <w:color w:val="auto"/>
        </w:rPr>
      </w:pPr>
      <w:r>
        <w:rPr>
          <w:rFonts w:ascii="Arial" w:cs="Arial" w:eastAsia="Arial" w:hAnsi="Arial"/>
          <w:sz w:val="17"/>
          <w:szCs w:val="17"/>
          <w:color w:val="auto"/>
        </w:rPr>
        <w:t>In the European Union, new chemical entities qualify for eight years of data exclusivity upon marketing authorization and an additional two years of market exclusivity. This data exclusivity, if granted, prevents regulatory authorities in the European Union from referencing the innovator’s data to assess a generic (abbreviated) application for eight years, after which generic marketing authorization can be submitted, and the innovator’s data may be referenced, but not approved for two years. The overall ten-year period will be extended to a maximum of eleven years if, during the first eight years of those ten years, the marketing authorization holder obtains an authorization for one or more new therapeutic indications which, during the scientific evaluation prior to their authorization, are held to bring a significant clinical benefit in comparison with existing therapies. Even if a compound is considered to be a new chemical entity and the sponsor is able to gain the prescribed period of data exclusivity, another company nevertheless could also market another version of the drug if such company can complete a full MAA with a complete database of pharmaceutical test, preclinical tests and clinical trials and obtain marketing approval of its product.</w:t>
      </w:r>
    </w:p>
    <w:p>
      <w:pPr>
        <w:spacing w:after="0" w:line="182" w:lineRule="exact"/>
        <w:rPr>
          <w:sz w:val="20"/>
          <w:szCs w:val="20"/>
          <w:color w:val="auto"/>
        </w:rPr>
      </w:pPr>
    </w:p>
    <w:p>
      <w:pPr>
        <w:ind w:left="520"/>
        <w:spacing w:after="0"/>
        <w:rPr>
          <w:sz w:val="20"/>
          <w:szCs w:val="20"/>
          <w:color w:val="auto"/>
        </w:rPr>
      </w:pPr>
      <w:r>
        <w:rPr>
          <w:rFonts w:ascii="Arial" w:cs="Arial" w:eastAsia="Arial" w:hAnsi="Arial"/>
          <w:sz w:val="18"/>
          <w:szCs w:val="18"/>
          <w:i w:val="1"/>
          <w:iCs w:val="1"/>
          <w:color w:val="auto"/>
        </w:rPr>
        <w:t>Other legislation regarding marketing, authorization and pricing of pharmaceutical products in the European Union</w:t>
      </w:r>
    </w:p>
    <w:p>
      <w:pPr>
        <w:spacing w:after="0" w:line="225" w:lineRule="exact"/>
        <w:rPr>
          <w:sz w:val="20"/>
          <w:szCs w:val="20"/>
          <w:color w:val="auto"/>
        </w:rPr>
      </w:pPr>
    </w:p>
    <w:p>
      <w:pPr>
        <w:ind w:left="600"/>
        <w:spacing w:after="0"/>
        <w:rPr>
          <w:sz w:val="20"/>
          <w:szCs w:val="20"/>
          <w:color w:val="auto"/>
        </w:rPr>
      </w:pPr>
      <w:r>
        <w:rPr>
          <w:rFonts w:ascii="Arial" w:cs="Arial" w:eastAsia="Arial" w:hAnsi="Arial"/>
          <w:sz w:val="16"/>
          <w:szCs w:val="16"/>
          <w:color w:val="auto"/>
        </w:rPr>
        <w:t>Other core legislation relating to the marketing, authorization and pricing of pharmaceutical products in the European Union includes the following:</w:t>
      </w:r>
    </w:p>
    <w:p>
      <w:pPr>
        <w:spacing w:after="0" w:line="248" w:lineRule="exact"/>
        <w:rPr>
          <w:sz w:val="20"/>
          <w:szCs w:val="20"/>
          <w:color w:val="auto"/>
        </w:rPr>
      </w:pPr>
    </w:p>
    <w:p>
      <w:pPr>
        <w:ind w:left="1520" w:right="240" w:hanging="378"/>
        <w:spacing w:after="0" w:line="247" w:lineRule="auto"/>
        <w:tabs>
          <w:tab w:leader="none" w:pos="1520" w:val="left"/>
        </w:tabs>
        <w:numPr>
          <w:ilvl w:val="0"/>
          <w:numId w:val="10"/>
        </w:numPr>
        <w:rPr>
          <w:rFonts w:ascii="Arial" w:cs="Arial" w:eastAsia="Arial" w:hAnsi="Arial"/>
          <w:sz w:val="20"/>
          <w:szCs w:val="20"/>
          <w:color w:val="auto"/>
        </w:rPr>
      </w:pPr>
      <w:r>
        <w:rPr>
          <w:rFonts w:ascii="Arial" w:cs="Arial" w:eastAsia="Arial" w:hAnsi="Arial"/>
          <w:sz w:val="18"/>
          <w:szCs w:val="18"/>
          <w:color w:val="auto"/>
        </w:rPr>
        <w:t>Directive 2001/83/EC, establishing the requirements and procedures governing the marketing authorization for medicinal products for human use, as well as the rules for the constant supervision of products following authorization. This Directive has been amended several times, most recently by Directive 2012/26/EU regarding pharmacovigilance, and the Falsified Medicines Directive 2011/62/EU.</w:t>
      </w:r>
    </w:p>
    <w:p>
      <w:pPr>
        <w:spacing w:after="0" w:line="2" w:lineRule="exact"/>
        <w:rPr>
          <w:rFonts w:ascii="Arial" w:cs="Arial" w:eastAsia="Arial" w:hAnsi="Arial"/>
          <w:sz w:val="20"/>
          <w:szCs w:val="20"/>
          <w:color w:val="auto"/>
        </w:rPr>
      </w:pPr>
    </w:p>
    <w:p>
      <w:pPr>
        <w:ind w:left="1520" w:right="120" w:hanging="378"/>
        <w:spacing w:after="0" w:line="237" w:lineRule="auto"/>
        <w:tabs>
          <w:tab w:leader="none" w:pos="1520" w:val="left"/>
        </w:tabs>
        <w:numPr>
          <w:ilvl w:val="0"/>
          <w:numId w:val="10"/>
        </w:numPr>
        <w:rPr>
          <w:rFonts w:ascii="Arial" w:cs="Arial" w:eastAsia="Arial" w:hAnsi="Arial"/>
          <w:sz w:val="20"/>
          <w:szCs w:val="20"/>
          <w:color w:val="auto"/>
        </w:rPr>
      </w:pPr>
      <w:r>
        <w:rPr>
          <w:rFonts w:ascii="Arial" w:cs="Arial" w:eastAsia="Arial" w:hAnsi="Arial"/>
          <w:sz w:val="18"/>
          <w:szCs w:val="18"/>
          <w:color w:val="auto"/>
        </w:rPr>
        <w:t>Regulation (EC) 726/2004, as amended, establishing procedures for the authorization , supervision and pharmacovigilance of medicinal products for human and veterinary use and establishing the EMA.</w:t>
      </w:r>
    </w:p>
    <w:p>
      <w:pPr>
        <w:ind w:left="1520" w:right="120" w:hanging="378"/>
        <w:spacing w:after="0" w:line="237" w:lineRule="auto"/>
        <w:tabs>
          <w:tab w:leader="none" w:pos="1520" w:val="left"/>
        </w:tabs>
        <w:numPr>
          <w:ilvl w:val="0"/>
          <w:numId w:val="10"/>
        </w:numPr>
        <w:rPr>
          <w:rFonts w:ascii="Arial" w:cs="Arial" w:eastAsia="Arial" w:hAnsi="Arial"/>
          <w:sz w:val="20"/>
          <w:szCs w:val="20"/>
          <w:color w:val="auto"/>
        </w:rPr>
      </w:pPr>
      <w:r>
        <w:rPr>
          <w:rFonts w:ascii="Arial" w:cs="Arial" w:eastAsia="Arial" w:hAnsi="Arial"/>
          <w:sz w:val="18"/>
          <w:szCs w:val="18"/>
          <w:color w:val="auto"/>
        </w:rPr>
        <w:t>Regulation (EC) 469/2009, establishing the requirements necessary to obtain a Supplementary Protection Certificate, which extends the period of patent protection applicable to medicinal products at the EU-level.</w:t>
      </w:r>
    </w:p>
    <w:p>
      <w:pPr>
        <w:ind w:left="1520" w:right="60" w:hanging="378"/>
        <w:spacing w:after="0" w:line="245" w:lineRule="auto"/>
        <w:tabs>
          <w:tab w:leader="none" w:pos="1520" w:val="left"/>
        </w:tabs>
        <w:numPr>
          <w:ilvl w:val="0"/>
          <w:numId w:val="10"/>
        </w:numPr>
        <w:rPr>
          <w:rFonts w:ascii="Arial" w:cs="Arial" w:eastAsia="Arial" w:hAnsi="Arial"/>
          <w:sz w:val="20"/>
          <w:szCs w:val="20"/>
          <w:color w:val="auto"/>
        </w:rPr>
      </w:pPr>
      <w:r>
        <w:rPr>
          <w:rFonts w:ascii="Arial" w:cs="Arial" w:eastAsia="Arial" w:hAnsi="Arial"/>
          <w:sz w:val="18"/>
          <w:szCs w:val="18"/>
          <w:color w:val="auto"/>
        </w:rPr>
        <w:t>Directive 89/105/EEC, ensuring the transparency of measures taken by the European Union member states to set the prices and reimbursements of medicinal products. Specifically, while each member state has competence over the pricing and reimbursement of medicines for human use, they must also comply with this Directive, which establishes procedures to ensure that member state decisions and policies do not obstruct trade in medicinal products. The European Commission proposed to repeal and replace Directive 89/105/EEC, but this proposal was withdrawn in 2015.</w:t>
      </w:r>
    </w:p>
    <w:p>
      <w:pPr>
        <w:ind w:left="1520" w:right="200" w:hanging="378"/>
        <w:spacing w:after="0" w:line="237" w:lineRule="auto"/>
        <w:tabs>
          <w:tab w:leader="none" w:pos="1520" w:val="left"/>
        </w:tabs>
        <w:numPr>
          <w:ilvl w:val="0"/>
          <w:numId w:val="10"/>
        </w:numPr>
        <w:rPr>
          <w:rFonts w:ascii="Arial" w:cs="Arial" w:eastAsia="Arial" w:hAnsi="Arial"/>
          <w:sz w:val="20"/>
          <w:szCs w:val="20"/>
          <w:color w:val="auto"/>
        </w:rPr>
      </w:pPr>
      <w:r>
        <w:rPr>
          <w:rFonts w:ascii="Arial" w:cs="Arial" w:eastAsia="Arial" w:hAnsi="Arial"/>
          <w:sz w:val="18"/>
          <w:szCs w:val="18"/>
          <w:color w:val="auto"/>
        </w:rPr>
        <w:t>Directive 2003/94/EC, laying down the principles of good manufacturing practice in respect of medicinal products and investigational medicinal products for human use (the "GMP Directive").</w:t>
      </w:r>
    </w:p>
    <w:p>
      <w:pPr>
        <w:ind w:left="1520" w:right="240" w:hanging="378"/>
        <w:spacing w:after="0" w:line="249" w:lineRule="auto"/>
        <w:tabs>
          <w:tab w:leader="none" w:pos="1520" w:val="left"/>
        </w:tabs>
        <w:numPr>
          <w:ilvl w:val="0"/>
          <w:numId w:val="10"/>
        </w:numPr>
        <w:rPr>
          <w:rFonts w:ascii="Arial" w:cs="Arial" w:eastAsia="Arial" w:hAnsi="Arial"/>
          <w:sz w:val="20"/>
          <w:szCs w:val="20"/>
          <w:color w:val="auto"/>
        </w:rPr>
      </w:pPr>
      <w:r>
        <w:rPr>
          <w:rFonts w:ascii="Arial" w:cs="Arial" w:eastAsia="Arial" w:hAnsi="Arial"/>
          <w:sz w:val="18"/>
          <w:szCs w:val="18"/>
          <w:color w:val="auto"/>
        </w:rPr>
        <w:t>Directive 2005/28/EC of April 8 2005, laying down principles and detailed guidelines for good clinical practice as regards investigational medicinal products for human use, as well as the requirements for authorisation of the manufacturing or importation of such products" (the "GCP Directive").</w:t>
      </w:r>
    </w:p>
    <w:p>
      <w:pPr>
        <w:spacing w:after="0" w:line="344"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New Legislation and Regulations</w:t>
      </w:r>
    </w:p>
    <w:p>
      <w:pPr>
        <w:spacing w:after="0" w:line="117" w:lineRule="exact"/>
        <w:rPr>
          <w:sz w:val="20"/>
          <w:szCs w:val="20"/>
          <w:color w:val="auto"/>
        </w:rPr>
      </w:pPr>
    </w:p>
    <w:p>
      <w:pPr>
        <w:ind w:right="260" w:firstLine="450"/>
        <w:spacing w:after="0" w:line="259" w:lineRule="auto"/>
        <w:rPr>
          <w:sz w:val="20"/>
          <w:szCs w:val="20"/>
          <w:color w:val="auto"/>
        </w:rPr>
      </w:pPr>
      <w:r>
        <w:rPr>
          <w:rFonts w:ascii="Arial" w:cs="Arial" w:eastAsia="Arial" w:hAnsi="Arial"/>
          <w:sz w:val="18"/>
          <w:szCs w:val="18"/>
          <w:color w:val="auto"/>
        </w:rPr>
        <w:t>From time to time, legislation is drafted, introduced and passed in the European Union, its member states and other states of Europe that could significantly change the statutory provisions governing the testing, approval, manufacturing, marketing, coverage and reimbursement of pharmaceutical products. In addition to new legislation, pharmaceutical regulations and policies are often revised or interpreted by the EMA and national agencies in ways that may significantly affect our business and our products.</w:t>
      </w:r>
    </w:p>
    <w:p>
      <w:pPr>
        <w:spacing w:after="0" w:line="79" w:lineRule="exact"/>
        <w:rPr>
          <w:sz w:val="20"/>
          <w:szCs w:val="20"/>
          <w:color w:val="auto"/>
        </w:rPr>
      </w:pPr>
    </w:p>
    <w:p>
      <w:pPr>
        <w:ind w:right="60" w:firstLine="761"/>
        <w:spacing w:after="0" w:line="264" w:lineRule="auto"/>
        <w:rPr>
          <w:sz w:val="20"/>
          <w:szCs w:val="20"/>
          <w:color w:val="auto"/>
        </w:rPr>
      </w:pPr>
      <w:r>
        <w:rPr>
          <w:rFonts w:ascii="Arial" w:cs="Arial" w:eastAsia="Arial" w:hAnsi="Arial"/>
          <w:sz w:val="18"/>
          <w:szCs w:val="18"/>
          <w:color w:val="auto"/>
        </w:rPr>
        <w:t>On March 29 2017, the United Kingdom triggered Article 50 of the Treaty of the Functioning of the European Union in order to formally leave the European Union (the so-called “Brexit”). We cannot predict the regulatory implications of Brexit in the (i) enforcement of EU law in the UK before Brexit (which might be less stringent); and / or (ii) the post-Brexit UK regime on market authorizations.</w:t>
      </w:r>
    </w:p>
    <w:p>
      <w:pPr>
        <w:spacing w:after="0" w:line="285" w:lineRule="exact"/>
        <w:rPr>
          <w:sz w:val="20"/>
          <w:szCs w:val="20"/>
          <w:color w:val="auto"/>
        </w:rPr>
      </w:pPr>
    </w:p>
    <w:p>
      <w:pPr>
        <w:ind w:left="520"/>
        <w:spacing w:after="0"/>
        <w:rPr>
          <w:sz w:val="20"/>
          <w:szCs w:val="20"/>
          <w:color w:val="auto"/>
        </w:rPr>
      </w:pPr>
      <w:r>
        <w:rPr>
          <w:rFonts w:ascii="Arial" w:cs="Arial" w:eastAsia="Arial" w:hAnsi="Arial"/>
          <w:sz w:val="18"/>
          <w:szCs w:val="18"/>
          <w:b w:val="1"/>
          <w:bCs w:val="1"/>
          <w:color w:val="auto"/>
        </w:rPr>
        <w:t>Pharmaceutical Coverage, Pricing and Reimbursement</w:t>
      </w:r>
    </w:p>
    <w:p>
      <w:pPr>
        <w:spacing w:after="0" w:line="121" w:lineRule="exact"/>
        <w:rPr>
          <w:sz w:val="20"/>
          <w:szCs w:val="20"/>
          <w:color w:val="auto"/>
        </w:rPr>
      </w:pPr>
    </w:p>
    <w:p>
      <w:pPr>
        <w:ind w:firstLine="518"/>
        <w:spacing w:after="0" w:line="255" w:lineRule="auto"/>
        <w:rPr>
          <w:sz w:val="20"/>
          <w:szCs w:val="20"/>
          <w:color w:val="auto"/>
        </w:rPr>
      </w:pPr>
      <w:r>
        <w:rPr>
          <w:rFonts w:ascii="Arial" w:cs="Arial" w:eastAsia="Arial" w:hAnsi="Arial"/>
          <w:sz w:val="18"/>
          <w:szCs w:val="18"/>
          <w:color w:val="auto"/>
        </w:rPr>
        <w:t>Significant uncertainty exists as to the coverage and reimbursement status of products approved by the FDA and other government authorities. Sales of products will depend, in part, on the extent to which the costs of the products will be covered by third-party payors, including government health programs such as, in the United States, Medicare and Medicaid, commercial health insurers and managed care organizations. The process for determining whether a payor will provide coverage for a product may be separate from the process for setting the price or reimbursement rate that the payor will pay for the product once coverage is approved. Third-party payors may limit coverage to specific products on an approved list, or formulary, which might not include all of the approved products for a particular indication.</w:t>
      </w:r>
    </w:p>
    <w:p>
      <w:pPr>
        <w:spacing w:after="0" w:line="1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449" w:right="239" w:bottom="1440" w:gutter="0" w:footer="0" w:header="0"/>
        </w:sectPr>
      </w:pPr>
    </w:p>
    <w:bookmarkStart w:id="23" w:name="page24"/>
    <w:bookmarkEnd w:id="23"/>
    <w:p>
      <w:pPr>
        <w:ind w:right="20" w:firstLine="518"/>
        <w:spacing w:after="0" w:line="257" w:lineRule="auto"/>
        <w:rPr>
          <w:sz w:val="20"/>
          <w:szCs w:val="20"/>
          <w:color w:val="auto"/>
        </w:rPr>
      </w:pPr>
      <w:r>
        <w:rPr>
          <w:rFonts w:ascii="Arial" w:cs="Arial" w:eastAsia="Arial" w:hAnsi="Arial"/>
          <w:sz w:val="18"/>
          <w:szCs w:val="18"/>
          <w:color w:val="auto"/>
        </w:rPr>
        <w:t>In order to secure coverage and reimbursement for any product that might be approved for sale, a company may need to conduct expensive pharmacoeconomic studies in order to demonstrate the medical necessity and cost-effectiveness of the product, in addition to the costs required to obtain FDA or other comparable regulatory approvals. A payor’s decision to provide coverage for a drug product does not necessarily imply that an adequate reimbursement rate will be approved. Third-party reimbursement may not be sufficient to maintain price levels high enough to realize an appropriate return on our investment in product development.</w:t>
      </w:r>
    </w:p>
    <w:p>
      <w:pPr>
        <w:spacing w:after="0" w:line="188" w:lineRule="exact"/>
        <w:rPr>
          <w:sz w:val="20"/>
          <w:szCs w:val="20"/>
          <w:color w:val="auto"/>
        </w:rPr>
      </w:pPr>
    </w:p>
    <w:p>
      <w:pPr>
        <w:ind w:right="20" w:firstLine="518"/>
        <w:spacing w:after="0" w:line="270" w:lineRule="auto"/>
        <w:rPr>
          <w:sz w:val="20"/>
          <w:szCs w:val="20"/>
          <w:color w:val="auto"/>
        </w:rPr>
      </w:pPr>
      <w:r>
        <w:rPr>
          <w:rFonts w:ascii="Arial" w:cs="Arial" w:eastAsia="Arial" w:hAnsi="Arial"/>
          <w:sz w:val="17"/>
          <w:szCs w:val="17"/>
          <w:color w:val="auto"/>
        </w:rPr>
        <w:t>The containment of healthcare costs has become a priority of federal, state and foreign governments, and the prices of drugs have been a focus in this effort. Third-party payors are increasingly challenging the prices charged for medical products and services and examining the medical necessity and cost-effectiveness of medical products and services, in addition to their safety and efficacy. If these third-party payors do not consider a product to be cost effective compared to other available therapies, they may not cover the product after approval as a benefit under their plans or, if they do, the level of payment may not be sufficient to allow a company to sell its products at a profit. The U.S. government, state legislatures and foreign governments have shown significant interest in implementing cost containment programs to limit the growth of government-paid health care costs, including price controls, risk sharing, restrictions on reimbursement and requirements for substitution of generic products for branded prescription drugs. Adoption of such controls and measures, and tightening of restrictive policies in jurisdictions with existing controls and measures, could limit payments for pharmaceuticals. As a result, the marketability of any product which receives regulatory approval for commercial sale may suffer if the government and third-party payors fail to provide adequate coverage and reimbursement.</w:t>
      </w:r>
    </w:p>
    <w:p>
      <w:pPr>
        <w:spacing w:after="0" w:line="178" w:lineRule="exact"/>
        <w:rPr>
          <w:sz w:val="20"/>
          <w:szCs w:val="20"/>
          <w:color w:val="auto"/>
        </w:rPr>
      </w:pPr>
    </w:p>
    <w:p>
      <w:pPr>
        <w:ind w:right="80" w:firstLine="518"/>
        <w:spacing w:after="0" w:line="272" w:lineRule="auto"/>
        <w:rPr>
          <w:sz w:val="20"/>
          <w:szCs w:val="20"/>
          <w:color w:val="auto"/>
        </w:rPr>
      </w:pPr>
      <w:r>
        <w:rPr>
          <w:rFonts w:ascii="Arial" w:cs="Arial" w:eastAsia="Arial" w:hAnsi="Arial"/>
          <w:sz w:val="17"/>
          <w:szCs w:val="17"/>
          <w:color w:val="auto"/>
        </w:rPr>
        <w:t>In addition, an increasing emphasis on managed care in the United States has increased and will continue to increase the pressure on drug pricing. Coverage policies, third-party reimbursement rates and drug pricing regulation may change at any time. In particular, the Patient Protection and Affordable Care Act, as amended by the Health Care and Education Affordability Reconciliation Act, contains provisions that may reduce the profitability of drug products, including, for example, increased rebates for drugs sold to Medicaid programs, extension of Medicaid rebates to Medicaid managed care plans, mandatory discounts for certain Medicare Part D beneficiaries and annual fees based on pharmaceutical companies’ share of sales to federal health care programs. Even if favorable coverage and reimbursement status is attained for one or more products that receive regulatory approval, less favorable coverage policies and reimbursement rates may be implemented in the future.</w:t>
      </w:r>
    </w:p>
    <w:p>
      <w:pPr>
        <w:spacing w:after="0" w:line="178" w:lineRule="exact"/>
        <w:rPr>
          <w:sz w:val="20"/>
          <w:szCs w:val="20"/>
          <w:color w:val="auto"/>
        </w:rPr>
      </w:pPr>
    </w:p>
    <w:p>
      <w:pPr>
        <w:ind w:right="20" w:firstLine="518"/>
        <w:spacing w:after="0" w:line="270" w:lineRule="auto"/>
        <w:rPr>
          <w:sz w:val="20"/>
          <w:szCs w:val="20"/>
          <w:color w:val="auto"/>
        </w:rPr>
      </w:pPr>
      <w:r>
        <w:rPr>
          <w:rFonts w:ascii="Arial" w:cs="Arial" w:eastAsia="Arial" w:hAnsi="Arial"/>
          <w:sz w:val="17"/>
          <w:szCs w:val="17"/>
          <w:color w:val="auto"/>
        </w:rPr>
        <w:t>In the European Union, pricing and reimbursement schemes vary widely from country to country. Some countries provide that drug products may be marketed only after a reimbursement price has been agreed. Some countries may require the completion of additional studies that compare the cost-effectiveness of a particular product candidate to currently available therapies. For example, the European Union provides options for its member states to restrict the range of drug products for which their national health insurance systems provide reimbursement and to control the prices of medicinal products for human use. European Union member states may approve a specific price for a drug product or it may instead adopt a system of direct or indirect controls on the profitability of the company placing the drug product on the market. Other member states allow companies to fix their own prices for drug products, but monitor and control company profits. The downward pressure on health care costs in general, particularly prescription drugs, has become intense. As a result, increasingly high barriers are being erected to the entry of new products. In addition, in some countries, cross-border imports from low-priced markets exert competitive pressure that may reduce pricing within a country. Any country that has price controls or reimbursement limitations for drug products may not allow favorable reimbursement and pricing arrangements for any of our products.</w:t>
      </w:r>
    </w:p>
    <w:p>
      <w:pPr>
        <w:spacing w:after="0" w:line="282" w:lineRule="exact"/>
        <w:rPr>
          <w:sz w:val="20"/>
          <w:szCs w:val="20"/>
          <w:color w:val="auto"/>
        </w:rPr>
      </w:pPr>
    </w:p>
    <w:p>
      <w:pPr>
        <w:ind w:left="520"/>
        <w:spacing w:after="0"/>
        <w:rPr>
          <w:sz w:val="20"/>
          <w:szCs w:val="20"/>
          <w:color w:val="auto"/>
        </w:rPr>
      </w:pPr>
      <w:r>
        <w:rPr>
          <w:rFonts w:ascii="Arial" w:cs="Arial" w:eastAsia="Arial" w:hAnsi="Arial"/>
          <w:sz w:val="18"/>
          <w:szCs w:val="18"/>
          <w:b w:val="1"/>
          <w:bCs w:val="1"/>
          <w:color w:val="auto"/>
        </w:rPr>
        <w:t>Healthcare Laws and Regulations</w:t>
      </w:r>
    </w:p>
    <w:p>
      <w:pPr>
        <w:spacing w:after="0" w:line="121" w:lineRule="exact"/>
        <w:rPr>
          <w:sz w:val="20"/>
          <w:szCs w:val="20"/>
          <w:color w:val="auto"/>
        </w:rPr>
      </w:pPr>
    </w:p>
    <w:p>
      <w:pPr>
        <w:ind w:right="20" w:firstLine="518"/>
        <w:spacing w:after="0" w:line="257" w:lineRule="auto"/>
        <w:rPr>
          <w:sz w:val="20"/>
          <w:szCs w:val="20"/>
          <w:color w:val="auto"/>
        </w:rPr>
      </w:pPr>
      <w:r>
        <w:rPr>
          <w:rFonts w:ascii="Arial" w:cs="Arial" w:eastAsia="Arial" w:hAnsi="Arial"/>
          <w:sz w:val="18"/>
          <w:szCs w:val="18"/>
          <w:color w:val="auto"/>
        </w:rPr>
        <w:t>Healthcare providers, physicians and third-party payors will play a primary role in the recommendation and prescription of drug products that are granted marketing approval. Arrangements with healthcare providers, physicians, third-party payors and customers are subject to broadly applicable fraud and abuse and other healthcare laws and regulations that may constrain the business or financial arrangements and relationships through which we market, sell and distribute products for which we obtain marketing approval. Restrictions under applicable federal and state healthcare laws and regulations, include the following:</w:t>
      </w:r>
    </w:p>
    <w:p>
      <w:pPr>
        <w:spacing w:after="0" w:line="80" w:lineRule="exact"/>
        <w:rPr>
          <w:sz w:val="20"/>
          <w:szCs w:val="20"/>
          <w:color w:val="auto"/>
        </w:rPr>
      </w:pPr>
    </w:p>
    <w:p>
      <w:pPr>
        <w:ind w:left="1040" w:hanging="384"/>
        <w:spacing w:after="0" w:line="259" w:lineRule="auto"/>
        <w:tabs>
          <w:tab w:leader="none" w:pos="10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federal healthcare Anti-Kickback Statute prohibits, among other things, persons from soliciting, offering, receiving or providing any remuneration (in cash or in kind), directly or indirectly, to induce or reward either the referral of an individual for, or the purchase, lease, order or recommendation of, any item, facility or service for which payment may be made in whole or in part under a federal healthcare program such as Medicare and Medicaid;</w:t>
      </w:r>
    </w:p>
    <w:p>
      <w:pPr>
        <w:spacing w:after="0" w:line="78" w:lineRule="exact"/>
        <w:rPr>
          <w:rFonts w:ascii="Arial" w:cs="Arial" w:eastAsia="Arial" w:hAnsi="Arial"/>
          <w:sz w:val="18"/>
          <w:szCs w:val="18"/>
          <w:color w:val="auto"/>
        </w:rPr>
      </w:pPr>
    </w:p>
    <w:p>
      <w:pPr>
        <w:ind w:left="1040" w:right="320" w:hanging="384"/>
        <w:spacing w:after="0" w:line="312" w:lineRule="auto"/>
        <w:tabs>
          <w:tab w:leader="none" w:pos="1040" w:val="left"/>
        </w:tabs>
        <w:numPr>
          <w:ilvl w:val="0"/>
          <w:numId w:val="11"/>
        </w:numPr>
        <w:rPr>
          <w:rFonts w:ascii="Arial" w:cs="Arial" w:eastAsia="Arial" w:hAnsi="Arial"/>
          <w:sz w:val="16"/>
          <w:szCs w:val="16"/>
          <w:color w:val="auto"/>
        </w:rPr>
      </w:pPr>
      <w:r>
        <w:rPr>
          <w:rFonts w:ascii="Arial" w:cs="Arial" w:eastAsia="Arial" w:hAnsi="Arial"/>
          <w:sz w:val="16"/>
          <w:szCs w:val="16"/>
          <w:color w:val="auto"/>
        </w:rPr>
        <w:t>the federal Foreign Corrupt Practices Act (FCPA) prohibits, among other things, U.S. corporations and persons acting on their behalf from offering, promising, authorizing or making payments to any foreign government official (including certain healthcare professionals in many countries), political party, or political candidate in an attempt to obtain or retain business or otherwise seek preferential treatment abroad;</w:t>
      </w:r>
    </w:p>
    <w:p>
      <w:pPr>
        <w:spacing w:after="0" w:line="38" w:lineRule="exact"/>
        <w:rPr>
          <w:rFonts w:ascii="Arial" w:cs="Arial" w:eastAsia="Arial" w:hAnsi="Arial"/>
          <w:sz w:val="16"/>
          <w:szCs w:val="16"/>
          <w:color w:val="auto"/>
        </w:rPr>
      </w:pPr>
    </w:p>
    <w:p>
      <w:pPr>
        <w:ind w:left="1040" w:right="160" w:hanging="384"/>
        <w:spacing w:after="0" w:line="264" w:lineRule="auto"/>
        <w:tabs>
          <w:tab w:leader="none" w:pos="10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federal False Claims Act, which may be enforced by the U.S. Department of Justice or private whistlebloers to bring civil actions (qui tam actions) on behalf of the federal government, imposes civil penalties, as well as liability for damages and for attorneys’ fees and costs, on individuals or entities for knowingly presenting, or causing to be presented, to the</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24" w:name="page25"/>
    <w:bookmarkEnd w:id="24"/>
    <w:p>
      <w:pPr>
        <w:ind w:left="1040" w:right="680"/>
        <w:spacing w:after="0" w:line="277" w:lineRule="auto"/>
        <w:rPr>
          <w:sz w:val="20"/>
          <w:szCs w:val="20"/>
          <w:color w:val="auto"/>
        </w:rPr>
      </w:pPr>
      <w:r>
        <w:rPr>
          <w:rFonts w:ascii="Arial" w:cs="Arial" w:eastAsia="Arial" w:hAnsi="Arial"/>
          <w:sz w:val="18"/>
          <w:szCs w:val="18"/>
          <w:color w:val="auto"/>
        </w:rPr>
        <w:t>federal government, claims for payment that are false or fraudulent, making a false statement material to a false or fraudulent claim, or improperly avoiding, decreasing, or concealing an obligation to pay money to the federal government;</w:t>
      </w:r>
    </w:p>
    <w:p>
      <w:pPr>
        <w:spacing w:after="0" w:line="62" w:lineRule="exact"/>
        <w:rPr>
          <w:sz w:val="20"/>
          <w:szCs w:val="20"/>
          <w:color w:val="auto"/>
        </w:rPr>
      </w:pPr>
    </w:p>
    <w:p>
      <w:pPr>
        <w:ind w:left="1040" w:right="60" w:hanging="384"/>
        <w:spacing w:after="0" w:line="308" w:lineRule="auto"/>
        <w:tabs>
          <w:tab w:leader="none" w:pos="1040" w:val="left"/>
        </w:tabs>
        <w:numPr>
          <w:ilvl w:val="0"/>
          <w:numId w:val="12"/>
        </w:numPr>
        <w:rPr>
          <w:rFonts w:ascii="Arial" w:cs="Arial" w:eastAsia="Arial" w:hAnsi="Arial"/>
          <w:sz w:val="17"/>
          <w:szCs w:val="17"/>
          <w:color w:val="auto"/>
        </w:rPr>
      </w:pPr>
      <w:r>
        <w:rPr>
          <w:rFonts w:ascii="Arial" w:cs="Arial" w:eastAsia="Arial" w:hAnsi="Arial"/>
          <w:sz w:val="17"/>
          <w:szCs w:val="17"/>
          <w:color w:val="auto"/>
        </w:rPr>
        <w:t>the federal Health Insurance Portability and Accountability Act of 1996 (HIPAA) imposes criminal and civil liability for, among other conduct, executing a scheme to defraud any healthcare benefit program and making false statements relating to healthcare matters;</w:t>
      </w:r>
    </w:p>
    <w:p>
      <w:pPr>
        <w:spacing w:after="0" w:line="38" w:lineRule="exact"/>
        <w:rPr>
          <w:rFonts w:ascii="Arial" w:cs="Arial" w:eastAsia="Arial" w:hAnsi="Arial"/>
          <w:sz w:val="17"/>
          <w:szCs w:val="17"/>
          <w:color w:val="auto"/>
        </w:rPr>
      </w:pPr>
    </w:p>
    <w:p>
      <w:pPr>
        <w:jc w:val="both"/>
        <w:ind w:left="1040" w:right="540" w:hanging="384"/>
        <w:spacing w:after="0" w:line="286" w:lineRule="auto"/>
        <w:tabs>
          <w:tab w:leader="none" w:pos="1040" w:val="left"/>
        </w:tabs>
        <w:numPr>
          <w:ilvl w:val="0"/>
          <w:numId w:val="12"/>
        </w:numPr>
        <w:rPr>
          <w:rFonts w:ascii="Arial" w:cs="Arial" w:eastAsia="Arial" w:hAnsi="Arial"/>
          <w:sz w:val="17"/>
          <w:szCs w:val="17"/>
          <w:color w:val="auto"/>
        </w:rPr>
      </w:pPr>
      <w:r>
        <w:rPr>
          <w:rFonts w:ascii="Arial" w:cs="Arial" w:eastAsia="Arial" w:hAnsi="Arial"/>
          <w:sz w:val="17"/>
          <w:szCs w:val="17"/>
          <w:color w:val="auto"/>
        </w:rPr>
        <w:t>HIPAA, as amended by the Health Information Technology for Economic and Clinical Health Act and its implementing regulations, also imposes criminal and civil liability and penalties on those who violate requirements, including mandatory contractual terms, intended to safeguard the privacy, security, transmission and use of individually identifiable health information;</w:t>
      </w:r>
    </w:p>
    <w:p>
      <w:pPr>
        <w:spacing w:after="0" w:line="57" w:lineRule="exact"/>
        <w:rPr>
          <w:rFonts w:ascii="Arial" w:cs="Arial" w:eastAsia="Arial" w:hAnsi="Arial"/>
          <w:sz w:val="17"/>
          <w:szCs w:val="17"/>
          <w:color w:val="auto"/>
        </w:rPr>
      </w:pPr>
    </w:p>
    <w:p>
      <w:pPr>
        <w:ind w:left="1040" w:right="240" w:hanging="384"/>
        <w:spacing w:after="0" w:line="308" w:lineRule="auto"/>
        <w:tabs>
          <w:tab w:leader="none" w:pos="1040" w:val="left"/>
        </w:tabs>
        <w:numPr>
          <w:ilvl w:val="0"/>
          <w:numId w:val="12"/>
        </w:numPr>
        <w:rPr>
          <w:rFonts w:ascii="Arial" w:cs="Arial" w:eastAsia="Arial" w:hAnsi="Arial"/>
          <w:sz w:val="17"/>
          <w:szCs w:val="17"/>
          <w:color w:val="auto"/>
        </w:rPr>
      </w:pPr>
      <w:r>
        <w:rPr>
          <w:rFonts w:ascii="Arial" w:cs="Arial" w:eastAsia="Arial" w:hAnsi="Arial"/>
          <w:sz w:val="17"/>
          <w:szCs w:val="17"/>
          <w:color w:val="auto"/>
        </w:rPr>
        <w:t>the federal false statements statute relating to healthcare matters prohibits falsifying, concealing or covering up a material fact or making any materially false statement in connection with the delivery of or payment for healthcare benefits, items or services;</w:t>
      </w:r>
    </w:p>
    <w:p>
      <w:pPr>
        <w:spacing w:after="0" w:line="38" w:lineRule="exact"/>
        <w:rPr>
          <w:rFonts w:ascii="Arial" w:cs="Arial" w:eastAsia="Arial" w:hAnsi="Arial"/>
          <w:sz w:val="17"/>
          <w:szCs w:val="17"/>
          <w:color w:val="auto"/>
        </w:rPr>
      </w:pPr>
    </w:p>
    <w:p>
      <w:pPr>
        <w:ind w:left="1040" w:right="120" w:hanging="384"/>
        <w:spacing w:after="0" w:line="312" w:lineRule="auto"/>
        <w:tabs>
          <w:tab w:leader="none" w:pos="1040" w:val="left"/>
        </w:tabs>
        <w:numPr>
          <w:ilvl w:val="0"/>
          <w:numId w:val="12"/>
        </w:numPr>
        <w:rPr>
          <w:rFonts w:ascii="Arial" w:cs="Arial" w:eastAsia="Arial" w:hAnsi="Arial"/>
          <w:sz w:val="16"/>
          <w:szCs w:val="16"/>
          <w:color w:val="auto"/>
        </w:rPr>
      </w:pPr>
      <w:r>
        <w:rPr>
          <w:rFonts w:ascii="Arial" w:cs="Arial" w:eastAsia="Arial" w:hAnsi="Arial"/>
          <w:sz w:val="16"/>
          <w:szCs w:val="16"/>
          <w:color w:val="auto"/>
        </w:rPr>
        <w:t>the federal Physician Payment Sunshine Act requires manufacturers of drugs (among other products) to report to the Centers for Medicare and Medicaid Services within the U.S. Department of Health and Human Services information related to payments and other transfers of value to physicians and teaching hospitals, as well as physician ownership and investment interests in the reporting manufacturers;</w:t>
      </w:r>
    </w:p>
    <w:p>
      <w:pPr>
        <w:spacing w:after="0" w:line="38" w:lineRule="exact"/>
        <w:rPr>
          <w:rFonts w:ascii="Arial" w:cs="Arial" w:eastAsia="Arial" w:hAnsi="Arial"/>
          <w:sz w:val="16"/>
          <w:szCs w:val="16"/>
          <w:color w:val="auto"/>
        </w:rPr>
      </w:pPr>
    </w:p>
    <w:p>
      <w:pPr>
        <w:ind w:left="1040" w:right="120" w:hanging="384"/>
        <w:spacing w:after="0" w:line="342" w:lineRule="auto"/>
        <w:tabs>
          <w:tab w:leader="none" w:pos="1040" w:val="left"/>
        </w:tabs>
        <w:numPr>
          <w:ilvl w:val="0"/>
          <w:numId w:val="12"/>
        </w:numPr>
        <w:rPr>
          <w:rFonts w:ascii="Arial" w:cs="Arial" w:eastAsia="Arial" w:hAnsi="Arial"/>
          <w:sz w:val="16"/>
          <w:szCs w:val="16"/>
          <w:color w:val="auto"/>
        </w:rPr>
      </w:pPr>
      <w:r>
        <w:rPr>
          <w:rFonts w:ascii="Arial" w:cs="Arial" w:eastAsia="Arial" w:hAnsi="Arial"/>
          <w:sz w:val="16"/>
          <w:szCs w:val="16"/>
          <w:color w:val="auto"/>
        </w:rPr>
        <w:t>similar state and foreign laws and regulations, such as state anti-kickback and false claims laws, may apply to sales or marketing arrangements and claims involving healthcare items or services reimbursed by nongovernmental third-party payors, including private insurers;</w:t>
      </w:r>
    </w:p>
    <w:p>
      <w:pPr>
        <w:spacing w:after="0" w:line="123" w:lineRule="exact"/>
        <w:rPr>
          <w:rFonts w:ascii="Arial" w:cs="Arial" w:eastAsia="Arial" w:hAnsi="Arial"/>
          <w:sz w:val="16"/>
          <w:szCs w:val="16"/>
          <w:color w:val="auto"/>
        </w:rPr>
      </w:pPr>
    </w:p>
    <w:p>
      <w:pPr>
        <w:ind w:left="1040" w:hanging="370"/>
        <w:spacing w:after="0" w:line="259" w:lineRule="auto"/>
        <w:tabs>
          <w:tab w:leader="none" w:pos="1040" w:val="left"/>
        </w:tabs>
        <w:numPr>
          <w:ilvl w:val="1"/>
          <w:numId w:val="12"/>
        </w:numPr>
        <w:rPr>
          <w:rFonts w:ascii="Arial" w:cs="Arial" w:eastAsia="Arial" w:hAnsi="Arial"/>
          <w:sz w:val="18"/>
          <w:szCs w:val="18"/>
          <w:color w:val="auto"/>
        </w:rPr>
      </w:pPr>
      <w:r>
        <w:rPr>
          <w:rFonts w:ascii="Arial" w:cs="Arial" w:eastAsia="Arial" w:hAnsi="Arial"/>
          <w:sz w:val="18"/>
          <w:szCs w:val="18"/>
          <w:color w:val="auto"/>
        </w:rPr>
        <w:t>certain state laws require pharmaceutical companies to comply with voluntary compliance guidelines promulgated by a pharmaceutical industry association and relevant compliance guidance issues by HHS Office of Inspector General; bar drug manufacturers from offering or providing certain types of payments or gifts to physicians and other health care providers; and/or require disclosure of gifts or payments to physicians and other healthcare providers.</w:t>
      </w:r>
    </w:p>
    <w:p>
      <w:pPr>
        <w:spacing w:after="0" w:line="187" w:lineRule="exact"/>
        <w:rPr>
          <w:sz w:val="20"/>
          <w:szCs w:val="20"/>
          <w:color w:val="auto"/>
        </w:rPr>
      </w:pPr>
    </w:p>
    <w:p>
      <w:pPr>
        <w:ind w:right="340" w:firstLine="305"/>
        <w:spacing w:after="0" w:line="277" w:lineRule="auto"/>
        <w:rPr>
          <w:sz w:val="20"/>
          <w:szCs w:val="20"/>
          <w:color w:val="auto"/>
        </w:rPr>
      </w:pPr>
      <w:r>
        <w:rPr>
          <w:rFonts w:ascii="Arial" w:cs="Arial" w:eastAsia="Arial" w:hAnsi="Arial"/>
          <w:sz w:val="18"/>
          <w:szCs w:val="18"/>
          <w:color w:val="auto"/>
        </w:rPr>
        <w:t>Various state and foreign laws also govern the privacy and security of health information in some circumstances; many of these laws differ from each other in significant ways and often are not preempted by HIPAA, thus complicating compliance efforts.</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Certain Financial Information</w:t>
      </w:r>
    </w:p>
    <w:p>
      <w:pPr>
        <w:spacing w:after="0" w:line="7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financial information required in this Item 1 is included in Part II, Item 6 and Part IV, Item 15 of this Annual Report on Form 10-K.</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Corporate Information</w:t>
      </w:r>
    </w:p>
    <w:p>
      <w:pPr>
        <w:spacing w:after="0" w:line="225" w:lineRule="exact"/>
        <w:rPr>
          <w:sz w:val="20"/>
          <w:szCs w:val="20"/>
          <w:color w:val="auto"/>
        </w:rPr>
      </w:pPr>
    </w:p>
    <w:p>
      <w:pPr>
        <w:ind w:right="200" w:firstLine="518"/>
        <w:spacing w:after="0" w:line="259" w:lineRule="auto"/>
        <w:rPr>
          <w:sz w:val="20"/>
          <w:szCs w:val="20"/>
          <w:color w:val="auto"/>
        </w:rPr>
      </w:pPr>
      <w:r>
        <w:rPr>
          <w:rFonts w:ascii="Arial" w:cs="Arial" w:eastAsia="Arial" w:hAnsi="Arial"/>
          <w:sz w:val="18"/>
          <w:szCs w:val="18"/>
          <w:color w:val="auto"/>
        </w:rPr>
        <w:t>Arrowhead was originally incorporated in South Dakota in 1989 and was reincorporated in Delaware in 2000. In April 2016, Arrowhead changed its name from Arrowhead Research Corporation to Arrowhead Pharmaceuticals, Inc. The Company’s principal executive offices are located at 225 South Lake Avenue, Suite 1050, Pasadena, California 91101, and its telephone number is (626) 304-3400. We also operate a research and development facility in Madison, Wisconsin. As of September 30, 2017, Arrowhead had 93 full-time employees.</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Investor Information</w:t>
      </w:r>
    </w:p>
    <w:p>
      <w:pPr>
        <w:spacing w:after="0" w:line="117" w:lineRule="exact"/>
        <w:rPr>
          <w:sz w:val="20"/>
          <w:szCs w:val="20"/>
          <w:color w:val="auto"/>
        </w:rPr>
      </w:pPr>
    </w:p>
    <w:p>
      <w:pPr>
        <w:ind w:right="180" w:firstLine="518"/>
        <w:spacing w:after="0" w:line="302" w:lineRule="auto"/>
        <w:rPr>
          <w:sz w:val="20"/>
          <w:szCs w:val="20"/>
          <w:color w:val="auto"/>
        </w:rPr>
      </w:pPr>
      <w:r>
        <w:rPr>
          <w:rFonts w:ascii="Arial" w:cs="Arial" w:eastAsia="Arial" w:hAnsi="Arial"/>
          <w:sz w:val="16"/>
          <w:szCs w:val="16"/>
          <w:color w:val="auto"/>
        </w:rPr>
        <w:t xml:space="preserve">Our website address is </w:t>
      </w:r>
      <w:r>
        <w:rPr>
          <w:rFonts w:ascii="Arial" w:cs="Arial" w:eastAsia="Arial" w:hAnsi="Arial"/>
          <w:sz w:val="16"/>
          <w:szCs w:val="16"/>
          <w:u w:val="single" w:color="auto"/>
          <w:color w:val="auto"/>
        </w:rPr>
        <w:t>http://www.arrowheadpharmaceuticals.com</w:t>
      </w:r>
      <w:r>
        <w:rPr>
          <w:rFonts w:ascii="Arial" w:cs="Arial" w:eastAsia="Arial" w:hAnsi="Arial"/>
          <w:sz w:val="16"/>
          <w:szCs w:val="16"/>
          <w:color w:val="auto"/>
        </w:rPr>
        <w:t xml:space="preserve"> Our reports filed or furnished pursuant to Section 13(a) or 15(d) of the Securities Exchange Act of 1934, as amended, including our annual reports on Form 10-K, our quarterly reports on Form 10-Q and our current reports on Form 8-K, and amendments to those reports, are accessible through our website, free of charge, as soon as reasonably practicable after these reports are filed electronically with, or otherwise furnished to, the SEC. These SEC reports can be accessed through the “Investors” section of our website.</w:t>
      </w:r>
    </w:p>
    <w:p>
      <w:pPr>
        <w:spacing w:after="0" w:line="154" w:lineRule="exact"/>
        <w:rPr>
          <w:sz w:val="20"/>
          <w:szCs w:val="20"/>
          <w:color w:val="auto"/>
        </w:rPr>
      </w:pPr>
    </w:p>
    <w:p>
      <w:pPr>
        <w:ind w:right="180" w:firstLine="518"/>
        <w:spacing w:after="0" w:line="259" w:lineRule="auto"/>
        <w:rPr>
          <w:sz w:val="20"/>
          <w:szCs w:val="20"/>
          <w:color w:val="auto"/>
        </w:rPr>
      </w:pPr>
      <w:r>
        <w:rPr>
          <w:rFonts w:ascii="Arial" w:cs="Arial" w:eastAsia="Arial" w:hAnsi="Arial"/>
          <w:sz w:val="18"/>
          <w:szCs w:val="18"/>
          <w:color w:val="auto"/>
        </w:rPr>
        <w:t xml:space="preserve">You may read and copy any materials we file with the SEC at the SEC’s Public Reference Room at 100 F Street, NE, Washington, DC 20549. You may obtain information on the operation of the Public Reference Room by calling the SEC at 1-800-SEC-0330. The SEC also maintains an Internet website that contains reports, proxy and information statements, and other information regarding Arrowhead and other issuers that file electronically with the SEC. The SEC’s Internet website address is </w:t>
      </w:r>
      <w:r>
        <w:rPr>
          <w:rFonts w:ascii="Arial" w:cs="Arial" w:eastAsia="Arial" w:hAnsi="Arial"/>
          <w:sz w:val="18"/>
          <w:szCs w:val="18"/>
          <w:u w:val="single" w:color="auto"/>
          <w:color w:val="auto"/>
        </w:rPr>
        <w:t>http://www.sec.gov</w:t>
      </w:r>
      <w:r>
        <w:rPr>
          <w:rFonts w:ascii="Arial" w:cs="Arial" w:eastAsia="Arial" w:hAnsi="Arial"/>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25" w:name="page26"/>
    <w:bookmarkEnd w:id="25"/>
    <w:p>
      <w:pPr>
        <w:spacing w:after="0"/>
        <w:tabs>
          <w:tab w:leader="none" w:pos="114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7"/>
          <w:szCs w:val="17"/>
          <w:b w:val="1"/>
          <w:bCs w:val="1"/>
          <w:color w:val="auto"/>
        </w:rPr>
        <w:t>RISK FACTORS</w:t>
      </w:r>
    </w:p>
    <w:p>
      <w:pPr>
        <w:spacing w:after="0" w:line="121" w:lineRule="exact"/>
        <w:rPr>
          <w:sz w:val="20"/>
          <w:szCs w:val="20"/>
          <w:color w:val="auto"/>
        </w:rPr>
      </w:pPr>
    </w:p>
    <w:p>
      <w:pPr>
        <w:ind w:right="40" w:firstLine="588"/>
        <w:spacing w:after="0" w:line="257" w:lineRule="auto"/>
        <w:rPr>
          <w:sz w:val="20"/>
          <w:szCs w:val="20"/>
          <w:color w:val="auto"/>
        </w:rPr>
      </w:pPr>
      <w:r>
        <w:rPr>
          <w:rFonts w:ascii="Arial" w:cs="Arial" w:eastAsia="Arial" w:hAnsi="Arial"/>
          <w:sz w:val="18"/>
          <w:szCs w:val="18"/>
          <w:i w:val="1"/>
          <w:iCs w:val="1"/>
          <w:color w:val="auto"/>
        </w:rPr>
        <w:t>You should carefully consider the risks discussed below and all of the other information contained in this report in evaluating us and an investment in our securities. If any of the following risks and uncertainties should occur, they could have a material adverse effect on our business, financial condition or results of operations. In that case, the trading price of our Common Stock could decline. Additionally, we note that we have accrued net losses annually since inception given the stage of our drug development. We urge you to consider our likelihood of success and prospects in light of the risks, expenses and difficulties frequently encountered by entities at similar stages of development.</w:t>
      </w:r>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Risks Related to Our Company</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Risks Related to Our Discovery, Development, and Commercialization of Medicines</w:t>
      </w:r>
    </w:p>
    <w:p>
      <w:pPr>
        <w:spacing w:after="0" w:line="337"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b w:val="1"/>
          <w:bCs w:val="1"/>
          <w:i w:val="1"/>
          <w:iCs w:val="1"/>
          <w:color w:val="auto"/>
        </w:rPr>
        <w:t>There are substantial risks inherent in attempting to commercialize our new drugs, and, as a result, we may not be able to successfully develop products for commercial use.</w:t>
      </w:r>
    </w:p>
    <w:p>
      <w:pPr>
        <w:spacing w:after="0" w:line="62" w:lineRule="exact"/>
        <w:rPr>
          <w:sz w:val="20"/>
          <w:szCs w:val="20"/>
          <w:color w:val="auto"/>
        </w:rPr>
      </w:pPr>
    </w:p>
    <w:p>
      <w:pPr>
        <w:ind w:right="20" w:firstLine="588"/>
        <w:spacing w:after="0" w:line="287" w:lineRule="auto"/>
        <w:rPr>
          <w:sz w:val="20"/>
          <w:szCs w:val="20"/>
          <w:color w:val="auto"/>
        </w:rPr>
      </w:pPr>
      <w:r>
        <w:rPr>
          <w:rFonts w:ascii="Arial" w:cs="Arial" w:eastAsia="Arial" w:hAnsi="Arial"/>
          <w:sz w:val="16"/>
          <w:szCs w:val="16"/>
          <w:color w:val="auto"/>
        </w:rPr>
        <w:t>Our research and development efforts involve therapeutics based on RNA interference and our delivery systems, which are largely unproven technologies. Our scientists and engineers are working on developing technology in the early stages. However, such technology’s commercial feasibility and acceptance are unknown. Scientific research and development requires significant amounts of capital and takes a long time to reach commercial viability, if it can be achieved at all. To date, our research and development projects have not produced commercially viable drugs, and may never do so. During the research and development process, we may experience technological barriers that we may be unable to overcome. Further, certain underlying premises in our development programs are not proven. For instance, the theory that knockdown of S-antigen in chronic hepatitis B patients will result in a functional cure is unproven. Similarly, the reduction of the production of mutant alpha-1 antitrypsin in the liver may not lead to a reduction of globules in the liver, and even if it leads to a reduction in such globules, this may not lead to other beneficial hepatic changes. It is also unknown at this time what changes in the liver may be required to gain regulatory approval and/or favorable reimbursement for a drug that reduces the production of mutant alpha-1 antitrypsin in the liver. Because of these and similar uncertainties, it is possible that no commercial products will be successfully developed. If we are unable to successfully develop commercial products, we will be unable to generate revenue or build a sustainable or profitable business.</w:t>
      </w:r>
    </w:p>
    <w:p>
      <w:pPr>
        <w:spacing w:after="0" w:line="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There can be no assurance that our product candidates will obtain regulatory approval.</w:t>
      </w:r>
    </w:p>
    <w:p>
      <w:pPr>
        <w:spacing w:after="0" w:line="117" w:lineRule="exact"/>
        <w:rPr>
          <w:sz w:val="20"/>
          <w:szCs w:val="20"/>
          <w:color w:val="auto"/>
        </w:rPr>
      </w:pPr>
    </w:p>
    <w:p>
      <w:pPr>
        <w:ind w:right="280" w:firstLine="588"/>
        <w:spacing w:after="0" w:line="277" w:lineRule="auto"/>
        <w:rPr>
          <w:sz w:val="20"/>
          <w:szCs w:val="20"/>
          <w:color w:val="auto"/>
        </w:rPr>
      </w:pPr>
      <w:r>
        <w:rPr>
          <w:rFonts w:ascii="Arial" w:cs="Arial" w:eastAsia="Arial" w:hAnsi="Arial"/>
          <w:sz w:val="18"/>
          <w:szCs w:val="18"/>
          <w:color w:val="auto"/>
        </w:rPr>
        <w:t>The sale of human therapeutic products in the U.S. and foreign jurisdictions is subject to extensive and time consuming regulatory approval which requires, among other things:</w:t>
      </w:r>
    </w:p>
    <w:p>
      <w:pPr>
        <w:spacing w:after="0" w:line="62" w:lineRule="exact"/>
        <w:rPr>
          <w:sz w:val="20"/>
          <w:szCs w:val="20"/>
          <w:color w:val="auto"/>
        </w:rPr>
      </w:pPr>
    </w:p>
    <w:p>
      <w:pPr>
        <w:ind w:left="380" w:hanging="372"/>
        <w:spacing w:after="0"/>
        <w:tabs>
          <w:tab w:leader="none" w:pos="3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controlled research and human clinical testing;</w:t>
      </w:r>
    </w:p>
    <w:p>
      <w:pPr>
        <w:spacing w:after="0" w:line="360" w:lineRule="exact"/>
        <w:rPr>
          <w:rFonts w:ascii="Arial" w:cs="Arial" w:eastAsia="Arial" w:hAnsi="Arial"/>
          <w:sz w:val="18"/>
          <w:szCs w:val="18"/>
          <w:color w:val="auto"/>
        </w:rPr>
      </w:pPr>
    </w:p>
    <w:p>
      <w:pPr>
        <w:ind w:left="380" w:hanging="372"/>
        <w:spacing w:after="0"/>
        <w:tabs>
          <w:tab w:leader="none" w:pos="3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establishment of the safety and efficacy of the product;</w:t>
      </w:r>
    </w:p>
    <w:p>
      <w:pPr>
        <w:spacing w:after="0" w:line="360" w:lineRule="exact"/>
        <w:rPr>
          <w:rFonts w:ascii="Arial" w:cs="Arial" w:eastAsia="Arial" w:hAnsi="Arial"/>
          <w:sz w:val="18"/>
          <w:szCs w:val="18"/>
          <w:color w:val="auto"/>
        </w:rPr>
      </w:pPr>
    </w:p>
    <w:p>
      <w:pPr>
        <w:ind w:left="380" w:hanging="372"/>
        <w:spacing w:after="0"/>
        <w:tabs>
          <w:tab w:leader="none" w:pos="3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government review and approval of a submission containing manufacturing, pre-clinical and clinical data; and</w:t>
      </w:r>
    </w:p>
    <w:p>
      <w:pPr>
        <w:spacing w:after="0" w:line="360" w:lineRule="exact"/>
        <w:rPr>
          <w:rFonts w:ascii="Arial" w:cs="Arial" w:eastAsia="Arial" w:hAnsi="Arial"/>
          <w:sz w:val="18"/>
          <w:szCs w:val="18"/>
          <w:color w:val="auto"/>
        </w:rPr>
      </w:pPr>
    </w:p>
    <w:p>
      <w:pPr>
        <w:ind w:left="380" w:hanging="372"/>
        <w:spacing w:after="0"/>
        <w:tabs>
          <w:tab w:leader="none" w:pos="3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adherence to cGMP regulations during production and storage.</w:t>
      </w:r>
    </w:p>
    <w:p>
      <w:pPr>
        <w:spacing w:after="0" w:line="200" w:lineRule="exact"/>
        <w:rPr>
          <w:sz w:val="20"/>
          <w:szCs w:val="20"/>
          <w:color w:val="auto"/>
        </w:rPr>
      </w:pPr>
    </w:p>
    <w:p>
      <w:pPr>
        <w:spacing w:after="0" w:line="268" w:lineRule="exact"/>
        <w:rPr>
          <w:sz w:val="20"/>
          <w:szCs w:val="20"/>
          <w:color w:val="auto"/>
        </w:rPr>
      </w:pPr>
    </w:p>
    <w:p>
      <w:pPr>
        <w:ind w:firstLine="588"/>
        <w:spacing w:after="0" w:line="272" w:lineRule="auto"/>
        <w:rPr>
          <w:sz w:val="20"/>
          <w:szCs w:val="20"/>
          <w:color w:val="auto"/>
        </w:rPr>
      </w:pPr>
      <w:r>
        <w:rPr>
          <w:rFonts w:ascii="Arial" w:cs="Arial" w:eastAsia="Arial" w:hAnsi="Arial"/>
          <w:sz w:val="17"/>
          <w:szCs w:val="17"/>
          <w:color w:val="auto"/>
        </w:rPr>
        <w:t>The product candidates we currently have under development will require significant development, pre-clinical and clinical testing and investment of significant funds to gain regulatory approval before they can be commercialized. The results of our research and human clinical testing of our products may not meet regulatory requriements. Some of our product candidates, if approved, will require the completion of post-market studies. There can be no assurance that any of our products will be further developed and approved. The process of completing clinical testing and obtaining required approvals will take a number of years and require the use of substantial resources. Further, there can be no assurance that product candidates employing a new technology will be shown to be safe and effective in clinical trials or receive applicable regulatory approvals. If we fail to obtain regulatory approvals for any or all of our products, we will not be able to market such product and our operations may be adversely affected.</w:t>
      </w:r>
    </w:p>
    <w:p>
      <w:pPr>
        <w:spacing w:after="0" w:line="28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If testing of a particular product candidate does not yield successful results, then we will be unable to commercialize that product candidate.</w:t>
      </w:r>
    </w:p>
    <w:p>
      <w:pPr>
        <w:spacing w:after="0" w:line="129" w:lineRule="exact"/>
        <w:rPr>
          <w:sz w:val="20"/>
          <w:szCs w:val="20"/>
          <w:color w:val="auto"/>
        </w:rPr>
      </w:pPr>
    </w:p>
    <w:p>
      <w:pPr>
        <w:ind w:right="160" w:firstLine="588"/>
        <w:spacing w:after="0" w:line="264" w:lineRule="auto"/>
        <w:rPr>
          <w:sz w:val="20"/>
          <w:szCs w:val="20"/>
          <w:color w:val="auto"/>
        </w:rPr>
      </w:pPr>
      <w:r>
        <w:rPr>
          <w:rFonts w:ascii="Arial" w:cs="Arial" w:eastAsia="Arial" w:hAnsi="Arial"/>
          <w:sz w:val="18"/>
          <w:szCs w:val="18"/>
          <w:color w:val="auto"/>
        </w:rPr>
        <w:t>We must demonstrate our product candidates’ safety and efficacy in humans through extensive clinical testing. Our research and development programs are at an early stage of development. We may experience numerous unforeseen events during, or as a result of, the testing process that could delay or prevent commercialization of any products, including the following:</w:t>
      </w:r>
    </w:p>
    <w:p>
      <w:pPr>
        <w:spacing w:after="0" w:line="73" w:lineRule="exact"/>
        <w:rPr>
          <w:sz w:val="20"/>
          <w:szCs w:val="20"/>
          <w:color w:val="auto"/>
        </w:rPr>
      </w:pPr>
    </w:p>
    <w:p>
      <w:pPr>
        <w:ind w:left="5620" w:right="1000" w:hanging="5612"/>
        <w:spacing w:after="0" w:line="810" w:lineRule="auto"/>
        <w:tabs>
          <w:tab w:leader="none" w:pos="382"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results of pre-clinical studies may be inconclusive, or they may not be indicative of results that will be obtained in human clinical trials; 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-255270</wp:posOffset>
            </wp:positionV>
            <wp:extent cx="7289165"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26" w:name="page27"/>
    <w:bookmarkEnd w:id="26"/>
    <w:p>
      <w:pPr>
        <w:ind w:left="380" w:right="1740" w:hanging="372"/>
        <w:spacing w:after="0" w:line="402" w:lineRule="auto"/>
        <w:tabs>
          <w:tab w:leader="none" w:pos="3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safety and efficacy results attained in early human clinical trials may not be indicative of results that are obtained in later clinical trials;</w:t>
      </w:r>
    </w:p>
    <w:p>
      <w:pPr>
        <w:spacing w:after="0" w:line="197" w:lineRule="exact"/>
        <w:rPr>
          <w:rFonts w:ascii="Arial" w:cs="Arial" w:eastAsia="Arial" w:hAnsi="Arial"/>
          <w:sz w:val="18"/>
          <w:szCs w:val="18"/>
          <w:color w:val="auto"/>
        </w:rPr>
      </w:pPr>
    </w:p>
    <w:p>
      <w:pPr>
        <w:ind w:left="380" w:hanging="372"/>
        <w:spacing w:after="0"/>
        <w:tabs>
          <w:tab w:leader="none" w:pos="3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after reviewing test results, we may abandon projects that we might previously have believed to be promising;</w:t>
      </w:r>
    </w:p>
    <w:p>
      <w:pPr>
        <w:spacing w:after="0" w:line="360" w:lineRule="exact"/>
        <w:rPr>
          <w:rFonts w:ascii="Arial" w:cs="Arial" w:eastAsia="Arial" w:hAnsi="Arial"/>
          <w:sz w:val="18"/>
          <w:szCs w:val="18"/>
          <w:color w:val="auto"/>
        </w:rPr>
      </w:pPr>
    </w:p>
    <w:p>
      <w:pPr>
        <w:ind w:left="380" w:right="420" w:hanging="372"/>
        <w:spacing w:after="0" w:line="277" w:lineRule="auto"/>
        <w:tabs>
          <w:tab w:leader="none" w:pos="3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we or our regulators may suspend or terminate clinical trials because the participating subjects or patients are being exposed to unacceptable health risks; and</w:t>
      </w:r>
    </w:p>
    <w:p>
      <w:pPr>
        <w:spacing w:after="0" w:line="305" w:lineRule="exact"/>
        <w:rPr>
          <w:rFonts w:ascii="Arial" w:cs="Arial" w:eastAsia="Arial" w:hAnsi="Arial"/>
          <w:sz w:val="18"/>
          <w:szCs w:val="18"/>
          <w:color w:val="auto"/>
        </w:rPr>
      </w:pPr>
    </w:p>
    <w:p>
      <w:pPr>
        <w:ind w:left="380" w:right="20" w:hanging="372"/>
        <w:spacing w:after="0" w:line="277" w:lineRule="auto"/>
        <w:tabs>
          <w:tab w:leader="none" w:pos="3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our product candidates may not have the desired effects or may include undesirable side effects or other characteristics that preclude regulatory approval or limit their commercial use if approved.</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It may take us longer than we project to complete clinical trials, and we may not be able to complete them at all.</w:t>
      </w:r>
    </w:p>
    <w:p>
      <w:pPr>
        <w:spacing w:after="0" w:line="117" w:lineRule="exact"/>
        <w:rPr>
          <w:sz w:val="20"/>
          <w:szCs w:val="20"/>
          <w:color w:val="auto"/>
        </w:rPr>
      </w:pPr>
    </w:p>
    <w:p>
      <w:pPr>
        <w:ind w:firstLine="588"/>
        <w:spacing w:after="0" w:line="259" w:lineRule="auto"/>
        <w:rPr>
          <w:sz w:val="20"/>
          <w:szCs w:val="20"/>
          <w:color w:val="auto"/>
        </w:rPr>
      </w:pPr>
      <w:r>
        <w:rPr>
          <w:rFonts w:ascii="Arial" w:cs="Arial" w:eastAsia="Arial" w:hAnsi="Arial"/>
          <w:sz w:val="18"/>
          <w:szCs w:val="18"/>
          <w:color w:val="auto"/>
        </w:rPr>
        <w:t>Although for planning purposes, we project the commencement, continuation and completion of our clinical trials, a number of factors, including scheduling conflicts with participating clinicians and clinical institutions, and difficulties in identifying or enrolling patients who meet trial eligibility criteria, may cause significant delays. We may not commence or complete clinical trials involving any of our product candidates as projected or may not conduct them successfully.</w:t>
      </w:r>
    </w:p>
    <w:p>
      <w:pPr>
        <w:spacing w:after="0" w:line="295" w:lineRule="exact"/>
        <w:rPr>
          <w:sz w:val="20"/>
          <w:szCs w:val="20"/>
          <w:color w:val="auto"/>
        </w:rPr>
      </w:pPr>
    </w:p>
    <w:p>
      <w:pPr>
        <w:ind w:right="540"/>
        <w:spacing w:after="0" w:line="277" w:lineRule="auto"/>
        <w:rPr>
          <w:sz w:val="20"/>
          <w:szCs w:val="20"/>
          <w:color w:val="auto"/>
        </w:rPr>
      </w:pPr>
      <w:r>
        <w:rPr>
          <w:rFonts w:ascii="Arial" w:cs="Arial" w:eastAsia="Arial" w:hAnsi="Arial"/>
          <w:sz w:val="18"/>
          <w:szCs w:val="18"/>
          <w:b w:val="1"/>
          <w:bCs w:val="1"/>
          <w:i w:val="1"/>
          <w:iCs w:val="1"/>
          <w:color w:val="auto"/>
        </w:rPr>
        <w:t>Even if our clinical studies are successful and we achieve regulatory approval, the approved product label may be more limited than we or analysts anticipate, which could limit the commercial opportunity for our product candidates.</w:t>
      </w:r>
    </w:p>
    <w:p>
      <w:pPr>
        <w:spacing w:after="0" w:line="62" w:lineRule="exact"/>
        <w:rPr>
          <w:sz w:val="20"/>
          <w:szCs w:val="20"/>
          <w:color w:val="auto"/>
        </w:rPr>
      </w:pPr>
    </w:p>
    <w:p>
      <w:pPr>
        <w:ind w:right="40" w:firstLine="588"/>
        <w:spacing w:after="0" w:line="271" w:lineRule="auto"/>
        <w:rPr>
          <w:sz w:val="20"/>
          <w:szCs w:val="20"/>
          <w:color w:val="auto"/>
        </w:rPr>
      </w:pPr>
      <w:r>
        <w:rPr>
          <w:rFonts w:ascii="Arial" w:cs="Arial" w:eastAsia="Arial" w:hAnsi="Arial"/>
          <w:sz w:val="17"/>
          <w:szCs w:val="17"/>
          <w:color w:val="auto"/>
        </w:rPr>
        <w:t>At the time drugs are approved for commercialization, they are given a “product label” from the FDA or other regulatory body. In most countries this label sets forth the approved indication for marketing, and identifies potential safety concerns for prescribing physicians and patients. While we intend to seek as broad a product label as possible for our product candidates, we may receive a narrower label than is expected by either us or third parties, such as stockholders and securities analysts. For example, any approved products may only be indicated to treat refractory patients (i.e., those who have failed some other first-line therapy). Similarly, it is possible that only a specific sub-set of patients safely responds to one or more of our drug candidates. As a result, our product candidates, even if successful in clinical trials, could be approved only for a subset of patients. Additionally, safety considerations may result in contraindications that could further limit the scope of an approved product label. Any of these or other safety and efficacy considerations could limit the commercial opportunity for our product candidates.</w:t>
      </w:r>
    </w:p>
    <w:p>
      <w:pPr>
        <w:spacing w:after="0" w:line="287"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b w:val="1"/>
          <w:bCs w:val="1"/>
          <w:i w:val="1"/>
          <w:iCs w:val="1"/>
          <w:color w:val="auto"/>
        </w:rPr>
        <w:t>Even if our product candidates are approved for commercialization, future regulatory reviews or inspections may result in the suspension or withdrawal of one or more of our products, closure of a facility or enforcement of substantial fines.</w:t>
      </w:r>
    </w:p>
    <w:p>
      <w:pPr>
        <w:spacing w:after="0" w:line="62" w:lineRule="exact"/>
        <w:rPr>
          <w:sz w:val="20"/>
          <w:szCs w:val="20"/>
          <w:color w:val="auto"/>
        </w:rPr>
      </w:pPr>
    </w:p>
    <w:p>
      <w:pPr>
        <w:ind w:right="20" w:firstLine="588"/>
        <w:spacing w:after="0" w:line="279" w:lineRule="auto"/>
        <w:rPr>
          <w:sz w:val="20"/>
          <w:szCs w:val="20"/>
          <w:color w:val="auto"/>
        </w:rPr>
      </w:pPr>
      <w:r>
        <w:rPr>
          <w:rFonts w:ascii="Arial" w:cs="Arial" w:eastAsia="Arial" w:hAnsi="Arial"/>
          <w:sz w:val="17"/>
          <w:szCs w:val="17"/>
          <w:color w:val="auto"/>
        </w:rPr>
        <w:t>If regulatory approval to sell any of our product candidates is received, regulatory agencies will subject any marketed product(s), as well as the manufacturing facilities, to continual review and periodic inspection. If previously unknown problems with a product or manufacturing and laboratory facility are discovered, or we fail to comply with applicable regulatory approval requirements, a regulatory agency may impose restrictions on that product or on us. The agency may require the withdrawal of the product from the market, closure of the facility or enforcement of substantial fines.</w:t>
      </w:r>
    </w:p>
    <w:p>
      <w:pPr>
        <w:spacing w:after="0" w:line="280"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b w:val="1"/>
          <w:bCs w:val="1"/>
          <w:i w:val="1"/>
          <w:iCs w:val="1"/>
          <w:color w:val="auto"/>
        </w:rPr>
        <w:t>We face potential product liability exposure, and if successful claims are brought against us, we may incur substantial liability for a product candidate and may have to limit its commercialization.</w:t>
      </w:r>
    </w:p>
    <w:p>
      <w:pPr>
        <w:spacing w:after="0" w:line="62" w:lineRule="exact"/>
        <w:rPr>
          <w:sz w:val="20"/>
          <w:szCs w:val="20"/>
          <w:color w:val="auto"/>
        </w:rPr>
      </w:pPr>
    </w:p>
    <w:p>
      <w:pPr>
        <w:ind w:right="80" w:firstLine="588"/>
        <w:spacing w:after="0" w:line="259" w:lineRule="auto"/>
        <w:rPr>
          <w:sz w:val="20"/>
          <w:szCs w:val="20"/>
          <w:color w:val="auto"/>
        </w:rPr>
      </w:pPr>
      <w:r>
        <w:rPr>
          <w:rFonts w:ascii="Arial" w:cs="Arial" w:eastAsia="Arial" w:hAnsi="Arial"/>
          <w:sz w:val="18"/>
          <w:szCs w:val="18"/>
          <w:color w:val="auto"/>
        </w:rPr>
        <w:t>The use of our product candidates in clinical trials and the sale of any products for which we obtain marketing approval expose us to the risk of product liability claims. Product liability claims might be brought against us by clinical trial participants, consumers, health-care providers, pharmaceutical companies, or others selling our products. If we cannot successfully defend ourselves against these claims, we may incur substantial liabilities. Regardless of merit or eventual outcomes of such claims, product liability claims may result in:</w:t>
      </w:r>
    </w:p>
    <w:p>
      <w:pPr>
        <w:spacing w:after="0" w:line="79" w:lineRule="exact"/>
        <w:rPr>
          <w:sz w:val="20"/>
          <w:szCs w:val="20"/>
          <w:color w:val="auto"/>
        </w:rPr>
      </w:pPr>
    </w:p>
    <w:p>
      <w:pPr>
        <w:ind w:left="380" w:hanging="372"/>
        <w:spacing w:after="0"/>
        <w:tabs>
          <w:tab w:leader="none" w:pos="3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decreased demand for our product candidates;</w:t>
      </w:r>
    </w:p>
    <w:p>
      <w:pPr>
        <w:spacing w:after="0" w:line="360" w:lineRule="exact"/>
        <w:rPr>
          <w:rFonts w:ascii="Arial" w:cs="Arial" w:eastAsia="Arial" w:hAnsi="Arial"/>
          <w:sz w:val="18"/>
          <w:szCs w:val="18"/>
          <w:color w:val="auto"/>
        </w:rPr>
      </w:pPr>
    </w:p>
    <w:p>
      <w:pPr>
        <w:ind w:left="380" w:hanging="372"/>
        <w:spacing w:after="0"/>
        <w:tabs>
          <w:tab w:leader="none" w:pos="3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impairment of our business reputation;</w:t>
      </w:r>
    </w:p>
    <w:p>
      <w:pPr>
        <w:spacing w:after="0" w:line="360" w:lineRule="exact"/>
        <w:rPr>
          <w:rFonts w:ascii="Arial" w:cs="Arial" w:eastAsia="Arial" w:hAnsi="Arial"/>
          <w:sz w:val="18"/>
          <w:szCs w:val="18"/>
          <w:color w:val="auto"/>
        </w:rPr>
      </w:pPr>
    </w:p>
    <w:p>
      <w:pPr>
        <w:ind w:left="380" w:hanging="372"/>
        <w:spacing w:after="0"/>
        <w:tabs>
          <w:tab w:leader="none" w:pos="3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withdrawal of clinical trial participants;</w:t>
      </w:r>
    </w:p>
    <w:p>
      <w:pPr>
        <w:spacing w:after="0" w:line="360" w:lineRule="exact"/>
        <w:rPr>
          <w:rFonts w:ascii="Arial" w:cs="Arial" w:eastAsia="Arial" w:hAnsi="Arial"/>
          <w:sz w:val="18"/>
          <w:szCs w:val="18"/>
          <w:color w:val="auto"/>
        </w:rPr>
      </w:pPr>
    </w:p>
    <w:p>
      <w:pPr>
        <w:ind w:left="380" w:hanging="372"/>
        <w:spacing w:after="0"/>
        <w:tabs>
          <w:tab w:leader="none" w:pos="3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costs of litigation;</w:t>
      </w:r>
    </w:p>
    <w:p>
      <w:pPr>
        <w:spacing w:after="0" w:line="360" w:lineRule="exact"/>
        <w:rPr>
          <w:rFonts w:ascii="Arial" w:cs="Arial" w:eastAsia="Arial" w:hAnsi="Arial"/>
          <w:sz w:val="18"/>
          <w:szCs w:val="18"/>
          <w:color w:val="auto"/>
        </w:rPr>
      </w:pPr>
    </w:p>
    <w:p>
      <w:pPr>
        <w:ind w:left="380" w:hanging="372"/>
        <w:spacing w:after="0"/>
        <w:tabs>
          <w:tab w:leader="none" w:pos="3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substantial monetary awards to patients or other claimants; and</w:t>
      </w:r>
    </w:p>
    <w:p>
      <w:pPr>
        <w:spacing w:after="0" w:line="360" w:lineRule="exact"/>
        <w:rPr>
          <w:rFonts w:ascii="Arial" w:cs="Arial" w:eastAsia="Arial" w:hAnsi="Arial"/>
          <w:sz w:val="18"/>
          <w:szCs w:val="18"/>
          <w:color w:val="auto"/>
        </w:rPr>
      </w:pPr>
    </w:p>
    <w:p>
      <w:pPr>
        <w:ind w:left="400" w:hanging="392"/>
        <w:spacing w:after="0"/>
        <w:tabs>
          <w:tab w:leader="none" w:pos="4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loss of revenues.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firstLine="588"/>
        <w:spacing w:after="0" w:line="264" w:lineRule="auto"/>
        <w:rPr>
          <w:sz w:val="20"/>
          <w:szCs w:val="20"/>
          <w:color w:val="auto"/>
        </w:rPr>
      </w:pPr>
      <w:r>
        <w:rPr>
          <w:rFonts w:ascii="Arial" w:cs="Arial" w:eastAsia="Arial" w:hAnsi="Arial"/>
          <w:sz w:val="18"/>
          <w:szCs w:val="18"/>
          <w:color w:val="auto"/>
        </w:rPr>
        <w:t>Our insurance coverage may not be sufficient to reimburse us for all expenses or losses we may suffer. Moreover, insurance coverage is becoming increasingly expensive and, in the future, we may not be able to maintain insurance coverage at a reasonable cost or in sufficient amounts to protect us against losses.</w:t>
      </w:r>
    </w:p>
    <w:p>
      <w:pPr>
        <w:sectPr>
          <w:pgSz w:w="11900" w:h="16838" w:orient="portrait"/>
          <w:cols w:equalWidth="0" w:num="1">
            <w:col w:w="11400"/>
          </w:cols>
          <w:pgMar w:left="240" w:top="125" w:right="259" w:bottom="1054" w:gutter="0" w:footer="0" w:header="0"/>
        </w:sectPr>
      </w:pP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289165"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125" w:right="259" w:bottom="1054" w:gutter="0" w:footer="0" w:header="0"/>
          <w:type w:val="continuous"/>
        </w:sectPr>
      </w:pPr>
    </w:p>
    <w:bookmarkStart w:id="27" w:name="page28"/>
    <w:bookmarkEnd w:id="27"/>
    <w:p>
      <w:pPr>
        <w:ind w:right="260"/>
        <w:spacing w:after="0" w:line="277" w:lineRule="auto"/>
        <w:rPr>
          <w:sz w:val="20"/>
          <w:szCs w:val="20"/>
          <w:color w:val="auto"/>
        </w:rPr>
      </w:pPr>
      <w:r>
        <w:rPr>
          <w:rFonts w:ascii="Arial" w:cs="Arial" w:eastAsia="Arial" w:hAnsi="Arial"/>
          <w:sz w:val="18"/>
          <w:szCs w:val="18"/>
          <w:b w:val="1"/>
          <w:bCs w:val="1"/>
          <w:i w:val="1"/>
          <w:iCs w:val="1"/>
          <w:color w:val="auto"/>
        </w:rPr>
        <w:t>The successful commercialization of our product candidates, if approved, will depend in part on the extent to which government authorities and health insurers establish adequate reimbursement levels and pricing policies.</w:t>
      </w:r>
    </w:p>
    <w:p>
      <w:pPr>
        <w:spacing w:after="0" w:line="62" w:lineRule="exact"/>
        <w:rPr>
          <w:sz w:val="20"/>
          <w:szCs w:val="20"/>
          <w:color w:val="auto"/>
        </w:rPr>
      </w:pPr>
    </w:p>
    <w:p>
      <w:pPr>
        <w:ind w:right="20" w:firstLine="588"/>
        <w:spacing w:after="0" w:line="270" w:lineRule="auto"/>
        <w:rPr>
          <w:sz w:val="20"/>
          <w:szCs w:val="20"/>
          <w:color w:val="auto"/>
        </w:rPr>
      </w:pPr>
      <w:r>
        <w:rPr>
          <w:rFonts w:ascii="Arial" w:cs="Arial" w:eastAsia="Arial" w:hAnsi="Arial"/>
          <w:sz w:val="17"/>
          <w:szCs w:val="17"/>
          <w:color w:val="auto"/>
        </w:rPr>
        <w:t>Sales of any approved drug candidate will depend in part on the availability of coverage and reimbursement from third-party payers such as government insurance programs, including Medicare and Medicaid, private health insurers, health maintenance organizations and other health care related organizations, who are increasingly challenging the price of medical products and services. Accordingly, coverage and reimbursement may be uncertain. Adoption of any drug by the medical community may be limited if third-party payers will not offer coverage. Additionally, significant uncertainty exists as to the reimbursement status of newly approved drugs. Cost control initiatives may decrease coverage and payment levels for any drug and, in turn, the price that we will be able to charge and/or the volume of our sales. We are unable to predict all changes to the coverage or reimbursement methodologies that will be applied by private or government payers. Any denial of private or government payer coverage or inadequate reimbursement could harm our business and reduce our revenue. If we partner with third parties with respect to any of our product candidates, we may be reliant on that partner to obtain reimbursement from government and private payors for the drug, if approved, and any failure of that partner to establish adequate reimbursement could have a negative impact on our revenues and profitability.</w:t>
      </w:r>
    </w:p>
    <w:p>
      <w:pPr>
        <w:spacing w:after="0" w:line="178" w:lineRule="exact"/>
        <w:rPr>
          <w:sz w:val="20"/>
          <w:szCs w:val="20"/>
          <w:color w:val="auto"/>
        </w:rPr>
      </w:pPr>
    </w:p>
    <w:p>
      <w:pPr>
        <w:ind w:right="120" w:firstLine="588"/>
        <w:spacing w:after="0" w:line="255" w:lineRule="auto"/>
        <w:rPr>
          <w:sz w:val="20"/>
          <w:szCs w:val="20"/>
          <w:color w:val="auto"/>
        </w:rPr>
      </w:pPr>
      <w:r>
        <w:rPr>
          <w:rFonts w:ascii="Arial" w:cs="Arial" w:eastAsia="Arial" w:hAnsi="Arial"/>
          <w:sz w:val="18"/>
          <w:szCs w:val="18"/>
          <w:color w:val="auto"/>
        </w:rPr>
        <w:t>In addition, both the federal and state governments in the United States and foreign governments continue to propose and pass new legislation, regulations, and policies affecting coverage and reimbursement rates, which are designed to contain or reduce the cost of health care. Further federal and state proposals and healthcare reforms are likely, which could limit the prices that can be charged for the product candidates that we develop and may further limit our commercial opportunity. There may be future changes that result in reductions in potential coverage and reimbursement levels for our product candidates, if approved and commercialized, and we cannot predict the scope of any future changes or the impact that those changes would have on our operations.</w:t>
      </w:r>
    </w:p>
    <w:p>
      <w:pPr>
        <w:spacing w:after="0" w:line="193" w:lineRule="exact"/>
        <w:rPr>
          <w:sz w:val="20"/>
          <w:szCs w:val="20"/>
          <w:color w:val="auto"/>
        </w:rPr>
      </w:pPr>
    </w:p>
    <w:p>
      <w:pPr>
        <w:ind w:right="220" w:firstLine="588"/>
        <w:spacing w:after="0" w:line="277" w:lineRule="auto"/>
        <w:rPr>
          <w:sz w:val="20"/>
          <w:szCs w:val="20"/>
          <w:color w:val="auto"/>
        </w:rPr>
      </w:pPr>
      <w:r>
        <w:rPr>
          <w:rFonts w:ascii="Arial" w:cs="Arial" w:eastAsia="Arial" w:hAnsi="Arial"/>
          <w:sz w:val="18"/>
          <w:szCs w:val="18"/>
          <w:color w:val="auto"/>
        </w:rPr>
        <w:t>If future reimbursement for approved product candidates, if any, is substantially less than we project, or rebate obligations associated with them are substantially greater than we expect, our future net revenue and profitability could be materially diminished.</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not enjoy the market exclusivity benefits of our orphan drug designation.</w:t>
      </w:r>
    </w:p>
    <w:p>
      <w:pPr>
        <w:spacing w:after="0" w:line="225" w:lineRule="exact"/>
        <w:rPr>
          <w:sz w:val="20"/>
          <w:szCs w:val="20"/>
          <w:color w:val="auto"/>
        </w:rPr>
      </w:pPr>
    </w:p>
    <w:p>
      <w:pPr>
        <w:ind w:right="40" w:firstLine="593"/>
        <w:spacing w:after="0" w:line="288" w:lineRule="auto"/>
        <w:rPr>
          <w:sz w:val="20"/>
          <w:szCs w:val="20"/>
          <w:color w:val="auto"/>
        </w:rPr>
      </w:pPr>
      <w:r>
        <w:rPr>
          <w:rFonts w:ascii="Arial" w:cs="Arial" w:eastAsia="Arial" w:hAnsi="Arial"/>
          <w:sz w:val="16"/>
          <w:szCs w:val="16"/>
          <w:color w:val="auto"/>
        </w:rPr>
        <w:t>Although we may obtain orphan designations in the treatment of certain diseases our products are intended to treat, the designation may not be applicable to any particular product we might get approved and that product may not be the first product to receive approval for that indication. Under the Orphan Drug Act, the first product with an orphan designation receives market exclusivity, which prohibits FDA from approving the “same” drug for the same indication. The FDA has stated that drugs can be the “same” even when they are not identical, but has not provided guidance with respect to how it will determine “sameness” for RNAi drugs. It is possible that another RNAi drug could be approved for the treatment of a disease one of our orphan products is intended to treat before our product is approved, which means that we may not obtain orphan drug exclusivity and could also potentially be blocked from approval until the first product’s orphan drug exclusivity period expires or we demonstrate, if we can, that our product is superior. Further, even if we obtain orphan drug exclusivity for a product, that exclusivity may not effectively protect the product from competition because different drugs can be approved for the same condition. Even after an orphan drug is approved and granted orphan drug exclusivity, the FDA can subsequently approve the same drug for the same condition if the FDA concludes that the later drug is safer, more effective or makes a major contribution to patient care.</w:t>
      </w:r>
    </w:p>
    <w:p>
      <w:pPr>
        <w:spacing w:after="0" w:line="6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success depends on the attraction and retention of senior management and scientists with relevant expertise.</w:t>
      </w:r>
    </w:p>
    <w:p>
      <w:pPr>
        <w:spacing w:after="0" w:line="117" w:lineRule="exact"/>
        <w:rPr>
          <w:sz w:val="20"/>
          <w:szCs w:val="20"/>
          <w:color w:val="auto"/>
        </w:rPr>
      </w:pPr>
    </w:p>
    <w:p>
      <w:pPr>
        <w:ind w:right="200" w:firstLine="588"/>
        <w:spacing w:after="0" w:line="257" w:lineRule="auto"/>
        <w:rPr>
          <w:sz w:val="20"/>
          <w:szCs w:val="20"/>
          <w:color w:val="auto"/>
        </w:rPr>
      </w:pPr>
      <w:r>
        <w:rPr>
          <w:rFonts w:ascii="Arial" w:cs="Arial" w:eastAsia="Arial" w:hAnsi="Arial"/>
          <w:sz w:val="18"/>
          <w:szCs w:val="18"/>
          <w:color w:val="auto"/>
        </w:rPr>
        <w:t>Our future success depends to a significant extent on the continued services of our key employees, including our senior scientific, technical and managerial personnel. We do not maintain key person life insurance for any of our executives and we do not maintain employment agreements with many senior employees. Competition for qualified employees in the pharmaceutical industry is high, and our ability to execute our strategy will depend in part on our ability to continue to attract and retain qualified scientists and management. If we are unable to find, hire and retain qualified individuals, we will have difficulty implementing our business plan in a timely manner, or at all.</w:t>
      </w:r>
    </w:p>
    <w:p>
      <w:pPr>
        <w:spacing w:after="0" w:line="400"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Risks Related to Our Intellectual Property</w:t>
      </w:r>
    </w:p>
    <w:p>
      <w:pPr>
        <w:spacing w:after="0" w:line="121"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Our ability to protect our patents and other proprietary rights is uncertain, exposing us to the possible loss of competitive advantage.</w:t>
      </w:r>
    </w:p>
    <w:p>
      <w:pPr>
        <w:spacing w:after="0" w:line="129" w:lineRule="exact"/>
        <w:rPr>
          <w:sz w:val="20"/>
          <w:szCs w:val="20"/>
          <w:color w:val="auto"/>
        </w:rPr>
      </w:pPr>
    </w:p>
    <w:p>
      <w:pPr>
        <w:ind w:firstLine="588"/>
        <w:spacing w:after="0" w:line="291" w:lineRule="auto"/>
        <w:rPr>
          <w:sz w:val="20"/>
          <w:szCs w:val="20"/>
          <w:color w:val="auto"/>
        </w:rPr>
      </w:pPr>
      <w:r>
        <w:rPr>
          <w:rFonts w:ascii="Arial" w:cs="Arial" w:eastAsia="Arial" w:hAnsi="Arial"/>
          <w:sz w:val="16"/>
          <w:szCs w:val="16"/>
          <w:color w:val="auto"/>
        </w:rPr>
        <w:t>We have licensed rights to pending patents and have filed and expect to continue to file patent applications. Researchers sponsored by us may also file patent applications that we may need to license. Such patent applications may not be available for licensing or may not be economically feasible to</w:t>
      </w:r>
    </w:p>
    <w:p>
      <w:pPr>
        <w:spacing w:after="0" w:line="271" w:lineRule="auto"/>
        <w:rPr>
          <w:sz w:val="20"/>
          <w:szCs w:val="20"/>
          <w:color w:val="auto"/>
        </w:rPr>
      </w:pPr>
      <w:r>
        <w:rPr>
          <w:rFonts w:ascii="Arial" w:cs="Arial" w:eastAsia="Arial" w:hAnsi="Arial"/>
          <w:sz w:val="17"/>
          <w:szCs w:val="17"/>
          <w:color w:val="auto"/>
        </w:rPr>
        <w:t>license. Certain of our patents may not be granted or may not contain claims of the necessary breadth because, for example, prior patents exist. If a particular patent is not granted, the value of the invention described in the patent would be diminished. Further, even if these patents are granted, they may be difficult to enforce. Even if ultimately successful, efforts to enforce our patent rights could be expensive, distracting for management, cause our patents to be invalidated or held unenforceable, and thus frustrate commercialization of products. Even if patents are issued and are enforceable, others may develop similar, superior or parallel technologies to any technology developed by us and not infringe on our patents. Our technology</w:t>
      </w:r>
    </w:p>
    <w:p>
      <w:pPr>
        <w:spacing w:after="0" w:line="1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28" w:name="page29"/>
    <w:bookmarkEnd w:id="28"/>
    <w:p>
      <w:pPr>
        <w:jc w:val="both"/>
        <w:ind w:right="120"/>
        <w:spacing w:after="0" w:line="286" w:lineRule="auto"/>
        <w:rPr>
          <w:sz w:val="20"/>
          <w:szCs w:val="20"/>
          <w:color w:val="auto"/>
        </w:rPr>
      </w:pPr>
      <w:r>
        <w:rPr>
          <w:rFonts w:ascii="Arial" w:cs="Arial" w:eastAsia="Arial" w:hAnsi="Arial"/>
          <w:sz w:val="17"/>
          <w:szCs w:val="17"/>
          <w:color w:val="auto"/>
        </w:rPr>
        <w:t>may prove to infringe upon patents or rights owned by others. Patent prosecution and maintenance is expensive, and we may be forced to curtail prosecution or maintenance if our cash resources are limited. Thus, the patents held by or licensed to us may not afford us any meaningful competitive advantage. If we are unable to derive value from our licensed or owned intellectual property, the value of your investment may decline.</w:t>
      </w:r>
    </w:p>
    <w:p>
      <w:pPr>
        <w:spacing w:after="0" w:line="274"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b w:val="1"/>
          <w:bCs w:val="1"/>
          <w:i w:val="1"/>
          <w:iCs w:val="1"/>
          <w:color w:val="auto"/>
        </w:rPr>
        <w:t>We are party to technology license agreements with third parties that require us to satisfy obligations to keep them effective and, if these agreements are terminated, our technology and our business would be seriously and adversely affected.</w:t>
      </w:r>
    </w:p>
    <w:p>
      <w:pPr>
        <w:spacing w:after="0" w:line="62" w:lineRule="exact"/>
        <w:rPr>
          <w:sz w:val="20"/>
          <w:szCs w:val="20"/>
          <w:color w:val="auto"/>
        </w:rPr>
      </w:pPr>
    </w:p>
    <w:p>
      <w:pPr>
        <w:ind w:firstLine="588"/>
        <w:spacing w:after="0" w:line="273" w:lineRule="auto"/>
        <w:rPr>
          <w:sz w:val="20"/>
          <w:szCs w:val="20"/>
          <w:color w:val="auto"/>
        </w:rPr>
      </w:pPr>
      <w:r>
        <w:rPr>
          <w:rFonts w:ascii="Arial" w:cs="Arial" w:eastAsia="Arial" w:hAnsi="Arial"/>
          <w:sz w:val="17"/>
          <w:szCs w:val="17"/>
          <w:color w:val="auto"/>
        </w:rPr>
        <w:t>We are party to license agreements to incorporate third party proprietary technologies into our drug products under development. These license agreements require us to pay royalties and satisfy other conditions, including conditions in some cases related to the commercialization of the licensed technology. We may not be able to successfully incorporate these technologies into marketable products or, if we do, sales may not be sufficient to recover the amounts that we are obligated to pay to the licensors. If we fail to satisfy our obligations under these agreements, the terms of the licenses may be materially modified, such as by rendering currently exclusive licenses non-exclusive, or it may give our licensors the right to terminate their respective agreement with us, which would limit our ability to implement our current business plan and harm our business and financial condition.</w:t>
      </w:r>
    </w:p>
    <w:p>
      <w:pPr>
        <w:spacing w:after="0" w:line="287"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b w:val="1"/>
          <w:bCs w:val="1"/>
          <w:i w:val="1"/>
          <w:iCs w:val="1"/>
          <w:color w:val="auto"/>
        </w:rPr>
        <w:t>We may be subject to patent infringement claims, which could result in substantial costs and liability and prevent us from commercializing our potential products.</w:t>
      </w:r>
    </w:p>
    <w:p>
      <w:pPr>
        <w:spacing w:after="0" w:line="62" w:lineRule="exact"/>
        <w:rPr>
          <w:sz w:val="20"/>
          <w:szCs w:val="20"/>
          <w:color w:val="auto"/>
        </w:rPr>
      </w:pPr>
    </w:p>
    <w:p>
      <w:pPr>
        <w:ind w:firstLine="588"/>
        <w:spacing w:after="0" w:line="272" w:lineRule="auto"/>
        <w:rPr>
          <w:sz w:val="20"/>
          <w:szCs w:val="20"/>
          <w:color w:val="auto"/>
        </w:rPr>
      </w:pPr>
      <w:r>
        <w:rPr>
          <w:rFonts w:ascii="Arial" w:cs="Arial" w:eastAsia="Arial" w:hAnsi="Arial"/>
          <w:sz w:val="17"/>
          <w:szCs w:val="17"/>
          <w:color w:val="auto"/>
        </w:rPr>
        <w:t>Because the intellectual property landscape in the fields in which we participate is rapidly evolving and interdisciplinary, it is difficult to conclusively assess our freedom to operate without infringing on third party rights. However, we are currently aware of certain patent rights held by third parties that, if found to be valid and enforceable, could be alleged to render one or more of our drug candidates infringing. If a claim should be brought and is successful, we may be required to pay substantial damages, be forced to abandon any affected drug candidates and/or seek a license from the patent holder. In addition, any patent infringement claims brought against us, whether or not successful, may cause us to incur significant expenses and divert the attention of our management and key personnel from other business concerns. These could negatively affect our results of operations and prospects. We cannot be certain that patents owned or licensed by us will not be challenged, potentially successfully, by others.</w:t>
      </w:r>
    </w:p>
    <w:p>
      <w:pPr>
        <w:spacing w:after="0" w:line="178" w:lineRule="exact"/>
        <w:rPr>
          <w:sz w:val="20"/>
          <w:szCs w:val="20"/>
          <w:color w:val="auto"/>
        </w:rPr>
      </w:pPr>
    </w:p>
    <w:p>
      <w:pPr>
        <w:ind w:right="140" w:firstLine="588"/>
        <w:spacing w:after="0" w:line="255" w:lineRule="auto"/>
        <w:rPr>
          <w:sz w:val="20"/>
          <w:szCs w:val="20"/>
          <w:color w:val="auto"/>
        </w:rPr>
      </w:pPr>
      <w:r>
        <w:rPr>
          <w:rFonts w:ascii="Arial" w:cs="Arial" w:eastAsia="Arial" w:hAnsi="Arial"/>
          <w:sz w:val="18"/>
          <w:szCs w:val="18"/>
          <w:color w:val="auto"/>
        </w:rPr>
        <w:t>In addition, if our product candidates infringe the intellectual property rights of third parties, these third parties may assert infringement claims against our customers, licensees, and other parties with whom we have business relationships and we may be required to indemnify those parties for any damages they suffer as a result of these claims. The claims may require us to initiate or defend protracted and costly litigation on behalf of customers, licensees, and other parties regardless of the merits of these claims. If any of these claims succeed, we may be forced to pay damages on behalf of those parties or may be required to obtain licenses for the products they use. If we cannot obtain all necessary licenses on commercially reasonable terms, we may be unable to continue selling such products.</w:t>
      </w:r>
    </w:p>
    <w:p>
      <w:pPr>
        <w:spacing w:after="0" w:line="301"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We license patent rights from third-party owners and we rely on such owners to obtain, maintain and enforce the patents underlying such licenses.</w:t>
      </w:r>
    </w:p>
    <w:p>
      <w:pPr>
        <w:spacing w:after="0" w:line="140" w:lineRule="exact"/>
        <w:rPr>
          <w:sz w:val="20"/>
          <w:szCs w:val="20"/>
          <w:color w:val="auto"/>
        </w:rPr>
      </w:pPr>
    </w:p>
    <w:p>
      <w:pPr>
        <w:ind w:right="100" w:firstLine="588"/>
        <w:spacing w:after="0" w:line="264" w:lineRule="auto"/>
        <w:rPr>
          <w:sz w:val="20"/>
          <w:szCs w:val="20"/>
          <w:color w:val="auto"/>
        </w:rPr>
      </w:pPr>
      <w:r>
        <w:rPr>
          <w:rFonts w:ascii="Arial" w:cs="Arial" w:eastAsia="Arial" w:hAnsi="Arial"/>
          <w:sz w:val="18"/>
          <w:szCs w:val="18"/>
          <w:color w:val="auto"/>
        </w:rPr>
        <w:t>We are a party to a number of licenses that give us rights to third-party intellectual property that is necessary or useful for our business. In particular, we have obtained licenses from, among others, Novartis and Alnylam. We also expect to enter into additional licenses to third-party intellectual property in the future.</w:t>
      </w:r>
    </w:p>
    <w:p>
      <w:pPr>
        <w:spacing w:after="0" w:line="181" w:lineRule="exact"/>
        <w:rPr>
          <w:sz w:val="20"/>
          <w:szCs w:val="20"/>
          <w:color w:val="auto"/>
        </w:rPr>
      </w:pPr>
    </w:p>
    <w:p>
      <w:pPr>
        <w:ind w:right="60" w:firstLine="588"/>
        <w:spacing w:after="0" w:line="255" w:lineRule="auto"/>
        <w:rPr>
          <w:sz w:val="20"/>
          <w:szCs w:val="20"/>
          <w:color w:val="auto"/>
        </w:rPr>
      </w:pPr>
      <w:r>
        <w:rPr>
          <w:rFonts w:ascii="Arial" w:cs="Arial" w:eastAsia="Arial" w:hAnsi="Arial"/>
          <w:sz w:val="18"/>
          <w:szCs w:val="18"/>
          <w:color w:val="auto"/>
        </w:rPr>
        <w:t>Our success will depend in part on the ability of our licensors to obtain, maintain and enforce patent protection for our licensed intellectual property, in particular, those patents to which we have secured exclusive rights. Our licensors may not successfully prosecute the patent applications to which we are licensed. Even if patents are issued in respect of these patent applications, our licensors may fail to maintain these patents, may determine not to pursue litigation against other companies that are infringing these patents, or may pursue such litigation less aggressively than we would. Without protection for the intellectual property we license, other companies might be able to offer substantially identical products for sale, which could adversely affect our competitive business position and harm our business prospects.</w:t>
      </w:r>
    </w:p>
    <w:p>
      <w:pPr>
        <w:spacing w:after="0" w:line="30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technology licensed from various third parties may be subject to retained rights.</w:t>
      </w:r>
    </w:p>
    <w:p>
      <w:pPr>
        <w:spacing w:after="0" w:line="117" w:lineRule="exact"/>
        <w:rPr>
          <w:sz w:val="20"/>
          <w:szCs w:val="20"/>
          <w:color w:val="auto"/>
        </w:rPr>
      </w:pPr>
    </w:p>
    <w:p>
      <w:pPr>
        <w:jc w:val="both"/>
        <w:ind w:right="340" w:firstLine="588"/>
        <w:spacing w:after="0" w:line="279" w:lineRule="auto"/>
        <w:rPr>
          <w:sz w:val="20"/>
          <w:szCs w:val="20"/>
          <w:color w:val="auto"/>
        </w:rPr>
      </w:pPr>
      <w:r>
        <w:rPr>
          <w:rFonts w:ascii="Arial" w:cs="Arial" w:eastAsia="Arial" w:hAnsi="Arial"/>
          <w:sz w:val="17"/>
          <w:szCs w:val="17"/>
          <w:color w:val="auto"/>
        </w:rPr>
        <w:t>Our licensors often retain certain rights under their agreements with us, including the right to use the underlying technology for noncommercial academic and research use, to publish general scientific findings from research related to the technology, and to make customary scientific and scholarly disclosures of information relating to the technology. It is difficult to monitor whether our licensors limit their use of the technology to these uses, and we could incur substantial expenses to enforce our rights to our licensed technology in the event of misuse.</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233" w:right="259" w:bottom="1440" w:gutter="0" w:footer="0" w:header="0"/>
        </w:sectPr>
      </w:pPr>
    </w:p>
    <w:bookmarkStart w:id="29" w:name="page30"/>
    <w:bookmarkEnd w:id="29"/>
    <w:p>
      <w:pPr>
        <w:spacing w:after="0"/>
        <w:rPr>
          <w:sz w:val="20"/>
          <w:szCs w:val="20"/>
          <w:color w:val="auto"/>
        </w:rPr>
      </w:pPr>
      <w:r>
        <w:rPr>
          <w:rFonts w:ascii="Arial" w:cs="Arial" w:eastAsia="Arial" w:hAnsi="Arial"/>
          <w:sz w:val="16"/>
          <w:szCs w:val="16"/>
          <w:b w:val="1"/>
          <w:bCs w:val="1"/>
          <w:i w:val="1"/>
          <w:iCs w:val="1"/>
          <w:color w:val="auto"/>
        </w:rPr>
        <w:t>Confidentiality agreements with employees and others may not adequately prevent disclosure of trade secrets and other proprietary information.</w:t>
      </w:r>
    </w:p>
    <w:p>
      <w:pPr>
        <w:spacing w:after="0" w:line="140" w:lineRule="exact"/>
        <w:rPr>
          <w:sz w:val="20"/>
          <w:szCs w:val="20"/>
          <w:color w:val="auto"/>
        </w:rPr>
      </w:pPr>
    </w:p>
    <w:p>
      <w:pPr>
        <w:ind w:right="60" w:firstLine="588"/>
        <w:spacing w:after="0" w:line="255" w:lineRule="auto"/>
        <w:rPr>
          <w:sz w:val="20"/>
          <w:szCs w:val="20"/>
          <w:color w:val="auto"/>
        </w:rPr>
      </w:pPr>
      <w:r>
        <w:rPr>
          <w:rFonts w:ascii="Arial" w:cs="Arial" w:eastAsia="Arial" w:hAnsi="Arial"/>
          <w:sz w:val="18"/>
          <w:szCs w:val="18"/>
          <w:color w:val="auto"/>
        </w:rPr>
        <w:t>In order to protect our proprietary technology and processes, we rely in part on confidentiality agreements with our collaborators, employees, consultants, outside scientific collaborators and sponsored researchers, and other advisors. These agreements may not effectively prevent disclosure of confidential information and may not provide an adequate remedy in the event of unauthorized disclosure of confidential information. In addition, others may independently discover trade secrets and proprietary information, and in such cases we could not assert any trade secret rights against such party. Costly and time-consuming litigation could be necessary to enforce and determine the scope of our proprietary rights, and failure to obtain or maintain trade secret protection could adversely affect our competitive business position.</w:t>
      </w:r>
    </w:p>
    <w:p>
      <w:pPr>
        <w:spacing w:after="0" w:line="30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not be able to effectively secure first-tier technologies when competing against other companies or investors.</w:t>
      </w:r>
    </w:p>
    <w:p>
      <w:pPr>
        <w:spacing w:after="0" w:line="117" w:lineRule="exact"/>
        <w:rPr>
          <w:sz w:val="20"/>
          <w:szCs w:val="20"/>
          <w:color w:val="auto"/>
        </w:rPr>
      </w:pPr>
    </w:p>
    <w:p>
      <w:pPr>
        <w:ind w:right="120" w:firstLine="588"/>
        <w:spacing w:after="0" w:line="255" w:lineRule="auto"/>
        <w:rPr>
          <w:sz w:val="20"/>
          <w:szCs w:val="20"/>
          <w:color w:val="auto"/>
        </w:rPr>
      </w:pPr>
      <w:r>
        <w:rPr>
          <w:rFonts w:ascii="Arial" w:cs="Arial" w:eastAsia="Arial" w:hAnsi="Arial"/>
          <w:sz w:val="18"/>
          <w:szCs w:val="18"/>
          <w:color w:val="auto"/>
        </w:rPr>
        <w:t>Our future success may require that we acquire patent rights and know-how to new or complimentary technologies. However, we compete with a substantial number of other companies that may also compete for technologies we desire. In addition, many venture capital firms and other institutional investors, as well as other pharmaceutical and biotech companies, invest in companies seeking to commercialize various types of emerging technologies. Many of these companies have greater financial, scientific and commercial resources than us. Therefore, we may not be able to secure the technologies we desire. Furthermore, should any commercial undertaking by us prove to be successful, there can be no assurance competitors with greater financial resources will not offer competitive products and/or technologies.</w:t>
      </w:r>
    </w:p>
    <w:p>
      <w:pPr>
        <w:spacing w:after="0" w:line="29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Risks Related to Our Business Model</w:t>
      </w:r>
    </w:p>
    <w:p>
      <w:pPr>
        <w:spacing w:after="0" w:line="337" w:lineRule="exact"/>
        <w:rPr>
          <w:sz w:val="20"/>
          <w:szCs w:val="20"/>
          <w:color w:val="auto"/>
        </w:rPr>
      </w:pPr>
    </w:p>
    <w:p>
      <w:pPr>
        <w:jc w:val="both"/>
        <w:spacing w:after="0" w:line="286" w:lineRule="auto"/>
        <w:rPr>
          <w:sz w:val="20"/>
          <w:szCs w:val="20"/>
          <w:color w:val="auto"/>
        </w:rPr>
      </w:pPr>
      <w:r>
        <w:rPr>
          <w:rFonts w:ascii="Arial" w:cs="Arial" w:eastAsia="Arial" w:hAnsi="Arial"/>
          <w:sz w:val="17"/>
          <w:szCs w:val="17"/>
          <w:b w:val="1"/>
          <w:bCs w:val="1"/>
          <w:i w:val="1"/>
          <w:iCs w:val="1"/>
          <w:color w:val="auto"/>
        </w:rPr>
        <w:t>Our business model assumes we will generate revenue by, among other activities, marketing or out-licensing the products we develop. Our drug candidates are in the early stages of development and because we have a short development history with both RNA interference and our delivery technologies, there is a limited amount of information about us upon which you can evaluate our business and prospects.</w:t>
      </w:r>
    </w:p>
    <w:p>
      <w:pPr>
        <w:spacing w:after="0" w:line="57" w:lineRule="exact"/>
        <w:rPr>
          <w:sz w:val="20"/>
          <w:szCs w:val="20"/>
          <w:color w:val="auto"/>
        </w:rPr>
      </w:pPr>
    </w:p>
    <w:p>
      <w:pPr>
        <w:ind w:right="220" w:firstLine="588"/>
        <w:spacing w:after="0" w:line="257" w:lineRule="auto"/>
        <w:rPr>
          <w:sz w:val="20"/>
          <w:szCs w:val="20"/>
          <w:color w:val="auto"/>
        </w:rPr>
      </w:pPr>
      <w:r>
        <w:rPr>
          <w:rFonts w:ascii="Arial" w:cs="Arial" w:eastAsia="Arial" w:hAnsi="Arial"/>
          <w:sz w:val="18"/>
          <w:szCs w:val="18"/>
          <w:color w:val="auto"/>
        </w:rPr>
        <w:t>We have no approved drugs and thus have not begun to market or generate revenues from the commercialization of any products. We have only a limited history upon which one can evaluate our RNAi therapeutic business as our drug candidates are still at an early stage of development. Thus, we have limited experience and have not yet demonstrated an ability to successfully overcome many of the risks and uncertainties frequently encountered by companies in new and rapidly evolving fields, particularly in the biopharmaceutical area. For example, to execute our business plan, we will need to successfully:</w:t>
      </w:r>
    </w:p>
    <w:p>
      <w:pPr>
        <w:spacing w:after="0" w:line="80" w:lineRule="exact"/>
        <w:rPr>
          <w:sz w:val="20"/>
          <w:szCs w:val="20"/>
          <w:color w:val="auto"/>
        </w:rPr>
      </w:pPr>
    </w:p>
    <w:p>
      <w:pPr>
        <w:ind w:left="380" w:hanging="372"/>
        <w:spacing w:after="0"/>
        <w:tabs>
          <w:tab w:leader="none" w:pos="3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Execute product development activities using unproven technologies;</w:t>
      </w:r>
    </w:p>
    <w:p>
      <w:pPr>
        <w:spacing w:after="0" w:line="360" w:lineRule="exact"/>
        <w:rPr>
          <w:rFonts w:ascii="Arial" w:cs="Arial" w:eastAsia="Arial" w:hAnsi="Arial"/>
          <w:sz w:val="18"/>
          <w:szCs w:val="18"/>
          <w:color w:val="auto"/>
        </w:rPr>
      </w:pPr>
    </w:p>
    <w:p>
      <w:pPr>
        <w:ind w:left="380" w:hanging="372"/>
        <w:spacing w:after="0"/>
        <w:tabs>
          <w:tab w:leader="none" w:pos="3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Build, maintain, and protect a strong intellectual property portfolio;</w:t>
      </w:r>
    </w:p>
    <w:p>
      <w:pPr>
        <w:spacing w:after="0" w:line="360" w:lineRule="exact"/>
        <w:rPr>
          <w:rFonts w:ascii="Arial" w:cs="Arial" w:eastAsia="Arial" w:hAnsi="Arial"/>
          <w:sz w:val="18"/>
          <w:szCs w:val="18"/>
          <w:color w:val="auto"/>
        </w:rPr>
      </w:pPr>
    </w:p>
    <w:p>
      <w:pPr>
        <w:ind w:left="380" w:hanging="372"/>
        <w:spacing w:after="0"/>
        <w:tabs>
          <w:tab w:leader="none" w:pos="3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Demonstrate safety and efficacy of our drug candidates in multiple human clinical studies;</w:t>
      </w:r>
    </w:p>
    <w:p>
      <w:pPr>
        <w:spacing w:after="0" w:line="360" w:lineRule="exact"/>
        <w:rPr>
          <w:rFonts w:ascii="Arial" w:cs="Arial" w:eastAsia="Arial" w:hAnsi="Arial"/>
          <w:sz w:val="18"/>
          <w:szCs w:val="18"/>
          <w:color w:val="auto"/>
        </w:rPr>
      </w:pPr>
    </w:p>
    <w:p>
      <w:pPr>
        <w:ind w:left="380" w:hanging="372"/>
        <w:spacing w:after="0"/>
        <w:tabs>
          <w:tab w:leader="none" w:pos="3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Receive FDA approval and approval from similar foreign regulatory bodies;</w:t>
      </w:r>
    </w:p>
    <w:p>
      <w:pPr>
        <w:spacing w:after="0" w:line="117" w:lineRule="exact"/>
        <w:rPr>
          <w:rFonts w:ascii="Arial" w:cs="Arial" w:eastAsia="Arial" w:hAnsi="Arial"/>
          <w:sz w:val="18"/>
          <w:szCs w:val="18"/>
          <w:color w:val="auto"/>
        </w:rPr>
      </w:pPr>
    </w:p>
    <w:p>
      <w:pPr>
        <w:ind w:left="380" w:hanging="372"/>
        <w:spacing w:after="0"/>
        <w:tabs>
          <w:tab w:leader="none" w:pos="3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Gain market acceptance for the development and commercialization of any drugs we develop;</w:t>
      </w:r>
    </w:p>
    <w:p>
      <w:pPr>
        <w:spacing w:after="0" w:line="360" w:lineRule="exact"/>
        <w:rPr>
          <w:rFonts w:ascii="Arial" w:cs="Arial" w:eastAsia="Arial" w:hAnsi="Arial"/>
          <w:sz w:val="18"/>
          <w:szCs w:val="18"/>
          <w:color w:val="auto"/>
        </w:rPr>
      </w:pPr>
    </w:p>
    <w:p>
      <w:pPr>
        <w:ind w:left="380" w:hanging="372"/>
        <w:spacing w:after="0"/>
        <w:tabs>
          <w:tab w:leader="none" w:pos="3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Ensure our products are reimbursed by commercial and/or government payors at a rate that permits commercial viability;</w:t>
      </w:r>
    </w:p>
    <w:p>
      <w:pPr>
        <w:spacing w:after="0" w:line="117" w:lineRule="exact"/>
        <w:rPr>
          <w:rFonts w:ascii="Arial" w:cs="Arial" w:eastAsia="Arial" w:hAnsi="Arial"/>
          <w:sz w:val="18"/>
          <w:szCs w:val="18"/>
          <w:color w:val="auto"/>
        </w:rPr>
      </w:pPr>
    </w:p>
    <w:p>
      <w:pPr>
        <w:ind w:left="380" w:hanging="372"/>
        <w:spacing w:after="0"/>
        <w:tabs>
          <w:tab w:leader="none" w:pos="3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Develop and maintain successful strategic relationships with suppliers, distributors, and commercial licensing partners;</w:t>
      </w:r>
    </w:p>
    <w:p>
      <w:pPr>
        <w:spacing w:after="0" w:line="360" w:lineRule="exact"/>
        <w:rPr>
          <w:rFonts w:ascii="Arial" w:cs="Arial" w:eastAsia="Arial" w:hAnsi="Arial"/>
          <w:sz w:val="18"/>
          <w:szCs w:val="18"/>
          <w:color w:val="auto"/>
        </w:rPr>
      </w:pPr>
    </w:p>
    <w:p>
      <w:pPr>
        <w:ind w:left="400" w:right="300" w:hanging="392"/>
        <w:spacing w:after="0" w:line="277" w:lineRule="auto"/>
        <w:tabs>
          <w:tab w:leader="none" w:pos="4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Manage our spending and cash requirements as our expenses will increase in the near term if we add programs and additional preclinical and clinical trials; and</w:t>
      </w:r>
    </w:p>
    <w:p>
      <w:pPr>
        <w:spacing w:after="0" w:line="62" w:lineRule="exact"/>
        <w:rPr>
          <w:rFonts w:ascii="Arial" w:cs="Arial" w:eastAsia="Arial" w:hAnsi="Arial"/>
          <w:sz w:val="18"/>
          <w:szCs w:val="18"/>
          <w:color w:val="auto"/>
        </w:rPr>
      </w:pPr>
    </w:p>
    <w:p>
      <w:pPr>
        <w:ind w:left="400" w:hanging="392"/>
        <w:spacing w:after="0"/>
        <w:tabs>
          <w:tab w:leader="none" w:pos="4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Effectively market any products for which we obtain marketing approval.</w:t>
      </w:r>
    </w:p>
    <w:p>
      <w:pPr>
        <w:spacing w:after="0" w:line="225" w:lineRule="exact"/>
        <w:rPr>
          <w:sz w:val="20"/>
          <w:szCs w:val="20"/>
          <w:color w:val="auto"/>
        </w:rPr>
      </w:pPr>
    </w:p>
    <w:p>
      <w:pPr>
        <w:ind w:right="140" w:firstLine="588"/>
        <w:spacing w:after="0" w:line="277" w:lineRule="auto"/>
        <w:rPr>
          <w:sz w:val="20"/>
          <w:szCs w:val="20"/>
          <w:color w:val="auto"/>
        </w:rPr>
      </w:pPr>
      <w:r>
        <w:rPr>
          <w:rFonts w:ascii="Arial" w:cs="Arial" w:eastAsia="Arial" w:hAnsi="Arial"/>
          <w:sz w:val="18"/>
          <w:szCs w:val="18"/>
          <w:color w:val="auto"/>
        </w:rPr>
        <w:t>If we are unsuccessful in accomplishing these objectives, we may not be able to develop products, raise capital, expand our business or continue our operations.</w:t>
      </w:r>
    </w:p>
    <w:p>
      <w:pPr>
        <w:spacing w:after="0" w:line="62"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b w:val="1"/>
          <w:bCs w:val="1"/>
          <w:i w:val="1"/>
          <w:iCs w:val="1"/>
          <w:color w:val="auto"/>
        </w:rPr>
        <w:t>We will need to establish additional relationships with strategic and development partners to fully develop our drug candidates and market any approved products.</w:t>
      </w:r>
    </w:p>
    <w:p>
      <w:pPr>
        <w:spacing w:after="0" w:line="62" w:lineRule="exact"/>
        <w:rPr>
          <w:sz w:val="20"/>
          <w:szCs w:val="20"/>
          <w:color w:val="auto"/>
        </w:rPr>
      </w:pPr>
    </w:p>
    <w:p>
      <w:pPr>
        <w:ind w:firstLine="588"/>
        <w:spacing w:after="0" w:line="293" w:lineRule="auto"/>
        <w:rPr>
          <w:sz w:val="20"/>
          <w:szCs w:val="20"/>
          <w:color w:val="auto"/>
        </w:rPr>
      </w:pPr>
      <w:r>
        <w:rPr>
          <w:rFonts w:ascii="Arial" w:cs="Arial" w:eastAsia="Arial" w:hAnsi="Arial"/>
          <w:sz w:val="16"/>
          <w:szCs w:val="16"/>
          <w:color w:val="auto"/>
        </w:rPr>
        <w:t>During fiscal year 2016, we entered into two collaboration and license agreements with Amgen. Our business strategy includes obtaining additional collaborations with other pharmaceutical and biotech companies to support the development of our therapeutic siRNA and other drug candidates. We do not possess all of the financial and development resources necessary to develop and commercialize products that may result from our technologies. Unless we expand our product development capacity and enhance our internal marketing capability, we may need to make appropriate arrangements with strategic partners to develop and commercialize any drug candidates that may be approved. We may not be able to attract such partners, and even if we are able to enter into such partnerships, the terms may be less favorable than anticipated. Further, entering into partnership agreements may limit our</w:t>
      </w:r>
    </w:p>
    <w:p>
      <w:pPr>
        <w:sectPr>
          <w:pgSz w:w="11900" w:h="16838" w:orient="portrait"/>
          <w:cols w:equalWidth="0" w:num="1">
            <w:col w:w="11420"/>
          </w:cols>
          <w:pgMar w:left="240" w:top="449" w:right="239" w:bottom="1440" w:gutter="0" w:footer="0" w:header="0"/>
        </w:sectPr>
      </w:pP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289165"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449" w:right="239" w:bottom="1440" w:gutter="0" w:footer="0" w:header="0"/>
          <w:type w:val="continuous"/>
        </w:sectPr>
      </w:pPr>
    </w:p>
    <w:bookmarkStart w:id="30" w:name="page31"/>
    <w:bookmarkEnd w:id="30"/>
    <w:p>
      <w:pPr>
        <w:ind w:right="80"/>
        <w:spacing w:after="0" w:line="276" w:lineRule="auto"/>
        <w:rPr>
          <w:sz w:val="20"/>
          <w:szCs w:val="20"/>
          <w:color w:val="auto"/>
        </w:rPr>
      </w:pPr>
      <w:r>
        <w:rPr>
          <w:rFonts w:ascii="Arial" w:cs="Arial" w:eastAsia="Arial" w:hAnsi="Arial"/>
          <w:sz w:val="17"/>
          <w:szCs w:val="17"/>
          <w:color w:val="auto"/>
        </w:rPr>
        <w:t>commercialization options and/or require us to share revenues and profits with our partners. If we do not find appropriate partners, or if our existing arrangements or future agreements are not successful, our ability to develop and commercialize products could be adversely affected. Even if we are able to find collaborative partners, the overall success of the development and commercialization of product candidates in those programs will depend largely on the efforts of other parties and will be beyond our control. In addition, in the event we pursue our commercialization strategy through collaboration or licenses to third parties, there are a variety of technical, business and legal risks, including:</w:t>
      </w:r>
    </w:p>
    <w:p>
      <w:pPr>
        <w:spacing w:after="0" w:line="105" w:lineRule="exact"/>
        <w:rPr>
          <w:sz w:val="20"/>
          <w:szCs w:val="20"/>
          <w:color w:val="auto"/>
        </w:rPr>
      </w:pPr>
    </w:p>
    <w:p>
      <w:pPr>
        <w:ind w:left="380" w:right="700" w:hanging="372"/>
        <w:spacing w:after="0" w:line="277" w:lineRule="auto"/>
        <w:tabs>
          <w:tab w:leader="none" w:pos="3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We may not be able to control the amount and timing of resources that our collaborators may be willing or able to devote to the development or commercialization of our drug candidates or to their marketing and distribution; and</w:t>
      </w:r>
    </w:p>
    <w:p>
      <w:pPr>
        <w:spacing w:after="0" w:line="305" w:lineRule="exact"/>
        <w:rPr>
          <w:rFonts w:ascii="Arial" w:cs="Arial" w:eastAsia="Arial" w:hAnsi="Arial"/>
          <w:sz w:val="18"/>
          <w:szCs w:val="18"/>
          <w:color w:val="auto"/>
        </w:rPr>
      </w:pPr>
    </w:p>
    <w:p>
      <w:pPr>
        <w:ind w:left="380" w:right="340" w:hanging="372"/>
        <w:spacing w:after="0" w:line="277" w:lineRule="auto"/>
        <w:tabs>
          <w:tab w:leader="none" w:pos="3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Disputes may arise between us and our collaborators that result in the delay or termination of the research, development or commercialization of our drug candidates or that result in costly litigation or arbitration that diverts our management’s resources.</w:t>
      </w:r>
    </w:p>
    <w:p>
      <w:pPr>
        <w:spacing w:after="0" w:line="170" w:lineRule="exact"/>
        <w:rPr>
          <w:sz w:val="20"/>
          <w:szCs w:val="20"/>
          <w:color w:val="auto"/>
        </w:rPr>
      </w:pPr>
    </w:p>
    <w:p>
      <w:pPr>
        <w:ind w:right="200" w:firstLine="588"/>
        <w:spacing w:after="0" w:line="277" w:lineRule="auto"/>
        <w:rPr>
          <w:sz w:val="20"/>
          <w:szCs w:val="20"/>
          <w:color w:val="auto"/>
        </w:rPr>
      </w:pPr>
      <w:r>
        <w:rPr>
          <w:rFonts w:ascii="Arial" w:cs="Arial" w:eastAsia="Arial" w:hAnsi="Arial"/>
          <w:sz w:val="18"/>
          <w:szCs w:val="18"/>
          <w:color w:val="auto"/>
        </w:rPr>
        <w:t>The occurrence of any of the above events or other related events could impair our ability to generate revenues and harm our business and financial condition.</w:t>
      </w:r>
    </w:p>
    <w:p>
      <w:pPr>
        <w:spacing w:after="0" w:line="279" w:lineRule="exact"/>
        <w:rPr>
          <w:sz w:val="20"/>
          <w:szCs w:val="20"/>
          <w:color w:val="auto"/>
        </w:rPr>
      </w:pPr>
    </w:p>
    <w:p>
      <w:pPr>
        <w:ind w:right="820"/>
        <w:spacing w:after="0" w:line="308" w:lineRule="auto"/>
        <w:rPr>
          <w:sz w:val="20"/>
          <w:szCs w:val="20"/>
          <w:color w:val="auto"/>
        </w:rPr>
      </w:pPr>
      <w:r>
        <w:rPr>
          <w:rFonts w:ascii="Arial" w:cs="Arial" w:eastAsia="Arial" w:hAnsi="Arial"/>
          <w:sz w:val="17"/>
          <w:szCs w:val="17"/>
          <w:b w:val="1"/>
          <w:bCs w:val="1"/>
          <w:i w:val="1"/>
          <w:iCs w:val="1"/>
          <w:color w:val="auto"/>
        </w:rPr>
        <w:t>We may lose a considerable amount of control over our intellectual property and may not receive anticipated revenues in strategic transactions, particularly where the consideration is contingent on the achievement of development or sales milestones.</w:t>
      </w:r>
    </w:p>
    <w:p>
      <w:pPr>
        <w:spacing w:after="0" w:line="38" w:lineRule="exact"/>
        <w:rPr>
          <w:sz w:val="20"/>
          <w:szCs w:val="20"/>
          <w:color w:val="auto"/>
        </w:rPr>
      </w:pPr>
    </w:p>
    <w:p>
      <w:pPr>
        <w:jc w:val="both"/>
        <w:ind w:right="440" w:firstLine="665"/>
        <w:spacing w:after="0" w:line="264" w:lineRule="auto"/>
        <w:rPr>
          <w:sz w:val="20"/>
          <w:szCs w:val="20"/>
          <w:color w:val="auto"/>
        </w:rPr>
      </w:pPr>
      <w:r>
        <w:rPr>
          <w:rFonts w:ascii="Arial" w:cs="Arial" w:eastAsia="Arial" w:hAnsi="Arial"/>
          <w:sz w:val="18"/>
          <w:szCs w:val="18"/>
          <w:color w:val="auto"/>
        </w:rPr>
        <w:t>Our business model has been to develop new technologies and to utilize the intellectual property created through the research and development process to develop commercially successful products. If the acquirers of our technologies fail to achieve performance milestones, we may not receive a significant portion of the total value of any sale, license or other strategic transaction.</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will need to achieve commercial acceptance of our drug candidates to generate revenues and achieve profitability.</w:t>
      </w:r>
    </w:p>
    <w:p>
      <w:pPr>
        <w:spacing w:after="0" w:line="117" w:lineRule="exact"/>
        <w:rPr>
          <w:sz w:val="20"/>
          <w:szCs w:val="20"/>
          <w:color w:val="auto"/>
        </w:rPr>
      </w:pPr>
    </w:p>
    <w:p>
      <w:pPr>
        <w:ind w:right="60" w:firstLine="588"/>
        <w:spacing w:after="0" w:line="270" w:lineRule="auto"/>
        <w:rPr>
          <w:sz w:val="20"/>
          <w:szCs w:val="20"/>
          <w:color w:val="auto"/>
        </w:rPr>
      </w:pPr>
      <w:r>
        <w:rPr>
          <w:rFonts w:ascii="Arial" w:cs="Arial" w:eastAsia="Arial" w:hAnsi="Arial"/>
          <w:sz w:val="17"/>
          <w:szCs w:val="17"/>
          <w:color w:val="auto"/>
        </w:rPr>
        <w:t>Even if our research and development efforts yield technologically feasible applications, we may not successfully develop commercial products. Drug development takes years of study in human clinical trials prior to regulatory approval, and, even if we are successful, it may not be on a timely basis. During our drug development period, superior competitive technologies may be introduced which could diminish or extinguish the potential commercial uses for our drug candidates. Additionally, the degree to which the medical community and consumers will adopt any product we develop is uncertain. The rate and degree of market acceptance of our products will depend on a number of factors, including the establishment and demonstration in the medical community of the clinical efficacy and safety of our products, their potential advantage over alternative treatments, and the costs to patients and third-party payors, including insurance companies and Medicare. Recent efforts in the United States and abroad to reduce overall healthcare spending has put significant pressure on the price of prescription drugs and certain companies have been publicly criticized for the relatively high cost of their therapies. These pressures may force us to sell any approved drugs at a lower price than we or analysts may anticipate, or may result in lower levels of reimbursement and coverage from third parties.</w:t>
      </w:r>
    </w:p>
    <w:p>
      <w:pPr>
        <w:spacing w:after="0" w:line="178" w:lineRule="exact"/>
        <w:rPr>
          <w:sz w:val="20"/>
          <w:szCs w:val="20"/>
          <w:color w:val="auto"/>
        </w:rPr>
      </w:pPr>
    </w:p>
    <w:p>
      <w:pPr>
        <w:ind w:right="420" w:firstLine="588"/>
        <w:spacing w:after="0" w:line="257" w:lineRule="auto"/>
        <w:rPr>
          <w:sz w:val="20"/>
          <w:szCs w:val="20"/>
          <w:color w:val="auto"/>
        </w:rPr>
      </w:pPr>
      <w:r>
        <w:rPr>
          <w:rFonts w:ascii="Arial" w:cs="Arial" w:eastAsia="Arial" w:hAnsi="Arial"/>
          <w:sz w:val="18"/>
          <w:szCs w:val="18"/>
          <w:color w:val="auto"/>
        </w:rPr>
        <w:t>We cannot predict whether significant commercial market acceptance for our products, if approved, will ever develop, and we cannot reliably estimate the projected size of any such potential market. Our revenue growth and achievement of profitability will depend substantially on our ability to introduce products that will be accepted by the medical community. If we are unable to cost-effectively achieve acceptance of our technology among the medical establishment and patients, or if the associated products do not achieve wide market acceptance, our business will be materially and adversely affected.</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rely on outside sources for various components and processes for our products.</w:t>
      </w:r>
    </w:p>
    <w:p>
      <w:pPr>
        <w:spacing w:after="0" w:line="117" w:lineRule="exact"/>
        <w:rPr>
          <w:sz w:val="20"/>
          <w:szCs w:val="20"/>
          <w:color w:val="auto"/>
        </w:rPr>
      </w:pPr>
    </w:p>
    <w:p>
      <w:pPr>
        <w:ind w:right="20" w:firstLine="588"/>
        <w:spacing w:after="0" w:line="293" w:lineRule="auto"/>
        <w:rPr>
          <w:sz w:val="20"/>
          <w:szCs w:val="20"/>
          <w:color w:val="auto"/>
        </w:rPr>
      </w:pPr>
      <w:r>
        <w:rPr>
          <w:rFonts w:ascii="Arial" w:cs="Arial" w:eastAsia="Arial" w:hAnsi="Arial"/>
          <w:sz w:val="16"/>
          <w:szCs w:val="16"/>
          <w:color w:val="auto"/>
        </w:rPr>
        <w:t>We rely on third parties for various components and processes for our product candidates. We may not be able to achieve multiple sourcing because there may be no acceptable second source, other companies may choose not to work with us, or the component or process sought may be so new that a second source does not exist, or does not exist on acceptable terms. There may be a disruption or delay in the performance of our third-party contractors, suppliers or collaborators which is beyond our control. If such third parties are unable to satisfy their commitments to us, the development of our products would be adversely affected. Therefore, it is possible that our development plans will have to be slowed down or stopped completely at times due to our inability to obtain required raw materials, components, and outsourced processes at an acceptable cost, if at all, or to get a timely response from vendors.</w:t>
      </w:r>
    </w:p>
    <w:p>
      <w:pPr>
        <w:spacing w:after="0" w:line="354" w:lineRule="exact"/>
        <w:rPr>
          <w:sz w:val="20"/>
          <w:szCs w:val="20"/>
          <w:color w:val="auto"/>
        </w:rPr>
      </w:pPr>
    </w:p>
    <w:p>
      <w:pPr>
        <w:spacing w:after="0" w:line="342" w:lineRule="auto"/>
        <w:rPr>
          <w:sz w:val="20"/>
          <w:szCs w:val="20"/>
          <w:color w:val="auto"/>
        </w:rPr>
      </w:pPr>
      <w:r>
        <w:rPr>
          <w:rFonts w:ascii="Arial" w:cs="Arial" w:eastAsia="Arial" w:hAnsi="Arial"/>
          <w:sz w:val="16"/>
          <w:szCs w:val="16"/>
          <w:b w:val="1"/>
          <w:bCs w:val="1"/>
          <w:i w:val="1"/>
          <w:iCs w:val="1"/>
          <w:color w:val="auto"/>
        </w:rPr>
        <w:t>We have limited manufacturing capability and must rely on third-party manufacturers to manufacture our clinical supplies and commercial products, if and when approved, and if they fail to meet their obligations, the development and commercialization of our products could be adversely affected.</w:t>
      </w:r>
    </w:p>
    <w:p>
      <w:pPr>
        <w:spacing w:after="0" w:line="16" w:lineRule="exact"/>
        <w:rPr>
          <w:sz w:val="20"/>
          <w:szCs w:val="20"/>
          <w:color w:val="auto"/>
        </w:rPr>
      </w:pPr>
    </w:p>
    <w:p>
      <w:pPr>
        <w:ind w:right="60" w:firstLine="588"/>
        <w:spacing w:after="0" w:line="259" w:lineRule="auto"/>
        <w:rPr>
          <w:sz w:val="20"/>
          <w:szCs w:val="20"/>
          <w:color w:val="auto"/>
        </w:rPr>
      </w:pPr>
      <w:r>
        <w:rPr>
          <w:rFonts w:ascii="Arial" w:cs="Arial" w:eastAsia="Arial" w:hAnsi="Arial"/>
          <w:sz w:val="18"/>
          <w:szCs w:val="18"/>
          <w:color w:val="auto"/>
        </w:rPr>
        <w:t>We have limited manufacturing capabilities and experience. Our drug candidates are composed of multiple components and require specialized formulations for which scale-up and manufacturing could be difficult. We have limited experience in such scale-up and manufacturing requiring us to depend on a limited number of third parties, who may not be able to deliver in a timely manner, or at all. In order to develop products, apply for regulatory approvals, and commercialize our products, we will need to develop, contract</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233" w:right="239" w:bottom="1440" w:gutter="0" w:footer="0" w:header="0"/>
        </w:sectPr>
      </w:pPr>
    </w:p>
    <w:bookmarkStart w:id="31" w:name="page32"/>
    <w:bookmarkEnd w:id="31"/>
    <w:p>
      <w:pPr>
        <w:ind w:right="40"/>
        <w:spacing w:after="0" w:line="273" w:lineRule="auto"/>
        <w:rPr>
          <w:sz w:val="20"/>
          <w:szCs w:val="20"/>
          <w:color w:val="auto"/>
        </w:rPr>
      </w:pPr>
      <w:r>
        <w:rPr>
          <w:rFonts w:ascii="Arial" w:cs="Arial" w:eastAsia="Arial" w:hAnsi="Arial"/>
          <w:sz w:val="17"/>
          <w:szCs w:val="17"/>
          <w:color w:val="auto"/>
        </w:rPr>
        <w:t xml:space="preserve">for, or otherwise arrange for the necessary manufacturing capabilities. Our internal manufacturing capabilities are limited to small-scale production of material for use in </w:t>
      </w:r>
      <w:r>
        <w:rPr>
          <w:rFonts w:ascii="Arial" w:cs="Arial" w:eastAsia="Arial" w:hAnsi="Arial"/>
          <w:sz w:val="17"/>
          <w:szCs w:val="17"/>
          <w:i w:val="1"/>
          <w:iCs w:val="1"/>
          <w:color w:val="auto"/>
        </w:rPr>
        <w:t>in vitro</w:t>
      </w:r>
      <w:r>
        <w:rPr>
          <w:rFonts w:ascii="Arial" w:cs="Arial" w:eastAsia="Arial" w:hAnsi="Arial"/>
          <w:sz w:val="17"/>
          <w:szCs w:val="17"/>
          <w:color w:val="auto"/>
        </w:rPr>
        <w:t xml:space="preserve"> and </w:t>
      </w:r>
      <w:r>
        <w:rPr>
          <w:rFonts w:ascii="Arial" w:cs="Arial" w:eastAsia="Arial" w:hAnsi="Arial"/>
          <w:sz w:val="17"/>
          <w:szCs w:val="17"/>
          <w:i w:val="1"/>
          <w:iCs w:val="1"/>
          <w:color w:val="auto"/>
        </w:rPr>
        <w:t>in vivo</w:t>
      </w:r>
      <w:r>
        <w:rPr>
          <w:rFonts w:ascii="Arial" w:cs="Arial" w:eastAsia="Arial" w:hAnsi="Arial"/>
          <w:sz w:val="17"/>
          <w:szCs w:val="17"/>
          <w:color w:val="auto"/>
        </w:rPr>
        <w:t xml:space="preserve"> experiments that is not required to be produced under cGMP standards beyond those applicable to active pharmaceutical ingredients used in phase 1 studies. There are a limited number of manufacturers that supply synthetic siRNAs. There are risks inherent in pharmaceutical manufacturing that could affect the ability of our contract manufacturers to meet our delivery time requirements or provide adequate amounts of material to meet our needs. Included in these risks are synthesis and purification failures and contamination during the manufacturing process, which could result in unusable product and cause delays in our development process, as well as additional expense to us.</w:t>
      </w:r>
    </w:p>
    <w:p>
      <w:pPr>
        <w:spacing w:after="0" w:line="178" w:lineRule="exact"/>
        <w:rPr>
          <w:sz w:val="20"/>
          <w:szCs w:val="20"/>
          <w:color w:val="auto"/>
        </w:rPr>
      </w:pPr>
    </w:p>
    <w:p>
      <w:pPr>
        <w:ind w:right="80" w:firstLine="588"/>
        <w:spacing w:after="0" w:line="288" w:lineRule="auto"/>
        <w:rPr>
          <w:sz w:val="20"/>
          <w:szCs w:val="20"/>
          <w:color w:val="auto"/>
        </w:rPr>
      </w:pPr>
      <w:r>
        <w:rPr>
          <w:rFonts w:ascii="Arial" w:cs="Arial" w:eastAsia="Arial" w:hAnsi="Arial"/>
          <w:sz w:val="16"/>
          <w:szCs w:val="16"/>
          <w:color w:val="auto"/>
        </w:rPr>
        <w:t>Additionally, our product candidates have not yet been manufactured for commercial use. If any of our product candidates become approved for commercial sale, we will need to establish either internal or third-party manufacturing capacity. Manufacturing partner requirements may require us to fund capital improvements, perhaps on behalf of third parties, to support the scale-up of manufacturing and related activities. We may not be able to establish scaled manufacturing capacity for an approved product in a timely or economic manner, if at all. If we or our third party manufacturers are unable to provide commercial quantities of such an approved product, we will have to successfully transfer manufacturing technology to a different manufacturer. Engaging a new manufacturer for such an approved product could require us to conduct comparative studies or utilize other means to determine bioequivalence of the new and prior manufacturers’ products, which could delay or prevent our ability to commercialize such an approved product. If we or any of these manufacturers is unable or unwilling to increase its manufacturing capacity or if we are unable to establish alternative arrangements on a timely basis or on acceptable terms, the development and commercialization of such an approved product may be delayed or there may be a shortage in supply. Any inability to manufacture our product candidates or future approved drugs in sufficient quantities when needed would seriously harm our business.</w:t>
      </w:r>
    </w:p>
    <w:p>
      <w:pPr>
        <w:spacing w:after="0" w:line="169" w:lineRule="exact"/>
        <w:rPr>
          <w:sz w:val="20"/>
          <w:szCs w:val="20"/>
          <w:color w:val="auto"/>
        </w:rPr>
      </w:pPr>
    </w:p>
    <w:p>
      <w:pPr>
        <w:ind w:right="80" w:firstLine="588"/>
        <w:spacing w:after="0" w:line="255" w:lineRule="auto"/>
        <w:rPr>
          <w:sz w:val="20"/>
          <w:szCs w:val="20"/>
          <w:color w:val="auto"/>
        </w:rPr>
      </w:pPr>
      <w:r>
        <w:rPr>
          <w:rFonts w:ascii="Arial" w:cs="Arial" w:eastAsia="Arial" w:hAnsi="Arial"/>
          <w:sz w:val="18"/>
          <w:szCs w:val="18"/>
          <w:color w:val="auto"/>
        </w:rPr>
        <w:t>Manufacturers of our approved products, if any, must comply with cGMP requirements enforced by the FDA and foreign health authorities through facilities inspection programs. These requirements include quality control, quality assurance, and the maintenance of records and documentation. Manufacturers of our approved products, if any, may be unable to comply with these cGMP requirements and with other FDA, state, and foreign regulatory requirements. A failure to comply with these requirements may result in fines and civil penalties, suspension of production, suspension or delay in product approval, product seizure or recall, or withdrawal of product approval. If the safety of any quantities supplied is compromised due to a manufacturer’s failure to adhere to applicable laws or for other reasons, we may not be able to obtain regulatory approval for or successfully commercialize our products, which would seriously harm our business.</w:t>
      </w:r>
    </w:p>
    <w:p>
      <w:pPr>
        <w:spacing w:after="0" w:line="297" w:lineRule="exact"/>
        <w:rPr>
          <w:sz w:val="20"/>
          <w:szCs w:val="20"/>
          <w:color w:val="auto"/>
        </w:rPr>
      </w:pPr>
    </w:p>
    <w:p>
      <w:pPr>
        <w:ind w:right="660"/>
        <w:spacing w:after="0" w:line="277" w:lineRule="auto"/>
        <w:rPr>
          <w:sz w:val="20"/>
          <w:szCs w:val="20"/>
          <w:color w:val="auto"/>
        </w:rPr>
      </w:pPr>
      <w:r>
        <w:rPr>
          <w:rFonts w:ascii="Arial" w:cs="Arial" w:eastAsia="Arial" w:hAnsi="Arial"/>
          <w:sz w:val="18"/>
          <w:szCs w:val="18"/>
          <w:b w:val="1"/>
          <w:bCs w:val="1"/>
          <w:i w:val="1"/>
          <w:iCs w:val="1"/>
          <w:color w:val="auto"/>
        </w:rPr>
        <w:t>We rely on third parties to conduct our clinical trials, and if they fail to fulfill their obligations, the development of our products may be adversely affected.</w:t>
      </w:r>
    </w:p>
    <w:p>
      <w:pPr>
        <w:spacing w:after="0" w:line="62" w:lineRule="exact"/>
        <w:rPr>
          <w:sz w:val="20"/>
          <w:szCs w:val="20"/>
          <w:color w:val="auto"/>
        </w:rPr>
      </w:pPr>
    </w:p>
    <w:p>
      <w:pPr>
        <w:ind w:firstLine="588"/>
        <w:spacing w:after="0" w:line="291" w:lineRule="auto"/>
        <w:rPr>
          <w:sz w:val="20"/>
          <w:szCs w:val="20"/>
          <w:color w:val="auto"/>
        </w:rPr>
      </w:pPr>
      <w:r>
        <w:rPr>
          <w:rFonts w:ascii="Arial" w:cs="Arial" w:eastAsia="Arial" w:hAnsi="Arial"/>
          <w:sz w:val="16"/>
          <w:szCs w:val="16"/>
          <w:color w:val="auto"/>
        </w:rPr>
        <w:t>We rely on independent clinical investigators, contract research organizations and other third party service providers to assist us in managing, monitoring and otherwise carrying out our clinical trials. We contract with certain third-parties to provide certain services, including site selection, enrollment, monitoring and data management services. Although we depend heavily on these parties, we do not control them and therefore we cannot be assured that these third-parties will adequately perform all of their contractual obligations to us. If our third party service providers cannot adequately and timely fulfill their obligations to us, or if the quality and accuracy of our clinical trial data is compromised due to failure by such third parties to adhere to our protocols or regulatory requirements or if such third-parties otherwise fail to meet deadlines, our development plans may be delayed or terminated. Further, if clinical study results are compromised, then we may need to repeat the affected studies, which could result in significant additional costs and delays to us.</w:t>
      </w:r>
    </w:p>
    <w:p>
      <w:pPr>
        <w:spacing w:after="0" w:line="383" w:lineRule="exact"/>
        <w:rPr>
          <w:sz w:val="20"/>
          <w:szCs w:val="20"/>
          <w:color w:val="auto"/>
        </w:rPr>
      </w:pPr>
    </w:p>
    <w:p>
      <w:pPr>
        <w:ind w:right="720"/>
        <w:spacing w:after="0" w:line="277" w:lineRule="auto"/>
        <w:rPr>
          <w:sz w:val="20"/>
          <w:szCs w:val="20"/>
          <w:color w:val="auto"/>
        </w:rPr>
      </w:pPr>
      <w:r>
        <w:rPr>
          <w:rFonts w:ascii="Arial" w:cs="Arial" w:eastAsia="Arial" w:hAnsi="Arial"/>
          <w:sz w:val="18"/>
          <w:szCs w:val="18"/>
          <w:b w:val="1"/>
          <w:bCs w:val="1"/>
          <w:i w:val="1"/>
          <w:iCs w:val="1"/>
          <w:color w:val="auto"/>
        </w:rPr>
        <w:t>We face competition from various entities including large pharmaceutical companies, small biotech companies, private companies, and research institutions.</w:t>
      </w:r>
    </w:p>
    <w:p>
      <w:pPr>
        <w:spacing w:after="0" w:line="62" w:lineRule="exact"/>
        <w:rPr>
          <w:sz w:val="20"/>
          <w:szCs w:val="20"/>
          <w:color w:val="auto"/>
        </w:rPr>
      </w:pPr>
    </w:p>
    <w:p>
      <w:pPr>
        <w:ind w:right="180" w:firstLine="588"/>
        <w:spacing w:after="0" w:line="276" w:lineRule="auto"/>
        <w:rPr>
          <w:sz w:val="20"/>
          <w:szCs w:val="20"/>
          <w:color w:val="auto"/>
        </w:rPr>
      </w:pPr>
      <w:r>
        <w:rPr>
          <w:rFonts w:ascii="Arial" w:cs="Arial" w:eastAsia="Arial" w:hAnsi="Arial"/>
          <w:sz w:val="17"/>
          <w:szCs w:val="17"/>
          <w:color w:val="auto"/>
        </w:rPr>
        <w:t>Many of our competitors have greater financial resources and may have more experience in research and development, manufacturing, managing clinical trials and/or regulatory compliance than we do. Our competitors may compete with us for lead clinical trial investigators, clinical trial site locations and patient enrollment. These competitors may also compete with us on recruiting scientific and management personnel. Because our products are in the early stages of development, along with many of the competing products, and given unpredictability inherent in drug development, it is difficult to predict which third parties may provide the most competition, and on what specific basis that competition may be based.</w:t>
      </w:r>
    </w:p>
    <w:p>
      <w:pPr>
        <w:spacing w:after="0" w:line="281"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b w:val="1"/>
          <w:bCs w:val="1"/>
          <w:i w:val="1"/>
          <w:iCs w:val="1"/>
          <w:color w:val="auto"/>
        </w:rPr>
        <w:t>We may have difficulty expanding our operations successfully as we evolve from a company primarily involved in discovery and pre-clinical testing into one that develops and commercializes drugs.</w:t>
      </w:r>
    </w:p>
    <w:p>
      <w:pPr>
        <w:spacing w:after="0" w:line="62" w:lineRule="exact"/>
        <w:rPr>
          <w:sz w:val="20"/>
          <w:szCs w:val="20"/>
          <w:color w:val="auto"/>
        </w:rPr>
      </w:pPr>
    </w:p>
    <w:p>
      <w:pPr>
        <w:ind w:firstLine="588"/>
        <w:spacing w:after="0" w:line="259" w:lineRule="auto"/>
        <w:rPr>
          <w:sz w:val="20"/>
          <w:szCs w:val="20"/>
          <w:color w:val="auto"/>
        </w:rPr>
      </w:pPr>
      <w:r>
        <w:rPr>
          <w:rFonts w:ascii="Arial" w:cs="Arial" w:eastAsia="Arial" w:hAnsi="Arial"/>
          <w:sz w:val="18"/>
          <w:szCs w:val="18"/>
          <w:color w:val="auto"/>
        </w:rPr>
        <w:t>We expect that as we increase the number of product candidates we are developing we will also need to expand our operations. This expected growth may place a strain on our administrative and operational infrastructure. As product candidates we develop enter and advance through clinical trials, we will need to expand our development, regulatory, manufacturing, marketing, and sales capabilities or contract with other organizations to provide these capabilities for us. As our operations expand due to our development</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233" w:right="239" w:bottom="1440" w:gutter="0" w:footer="0" w:header="0"/>
        </w:sectPr>
      </w:pPr>
    </w:p>
    <w:bookmarkStart w:id="32" w:name="page33"/>
    <w:bookmarkEnd w:id="32"/>
    <w:p>
      <w:pPr>
        <w:ind w:right="60"/>
        <w:spacing w:after="0" w:line="259" w:lineRule="auto"/>
        <w:rPr>
          <w:sz w:val="20"/>
          <w:szCs w:val="20"/>
          <w:color w:val="auto"/>
        </w:rPr>
      </w:pPr>
      <w:r>
        <w:rPr>
          <w:rFonts w:ascii="Arial" w:cs="Arial" w:eastAsia="Arial" w:hAnsi="Arial"/>
          <w:sz w:val="18"/>
          <w:szCs w:val="18"/>
          <w:color w:val="auto"/>
        </w:rPr>
        <w:t>progress, we expect that we will need to manage additional relationships with various collaborators, suppliers, and other organizations. Our ability to manage our operations and future growth will require us to continue to improve our operational, financial and management controls, reporting systems and procedures. We may not be able to implement improvements to our management information and control systems in an efficient or timely manner and may discover deficiencies in existing systems and controls.</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business and operations could suffer in the event of information technology system failures.</w:t>
      </w:r>
    </w:p>
    <w:p>
      <w:pPr>
        <w:spacing w:after="0" w:line="117" w:lineRule="exact"/>
        <w:rPr>
          <w:sz w:val="20"/>
          <w:szCs w:val="20"/>
          <w:color w:val="auto"/>
        </w:rPr>
      </w:pPr>
    </w:p>
    <w:p>
      <w:pPr>
        <w:ind w:right="80" w:firstLine="588"/>
        <w:spacing w:after="0" w:line="273" w:lineRule="auto"/>
        <w:rPr>
          <w:sz w:val="20"/>
          <w:szCs w:val="20"/>
          <w:color w:val="auto"/>
        </w:rPr>
      </w:pPr>
      <w:r>
        <w:rPr>
          <w:rFonts w:ascii="Arial" w:cs="Arial" w:eastAsia="Arial" w:hAnsi="Arial"/>
          <w:sz w:val="17"/>
          <w:szCs w:val="17"/>
          <w:color w:val="auto"/>
        </w:rPr>
        <w:t>Our internal computer systems and those of our contractors and consultants are vulnerable to damage from computer viruses, unauthorized access, natural disasters, terrorism, war, and telecommunication and electrical failures. Such events could cause interruption of our operations and loss of intellectual property. For example, the loss of pre-clinical trial data or data from completed or ongoing clinical trials for our product candidates could result in delays in our regulatory filings and development efforts and significantly increase our costs. To the extent that any disruption or security breach were to result in a loss of or damage to our data, or inappropriate disclosure of confidential, proprietary or private information, we could incur liability, we could lose valuable trade secret rights, and the development of our product candidates could be delayed.</w:t>
      </w:r>
    </w:p>
    <w:p>
      <w:pPr>
        <w:spacing w:after="0" w:line="287"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b w:val="1"/>
          <w:bCs w:val="1"/>
          <w:i w:val="1"/>
          <w:iCs w:val="1"/>
          <w:color w:val="auto"/>
        </w:rPr>
        <w:t>If a natural or man-made disaster strikes our research and development facility or otherwise affects our business, it could delay our progress developing our product candidates.</w:t>
      </w:r>
    </w:p>
    <w:p>
      <w:pPr>
        <w:spacing w:after="0" w:line="62" w:lineRule="exact"/>
        <w:rPr>
          <w:sz w:val="20"/>
          <w:szCs w:val="20"/>
          <w:color w:val="auto"/>
        </w:rPr>
      </w:pPr>
    </w:p>
    <w:p>
      <w:pPr>
        <w:ind w:firstLine="588"/>
        <w:spacing w:after="0" w:line="255" w:lineRule="auto"/>
        <w:rPr>
          <w:sz w:val="20"/>
          <w:szCs w:val="20"/>
          <w:color w:val="auto"/>
        </w:rPr>
      </w:pPr>
      <w:r>
        <w:rPr>
          <w:rFonts w:ascii="Arial" w:cs="Arial" w:eastAsia="Arial" w:hAnsi="Arial"/>
          <w:sz w:val="18"/>
          <w:szCs w:val="18"/>
          <w:color w:val="auto"/>
        </w:rPr>
        <w:t>We conduct research and development in a facility in Madison, Wisconsin. The facilities and the equipment we use are costly to replace and require substantial lead time to repair or replace. Our facilities may be harmed by natural or man-made disasters, including, without limitation, earthquakes, floods, fires and acts of terrorism; and if our facilities are affected by a disaster, our development efforts would be delayed. Significant delays in our development efforts could materially impact our ability to obtain regulatory approval and to commercialize our products. Any insurance we maintain against damage to our property and the disruption of our business due to disaster may not be sufficient to cover all of our potential losses and may not continue to be available to us on acceptable terms, or at all. In addition, our development activities could be harmed or delayed by a shutdown of the U.S. government, including the FDA.</w:t>
      </w:r>
    </w:p>
    <w:p>
      <w:pPr>
        <w:spacing w:after="0" w:line="2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Litigation claims may result in financial losses or harm our reputation and may divert management resources.</w:t>
      </w:r>
    </w:p>
    <w:p>
      <w:pPr>
        <w:spacing w:after="0" w:line="117" w:lineRule="exact"/>
        <w:rPr>
          <w:sz w:val="20"/>
          <w:szCs w:val="20"/>
          <w:color w:val="auto"/>
        </w:rPr>
      </w:pPr>
    </w:p>
    <w:p>
      <w:pPr>
        <w:ind w:right="40" w:firstLine="588"/>
        <w:spacing w:after="0" w:line="271" w:lineRule="auto"/>
        <w:rPr>
          <w:sz w:val="20"/>
          <w:szCs w:val="20"/>
          <w:color w:val="auto"/>
        </w:rPr>
      </w:pPr>
      <w:r>
        <w:rPr>
          <w:rFonts w:ascii="Arial" w:cs="Arial" w:eastAsia="Arial" w:hAnsi="Arial"/>
          <w:sz w:val="17"/>
          <w:szCs w:val="17"/>
          <w:color w:val="auto"/>
        </w:rPr>
        <w:t>When the market price of a stock is volatile, holders of that stock have often initiated securities class action litigation against the company that issued the stock. Certain of our stockholders have recently brought such lawsuits against us, pursuant to which we could incur substantial costs. We cannot predict with certainty the eventual outcome of this or any other litigation, arbitration or third-party inquiry. We may not be successful in defending ourselves or asserting our rights in current or future lawsuits, investigations, or claims that have been or may be brought against us and, as a result, our business could be materially harmed. These lawsuits, arbitrations, investigations or claims may result in large judgments or settlements against us, any of which could have a negative effect on our financial performance and business. Additionally, lawsuits, arbitrations and investigations can be expensive to defend, whether or not the lawsuit, arbitration or investigation has merit, and the defense of these actions may divert the attention of our management and other resources that would otherwise be engaged in running our business.</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Risks Related to Our Financial Condition</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have a history of net losses, and we expect to continue to incur net losses and may not achieve or maintain profitability.</w:t>
      </w:r>
    </w:p>
    <w:p>
      <w:pPr>
        <w:spacing w:after="0" w:line="117" w:lineRule="exact"/>
        <w:rPr>
          <w:sz w:val="20"/>
          <w:szCs w:val="20"/>
          <w:color w:val="auto"/>
        </w:rPr>
      </w:pPr>
    </w:p>
    <w:p>
      <w:pPr>
        <w:ind w:right="240" w:firstLine="588"/>
        <w:spacing w:after="0" w:line="297" w:lineRule="auto"/>
        <w:rPr>
          <w:sz w:val="20"/>
          <w:szCs w:val="20"/>
          <w:color w:val="auto"/>
        </w:rPr>
      </w:pPr>
      <w:r>
        <w:rPr>
          <w:rFonts w:ascii="Arial" w:cs="Arial" w:eastAsia="Arial" w:hAnsi="Arial"/>
          <w:sz w:val="16"/>
          <w:szCs w:val="16"/>
          <w:color w:val="auto"/>
        </w:rPr>
        <w:t>We have incurred net losses since our inception, including net losses of $34.4 million for the fiscal year ended September 30, 2017. We expect that our operating losses will continue for the foreseeable future as we continue our drug development and discovery efforts. To achieve profitability, we must, either directly or through licensing and/or partnering relationships, meet certain milestones, successfully develop and obtain regulatory approval for one or more drug candidates and effectively manufacture, market and sell any drugs we successfully develop. Even if we successfully commercialize drug candidates that receive regulatory approval, we may not be able to realize revenues at a level that would allow us to achieve or sustain profitability.</w:t>
      </w:r>
    </w:p>
    <w:p>
      <w:pPr>
        <w:spacing w:after="0" w:line="185" w:lineRule="exact"/>
        <w:rPr>
          <w:sz w:val="20"/>
          <w:szCs w:val="20"/>
          <w:color w:val="auto"/>
        </w:rPr>
      </w:pPr>
    </w:p>
    <w:p>
      <w:pPr>
        <w:ind w:left="600"/>
        <w:spacing w:after="0"/>
        <w:rPr>
          <w:sz w:val="20"/>
          <w:szCs w:val="20"/>
          <w:color w:val="auto"/>
        </w:rPr>
      </w:pPr>
      <w:r>
        <w:rPr>
          <w:rFonts w:ascii="Arial" w:cs="Arial" w:eastAsia="Arial" w:hAnsi="Arial"/>
          <w:sz w:val="17"/>
          <w:szCs w:val="17"/>
          <w:color w:val="auto"/>
        </w:rPr>
        <w:t>Accordingly, we may never generate significant revenue and, even if we do generate significant revenue, we may never achieve profitability.</w:t>
      </w:r>
    </w:p>
    <w:p>
      <w:pPr>
        <w:spacing w:after="0" w:line="34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will require substantial additional funds to complete our research and development activities.</w:t>
      </w:r>
    </w:p>
    <w:p>
      <w:pPr>
        <w:spacing w:after="0" w:line="117" w:lineRule="exact"/>
        <w:rPr>
          <w:sz w:val="20"/>
          <w:szCs w:val="20"/>
          <w:color w:val="auto"/>
        </w:rPr>
      </w:pPr>
    </w:p>
    <w:p>
      <w:pPr>
        <w:ind w:right="120" w:firstLine="588"/>
        <w:spacing w:after="0" w:line="342" w:lineRule="auto"/>
        <w:rPr>
          <w:sz w:val="20"/>
          <w:szCs w:val="20"/>
          <w:color w:val="auto"/>
        </w:rPr>
      </w:pPr>
      <w:r>
        <w:rPr>
          <w:rFonts w:ascii="Arial" w:cs="Arial" w:eastAsia="Arial" w:hAnsi="Arial"/>
          <w:sz w:val="16"/>
          <w:szCs w:val="16"/>
          <w:color w:val="auto"/>
        </w:rPr>
        <w:t>Our business currently does not generate the cash that is necessary to finance our operations. Subject to the success of the research and development programs of our company and our partners, and potential licensing or partnering transactions, we will likely need to raise additional capital to:</w:t>
      </w:r>
    </w:p>
    <w:p>
      <w:pPr>
        <w:spacing w:after="0" w:line="16" w:lineRule="exact"/>
        <w:rPr>
          <w:sz w:val="20"/>
          <w:szCs w:val="20"/>
          <w:color w:val="auto"/>
        </w:rPr>
      </w:pPr>
    </w:p>
    <w:p>
      <w:pPr>
        <w:ind w:left="380" w:right="100" w:hanging="372"/>
        <w:spacing w:after="0" w:line="277" w:lineRule="auto"/>
        <w:tabs>
          <w:tab w:leader="none" w:pos="3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Fund research and development infrastructure and activities relating to the development of our drug candidates, including pre-clinical and clinical trials and manufacturing to support these efforts;</w:t>
      </w:r>
    </w:p>
    <w:p>
      <w:pPr>
        <w:spacing w:after="0" w:line="38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233" w:right="259" w:bottom="1440" w:gutter="0" w:footer="0" w:header="0"/>
        </w:sectPr>
      </w:pPr>
    </w:p>
    <w:bookmarkStart w:id="33" w:name="page34"/>
    <w:bookmarkEnd w:id="33"/>
    <w:p>
      <w:pPr>
        <w:ind w:left="380" w:hanging="372"/>
        <w:spacing w:after="0"/>
        <w:tabs>
          <w:tab w:leader="none" w:pos="3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Fund our general and administrative infrastructure and activities;</w:t>
      </w:r>
    </w:p>
    <w:p>
      <w:pPr>
        <w:spacing w:after="0" w:line="333" w:lineRule="exact"/>
        <w:rPr>
          <w:rFonts w:ascii="Arial" w:cs="Arial" w:eastAsia="Arial" w:hAnsi="Arial"/>
          <w:sz w:val="18"/>
          <w:szCs w:val="18"/>
          <w:color w:val="auto"/>
        </w:rPr>
      </w:pPr>
    </w:p>
    <w:p>
      <w:pPr>
        <w:ind w:left="380" w:hanging="372"/>
        <w:spacing w:after="0"/>
        <w:tabs>
          <w:tab w:leader="none" w:pos="3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Pursue business development opportunities for our technologies;</w:t>
      </w:r>
    </w:p>
    <w:p>
      <w:pPr>
        <w:spacing w:after="0" w:line="333" w:lineRule="exact"/>
        <w:rPr>
          <w:rFonts w:ascii="Arial" w:cs="Arial" w:eastAsia="Arial" w:hAnsi="Arial"/>
          <w:sz w:val="18"/>
          <w:szCs w:val="18"/>
          <w:color w:val="auto"/>
        </w:rPr>
      </w:pPr>
    </w:p>
    <w:p>
      <w:pPr>
        <w:ind w:left="380" w:hanging="372"/>
        <w:spacing w:after="0"/>
        <w:tabs>
          <w:tab w:leader="none" w:pos="3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Add to and protect our intellectual property; and</w:t>
      </w:r>
    </w:p>
    <w:p>
      <w:pPr>
        <w:spacing w:after="0" w:line="333" w:lineRule="exact"/>
        <w:rPr>
          <w:rFonts w:ascii="Arial" w:cs="Arial" w:eastAsia="Arial" w:hAnsi="Arial"/>
          <w:sz w:val="18"/>
          <w:szCs w:val="18"/>
          <w:color w:val="auto"/>
        </w:rPr>
      </w:pPr>
    </w:p>
    <w:p>
      <w:pPr>
        <w:ind w:left="380" w:hanging="372"/>
        <w:spacing w:after="0"/>
        <w:tabs>
          <w:tab w:leader="none" w:pos="3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Retain our management and technical staff.</w:t>
      </w:r>
    </w:p>
    <w:p>
      <w:pPr>
        <w:spacing w:after="0" w:line="225" w:lineRule="exact"/>
        <w:rPr>
          <w:sz w:val="20"/>
          <w:szCs w:val="20"/>
          <w:color w:val="auto"/>
        </w:rPr>
      </w:pPr>
    </w:p>
    <w:p>
      <w:pPr>
        <w:ind w:left="600"/>
        <w:spacing w:after="0"/>
        <w:rPr>
          <w:sz w:val="20"/>
          <w:szCs w:val="20"/>
          <w:color w:val="auto"/>
        </w:rPr>
      </w:pPr>
      <w:r>
        <w:rPr>
          <w:rFonts w:ascii="Arial" w:cs="Arial" w:eastAsia="Arial" w:hAnsi="Arial"/>
          <w:sz w:val="18"/>
          <w:szCs w:val="18"/>
          <w:color w:val="auto"/>
        </w:rPr>
        <w:t>Our future capital needs depend on many factors, including:</w:t>
      </w:r>
    </w:p>
    <w:p>
      <w:pPr>
        <w:spacing w:after="0" w:line="117" w:lineRule="exact"/>
        <w:rPr>
          <w:sz w:val="20"/>
          <w:szCs w:val="20"/>
          <w:color w:val="auto"/>
        </w:rPr>
      </w:pPr>
    </w:p>
    <w:p>
      <w:pPr>
        <w:ind w:left="380" w:hanging="372"/>
        <w:spacing w:after="0"/>
        <w:tabs>
          <w:tab w:leader="none" w:pos="3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scope, duration, and expenditures associated with our research and development;</w:t>
      </w:r>
    </w:p>
    <w:p>
      <w:pPr>
        <w:spacing w:after="0" w:line="333" w:lineRule="exact"/>
        <w:rPr>
          <w:rFonts w:ascii="Arial" w:cs="Arial" w:eastAsia="Arial" w:hAnsi="Arial"/>
          <w:sz w:val="18"/>
          <w:szCs w:val="18"/>
          <w:color w:val="auto"/>
        </w:rPr>
      </w:pPr>
    </w:p>
    <w:p>
      <w:pPr>
        <w:ind w:left="380" w:hanging="372"/>
        <w:spacing w:after="0"/>
        <w:tabs>
          <w:tab w:leader="none" w:pos="3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Regulatory requirements for our clinical trials;</w:t>
      </w:r>
    </w:p>
    <w:p>
      <w:pPr>
        <w:spacing w:after="0" w:line="333" w:lineRule="exact"/>
        <w:rPr>
          <w:rFonts w:ascii="Arial" w:cs="Arial" w:eastAsia="Arial" w:hAnsi="Arial"/>
          <w:sz w:val="18"/>
          <w:szCs w:val="18"/>
          <w:color w:val="auto"/>
        </w:rPr>
      </w:pPr>
    </w:p>
    <w:p>
      <w:pPr>
        <w:ind w:left="380" w:hanging="372"/>
        <w:spacing w:after="0"/>
        <w:tabs>
          <w:tab w:leader="none" w:pos="3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extent to which our R&amp;D and clinical efforts are successful;</w:t>
      </w:r>
    </w:p>
    <w:p>
      <w:pPr>
        <w:spacing w:after="0" w:line="333" w:lineRule="exact"/>
        <w:rPr>
          <w:rFonts w:ascii="Arial" w:cs="Arial" w:eastAsia="Arial" w:hAnsi="Arial"/>
          <w:sz w:val="18"/>
          <w:szCs w:val="18"/>
          <w:color w:val="auto"/>
        </w:rPr>
      </w:pPr>
    </w:p>
    <w:p>
      <w:pPr>
        <w:ind w:left="380" w:right="20" w:hanging="372"/>
        <w:spacing w:after="0" w:line="277" w:lineRule="auto"/>
        <w:tabs>
          <w:tab w:leader="none" w:pos="3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outcome of potential partnering or licensing transactions, if any, and the extent to which our business development efforts result in the acquisition of new programs or technologies;</w:t>
      </w:r>
    </w:p>
    <w:p>
      <w:pPr>
        <w:spacing w:after="0" w:line="278" w:lineRule="exact"/>
        <w:rPr>
          <w:rFonts w:ascii="Arial" w:cs="Arial" w:eastAsia="Arial" w:hAnsi="Arial"/>
          <w:sz w:val="18"/>
          <w:szCs w:val="18"/>
          <w:color w:val="auto"/>
        </w:rPr>
      </w:pPr>
    </w:p>
    <w:p>
      <w:pPr>
        <w:ind w:left="380" w:hanging="372"/>
        <w:spacing w:after="0"/>
        <w:tabs>
          <w:tab w:leader="none" w:pos="3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Competing technological developments;</w:t>
      </w:r>
    </w:p>
    <w:p>
      <w:pPr>
        <w:spacing w:after="0" w:line="333" w:lineRule="exact"/>
        <w:rPr>
          <w:rFonts w:ascii="Arial" w:cs="Arial" w:eastAsia="Arial" w:hAnsi="Arial"/>
          <w:sz w:val="18"/>
          <w:szCs w:val="18"/>
          <w:color w:val="auto"/>
        </w:rPr>
      </w:pPr>
    </w:p>
    <w:p>
      <w:pPr>
        <w:ind w:left="380" w:hanging="372"/>
        <w:spacing w:after="0"/>
        <w:tabs>
          <w:tab w:leader="none" w:pos="3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Our intellectual property positions, if any, in our products; and</w:t>
      </w:r>
    </w:p>
    <w:p>
      <w:pPr>
        <w:spacing w:after="0" w:line="333" w:lineRule="exact"/>
        <w:rPr>
          <w:rFonts w:ascii="Arial" w:cs="Arial" w:eastAsia="Arial" w:hAnsi="Arial"/>
          <w:sz w:val="18"/>
          <w:szCs w:val="18"/>
          <w:color w:val="auto"/>
        </w:rPr>
      </w:pPr>
    </w:p>
    <w:p>
      <w:pPr>
        <w:ind w:left="380" w:hanging="372"/>
        <w:spacing w:after="0"/>
        <w:tabs>
          <w:tab w:leader="none" w:pos="3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regulatory approval process and regulatory standards for our drug candidates.</w:t>
      </w:r>
    </w:p>
    <w:p>
      <w:pPr>
        <w:spacing w:after="0" w:line="333" w:lineRule="exact"/>
        <w:rPr>
          <w:sz w:val="20"/>
          <w:szCs w:val="20"/>
          <w:color w:val="auto"/>
        </w:rPr>
      </w:pPr>
    </w:p>
    <w:p>
      <w:pPr>
        <w:spacing w:after="0" w:line="288" w:lineRule="auto"/>
        <w:rPr>
          <w:sz w:val="20"/>
          <w:szCs w:val="20"/>
          <w:color w:val="auto"/>
        </w:rPr>
      </w:pPr>
      <w:r>
        <w:rPr>
          <w:rFonts w:ascii="Arial" w:cs="Arial" w:eastAsia="Arial" w:hAnsi="Arial"/>
          <w:sz w:val="16"/>
          <w:szCs w:val="16"/>
          <w:color w:val="auto"/>
        </w:rPr>
        <w:t>We will need to raise additional funds through public or private equity offerings, debt financings or additional strategic alliances and licensing arrangements in the future to continue our operations. We may not be able to obtain additional financing on terms favorable to us, if at all. General market conditions may make it very difficult for us to seek financing from the capital markets, and the terms of any financing may adversely affect the holdings or the rights of our stockholders. For example, if we raise additional funds by issuing equity securities, further dilution to our stockholders will result, which may substantially dilute the value of your investment. In addition, as a condition to providing additional funds to us, future investors may demand, and may be granted, rights superior to those of existing stockholders. Debt financing, if available, may involve restrictive covenants that could limit our flexibility in conducting future business activities and, in the event of insolvency, would be paid before holders of equity securities received any distribution of corporate assets. In order to raise additional funds through alliance, joint venture or licensing arrangements, we may be required to relinquish rights to our technologies or drug candidates, or grant licenses on terms that are not favorable to us. If adequate funds are not available, we may have to further delay, reduce or eliminate one or more of our planned activities. These actions would likely reduce the market price of our common stock.</w:t>
      </w:r>
    </w:p>
    <w:p>
      <w:pPr>
        <w:spacing w:after="0" w:line="277"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b w:val="1"/>
          <w:bCs w:val="1"/>
          <w:i w:val="1"/>
          <w:iCs w:val="1"/>
          <w:color w:val="auto"/>
        </w:rPr>
        <w:t>If the estimates we make, or the assumptions on which we rely, in preparing our consolidated financial statements prove inaccurate, our actual results may vary from those reflected in our accruals.</w:t>
      </w:r>
    </w:p>
    <w:p>
      <w:pPr>
        <w:spacing w:after="0" w:line="62" w:lineRule="exact"/>
        <w:rPr>
          <w:sz w:val="20"/>
          <w:szCs w:val="20"/>
          <w:color w:val="auto"/>
        </w:rPr>
      </w:pPr>
    </w:p>
    <w:p>
      <w:pPr>
        <w:ind w:right="60" w:firstLine="588"/>
        <w:spacing w:after="0" w:line="257" w:lineRule="auto"/>
        <w:rPr>
          <w:sz w:val="20"/>
          <w:szCs w:val="20"/>
          <w:color w:val="auto"/>
        </w:rPr>
      </w:pPr>
      <w:r>
        <w:rPr>
          <w:rFonts w:ascii="Arial" w:cs="Arial" w:eastAsia="Arial" w:hAnsi="Arial"/>
          <w:sz w:val="18"/>
          <w:szCs w:val="18"/>
          <w:color w:val="auto"/>
        </w:rPr>
        <w:t>Our consolidated financial statements have been prepared in accordance with accounting principles generally accepted in the United States of America (GAAP). The preparation of these consolidated financial statements requires us to make estimates and judgments that affect the reported amounts of our assets, liabilities, revenues and expenses, the amounts of charges accrued by us and related disclosure of contingent assets and liabilities. We base our estimates on historical experience and on various other assumptions that we believe to be reasonable under the circumstances. We cannot assure you, however, that our estimates, or the assumptions underlying them, will be correct.</w:t>
      </w:r>
    </w:p>
    <w:p>
      <w:pPr>
        <w:spacing w:after="0" w:line="296"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b w:val="1"/>
          <w:bCs w:val="1"/>
          <w:i w:val="1"/>
          <w:iCs w:val="1"/>
          <w:color w:val="auto"/>
        </w:rPr>
        <w:t>The investment of our cash, cash equivalents and fixed income marketable securities is subject to risks which may cause losses and affect the liquidity of these investments.</w:t>
      </w:r>
    </w:p>
    <w:p>
      <w:pPr>
        <w:spacing w:after="0" w:line="62" w:lineRule="exact"/>
        <w:rPr>
          <w:sz w:val="20"/>
          <w:szCs w:val="20"/>
          <w:color w:val="auto"/>
        </w:rPr>
      </w:pPr>
    </w:p>
    <w:p>
      <w:pPr>
        <w:ind w:firstLine="665"/>
        <w:spacing w:after="0" w:line="272" w:lineRule="auto"/>
        <w:rPr>
          <w:sz w:val="20"/>
          <w:szCs w:val="20"/>
          <w:color w:val="auto"/>
        </w:rPr>
      </w:pPr>
      <w:r>
        <w:rPr>
          <w:rFonts w:ascii="Arial" w:cs="Arial" w:eastAsia="Arial" w:hAnsi="Arial"/>
          <w:sz w:val="17"/>
          <w:szCs w:val="17"/>
          <w:color w:val="auto"/>
        </w:rPr>
        <w:t>At September 30, 2017, we had $40.8 million in fixed income marketable securities. These investments are in corporate bonds nearing maturity, but our investments may also include commercial paper, securities issued by the U.S. government obligations, certificates of deposit and money market funds meeting the criteria of our investment policy, which is focused on the preservation of our capital. These investments are subject to general credit, liquidity, and market and interest rate risks, particularly in the current economic environment. We may realize losses in the fair value of these investments or a complete loss of these investments, which would have a negative effect on our consolidated financial statements. In addition, should our investments cease paying or reduce the amount of interest paid to us, our interest income would suffer. The market risks associated with our investment portfolio may have an adverse effect on our results of operations, liquidity and financial condition.</w:t>
      </w:r>
    </w:p>
    <w:p>
      <w:pPr>
        <w:spacing w:after="0" w:line="28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Investment and Securities Risks</w:t>
      </w:r>
    </w:p>
    <w:p>
      <w:pPr>
        <w:sectPr>
          <w:pgSz w:w="11900" w:h="16838" w:orient="portrait"/>
          <w:cols w:equalWidth="0" w:num="1">
            <w:col w:w="11420"/>
          </w:cols>
          <w:pgMar w:left="240" w:top="125" w:right="239" w:bottom="1440" w:gutter="0" w:footer="0" w:header="0"/>
        </w:sectPr>
      </w:pP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289165"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type w:val="continuous"/>
        </w:sectPr>
      </w:pPr>
    </w:p>
    <w:bookmarkStart w:id="34" w:name="page35"/>
    <w:bookmarkEnd w:id="34"/>
    <w:p>
      <w:pPr>
        <w:ind w:right="500"/>
        <w:spacing w:after="0" w:line="277" w:lineRule="auto"/>
        <w:rPr>
          <w:sz w:val="20"/>
          <w:szCs w:val="20"/>
          <w:color w:val="auto"/>
        </w:rPr>
      </w:pPr>
      <w:r>
        <w:rPr>
          <w:rFonts w:ascii="Arial" w:cs="Arial" w:eastAsia="Arial" w:hAnsi="Arial"/>
          <w:sz w:val="18"/>
          <w:szCs w:val="18"/>
          <w:b w:val="1"/>
          <w:bCs w:val="1"/>
          <w:i w:val="1"/>
          <w:iCs w:val="1"/>
          <w:color w:val="auto"/>
        </w:rPr>
        <w:t>Our Board of Directors has adopted a rights agreement and has the authority to issue shares of “blank check” preferred stock, which may make an acquisition of the Company by another company more difficult.</w:t>
      </w:r>
    </w:p>
    <w:p>
      <w:pPr>
        <w:spacing w:after="0" w:line="62" w:lineRule="exact"/>
        <w:rPr>
          <w:sz w:val="20"/>
          <w:szCs w:val="20"/>
          <w:color w:val="auto"/>
        </w:rPr>
      </w:pPr>
    </w:p>
    <w:p>
      <w:pPr>
        <w:ind w:right="20" w:firstLine="588"/>
        <w:spacing w:after="0" w:line="271" w:lineRule="auto"/>
        <w:rPr>
          <w:sz w:val="20"/>
          <w:szCs w:val="20"/>
          <w:color w:val="auto"/>
        </w:rPr>
      </w:pPr>
      <w:r>
        <w:rPr>
          <w:rFonts w:ascii="Arial" w:cs="Arial" w:eastAsia="Arial" w:hAnsi="Arial"/>
          <w:sz w:val="17"/>
          <w:szCs w:val="17"/>
          <w:color w:val="auto"/>
        </w:rPr>
        <w:t>We have adopted and may in the future adopt certain measures that may have the effect of delaying, deferring or preventing a takeover or other change in control of the Company that a holder of our Common Stock might consider in its best interest. For example, on March 21, 2017, we entered into a rights agreement. The effect of this agreement could delay or prevent a third party from acquiring us or replacing members of our Board of Directors, or make more costly any attempt to acquire control of the Company, even if the acquisition or the board designees would be beneficial to our stockholders. Further, our Board of Directors, without further action by our stockholders, currently has the authority to issue up to 5,000,000 shares of preferred stock and to fix the rights (including voting rights), preferences and privileges of these shares (“blank check” preferred). Such preferred stock may have rights, including economic rights, senior to our Common Stock. These factors could also reduce the price that certain investors might be willing to pay for shares of our Common Stock and result in the market price being lower than it would be without these provisions.</w:t>
      </w: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do not intend to declare cash dividends on our Common Stock.</w:t>
      </w:r>
    </w:p>
    <w:p>
      <w:pPr>
        <w:spacing w:after="0" w:line="117" w:lineRule="exact"/>
        <w:rPr>
          <w:sz w:val="20"/>
          <w:szCs w:val="20"/>
          <w:color w:val="auto"/>
        </w:rPr>
      </w:pPr>
    </w:p>
    <w:p>
      <w:pPr>
        <w:ind w:right="520" w:firstLine="588"/>
        <w:spacing w:after="0" w:line="342" w:lineRule="auto"/>
        <w:rPr>
          <w:sz w:val="20"/>
          <w:szCs w:val="20"/>
          <w:color w:val="auto"/>
        </w:rPr>
      </w:pPr>
      <w:r>
        <w:rPr>
          <w:rFonts w:ascii="Arial" w:cs="Arial" w:eastAsia="Arial" w:hAnsi="Arial"/>
          <w:sz w:val="16"/>
          <w:szCs w:val="16"/>
          <w:color w:val="auto"/>
        </w:rPr>
        <w:t>We will not distribute cash to our stockholders unless and until we can develop sufficient funds from operations to meet our ongoing needs and implement our business plan. The time frame for that is unpredictable and investors should not expect dividends in the near future, if at all.</w:t>
      </w:r>
    </w:p>
    <w:p>
      <w:pPr>
        <w:spacing w:after="0" w:line="232"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b w:val="1"/>
          <w:bCs w:val="1"/>
          <w:i w:val="1"/>
          <w:iCs w:val="1"/>
          <w:color w:val="auto"/>
        </w:rPr>
        <w:t>If securities or industry analysts do not publish research reports about our business or if they make adverse recommendations regarding an investment in our stock, our stock price and trading volume may decline.</w:t>
      </w:r>
    </w:p>
    <w:p>
      <w:pPr>
        <w:spacing w:after="0" w:line="62" w:lineRule="exact"/>
        <w:rPr>
          <w:sz w:val="20"/>
          <w:szCs w:val="20"/>
          <w:color w:val="auto"/>
        </w:rPr>
      </w:pPr>
    </w:p>
    <w:p>
      <w:pPr>
        <w:ind w:firstLine="588"/>
        <w:spacing w:after="0" w:line="270" w:lineRule="auto"/>
        <w:rPr>
          <w:sz w:val="20"/>
          <w:szCs w:val="20"/>
          <w:color w:val="auto"/>
        </w:rPr>
      </w:pPr>
      <w:r>
        <w:rPr>
          <w:rFonts w:ascii="Arial" w:cs="Arial" w:eastAsia="Arial" w:hAnsi="Arial"/>
          <w:sz w:val="17"/>
          <w:szCs w:val="17"/>
          <w:color w:val="auto"/>
        </w:rPr>
        <w:t>The trading market for our Common Stock can be influenced by the research and reports that industry or securities analysts publish about our business. Currently, coverage of our Company by industry and securities analysts is limited. Investors have many investment opportunities and may limit their investments to companies that receive greater coverage from analysts. If additional industry or securities analysts do not commence coverage of the Company, the trading price of our stock could be negatively impacted. If one or more of the analysts downgrade our stock or comment negatively on our prospects, our stock price may decline. If one or more of these analysts cease to cover our industry or us or fail to publish reports about the Company regularly, our Common Stock could lose visibility in the financial markets, which could also cause our stock price or trading volume to decline. Further, incorrect judgments, estimates or assumptions made by research analysts may adversely affect our stock price, particularly if subsequent performance falls below the levels that were projected by the research analyst(s), even if we did not set or endorse such expectations. Any of these events could cause further volatility in our stock price and could result in substantial declines in the value of our stock.</w:t>
      </w:r>
    </w:p>
    <w:p>
      <w:pPr>
        <w:spacing w:after="0" w:line="290"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The market for purchases and sales of our Common Stock may be limited, and the sale of a limited number of shares could cause the price to fall sharply.</w:t>
      </w:r>
    </w:p>
    <w:p>
      <w:pPr>
        <w:spacing w:after="0" w:line="152" w:lineRule="exact"/>
        <w:rPr>
          <w:sz w:val="20"/>
          <w:szCs w:val="20"/>
          <w:color w:val="auto"/>
        </w:rPr>
      </w:pPr>
    </w:p>
    <w:p>
      <w:pPr>
        <w:ind w:right="20" w:firstLine="588"/>
        <w:spacing w:after="0" w:line="276" w:lineRule="auto"/>
        <w:rPr>
          <w:sz w:val="20"/>
          <w:szCs w:val="20"/>
          <w:color w:val="auto"/>
        </w:rPr>
      </w:pPr>
      <w:r>
        <w:rPr>
          <w:rFonts w:ascii="Arial" w:cs="Arial" w:eastAsia="Arial" w:hAnsi="Arial"/>
          <w:sz w:val="17"/>
          <w:szCs w:val="17"/>
          <w:color w:val="auto"/>
        </w:rPr>
        <w:t>Although our Common Stock is listed for trading on the NASDAQ Global Select Market, at various times our securities are relatively thinly traded. Investor trading patterns could serve to exacerbate the volatility of the price of our stock. For example, mandatory sales of our Common Stock by institutional holders could be triggered if an investment in our Common Stock no longer satisfies their investment standards and guidelines. It may be difficult to sell shares of our Common Stock quickly without significantly depressing the value of the stock. Unless we are successful in developing continued investor interest in our stock, sales of our stock could result in major fluctuations in the price of the stock.</w:t>
      </w:r>
    </w:p>
    <w:p>
      <w:pPr>
        <w:spacing w:after="0" w:line="281"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b w:val="1"/>
          <w:bCs w:val="1"/>
          <w:i w:val="1"/>
          <w:iCs w:val="1"/>
          <w:color w:val="auto"/>
        </w:rPr>
        <w:t>Our Common Stock price has fluctuated significantly over the last several years and may continue to do so in the future, without regard to our results of operations and prospects.</w:t>
      </w:r>
    </w:p>
    <w:p>
      <w:pPr>
        <w:spacing w:after="0" w:line="62" w:lineRule="exact"/>
        <w:rPr>
          <w:sz w:val="20"/>
          <w:szCs w:val="20"/>
          <w:color w:val="auto"/>
        </w:rPr>
      </w:pPr>
    </w:p>
    <w:p>
      <w:pPr>
        <w:jc w:val="both"/>
        <w:ind w:right="220" w:firstLine="588"/>
        <w:spacing w:after="0" w:line="259" w:lineRule="auto"/>
        <w:rPr>
          <w:sz w:val="20"/>
          <w:szCs w:val="20"/>
          <w:color w:val="auto"/>
        </w:rPr>
      </w:pPr>
      <w:r>
        <w:rPr>
          <w:rFonts w:ascii="Arial" w:cs="Arial" w:eastAsia="Arial" w:hAnsi="Arial"/>
          <w:sz w:val="18"/>
          <w:szCs w:val="18"/>
          <w:color w:val="auto"/>
        </w:rPr>
        <w:t>Because we are early in the stage of our drug development, there are few objective metrics by which our progress may be measured. Consequently, we expect that the market price of our Common Stock will continue to fluctuate significantly. We may not generate substantial revenue from the license or sale of our technology for several years, if at all. In the absence of product revenue as a measure of our operating performance, we anticipate that investors and market analysts will assess our performance by considering factors such as:</w:t>
      </w:r>
    </w:p>
    <w:p>
      <w:pPr>
        <w:spacing w:after="0" w:line="79" w:lineRule="exact"/>
        <w:rPr>
          <w:sz w:val="20"/>
          <w:szCs w:val="20"/>
          <w:color w:val="auto"/>
        </w:rPr>
      </w:pPr>
    </w:p>
    <w:p>
      <w:pPr>
        <w:ind w:left="380" w:hanging="372"/>
        <w:spacing w:after="0"/>
        <w:tabs>
          <w:tab w:leader="none" w:pos="3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Announcements of developments related to our business;</w:t>
      </w:r>
    </w:p>
    <w:p>
      <w:pPr>
        <w:spacing w:after="0" w:line="360" w:lineRule="exact"/>
        <w:rPr>
          <w:rFonts w:ascii="Arial" w:cs="Arial" w:eastAsia="Arial" w:hAnsi="Arial"/>
          <w:sz w:val="18"/>
          <w:szCs w:val="18"/>
          <w:color w:val="auto"/>
        </w:rPr>
      </w:pPr>
    </w:p>
    <w:p>
      <w:pPr>
        <w:ind w:left="380" w:right="420" w:hanging="372"/>
        <w:spacing w:after="0" w:line="277" w:lineRule="auto"/>
        <w:tabs>
          <w:tab w:leader="none" w:pos="3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Our ability to enter into or extend investigation phase, development phase, commercialization phase and other agreements with new and/or existing partners;</w:t>
      </w:r>
    </w:p>
    <w:p>
      <w:pPr>
        <w:spacing w:after="0" w:line="305" w:lineRule="exact"/>
        <w:rPr>
          <w:rFonts w:ascii="Arial" w:cs="Arial" w:eastAsia="Arial" w:hAnsi="Arial"/>
          <w:sz w:val="18"/>
          <w:szCs w:val="18"/>
          <w:color w:val="auto"/>
        </w:rPr>
      </w:pPr>
    </w:p>
    <w:p>
      <w:pPr>
        <w:ind w:left="380" w:hanging="372"/>
        <w:spacing w:after="0"/>
        <w:tabs>
          <w:tab w:leader="none" w:pos="3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Announcements regarding the status of any or all of our collaborations or products, including clinical trial results;</w:t>
      </w:r>
    </w:p>
    <w:p>
      <w:pPr>
        <w:spacing w:after="0" w:line="360" w:lineRule="exact"/>
        <w:rPr>
          <w:rFonts w:ascii="Arial" w:cs="Arial" w:eastAsia="Arial" w:hAnsi="Arial"/>
          <w:sz w:val="18"/>
          <w:szCs w:val="18"/>
          <w:color w:val="auto"/>
        </w:rPr>
      </w:pPr>
    </w:p>
    <w:p>
      <w:pPr>
        <w:ind w:left="380" w:hanging="372"/>
        <w:spacing w:after="0"/>
        <w:tabs>
          <w:tab w:leader="none" w:pos="3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Market perception and/or investor sentiment regarding our technology;</w:t>
      </w:r>
    </w:p>
    <w:p>
      <w:pPr>
        <w:spacing w:after="0" w:line="360" w:lineRule="exact"/>
        <w:rPr>
          <w:rFonts w:ascii="Arial" w:cs="Arial" w:eastAsia="Arial" w:hAnsi="Arial"/>
          <w:sz w:val="18"/>
          <w:szCs w:val="18"/>
          <w:color w:val="auto"/>
        </w:rPr>
      </w:pPr>
    </w:p>
    <w:p>
      <w:pPr>
        <w:ind w:left="380" w:hanging="372"/>
        <w:spacing w:after="0"/>
        <w:tabs>
          <w:tab w:leader="none" w:pos="3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Announcements of actions taken by regulatory authorities, such as the U.S. Food and Drug Administration;</w:t>
      </w:r>
    </w:p>
    <w:p>
      <w:pPr>
        <w:sectPr>
          <w:pgSz w:w="11900" w:h="16838" w:orient="portrait"/>
          <w:cols w:equalWidth="0" w:num="1">
            <w:col w:w="11420"/>
          </w:cols>
          <w:pgMar w:left="240" w:top="449" w:right="239" w:bottom="1440" w:gutter="0" w:footer="0" w:header="0"/>
        </w:sectPr>
      </w:pP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289165"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449" w:right="239" w:bottom="1440" w:gutter="0" w:footer="0" w:header="0"/>
          <w:type w:val="continuous"/>
        </w:sectPr>
      </w:pPr>
    </w:p>
    <w:bookmarkStart w:id="35" w:name="page36"/>
    <w:bookmarkEnd w:id="35"/>
    <w:p>
      <w:pPr>
        <w:ind w:left="380" w:hanging="372"/>
        <w:spacing w:after="0"/>
        <w:tabs>
          <w:tab w:leader="none" w:pos="3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Announcements regarding developments in the RNA interference or biotechnology fields in general;</w:t>
      </w:r>
    </w:p>
    <w:p>
      <w:pPr>
        <w:spacing w:after="0" w:line="360" w:lineRule="exact"/>
        <w:rPr>
          <w:rFonts w:ascii="Arial" w:cs="Arial" w:eastAsia="Arial" w:hAnsi="Arial"/>
          <w:sz w:val="18"/>
          <w:szCs w:val="18"/>
          <w:color w:val="auto"/>
        </w:rPr>
      </w:pPr>
    </w:p>
    <w:p>
      <w:pPr>
        <w:ind w:left="380" w:hanging="372"/>
        <w:spacing w:after="0"/>
        <w:tabs>
          <w:tab w:leader="none" w:pos="3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Announcements regarding clinical trial results with our products or competitors’ products;</w:t>
      </w:r>
    </w:p>
    <w:p>
      <w:pPr>
        <w:spacing w:after="0" w:line="360" w:lineRule="exact"/>
        <w:rPr>
          <w:rFonts w:ascii="Arial" w:cs="Arial" w:eastAsia="Arial" w:hAnsi="Arial"/>
          <w:sz w:val="18"/>
          <w:szCs w:val="18"/>
          <w:color w:val="auto"/>
        </w:rPr>
      </w:pPr>
    </w:p>
    <w:p>
      <w:pPr>
        <w:ind w:left="400" w:right="180" w:hanging="392"/>
        <w:spacing w:after="0" w:line="277" w:lineRule="auto"/>
        <w:tabs>
          <w:tab w:leader="none" w:pos="4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Market perception and/or announcements regarding other companies developing products in the field of biotechnology generally or specifically RNA interference;</w:t>
      </w:r>
    </w:p>
    <w:p>
      <w:pPr>
        <w:spacing w:after="0" w:line="62" w:lineRule="exact"/>
        <w:rPr>
          <w:rFonts w:ascii="Arial" w:cs="Arial" w:eastAsia="Arial" w:hAnsi="Arial"/>
          <w:sz w:val="18"/>
          <w:szCs w:val="18"/>
          <w:color w:val="auto"/>
        </w:rPr>
      </w:pPr>
    </w:p>
    <w:p>
      <w:pPr>
        <w:ind w:left="400" w:hanging="392"/>
        <w:spacing w:after="0"/>
        <w:tabs>
          <w:tab w:leader="none" w:pos="4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issuance of competitive patents or disallowance or loss of our patent rights;</w:t>
      </w:r>
    </w:p>
    <w:p>
      <w:pPr>
        <w:spacing w:after="0" w:line="360" w:lineRule="exact"/>
        <w:rPr>
          <w:rFonts w:ascii="Arial" w:cs="Arial" w:eastAsia="Arial" w:hAnsi="Arial"/>
          <w:sz w:val="18"/>
          <w:szCs w:val="18"/>
          <w:color w:val="auto"/>
        </w:rPr>
      </w:pPr>
    </w:p>
    <w:p>
      <w:pPr>
        <w:ind w:left="380" w:hanging="372"/>
        <w:spacing w:after="0"/>
        <w:tabs>
          <w:tab w:leader="none" w:pos="3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addition or departure of key executives; and</w:t>
      </w:r>
    </w:p>
    <w:p>
      <w:pPr>
        <w:spacing w:after="0" w:line="360" w:lineRule="exact"/>
        <w:rPr>
          <w:rFonts w:ascii="Arial" w:cs="Arial" w:eastAsia="Arial" w:hAnsi="Arial"/>
          <w:sz w:val="18"/>
          <w:szCs w:val="18"/>
          <w:color w:val="auto"/>
        </w:rPr>
      </w:pPr>
    </w:p>
    <w:p>
      <w:pPr>
        <w:ind w:left="380" w:hanging="372"/>
        <w:spacing w:after="0"/>
        <w:tabs>
          <w:tab w:leader="none" w:pos="3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Variations in our operating results.</w:t>
      </w:r>
    </w:p>
    <w:p>
      <w:pPr>
        <w:spacing w:after="0" w:line="225" w:lineRule="exact"/>
        <w:rPr>
          <w:sz w:val="20"/>
          <w:szCs w:val="20"/>
          <w:color w:val="auto"/>
        </w:rPr>
      </w:pPr>
    </w:p>
    <w:p>
      <w:pPr>
        <w:ind w:right="220" w:firstLine="588"/>
        <w:spacing w:after="0" w:line="277" w:lineRule="auto"/>
        <w:rPr>
          <w:sz w:val="20"/>
          <w:szCs w:val="20"/>
          <w:color w:val="auto"/>
        </w:rPr>
      </w:pPr>
      <w:r>
        <w:rPr>
          <w:rFonts w:ascii="Arial" w:cs="Arial" w:eastAsia="Arial" w:hAnsi="Arial"/>
          <w:sz w:val="18"/>
          <w:szCs w:val="18"/>
          <w:color w:val="auto"/>
        </w:rPr>
        <w:t>We will not have control over many of these factors but expect that they may influence our stock price. As a result, our stock price may be volatile and such volatility could result in the loss of all or part of your investment.</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Stockholder equity interest may be substantially diluted in any additional equity issuances.</w:t>
      </w:r>
    </w:p>
    <w:p>
      <w:pPr>
        <w:spacing w:after="0" w:line="117" w:lineRule="exact"/>
        <w:rPr>
          <w:sz w:val="20"/>
          <w:szCs w:val="20"/>
          <w:color w:val="auto"/>
        </w:rPr>
      </w:pPr>
    </w:p>
    <w:p>
      <w:pPr>
        <w:ind w:right="80" w:firstLine="530"/>
        <w:spacing w:after="0" w:line="264" w:lineRule="auto"/>
        <w:rPr>
          <w:sz w:val="20"/>
          <w:szCs w:val="20"/>
          <w:color w:val="auto"/>
        </w:rPr>
      </w:pPr>
      <w:r>
        <w:rPr>
          <w:rFonts w:ascii="Arial" w:cs="Arial" w:eastAsia="Arial" w:hAnsi="Arial"/>
          <w:sz w:val="18"/>
          <w:szCs w:val="18"/>
          <w:color w:val="auto"/>
        </w:rPr>
        <w:t>Our certificate of incorporation authorizes the issuance of 145,000,000 shares of Common Stock and 5,000,000 shares of Preferred Stock, on such terms and at such prices as our Board of Directors may determine. The following serves as a summary of share issuance activity during the fiscal year ended September 30, 2017:</w:t>
      </w:r>
    </w:p>
    <w:p>
      <w:pPr>
        <w:spacing w:after="0" w:line="73" w:lineRule="exact"/>
        <w:rPr>
          <w:sz w:val="20"/>
          <w:szCs w:val="20"/>
          <w:color w:val="auto"/>
        </w:rPr>
      </w:pPr>
    </w:p>
    <w:p>
      <w:pPr>
        <w:ind w:left="1400" w:hanging="379"/>
        <w:spacing w:after="0"/>
        <w:tabs>
          <w:tab w:leader="none" w:pos="1400" w:val="left"/>
        </w:tabs>
        <w:numPr>
          <w:ilvl w:val="0"/>
          <w:numId w:val="24"/>
        </w:numPr>
        <w:rPr>
          <w:rFonts w:ascii="Arial" w:cs="Arial" w:eastAsia="Arial" w:hAnsi="Arial"/>
          <w:sz w:val="17"/>
          <w:szCs w:val="17"/>
          <w:color w:val="auto"/>
        </w:rPr>
      </w:pPr>
      <w:r>
        <w:rPr>
          <w:rFonts w:ascii="Arial" w:cs="Arial" w:eastAsia="Arial" w:hAnsi="Arial"/>
          <w:sz w:val="17"/>
          <w:szCs w:val="17"/>
          <w:color w:val="auto"/>
        </w:rPr>
        <w:t>2,670,989 shares of Common Stock pursuant to the conversion of certain Preferred Stock held by the Company’s shareholders;</w:t>
      </w:r>
    </w:p>
    <w:p>
      <w:pPr>
        <w:spacing w:after="0" w:line="236" w:lineRule="exact"/>
        <w:rPr>
          <w:rFonts w:ascii="Arial" w:cs="Arial" w:eastAsia="Arial" w:hAnsi="Arial"/>
          <w:sz w:val="17"/>
          <w:szCs w:val="17"/>
          <w:color w:val="auto"/>
        </w:rPr>
      </w:pPr>
    </w:p>
    <w:p>
      <w:pPr>
        <w:ind w:left="1400" w:right="400" w:hanging="379"/>
        <w:spacing w:after="0" w:line="277" w:lineRule="auto"/>
        <w:tabs>
          <w:tab w:leader="none" w:pos="14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1,745,810 shares of Common Stock to Amgen, Inc. pursuant to the Common Stock Purchase Agreement entered into with Amgen in September 2016;</w:t>
      </w:r>
    </w:p>
    <w:p>
      <w:pPr>
        <w:spacing w:after="0" w:line="170" w:lineRule="exact"/>
        <w:rPr>
          <w:rFonts w:ascii="Arial" w:cs="Arial" w:eastAsia="Arial" w:hAnsi="Arial"/>
          <w:sz w:val="18"/>
          <w:szCs w:val="18"/>
          <w:color w:val="auto"/>
        </w:rPr>
      </w:pPr>
    </w:p>
    <w:p>
      <w:pPr>
        <w:ind w:left="1400" w:right="340" w:hanging="379"/>
        <w:spacing w:after="0" w:line="277" w:lineRule="auto"/>
        <w:tabs>
          <w:tab w:leader="none" w:pos="14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621,942 shares of Common Stock pursuant to the exercise of stock options, warrants and exchange rights and the vesting of restricted stock units;</w:t>
      </w:r>
    </w:p>
    <w:p>
      <w:pPr>
        <w:spacing w:after="0" w:line="279" w:lineRule="exact"/>
        <w:rPr>
          <w:sz w:val="20"/>
          <w:szCs w:val="20"/>
          <w:color w:val="auto"/>
        </w:rPr>
      </w:pPr>
    </w:p>
    <w:p>
      <w:pPr>
        <w:ind w:firstLine="530"/>
        <w:spacing w:after="0" w:line="259" w:lineRule="auto"/>
        <w:rPr>
          <w:sz w:val="20"/>
          <w:szCs w:val="20"/>
          <w:color w:val="auto"/>
        </w:rPr>
      </w:pPr>
      <w:r>
        <w:rPr>
          <w:rFonts w:ascii="Arial" w:cs="Arial" w:eastAsia="Arial" w:hAnsi="Arial"/>
          <w:sz w:val="18"/>
          <w:szCs w:val="18"/>
          <w:color w:val="auto"/>
        </w:rPr>
        <w:t>As of September 30, 2017, we had 74,785,426 shares of Common Stock issued and outstanding. The issuance of additional securities in financing transactions by us or through the exercise of options or warrants will dilute the equity interests of our existing stockholders, perhaps substantially, and could result in dilution in the tangible net book value of a share of our Common Stock, depending upon the price and other terms on which the additional shares are issued.</w:t>
      </w:r>
    </w:p>
    <w:p>
      <w:pPr>
        <w:spacing w:after="0" w:line="291"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Risks Inherent in Our Industry</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Drug development is time consuming, expensive and risky.</w:t>
      </w:r>
    </w:p>
    <w:p>
      <w:pPr>
        <w:spacing w:after="0" w:line="117" w:lineRule="exact"/>
        <w:rPr>
          <w:sz w:val="20"/>
          <w:szCs w:val="20"/>
          <w:color w:val="auto"/>
        </w:rPr>
      </w:pPr>
    </w:p>
    <w:p>
      <w:pPr>
        <w:ind w:right="80" w:firstLine="588"/>
        <w:spacing w:after="0" w:line="308" w:lineRule="auto"/>
        <w:rPr>
          <w:sz w:val="20"/>
          <w:szCs w:val="20"/>
          <w:color w:val="auto"/>
        </w:rPr>
      </w:pPr>
      <w:r>
        <w:rPr>
          <w:rFonts w:ascii="Arial" w:cs="Arial" w:eastAsia="Arial" w:hAnsi="Arial"/>
          <w:sz w:val="17"/>
          <w:szCs w:val="17"/>
          <w:color w:val="auto"/>
        </w:rPr>
        <w:t>We are focused on technology related to new and improved pharmaceutical candidates. Product candidates that appear promising in the early phases of development, such as in animal and early human clinical trials, often fail to reach the market for a number of reasons, such as:</w:t>
      </w:r>
    </w:p>
    <w:p>
      <w:pPr>
        <w:spacing w:after="0" w:line="38" w:lineRule="exact"/>
        <w:rPr>
          <w:sz w:val="20"/>
          <w:szCs w:val="20"/>
          <w:color w:val="auto"/>
        </w:rPr>
      </w:pPr>
    </w:p>
    <w:p>
      <w:pPr>
        <w:ind w:left="380" w:hanging="372"/>
        <w:spacing w:after="0"/>
        <w:tabs>
          <w:tab w:leader="none" w:pos="3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Clinical trial results may be unacceptable, even though preclinical trial results were promising;</w:t>
      </w:r>
    </w:p>
    <w:p>
      <w:pPr>
        <w:spacing w:after="0" w:line="360" w:lineRule="exact"/>
        <w:rPr>
          <w:rFonts w:ascii="Arial" w:cs="Arial" w:eastAsia="Arial" w:hAnsi="Arial"/>
          <w:sz w:val="18"/>
          <w:szCs w:val="18"/>
          <w:color w:val="auto"/>
        </w:rPr>
      </w:pPr>
    </w:p>
    <w:p>
      <w:pPr>
        <w:ind w:left="380" w:hanging="372"/>
        <w:spacing w:after="0"/>
        <w:tabs>
          <w:tab w:leader="none" w:pos="3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Inefficacy and/or harmful side effects in humans or animals;</w:t>
      </w:r>
    </w:p>
    <w:p>
      <w:pPr>
        <w:spacing w:after="0" w:line="373" w:lineRule="exact"/>
        <w:rPr>
          <w:rFonts w:ascii="Arial" w:cs="Arial" w:eastAsia="Arial" w:hAnsi="Arial"/>
          <w:sz w:val="18"/>
          <w:szCs w:val="18"/>
          <w:color w:val="auto"/>
        </w:rPr>
      </w:pPr>
    </w:p>
    <w:p>
      <w:pPr>
        <w:ind w:left="380" w:right="120" w:hanging="372"/>
        <w:spacing w:after="0" w:line="277" w:lineRule="auto"/>
        <w:tabs>
          <w:tab w:leader="none" w:pos="3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necessary regulatory bodies, such as the U.S. Food and Drug Administration, may not approve our potential product for the intended use, or at all; and</w:t>
      </w:r>
    </w:p>
    <w:p>
      <w:pPr>
        <w:spacing w:after="0" w:line="305" w:lineRule="exact"/>
        <w:rPr>
          <w:rFonts w:ascii="Arial" w:cs="Arial" w:eastAsia="Arial" w:hAnsi="Arial"/>
          <w:sz w:val="18"/>
          <w:szCs w:val="18"/>
          <w:color w:val="auto"/>
        </w:rPr>
      </w:pPr>
    </w:p>
    <w:p>
      <w:pPr>
        <w:ind w:left="380" w:hanging="372"/>
        <w:spacing w:after="0"/>
        <w:tabs>
          <w:tab w:leader="none" w:pos="3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Manufacturing and distribution may be uneconomical.</w:t>
      </w:r>
    </w:p>
    <w:p>
      <w:pPr>
        <w:spacing w:after="0" w:line="225" w:lineRule="exact"/>
        <w:rPr>
          <w:sz w:val="20"/>
          <w:szCs w:val="20"/>
          <w:color w:val="auto"/>
        </w:rPr>
      </w:pPr>
    </w:p>
    <w:p>
      <w:pPr>
        <w:ind w:firstLine="588"/>
        <w:spacing w:after="0" w:line="270" w:lineRule="auto"/>
        <w:rPr>
          <w:sz w:val="20"/>
          <w:szCs w:val="20"/>
          <w:color w:val="auto"/>
        </w:rPr>
      </w:pPr>
      <w:r>
        <w:rPr>
          <w:rFonts w:ascii="Arial" w:cs="Arial" w:eastAsia="Arial" w:hAnsi="Arial"/>
          <w:sz w:val="17"/>
          <w:szCs w:val="17"/>
          <w:color w:val="auto"/>
        </w:rPr>
        <w:t>For example, any positive pre-clinical results in animals for our pre-clinical programs may not be replicated in human clinical studies. These programs may be also found to be unsafe in humans, particularly at higher doses needed to achieve the desired levels of efficacy. Also, the positive safety results from single dose human clinical studies may not be replicated in other human studies, including multiple dose studies. Clinical and pre-clinical study results are frequently susceptible to varying interpretations by scientists, medical personnel, regulatory personnel, statisticians and others, which often delays, limits, or prevents further clinical development or regulatory approvals of potential products. Clinical trials can take many years to complete, including the process of study design, clinical site selection and the recruitment of patients. As a result, we can experience significant delays in completing clinical studies, which can increase the cost of developing a drug candidate and shorten the time that an approved product may be protected by patents. If our drug candidates are not successful in human clinical trials, we may be forced to curtail or abandon certain development programs. If we experience significant delays in commencing or completing our clinical studies, we could suffer from significant cost overruns, which could negatively affect our capital resources and our ability to complete these studies.</w:t>
      </w:r>
    </w:p>
    <w:p>
      <w:pPr>
        <w:sectPr>
          <w:pgSz w:w="11900" w:h="16838" w:orient="portrait"/>
          <w:cols w:equalWidth="0" w:num="1">
            <w:col w:w="11360"/>
          </w:cols>
          <w:pgMar w:left="240" w:top="125" w:right="299" w:bottom="1440" w:gutter="0" w:footer="0" w:header="0"/>
        </w:sectPr>
      </w:pPr>
    </w:p>
    <w:p>
      <w:pPr>
        <w:spacing w:after="0" w:line="178" w:lineRule="exact"/>
        <w:rPr>
          <w:sz w:val="20"/>
          <w:szCs w:val="20"/>
          <w:color w:val="auto"/>
        </w:rPr>
      </w:pPr>
    </w:p>
    <w:p>
      <w:pPr>
        <w:jc w:val="center"/>
        <w:ind w:right="-59"/>
        <w:spacing w:after="0"/>
        <w:rPr>
          <w:sz w:val="20"/>
          <w:szCs w:val="20"/>
          <w:color w:val="auto"/>
        </w:rPr>
      </w:pPr>
      <w:r>
        <w:rPr>
          <w:rFonts w:ascii="Arial" w:cs="Arial" w:eastAsia="Arial" w:hAnsi="Arial"/>
          <w:sz w:val="16"/>
          <w:szCs w:val="16"/>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289165"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60"/>
          </w:cols>
          <w:pgMar w:left="240" w:top="125" w:right="299" w:bottom="1440" w:gutter="0" w:footer="0" w:header="0"/>
          <w:type w:val="continuous"/>
        </w:sectPr>
      </w:pPr>
    </w:p>
    <w:bookmarkStart w:id="36" w:name="page37"/>
    <w:bookmarkEnd w:id="36"/>
    <w:p>
      <w:pPr>
        <w:spacing w:after="0"/>
        <w:rPr>
          <w:sz w:val="20"/>
          <w:szCs w:val="20"/>
          <w:color w:val="auto"/>
        </w:rPr>
      </w:pPr>
      <w:r>
        <w:rPr>
          <w:rFonts w:ascii="Arial" w:cs="Arial" w:eastAsia="Arial" w:hAnsi="Arial"/>
          <w:sz w:val="16"/>
          <w:szCs w:val="16"/>
          <w:b w:val="1"/>
          <w:bCs w:val="1"/>
          <w:i w:val="1"/>
          <w:iCs w:val="1"/>
          <w:color w:val="auto"/>
        </w:rPr>
        <w:t>The healthcare system is under significant financial pressure to reduce costs, which could reduce payment and reimbursement rates for drugs.</w:t>
      </w:r>
    </w:p>
    <w:p>
      <w:pPr>
        <w:spacing w:after="0" w:line="248" w:lineRule="exact"/>
        <w:rPr>
          <w:sz w:val="20"/>
          <w:szCs w:val="20"/>
          <w:color w:val="auto"/>
        </w:rPr>
      </w:pPr>
    </w:p>
    <w:p>
      <w:pPr>
        <w:ind w:right="200" w:firstLine="295"/>
        <w:spacing w:after="0" w:line="259" w:lineRule="auto"/>
        <w:rPr>
          <w:sz w:val="20"/>
          <w:szCs w:val="20"/>
          <w:color w:val="auto"/>
        </w:rPr>
      </w:pPr>
      <w:r>
        <w:rPr>
          <w:rFonts w:ascii="Arial" w:cs="Arial" w:eastAsia="Arial" w:hAnsi="Arial"/>
          <w:sz w:val="18"/>
          <w:szCs w:val="18"/>
          <w:color w:val="auto"/>
        </w:rPr>
        <w:t>Throughout the world and particularly in the United States the healthcare system is under significant financial pressure to reduce costs. The price of pharmaceuticals has been a topic of considerable public discussion that could lead to price controls or other price-limiting strategies by payors that have the effect of lowering payment and reimbursement rates for drugs or otherwise making the commercialization of pharmaceuticals less profitable. These effects could reduce or eliminate our ability to return value to our shareholders.</w:t>
      </w:r>
    </w:p>
    <w:p>
      <w:pPr>
        <w:spacing w:after="0" w:line="187"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b w:val="1"/>
          <w:bCs w:val="1"/>
          <w:i w:val="1"/>
          <w:iCs w:val="1"/>
          <w:color w:val="auto"/>
        </w:rPr>
        <w:t>Regulatory standards are subject to change over time, making it difficult to accurately predict the likelihood of marketing approval even when clinical trials meet their endpoints.</w:t>
      </w:r>
    </w:p>
    <w:p>
      <w:pPr>
        <w:spacing w:after="0" w:line="170" w:lineRule="exact"/>
        <w:rPr>
          <w:sz w:val="20"/>
          <w:szCs w:val="20"/>
          <w:color w:val="auto"/>
        </w:rPr>
      </w:pPr>
    </w:p>
    <w:p>
      <w:pPr>
        <w:ind w:right="160" w:firstLine="295"/>
        <w:spacing w:after="0" w:line="291" w:lineRule="auto"/>
        <w:rPr>
          <w:sz w:val="20"/>
          <w:szCs w:val="20"/>
          <w:color w:val="auto"/>
        </w:rPr>
      </w:pPr>
      <w:r>
        <w:rPr>
          <w:rFonts w:ascii="Arial" w:cs="Arial" w:eastAsia="Arial" w:hAnsi="Arial"/>
          <w:sz w:val="16"/>
          <w:szCs w:val="16"/>
          <w:color w:val="auto"/>
        </w:rPr>
        <w:t>Regulatory standards are promulgated by various government entities and are subject to change based on factors such as scientific developments, public perceptions of risk, and political forces. Because clinical trials often take years to complete, it is sometimes possible for standards that exist during the conception and initiation of a clinical trial to change before the clinical trial is completed or reviewed by government regulators. While some government entities have safeguards intended to ensure standards agreed upon by sponsors and regulators at the outset of a clinical trial are applied during regulatory review processes, those safeguards generally permit regulators to apply more rigorous standards where regulators believe doing so is necessary. As such, there can be no assurance that regulatory standards that are appropriate at the outset of a clinical trial program will not become more rigorous during the regulatory approval process and could potentially result in a delayed approval or denial of marketing authorization.</w:t>
      </w:r>
    </w:p>
    <w:p>
      <w:pPr>
        <w:spacing w:after="0" w:line="312" w:lineRule="exact"/>
        <w:rPr>
          <w:sz w:val="20"/>
          <w:szCs w:val="20"/>
          <w:color w:val="auto"/>
        </w:rPr>
      </w:pPr>
    </w:p>
    <w:p>
      <w:pPr>
        <w:spacing w:after="0"/>
        <w:tabs>
          <w:tab w:leader="none" w:pos="1140" w:val="left"/>
        </w:tabs>
        <w:rPr>
          <w:sz w:val="20"/>
          <w:szCs w:val="20"/>
          <w:color w:val="auto"/>
        </w:rPr>
      </w:pPr>
      <w:r>
        <w:rPr>
          <w:rFonts w:ascii="Arial" w:cs="Arial" w:eastAsia="Arial" w:hAnsi="Arial"/>
          <w:sz w:val="18"/>
          <w:szCs w:val="18"/>
          <w:b w:val="1"/>
          <w:bCs w:val="1"/>
          <w:color w:val="auto"/>
        </w:rPr>
        <w:t>ITEM 1B.</w:t>
      </w:r>
      <w:r>
        <w:rPr>
          <w:sz w:val="20"/>
          <w:szCs w:val="20"/>
          <w:color w:val="auto"/>
        </w:rPr>
        <w:tab/>
      </w:r>
      <w:r>
        <w:rPr>
          <w:rFonts w:ascii="Arial" w:cs="Arial" w:eastAsia="Arial" w:hAnsi="Arial"/>
          <w:sz w:val="17"/>
          <w:szCs w:val="17"/>
          <w:b w:val="1"/>
          <w:bCs w:val="1"/>
          <w:color w:val="auto"/>
        </w:rPr>
        <w:t>UNRESOLVED STAFF COMMENTS</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10" w:lineRule="exact"/>
        <w:rPr>
          <w:sz w:val="20"/>
          <w:szCs w:val="20"/>
          <w:color w:val="auto"/>
        </w:rPr>
      </w:pPr>
    </w:p>
    <w:p>
      <w:pPr>
        <w:spacing w:after="0"/>
        <w:tabs>
          <w:tab w:leader="none" w:pos="114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7"/>
          <w:szCs w:val="17"/>
          <w:b w:val="1"/>
          <w:bCs w:val="1"/>
          <w:color w:val="auto"/>
        </w:rPr>
        <w:t>PROPERTIES</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7"/>
          <w:szCs w:val="17"/>
          <w:color w:val="auto"/>
        </w:rPr>
        <w:t>The Company does not own any real property. The following table summarizes the Company’s leased facilities as of September 30, 2017.</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120" w:type="dxa"/>
            <w:vAlign w:val="bottom"/>
          </w:tcPr>
          <w:p>
            <w:pPr>
              <w:spacing w:after="0"/>
              <w:rPr>
                <w:sz w:val="14"/>
                <w:szCs w:val="14"/>
                <w:color w:val="auto"/>
              </w:rPr>
            </w:pPr>
          </w:p>
        </w:tc>
        <w:tc>
          <w:tcPr>
            <w:tcW w:w="1460" w:type="dxa"/>
            <w:vAlign w:val="bottom"/>
            <w:gridSpan w:val="2"/>
          </w:tcPr>
          <w:p>
            <w:pPr>
              <w:ind w:left="460"/>
              <w:spacing w:after="0"/>
              <w:rPr>
                <w:sz w:val="20"/>
                <w:szCs w:val="20"/>
                <w:color w:val="auto"/>
              </w:rPr>
            </w:pPr>
            <w:r>
              <w:rPr>
                <w:rFonts w:ascii="Arial" w:cs="Arial" w:eastAsia="Arial" w:hAnsi="Arial"/>
                <w:sz w:val="14"/>
                <w:szCs w:val="14"/>
                <w:b w:val="1"/>
                <w:bCs w:val="1"/>
                <w:color w:val="auto"/>
              </w:rPr>
              <w:t>Office</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40" w:type="dxa"/>
            <w:vAlign w:val="bottom"/>
            <w:gridSpan w:val="2"/>
          </w:tcPr>
          <w:p>
            <w:pPr>
              <w:ind w:left="60"/>
              <w:spacing w:after="0"/>
              <w:rPr>
                <w:sz w:val="20"/>
                <w:szCs w:val="20"/>
                <w:color w:val="auto"/>
              </w:rPr>
            </w:pPr>
            <w:r>
              <w:rPr>
                <w:rFonts w:ascii="Arial" w:cs="Arial" w:eastAsia="Arial" w:hAnsi="Arial"/>
                <w:sz w:val="14"/>
                <w:szCs w:val="14"/>
                <w:b w:val="1"/>
                <w:bCs w:val="1"/>
                <w:color w:val="auto"/>
              </w:rPr>
              <w:t>Monthly</w:t>
            </w:r>
          </w:p>
        </w:tc>
        <w:tc>
          <w:tcPr>
            <w:tcW w:w="136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w w:val="95"/>
              </w:rPr>
              <w:t>Primary Use</w:t>
            </w:r>
          </w:p>
        </w:tc>
        <w:tc>
          <w:tcPr>
            <w:tcW w:w="21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5"/>
              </w:rPr>
              <w:t>Lease</w:t>
            </w:r>
          </w:p>
        </w:tc>
        <w:tc>
          <w:tcPr>
            <w:tcW w:w="1080" w:type="dxa"/>
            <w:vAlign w:val="bottom"/>
            <w:gridSpan w:val="2"/>
            <w:vMerge w:val="restart"/>
          </w:tcPr>
          <w:p>
            <w:pPr>
              <w:ind w:left="120"/>
              <w:spacing w:after="0"/>
              <w:rPr>
                <w:sz w:val="20"/>
                <w:szCs w:val="20"/>
                <w:color w:val="auto"/>
              </w:rPr>
            </w:pPr>
            <w:r>
              <w:rPr>
                <w:rFonts w:ascii="Arial" w:cs="Arial" w:eastAsia="Arial" w:hAnsi="Arial"/>
                <w:sz w:val="14"/>
                <w:szCs w:val="14"/>
                <w:b w:val="1"/>
                <w:bCs w:val="1"/>
                <w:color w:val="auto"/>
              </w:rPr>
              <w:t>Lease Term</w:t>
            </w:r>
          </w:p>
        </w:tc>
        <w:tc>
          <w:tcPr>
            <w:tcW w:w="0" w:type="dxa"/>
            <w:vAlign w:val="bottom"/>
          </w:tcPr>
          <w:p>
            <w:pPr>
              <w:spacing w:after="0"/>
              <w:rPr>
                <w:sz w:val="1"/>
                <w:szCs w:val="1"/>
                <w:color w:val="auto"/>
              </w:rPr>
            </w:pPr>
          </w:p>
        </w:tc>
      </w:tr>
      <w:tr>
        <w:trPr>
          <w:trHeight w:val="171"/>
        </w:trPr>
        <w:tc>
          <w:tcPr>
            <w:tcW w:w="4120" w:type="dxa"/>
            <w:vAlign w:val="bottom"/>
          </w:tcPr>
          <w:p>
            <w:pPr>
              <w:spacing w:after="0"/>
              <w:rPr>
                <w:sz w:val="14"/>
                <w:szCs w:val="14"/>
                <w:color w:val="auto"/>
              </w:rPr>
            </w:pPr>
          </w:p>
        </w:tc>
        <w:tc>
          <w:tcPr>
            <w:tcW w:w="1460" w:type="dxa"/>
            <w:vAlign w:val="bottom"/>
            <w:gridSpan w:val="2"/>
          </w:tcPr>
          <w:p>
            <w:pPr>
              <w:ind w:left="480"/>
              <w:spacing w:after="0"/>
              <w:rPr>
                <w:sz w:val="20"/>
                <w:szCs w:val="20"/>
                <w:color w:val="auto"/>
              </w:rPr>
            </w:pPr>
            <w:r>
              <w:rPr>
                <w:rFonts w:ascii="Arial" w:cs="Arial" w:eastAsia="Arial" w:hAnsi="Arial"/>
                <w:sz w:val="14"/>
                <w:szCs w:val="14"/>
                <w:b w:val="1"/>
                <w:bCs w:val="1"/>
                <w:color w:val="auto"/>
              </w:rPr>
              <w:t>Space</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40" w:type="dxa"/>
            <w:vAlign w:val="bottom"/>
            <w:gridSpan w:val="2"/>
          </w:tcPr>
          <w:p>
            <w:pPr>
              <w:ind w:left="40"/>
              <w:spacing w:after="0"/>
              <w:rPr>
                <w:sz w:val="20"/>
                <w:szCs w:val="20"/>
                <w:color w:val="auto"/>
              </w:rPr>
            </w:pPr>
            <w:r>
              <w:rPr>
                <w:rFonts w:ascii="Arial" w:cs="Arial" w:eastAsia="Arial" w:hAnsi="Arial"/>
                <w:sz w:val="14"/>
                <w:szCs w:val="14"/>
                <w:b w:val="1"/>
                <w:bCs w:val="1"/>
                <w:color w:val="auto"/>
              </w:rPr>
              <w:t>Expenses</w:t>
            </w:r>
          </w:p>
        </w:tc>
        <w:tc>
          <w:tcPr>
            <w:tcW w:w="1360" w:type="dxa"/>
            <w:vAlign w:val="bottom"/>
            <w:gridSpan w:val="2"/>
            <w:vMerge w:val="continue"/>
          </w:tcPr>
          <w:p>
            <w:pPr>
              <w:spacing w:after="0"/>
              <w:rPr>
                <w:sz w:val="14"/>
                <w:szCs w:val="14"/>
                <w:color w:val="auto"/>
              </w:rPr>
            </w:pPr>
          </w:p>
        </w:tc>
        <w:tc>
          <w:tcPr>
            <w:tcW w:w="21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6"/>
              </w:rPr>
              <w:t>Expiration</w:t>
            </w:r>
          </w:p>
        </w:tc>
        <w:tc>
          <w:tcPr>
            <w:tcW w:w="108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95"/>
        </w:trPr>
        <w:tc>
          <w:tcPr>
            <w:tcW w:w="4120" w:type="dxa"/>
            <w:vAlign w:val="bottom"/>
            <w:tcBorders>
              <w:top w:val="single" w:sz="8" w:color="CFF0FC"/>
            </w:tcBorders>
            <w:shd w:val="clear" w:color="auto" w:fill="CFF0FC"/>
          </w:tcPr>
          <w:p>
            <w:pPr>
              <w:spacing w:after="0"/>
              <w:rPr>
                <w:sz w:val="16"/>
                <w:szCs w:val="16"/>
                <w:color w:val="auto"/>
              </w:rPr>
            </w:pPr>
          </w:p>
        </w:tc>
        <w:tc>
          <w:tcPr>
            <w:tcW w:w="1320" w:type="dxa"/>
            <w:vAlign w:val="bottom"/>
            <w:tcBorders>
              <w:top w:val="single" w:sz="8" w:color="auto"/>
            </w:tcBorders>
            <w:shd w:val="clear" w:color="auto" w:fill="CFF0FC"/>
          </w:tcPr>
          <w:p>
            <w:pPr>
              <w:spacing w:after="0"/>
              <w:rPr>
                <w:sz w:val="16"/>
                <w:szCs w:val="16"/>
                <w:color w:val="auto"/>
              </w:rPr>
            </w:pPr>
          </w:p>
        </w:tc>
        <w:tc>
          <w:tcPr>
            <w:tcW w:w="140" w:type="dxa"/>
            <w:vAlign w:val="bottom"/>
            <w:tcBorders>
              <w:top w:val="single" w:sz="8" w:color="CFF0FC"/>
            </w:tcBorders>
            <w:shd w:val="clear" w:color="auto" w:fill="CFF0FC"/>
          </w:tcPr>
          <w:p>
            <w:pPr>
              <w:spacing w:after="0"/>
              <w:rPr>
                <w:sz w:val="16"/>
                <w:szCs w:val="16"/>
                <w:color w:val="auto"/>
              </w:rPr>
            </w:pPr>
          </w:p>
        </w:tc>
        <w:tc>
          <w:tcPr>
            <w:tcW w:w="120" w:type="dxa"/>
            <w:vAlign w:val="bottom"/>
            <w:tcBorders>
              <w:top w:val="single" w:sz="8" w:color="CFF0FC"/>
            </w:tcBorders>
            <w:shd w:val="clear" w:color="auto" w:fill="CFF0FC"/>
          </w:tcPr>
          <w:p>
            <w:pPr>
              <w:spacing w:after="0"/>
              <w:rPr>
                <w:sz w:val="16"/>
                <w:szCs w:val="16"/>
                <w:color w:val="auto"/>
              </w:rPr>
            </w:pPr>
          </w:p>
        </w:tc>
        <w:tc>
          <w:tcPr>
            <w:tcW w:w="140" w:type="dxa"/>
            <w:vAlign w:val="bottom"/>
            <w:tcBorders>
              <w:top w:val="single" w:sz="8" w:color="auto"/>
            </w:tcBorders>
            <w:shd w:val="clear" w:color="auto" w:fill="CFF0FC"/>
          </w:tcPr>
          <w:p>
            <w:pPr>
              <w:spacing w:after="0"/>
              <w:rPr>
                <w:sz w:val="16"/>
                <w:szCs w:val="16"/>
                <w:color w:val="auto"/>
              </w:rPr>
            </w:pPr>
          </w:p>
        </w:tc>
        <w:tc>
          <w:tcPr>
            <w:tcW w:w="780" w:type="dxa"/>
            <w:vAlign w:val="bottom"/>
            <w:tcBorders>
              <w:top w:val="single" w:sz="8" w:color="auto"/>
            </w:tcBorders>
            <w:shd w:val="clear" w:color="auto" w:fill="CFF0FC"/>
          </w:tcPr>
          <w:p>
            <w:pPr>
              <w:spacing w:after="0"/>
              <w:rPr>
                <w:sz w:val="16"/>
                <w:szCs w:val="16"/>
                <w:color w:val="auto"/>
              </w:rPr>
            </w:pPr>
          </w:p>
        </w:tc>
        <w:tc>
          <w:tcPr>
            <w:tcW w:w="260" w:type="dxa"/>
            <w:vAlign w:val="bottom"/>
            <w:tcBorders>
              <w:top w:val="single" w:sz="8" w:color="CFF0FC"/>
            </w:tcBorders>
            <w:shd w:val="clear" w:color="auto" w:fill="CFF0FC"/>
          </w:tcPr>
          <w:p>
            <w:pPr>
              <w:spacing w:after="0"/>
              <w:rPr>
                <w:sz w:val="16"/>
                <w:szCs w:val="16"/>
                <w:color w:val="auto"/>
              </w:rPr>
            </w:pPr>
          </w:p>
        </w:tc>
        <w:tc>
          <w:tcPr>
            <w:tcW w:w="1100" w:type="dxa"/>
            <w:vAlign w:val="bottom"/>
            <w:tcBorders>
              <w:top w:val="single" w:sz="8" w:color="auto"/>
            </w:tcBorders>
            <w:shd w:val="clear" w:color="auto" w:fill="CFF0FC"/>
          </w:tcPr>
          <w:p>
            <w:pPr>
              <w:jc w:val="center"/>
              <w:spacing w:after="0" w:line="195" w:lineRule="exact"/>
              <w:rPr>
                <w:sz w:val="20"/>
                <w:szCs w:val="20"/>
                <w:color w:val="auto"/>
              </w:rPr>
            </w:pPr>
            <w:r>
              <w:rPr>
                <w:rFonts w:ascii="Arial" w:cs="Arial" w:eastAsia="Arial" w:hAnsi="Arial"/>
                <w:sz w:val="18"/>
                <w:szCs w:val="18"/>
                <w:color w:val="auto"/>
                <w:w w:val="90"/>
              </w:rPr>
              <w:t>Corp.</w:t>
            </w:r>
          </w:p>
        </w:tc>
        <w:tc>
          <w:tcPr>
            <w:tcW w:w="260" w:type="dxa"/>
            <w:vAlign w:val="bottom"/>
            <w:tcBorders>
              <w:top w:val="single" w:sz="8" w:color="CFF0FC"/>
            </w:tcBorders>
            <w:shd w:val="clear" w:color="auto" w:fill="CFF0FC"/>
          </w:tcPr>
          <w:p>
            <w:pPr>
              <w:spacing w:after="0"/>
              <w:rPr>
                <w:sz w:val="16"/>
                <w:szCs w:val="16"/>
                <w:color w:val="auto"/>
              </w:rPr>
            </w:pPr>
          </w:p>
        </w:tc>
        <w:tc>
          <w:tcPr>
            <w:tcW w:w="1860" w:type="dxa"/>
            <w:vAlign w:val="bottom"/>
            <w:tcBorders>
              <w:top w:val="single" w:sz="8" w:color="auto"/>
            </w:tcBorders>
            <w:shd w:val="clear" w:color="auto" w:fill="CFF0FC"/>
          </w:tcPr>
          <w:p>
            <w:pPr>
              <w:spacing w:after="0"/>
              <w:rPr>
                <w:sz w:val="16"/>
                <w:szCs w:val="16"/>
                <w:color w:val="auto"/>
              </w:rPr>
            </w:pPr>
          </w:p>
        </w:tc>
        <w:tc>
          <w:tcPr>
            <w:tcW w:w="240" w:type="dxa"/>
            <w:vAlign w:val="bottom"/>
            <w:tcBorders>
              <w:top w:val="single" w:sz="8" w:color="CFF0FC"/>
            </w:tcBorders>
            <w:shd w:val="clear" w:color="auto" w:fill="CFF0FC"/>
          </w:tcPr>
          <w:p>
            <w:pPr>
              <w:spacing w:after="0"/>
              <w:rPr>
                <w:sz w:val="16"/>
                <w:szCs w:val="16"/>
                <w:color w:val="auto"/>
              </w:rPr>
            </w:pPr>
          </w:p>
        </w:tc>
        <w:tc>
          <w:tcPr>
            <w:tcW w:w="960" w:type="dxa"/>
            <w:vAlign w:val="bottom"/>
            <w:tcBorders>
              <w:top w:val="single" w:sz="8" w:color="auto"/>
            </w:tcBorders>
            <w:shd w:val="clear" w:color="auto" w:fill="CFF0FC"/>
          </w:tcPr>
          <w:p>
            <w:pPr>
              <w:spacing w:after="0"/>
              <w:rPr>
                <w:sz w:val="16"/>
                <w:szCs w:val="16"/>
                <w:color w:val="auto"/>
              </w:rPr>
            </w:pPr>
          </w:p>
        </w:tc>
        <w:tc>
          <w:tcPr>
            <w:tcW w:w="120" w:type="dxa"/>
            <w:vAlign w:val="bottom"/>
            <w:tcBorders>
              <w:top w:val="single" w:sz="8" w:color="CFF0FC"/>
            </w:tcBorders>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4120" w:type="dxa"/>
            <w:vAlign w:val="bottom"/>
            <w:shd w:val="clear" w:color="auto" w:fill="CFF0FC"/>
          </w:tcPr>
          <w:p>
            <w:pPr>
              <w:spacing w:after="0"/>
              <w:rPr>
                <w:sz w:val="20"/>
                <w:szCs w:val="20"/>
                <w:color w:val="auto"/>
              </w:rPr>
            </w:pPr>
            <w:r>
              <w:rPr>
                <w:rFonts w:ascii="Arial" w:cs="Arial" w:eastAsia="Arial" w:hAnsi="Arial"/>
                <w:sz w:val="18"/>
                <w:szCs w:val="18"/>
                <w:color w:val="auto"/>
              </w:rPr>
              <w:t>Pasadena, California</w:t>
            </w:r>
          </w:p>
        </w:tc>
        <w:tc>
          <w:tcPr>
            <w:tcW w:w="1460" w:type="dxa"/>
            <w:vAlign w:val="bottom"/>
            <w:gridSpan w:val="2"/>
            <w:shd w:val="clear" w:color="auto" w:fill="CFF0FC"/>
          </w:tcPr>
          <w:p>
            <w:pPr>
              <w:ind w:left="460"/>
              <w:spacing w:after="0"/>
              <w:rPr>
                <w:sz w:val="20"/>
                <w:szCs w:val="20"/>
                <w:color w:val="auto"/>
              </w:rPr>
            </w:pPr>
            <w:r>
              <w:rPr>
                <w:rFonts w:ascii="Arial" w:cs="Arial" w:eastAsia="Arial" w:hAnsi="Arial"/>
                <w:sz w:val="18"/>
                <w:szCs w:val="18"/>
                <w:color w:val="auto"/>
              </w:rPr>
              <w:t>8,500 sq. ft.</w:t>
            </w:r>
          </w:p>
        </w:tc>
        <w:tc>
          <w:tcPr>
            <w:tcW w:w="26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27,000</w:t>
            </w:r>
          </w:p>
        </w:tc>
        <w:tc>
          <w:tcPr>
            <w:tcW w:w="1360" w:type="dxa"/>
            <w:vAlign w:val="bottom"/>
            <w:gridSpan w:val="2"/>
            <w:shd w:val="clear" w:color="auto" w:fill="CFF0FC"/>
          </w:tcPr>
          <w:p>
            <w:pPr>
              <w:jc w:val="center"/>
              <w:ind w:right="260"/>
              <w:spacing w:after="0"/>
              <w:rPr>
                <w:sz w:val="20"/>
                <w:szCs w:val="20"/>
                <w:color w:val="auto"/>
              </w:rPr>
            </w:pPr>
            <w:r>
              <w:rPr>
                <w:rFonts w:ascii="Arial" w:cs="Arial" w:eastAsia="Arial" w:hAnsi="Arial"/>
                <w:sz w:val="18"/>
                <w:szCs w:val="18"/>
                <w:color w:val="auto"/>
                <w:w w:val="89"/>
              </w:rPr>
              <w:t>Headqtrs.</w:t>
            </w:r>
          </w:p>
        </w:tc>
        <w:tc>
          <w:tcPr>
            <w:tcW w:w="2100" w:type="dxa"/>
            <w:vAlign w:val="bottom"/>
            <w:gridSpan w:val="2"/>
            <w:shd w:val="clear" w:color="auto" w:fill="CFF0FC"/>
          </w:tcPr>
          <w:p>
            <w:pPr>
              <w:ind w:left="380"/>
              <w:spacing w:after="0"/>
              <w:rPr>
                <w:sz w:val="20"/>
                <w:szCs w:val="20"/>
                <w:color w:val="auto"/>
              </w:rPr>
            </w:pPr>
            <w:r>
              <w:rPr>
                <w:rFonts w:ascii="Arial" w:cs="Arial" w:eastAsia="Arial" w:hAnsi="Arial"/>
                <w:sz w:val="18"/>
                <w:szCs w:val="18"/>
                <w:color w:val="auto"/>
              </w:rPr>
              <w:t>September 2019</w:t>
            </w:r>
          </w:p>
        </w:tc>
        <w:tc>
          <w:tcPr>
            <w:tcW w:w="108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7 years</w:t>
            </w:r>
          </w:p>
        </w:tc>
        <w:tc>
          <w:tcPr>
            <w:tcW w:w="0" w:type="dxa"/>
            <w:vAlign w:val="bottom"/>
          </w:tcPr>
          <w:p>
            <w:pPr>
              <w:spacing w:after="0"/>
              <w:rPr>
                <w:sz w:val="1"/>
                <w:szCs w:val="1"/>
                <w:color w:val="auto"/>
              </w:rPr>
            </w:pPr>
          </w:p>
        </w:tc>
      </w:tr>
      <w:tr>
        <w:trPr>
          <w:trHeight w:val="202"/>
        </w:trPr>
        <w:tc>
          <w:tcPr>
            <w:tcW w:w="412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360" w:type="dxa"/>
            <w:vAlign w:val="bottom"/>
            <w:gridSpan w:val="2"/>
          </w:tcPr>
          <w:p>
            <w:pPr>
              <w:jc w:val="center"/>
              <w:ind w:right="260"/>
              <w:spacing w:after="0" w:line="201" w:lineRule="exact"/>
              <w:rPr>
                <w:sz w:val="20"/>
                <w:szCs w:val="20"/>
                <w:color w:val="auto"/>
              </w:rPr>
            </w:pPr>
            <w:r>
              <w:rPr>
                <w:rFonts w:ascii="Arial" w:cs="Arial" w:eastAsia="Arial" w:hAnsi="Arial"/>
                <w:sz w:val="18"/>
                <w:szCs w:val="18"/>
                <w:color w:val="auto"/>
                <w:w w:val="85"/>
              </w:rPr>
              <w:t>Research</w:t>
            </w:r>
          </w:p>
        </w:tc>
        <w:tc>
          <w:tcPr>
            <w:tcW w:w="18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120" w:type="dxa"/>
            <w:vAlign w:val="bottom"/>
          </w:tcPr>
          <w:p>
            <w:pPr>
              <w:spacing w:after="0"/>
              <w:rPr>
                <w:sz w:val="20"/>
                <w:szCs w:val="20"/>
                <w:color w:val="auto"/>
              </w:rPr>
            </w:pPr>
            <w:r>
              <w:rPr>
                <w:rFonts w:ascii="Arial" w:cs="Arial" w:eastAsia="Arial" w:hAnsi="Arial"/>
                <w:sz w:val="18"/>
                <w:szCs w:val="18"/>
                <w:color w:val="auto"/>
              </w:rPr>
              <w:t>Madison, Wisconsin</w:t>
            </w:r>
          </w:p>
        </w:tc>
        <w:tc>
          <w:tcPr>
            <w:tcW w:w="1460" w:type="dxa"/>
            <w:vAlign w:val="bottom"/>
            <w:gridSpan w:val="2"/>
          </w:tcPr>
          <w:p>
            <w:pPr>
              <w:ind w:left="380"/>
              <w:spacing w:after="0"/>
              <w:rPr>
                <w:sz w:val="20"/>
                <w:szCs w:val="20"/>
                <w:color w:val="auto"/>
              </w:rPr>
            </w:pPr>
            <w:r>
              <w:rPr>
                <w:rFonts w:ascii="Arial" w:cs="Arial" w:eastAsia="Arial" w:hAnsi="Arial"/>
                <w:sz w:val="18"/>
                <w:szCs w:val="18"/>
                <w:color w:val="auto"/>
              </w:rPr>
              <w:t>60,000 sq. ft.</w:t>
            </w:r>
          </w:p>
        </w:tc>
        <w:tc>
          <w:tcPr>
            <w:tcW w:w="26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260"/>
              <w:spacing w:after="0"/>
              <w:rPr>
                <w:sz w:val="20"/>
                <w:szCs w:val="20"/>
                <w:color w:val="auto"/>
              </w:rPr>
            </w:pPr>
            <w:r>
              <w:rPr>
                <w:rFonts w:ascii="Arial" w:cs="Arial" w:eastAsia="Arial" w:hAnsi="Arial"/>
                <w:sz w:val="18"/>
                <w:szCs w:val="18"/>
                <w:color w:val="auto"/>
              </w:rPr>
              <w:t>182,200</w:t>
            </w:r>
          </w:p>
        </w:tc>
        <w:tc>
          <w:tcPr>
            <w:tcW w:w="1360" w:type="dxa"/>
            <w:vAlign w:val="bottom"/>
            <w:gridSpan w:val="2"/>
          </w:tcPr>
          <w:p>
            <w:pPr>
              <w:jc w:val="center"/>
              <w:ind w:right="240"/>
              <w:spacing w:after="0"/>
              <w:rPr>
                <w:sz w:val="20"/>
                <w:szCs w:val="20"/>
                <w:color w:val="auto"/>
              </w:rPr>
            </w:pPr>
            <w:r>
              <w:rPr>
                <w:rFonts w:ascii="Arial" w:cs="Arial" w:eastAsia="Arial" w:hAnsi="Arial"/>
                <w:sz w:val="18"/>
                <w:szCs w:val="18"/>
                <w:color w:val="auto"/>
                <w:w w:val="99"/>
              </w:rPr>
              <w:t>Facility</w:t>
            </w:r>
          </w:p>
        </w:tc>
        <w:tc>
          <w:tcPr>
            <w:tcW w:w="2100" w:type="dxa"/>
            <w:vAlign w:val="bottom"/>
            <w:gridSpan w:val="2"/>
          </w:tcPr>
          <w:p>
            <w:pPr>
              <w:ind w:left="380"/>
              <w:spacing w:after="0"/>
              <w:rPr>
                <w:sz w:val="20"/>
                <w:szCs w:val="20"/>
                <w:color w:val="auto"/>
              </w:rPr>
            </w:pPr>
            <w:r>
              <w:rPr>
                <w:rFonts w:ascii="Arial" w:cs="Arial" w:eastAsia="Arial" w:hAnsi="Arial"/>
                <w:sz w:val="18"/>
                <w:szCs w:val="18"/>
                <w:color w:val="auto"/>
              </w:rPr>
              <w:t>September 2026</w:t>
            </w:r>
          </w:p>
        </w:tc>
        <w:tc>
          <w:tcPr>
            <w:tcW w:w="1080" w:type="dxa"/>
            <w:vAlign w:val="bottom"/>
            <w:gridSpan w:val="2"/>
          </w:tcPr>
          <w:p>
            <w:pPr>
              <w:jc w:val="right"/>
              <w:ind w:right="120"/>
              <w:spacing w:after="0"/>
              <w:rPr>
                <w:sz w:val="20"/>
                <w:szCs w:val="20"/>
                <w:color w:val="auto"/>
              </w:rPr>
            </w:pPr>
            <w:r>
              <w:rPr>
                <w:rFonts w:ascii="Arial" w:cs="Arial" w:eastAsia="Arial" w:hAnsi="Arial"/>
                <w:sz w:val="18"/>
                <w:szCs w:val="18"/>
                <w:color w:val="auto"/>
              </w:rPr>
              <w:t>10 years</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89" w:lineRule="exact"/>
        <w:rPr>
          <w:sz w:val="20"/>
          <w:szCs w:val="20"/>
          <w:color w:val="auto"/>
        </w:rPr>
      </w:pPr>
    </w:p>
    <w:p>
      <w:pPr>
        <w:spacing w:after="0"/>
        <w:tabs>
          <w:tab w:leader="none" w:pos="114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8"/>
          <w:szCs w:val="18"/>
          <w:b w:val="1"/>
          <w:bCs w:val="1"/>
          <w:color w:val="auto"/>
        </w:rPr>
        <w:t>LEGAL PROCEEDINGS</w:t>
      </w:r>
    </w:p>
    <w:p>
      <w:pPr>
        <w:spacing w:after="0" w:line="135" w:lineRule="exact"/>
        <w:rPr>
          <w:sz w:val="20"/>
          <w:szCs w:val="20"/>
          <w:color w:val="auto"/>
        </w:rPr>
      </w:pPr>
    </w:p>
    <w:p>
      <w:pPr>
        <w:ind w:right="40" w:firstLine="518"/>
        <w:spacing w:after="0" w:line="264" w:lineRule="auto"/>
        <w:rPr>
          <w:sz w:val="20"/>
          <w:szCs w:val="20"/>
          <w:color w:val="auto"/>
        </w:rPr>
      </w:pPr>
      <w:r>
        <w:rPr>
          <w:rFonts w:ascii="Arial" w:cs="Arial" w:eastAsia="Arial" w:hAnsi="Arial"/>
          <w:sz w:val="18"/>
          <w:szCs w:val="18"/>
          <w:color w:val="auto"/>
        </w:rPr>
        <w:t xml:space="preserve">Legal Proceedings are set forth in our financial statement schedules in Part IV, Item 15 of this Annual Report and are incorporated herein by reference. See Note 7 — </w:t>
      </w:r>
      <w:r>
        <w:rPr>
          <w:rFonts w:ascii="Arial" w:cs="Arial" w:eastAsia="Arial" w:hAnsi="Arial"/>
          <w:sz w:val="18"/>
          <w:szCs w:val="18"/>
          <w:i w:val="1"/>
          <w:iCs w:val="1"/>
          <w:color w:val="auto"/>
        </w:rPr>
        <w:t>Commitments and Contingencies</w:t>
      </w:r>
      <w:r>
        <w:rPr>
          <w:rFonts w:ascii="Arial" w:cs="Arial" w:eastAsia="Arial" w:hAnsi="Arial"/>
          <w:sz w:val="18"/>
          <w:szCs w:val="18"/>
          <w:color w:val="auto"/>
        </w:rPr>
        <w:t xml:space="preserve"> of Notes to Consolidated Financial Statements of Part IV, Item 15. </w:t>
      </w:r>
      <w:r>
        <w:rPr>
          <w:rFonts w:ascii="Arial" w:cs="Arial" w:eastAsia="Arial" w:hAnsi="Arial"/>
          <w:sz w:val="18"/>
          <w:szCs w:val="18"/>
          <w:i w:val="1"/>
          <w:iCs w:val="1"/>
          <w:color w:val="auto"/>
        </w:rPr>
        <w:t>Exhibits and Financial Statement</w:t>
      </w:r>
      <w:r>
        <w:rPr>
          <w:rFonts w:ascii="Arial" w:cs="Arial" w:eastAsia="Arial" w:hAnsi="Arial"/>
          <w:sz w:val="18"/>
          <w:szCs w:val="18"/>
          <w:color w:val="auto"/>
        </w:rPr>
        <w:t xml:space="preserve"> </w:t>
      </w:r>
      <w:r>
        <w:rPr>
          <w:rFonts w:ascii="Arial" w:cs="Arial" w:eastAsia="Arial" w:hAnsi="Arial"/>
          <w:sz w:val="18"/>
          <w:szCs w:val="18"/>
          <w:i w:val="1"/>
          <w:iCs w:val="1"/>
          <w:color w:val="auto"/>
        </w:rPr>
        <w:t>Schedules</w:t>
      </w:r>
      <w:r>
        <w:rPr>
          <w:rFonts w:ascii="Arial" w:cs="Arial" w:eastAsia="Arial" w:hAnsi="Arial"/>
          <w:sz w:val="18"/>
          <w:szCs w:val="18"/>
          <w:color w:val="auto"/>
        </w:rPr>
        <w:t>.</w:t>
      </w:r>
    </w:p>
    <w:p>
      <w:pPr>
        <w:spacing w:after="0" w:line="366" w:lineRule="exact"/>
        <w:rPr>
          <w:sz w:val="20"/>
          <w:szCs w:val="20"/>
          <w:color w:val="auto"/>
        </w:rPr>
      </w:pPr>
    </w:p>
    <w:p>
      <w:pPr>
        <w:spacing w:after="0"/>
        <w:tabs>
          <w:tab w:leader="none" w:pos="114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8"/>
          <w:szCs w:val="18"/>
          <w:b w:val="1"/>
          <w:bCs w:val="1"/>
          <w:color w:val="auto"/>
        </w:rPr>
        <w:t>MINE SAFETY DISCLOSURES</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Not applicable.</w:t>
      </w:r>
    </w:p>
    <w:p>
      <w:pPr>
        <w:spacing w:after="0" w:line="35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II</w:t>
      </w:r>
    </w:p>
    <w:p>
      <w:pPr>
        <w:spacing w:after="0" w:line="266" w:lineRule="exact"/>
        <w:rPr>
          <w:sz w:val="20"/>
          <w:szCs w:val="20"/>
          <w:color w:val="auto"/>
        </w:rPr>
      </w:pPr>
    </w:p>
    <w:p>
      <w:pPr>
        <w:ind w:left="1040" w:right="220" w:hanging="1025"/>
        <w:spacing w:after="0" w:line="282" w:lineRule="auto"/>
        <w:tabs>
          <w:tab w:leader="none" w:pos="102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8"/>
          <w:szCs w:val="18"/>
          <w:b w:val="1"/>
          <w:bCs w:val="1"/>
          <w:color w:val="auto"/>
        </w:rPr>
        <w:t>MARKET FOR REGISTRANT’S COMMON EQUITY, RELATED STOCKHOLDER MATTERS AND ISSUER PURCHASES OF EQUITY SECURITIES</w:t>
      </w:r>
    </w:p>
    <w:p>
      <w:pPr>
        <w:spacing w:after="0" w:line="58"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Price Range of Common Stock</w:t>
      </w:r>
    </w:p>
    <w:p>
      <w:pPr>
        <w:spacing w:after="0" w:line="117" w:lineRule="exact"/>
        <w:rPr>
          <w:sz w:val="20"/>
          <w:szCs w:val="20"/>
          <w:color w:val="auto"/>
        </w:rPr>
      </w:pPr>
    </w:p>
    <w:p>
      <w:pPr>
        <w:ind w:right="20" w:firstLine="518"/>
        <w:spacing w:after="0" w:line="277" w:lineRule="auto"/>
        <w:rPr>
          <w:sz w:val="20"/>
          <w:szCs w:val="20"/>
          <w:color w:val="auto"/>
        </w:rPr>
      </w:pPr>
      <w:r>
        <w:rPr>
          <w:rFonts w:ascii="Arial" w:cs="Arial" w:eastAsia="Arial" w:hAnsi="Arial"/>
          <w:sz w:val="18"/>
          <w:szCs w:val="18"/>
          <w:color w:val="auto"/>
        </w:rPr>
        <w:t>Our Common Stock is traded on the NASDAQ Global Select Market under the symbol “ARWR”. The following table sets forth the high and low sales prices for a share of the Company’s Common Stock during each period indicated.</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37" w:name="page38"/>
    <w:bookmarkEnd w:id="37"/>
    <w:tbl>
      <w:tblPr>
        <w:tblLayout w:type="fixed"/>
        <w:tblInd w:w="460" w:type="dxa"/>
        <w:tblCellMar>
          <w:top w:w="0" w:type="dxa"/>
          <w:left w:w="0" w:type="dxa"/>
          <w:bottom w:w="0" w:type="dxa"/>
          <w:right w:w="0" w:type="dxa"/>
        </w:tblCellMar>
      </w:tblPr>
      <w:tr>
        <w:trPr>
          <w:trHeight w:val="171"/>
        </w:trPr>
        <w:tc>
          <w:tcPr>
            <w:tcW w:w="516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2560" w:type="dxa"/>
            <w:vAlign w:val="bottom"/>
            <w:tcBorders>
              <w:bottom w:val="single" w:sz="8" w:color="auto"/>
            </w:tcBorders>
            <w:gridSpan w:val="5"/>
          </w:tcPr>
          <w:p>
            <w:pPr>
              <w:ind w:left="60"/>
              <w:spacing w:after="0"/>
              <w:rPr>
                <w:sz w:val="20"/>
                <w:szCs w:val="20"/>
                <w:color w:val="auto"/>
              </w:rPr>
            </w:pPr>
            <w:r>
              <w:rPr>
                <w:rFonts w:ascii="Arial" w:cs="Arial" w:eastAsia="Arial" w:hAnsi="Arial"/>
                <w:sz w:val="14"/>
                <w:szCs w:val="14"/>
                <w:b w:val="1"/>
                <w:bCs w:val="1"/>
                <w:color w:val="auto"/>
              </w:rPr>
              <w:t>Fiscal Year Ended September 30,</w:t>
            </w:r>
          </w:p>
        </w:tc>
        <w:tc>
          <w:tcPr>
            <w:tcW w:w="26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r>
      <w:tr>
        <w:trPr>
          <w:trHeight w:val="210"/>
        </w:trPr>
        <w:tc>
          <w:tcPr>
            <w:tcW w:w="516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gridSpan w:val="3"/>
          </w:tcPr>
          <w:p>
            <w:pPr>
              <w:jc w:val="right"/>
              <w:ind w:right="65"/>
              <w:spacing w:after="0"/>
              <w:rPr>
                <w:sz w:val="20"/>
                <w:szCs w:val="20"/>
                <w:color w:val="auto"/>
              </w:rPr>
            </w:pPr>
            <w:r>
              <w:rPr>
                <w:rFonts w:ascii="Arial" w:cs="Arial" w:eastAsia="Arial" w:hAnsi="Arial"/>
                <w:sz w:val="14"/>
                <w:szCs w:val="14"/>
                <w:b w:val="1"/>
                <w:bCs w:val="1"/>
                <w:color w:val="auto"/>
              </w:rPr>
              <w:t>2017</w:t>
            </w:r>
          </w:p>
        </w:tc>
        <w:tc>
          <w:tcPr>
            <w:tcW w:w="1000" w:type="dxa"/>
            <w:vAlign w:val="bottom"/>
            <w:tcBorders>
              <w:bottom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gridSpan w:val="3"/>
          </w:tcPr>
          <w:p>
            <w:pPr>
              <w:jc w:val="right"/>
              <w:ind w:right="130"/>
              <w:spacing w:after="0"/>
              <w:rPr>
                <w:sz w:val="20"/>
                <w:szCs w:val="20"/>
                <w:color w:val="auto"/>
              </w:rPr>
            </w:pPr>
            <w:r>
              <w:rPr>
                <w:rFonts w:ascii="Arial" w:cs="Arial" w:eastAsia="Arial" w:hAnsi="Arial"/>
                <w:sz w:val="14"/>
                <w:szCs w:val="14"/>
                <w:b w:val="1"/>
                <w:bCs w:val="1"/>
                <w:color w:val="auto"/>
              </w:rPr>
              <w:t>2016</w:t>
            </w:r>
          </w:p>
        </w:tc>
        <w:tc>
          <w:tcPr>
            <w:tcW w:w="88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r>
      <w:tr>
        <w:trPr>
          <w:trHeight w:val="210"/>
        </w:trPr>
        <w:tc>
          <w:tcPr>
            <w:tcW w:w="5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40" w:type="dxa"/>
            <w:vAlign w:val="bottom"/>
            <w:gridSpan w:val="2"/>
          </w:tcPr>
          <w:p>
            <w:pPr>
              <w:jc w:val="right"/>
              <w:ind w:right="660"/>
              <w:spacing w:after="0"/>
              <w:rPr>
                <w:sz w:val="20"/>
                <w:szCs w:val="20"/>
                <w:color w:val="auto"/>
              </w:rPr>
            </w:pPr>
            <w:r>
              <w:rPr>
                <w:rFonts w:ascii="Arial" w:cs="Arial" w:eastAsia="Arial" w:hAnsi="Arial"/>
                <w:sz w:val="14"/>
                <w:szCs w:val="14"/>
                <w:b w:val="1"/>
                <w:bCs w:val="1"/>
                <w:color w:val="auto"/>
              </w:rPr>
              <w:t>High</w:t>
            </w:r>
          </w:p>
        </w:tc>
        <w:tc>
          <w:tcPr>
            <w:tcW w:w="160" w:type="dxa"/>
            <w:vAlign w:val="bottom"/>
          </w:tcPr>
          <w:p>
            <w:pPr>
              <w:spacing w:after="0"/>
              <w:rPr>
                <w:sz w:val="18"/>
                <w:szCs w:val="18"/>
                <w:color w:val="auto"/>
              </w:rPr>
            </w:pPr>
          </w:p>
        </w:tc>
        <w:tc>
          <w:tcPr>
            <w:tcW w:w="1220" w:type="dxa"/>
            <w:vAlign w:val="bottom"/>
            <w:gridSpan w:val="2"/>
          </w:tcPr>
          <w:p>
            <w:pPr>
              <w:ind w:left="280"/>
              <w:spacing w:after="0"/>
              <w:rPr>
                <w:sz w:val="20"/>
                <w:szCs w:val="20"/>
                <w:color w:val="auto"/>
              </w:rPr>
            </w:pPr>
            <w:r>
              <w:rPr>
                <w:rFonts w:ascii="Arial" w:cs="Arial" w:eastAsia="Arial" w:hAnsi="Arial"/>
                <w:sz w:val="14"/>
                <w:szCs w:val="14"/>
                <w:b w:val="1"/>
                <w:bCs w:val="1"/>
                <w:color w:val="auto"/>
              </w:rPr>
              <w:t>Low</w:t>
            </w:r>
          </w:p>
        </w:tc>
        <w:tc>
          <w:tcPr>
            <w:tcW w:w="260" w:type="dxa"/>
            <w:vAlign w:val="bottom"/>
          </w:tcPr>
          <w:p>
            <w:pPr>
              <w:spacing w:after="0"/>
              <w:rPr>
                <w:sz w:val="18"/>
                <w:szCs w:val="18"/>
                <w:color w:val="auto"/>
              </w:rPr>
            </w:pPr>
          </w:p>
        </w:tc>
        <w:tc>
          <w:tcPr>
            <w:tcW w:w="1080" w:type="dxa"/>
            <w:vAlign w:val="bottom"/>
            <w:gridSpan w:val="2"/>
          </w:tcPr>
          <w:p>
            <w:pPr>
              <w:ind w:left="160"/>
              <w:spacing w:after="0"/>
              <w:rPr>
                <w:sz w:val="20"/>
                <w:szCs w:val="20"/>
                <w:color w:val="auto"/>
              </w:rPr>
            </w:pPr>
            <w:r>
              <w:rPr>
                <w:rFonts w:ascii="Arial" w:cs="Arial" w:eastAsia="Arial" w:hAnsi="Arial"/>
                <w:sz w:val="14"/>
                <w:szCs w:val="14"/>
                <w:b w:val="1"/>
                <w:bCs w:val="1"/>
                <w:color w:val="auto"/>
              </w:rPr>
              <w:t>High</w:t>
            </w:r>
          </w:p>
        </w:tc>
        <w:tc>
          <w:tcPr>
            <w:tcW w:w="260" w:type="dxa"/>
            <w:vAlign w:val="bottom"/>
          </w:tcPr>
          <w:p>
            <w:pPr>
              <w:spacing w:after="0"/>
              <w:rPr>
                <w:sz w:val="18"/>
                <w:szCs w:val="18"/>
                <w:color w:val="auto"/>
              </w:rPr>
            </w:pPr>
          </w:p>
        </w:tc>
        <w:tc>
          <w:tcPr>
            <w:tcW w:w="960" w:type="dxa"/>
            <w:vAlign w:val="bottom"/>
            <w:gridSpan w:val="2"/>
          </w:tcPr>
          <w:p>
            <w:pPr>
              <w:jc w:val="right"/>
              <w:ind w:right="520"/>
              <w:spacing w:after="0"/>
              <w:rPr>
                <w:sz w:val="20"/>
                <w:szCs w:val="20"/>
                <w:color w:val="auto"/>
              </w:rPr>
            </w:pPr>
            <w:r>
              <w:rPr>
                <w:rFonts w:ascii="Arial" w:cs="Arial" w:eastAsia="Arial" w:hAnsi="Arial"/>
                <w:sz w:val="14"/>
                <w:szCs w:val="14"/>
                <w:b w:val="1"/>
                <w:bCs w:val="1"/>
                <w:color w:val="auto"/>
              </w:rPr>
              <w:t>Low</w:t>
            </w:r>
          </w:p>
        </w:tc>
      </w:tr>
      <w:tr>
        <w:trPr>
          <w:trHeight w:val="210"/>
        </w:trPr>
        <w:tc>
          <w:tcPr>
            <w:tcW w:w="516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1st Quarter</w:t>
            </w:r>
          </w:p>
        </w:tc>
        <w:tc>
          <w:tcPr>
            <w:tcW w:w="260" w:type="dxa"/>
            <w:vAlign w:val="bottom"/>
            <w:tcBorders>
              <w:top w:val="single" w:sz="8" w:color="auto"/>
            </w:tcBorders>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7.74</w:t>
            </w:r>
          </w:p>
        </w:tc>
        <w:tc>
          <w:tcPr>
            <w:tcW w:w="220" w:type="dxa"/>
            <w:vAlign w:val="bottom"/>
            <w:tcBorders>
              <w:top w:val="single" w:sz="8" w:color="CFF0FC"/>
            </w:tcBorders>
            <w:shd w:val="clear" w:color="auto" w:fill="CFF0FC"/>
          </w:tcPr>
          <w:p>
            <w:pPr>
              <w:spacing w:after="0"/>
              <w:rPr>
                <w:sz w:val="18"/>
                <w:szCs w:val="18"/>
                <w:color w:val="auto"/>
              </w:rPr>
            </w:pPr>
          </w:p>
        </w:tc>
        <w:tc>
          <w:tcPr>
            <w:tcW w:w="160" w:type="dxa"/>
            <w:vAlign w:val="bottom"/>
            <w:tcBorders>
              <w:top w:val="single" w:sz="8" w:color="auto"/>
            </w:tcBorders>
            <w:shd w:val="clear" w:color="auto" w:fill="CFF0FC"/>
          </w:tcPr>
          <w:p>
            <w:pPr>
              <w:jc w:val="right"/>
              <w:ind w:right="5"/>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1.20</w:t>
            </w:r>
          </w:p>
        </w:tc>
        <w:tc>
          <w:tcPr>
            <w:tcW w:w="220" w:type="dxa"/>
            <w:vAlign w:val="bottom"/>
            <w:tcBorders>
              <w:top w:val="single" w:sz="8" w:color="CFF0FC"/>
            </w:tcBorders>
            <w:shd w:val="clear" w:color="auto" w:fill="CFF0FC"/>
          </w:tcPr>
          <w:p>
            <w:pPr>
              <w:spacing w:after="0"/>
              <w:rPr>
                <w:sz w:val="18"/>
                <w:szCs w:val="18"/>
                <w:color w:val="auto"/>
              </w:rPr>
            </w:pPr>
          </w:p>
        </w:tc>
        <w:tc>
          <w:tcPr>
            <w:tcW w:w="260" w:type="dxa"/>
            <w:vAlign w:val="bottom"/>
            <w:tcBorders>
              <w:top w:val="single" w:sz="8" w:color="auto"/>
            </w:tcBorders>
            <w:shd w:val="clear" w:color="auto" w:fill="CFF0FC"/>
          </w:tcPr>
          <w:p>
            <w:pPr>
              <w:jc w:val="right"/>
              <w:ind w:right="105"/>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6.45</w:t>
            </w:r>
          </w:p>
        </w:tc>
        <w:tc>
          <w:tcPr>
            <w:tcW w:w="180" w:type="dxa"/>
            <w:vAlign w:val="bottom"/>
            <w:tcBorders>
              <w:top w:val="single" w:sz="8" w:color="CFF0FC"/>
            </w:tcBorders>
            <w:shd w:val="clear" w:color="auto" w:fill="CFF0FC"/>
          </w:tcPr>
          <w:p>
            <w:pPr>
              <w:spacing w:after="0"/>
              <w:rPr>
                <w:sz w:val="18"/>
                <w:szCs w:val="18"/>
                <w:color w:val="auto"/>
              </w:rPr>
            </w:pPr>
          </w:p>
        </w:tc>
        <w:tc>
          <w:tcPr>
            <w:tcW w:w="260" w:type="dxa"/>
            <w:vAlign w:val="bottom"/>
            <w:tcBorders>
              <w:top w:val="single" w:sz="8" w:color="auto"/>
            </w:tcBorders>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4.83</w:t>
            </w:r>
          </w:p>
        </w:tc>
        <w:tc>
          <w:tcPr>
            <w:tcW w:w="80" w:type="dxa"/>
            <w:vAlign w:val="bottom"/>
            <w:tcBorders>
              <w:top w:val="single" w:sz="8" w:color="CFF0FC"/>
            </w:tcBorders>
            <w:shd w:val="clear" w:color="auto" w:fill="CFF0FC"/>
          </w:tcPr>
          <w:p>
            <w:pPr>
              <w:spacing w:after="0"/>
              <w:rPr>
                <w:sz w:val="18"/>
                <w:szCs w:val="18"/>
                <w:color w:val="auto"/>
              </w:rPr>
            </w:pPr>
          </w:p>
        </w:tc>
      </w:tr>
      <w:tr>
        <w:trPr>
          <w:trHeight w:val="216"/>
        </w:trPr>
        <w:tc>
          <w:tcPr>
            <w:tcW w:w="5160" w:type="dxa"/>
            <w:vAlign w:val="bottom"/>
          </w:tcPr>
          <w:p>
            <w:pPr>
              <w:spacing w:after="0"/>
              <w:rPr>
                <w:sz w:val="20"/>
                <w:szCs w:val="20"/>
                <w:color w:val="auto"/>
              </w:rPr>
            </w:pPr>
            <w:r>
              <w:rPr>
                <w:rFonts w:ascii="Arial" w:cs="Arial" w:eastAsia="Arial" w:hAnsi="Arial"/>
                <w:sz w:val="18"/>
                <w:szCs w:val="18"/>
                <w:color w:val="auto"/>
              </w:rPr>
              <w:t>2nd Quarter</w:t>
            </w:r>
          </w:p>
        </w:tc>
        <w:tc>
          <w:tcPr>
            <w:tcW w:w="26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2.45</w:t>
            </w:r>
          </w:p>
        </w:tc>
        <w:tc>
          <w:tcPr>
            <w:tcW w:w="16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1.42</w:t>
            </w:r>
          </w:p>
        </w:tc>
        <w:tc>
          <w:tcPr>
            <w:tcW w:w="260" w:type="dxa"/>
            <w:vAlign w:val="bottom"/>
          </w:tcPr>
          <w:p>
            <w:pPr>
              <w:spacing w:after="0"/>
              <w:rPr>
                <w:sz w:val="18"/>
                <w:szCs w:val="18"/>
                <w:color w:val="auto"/>
              </w:rPr>
            </w:pPr>
          </w:p>
        </w:tc>
        <w:tc>
          <w:tcPr>
            <w:tcW w:w="1080" w:type="dxa"/>
            <w:vAlign w:val="bottom"/>
            <w:gridSpan w:val="2"/>
          </w:tcPr>
          <w:p>
            <w:pPr>
              <w:jc w:val="right"/>
              <w:ind w:right="180"/>
              <w:spacing w:after="0"/>
              <w:rPr>
                <w:sz w:val="20"/>
                <w:szCs w:val="20"/>
                <w:color w:val="auto"/>
              </w:rPr>
            </w:pPr>
            <w:r>
              <w:rPr>
                <w:rFonts w:ascii="Arial" w:cs="Arial" w:eastAsia="Arial" w:hAnsi="Arial"/>
                <w:sz w:val="18"/>
                <w:szCs w:val="18"/>
                <w:color w:val="auto"/>
              </w:rPr>
              <w:t>6.05</w:t>
            </w:r>
          </w:p>
        </w:tc>
        <w:tc>
          <w:tcPr>
            <w:tcW w:w="260" w:type="dxa"/>
            <w:vAlign w:val="bottom"/>
          </w:tcPr>
          <w:p>
            <w:pPr>
              <w:spacing w:after="0"/>
              <w:rPr>
                <w:sz w:val="18"/>
                <w:szCs w:val="18"/>
                <w:color w:val="auto"/>
              </w:rPr>
            </w:pPr>
          </w:p>
        </w:tc>
        <w:tc>
          <w:tcPr>
            <w:tcW w:w="960" w:type="dxa"/>
            <w:vAlign w:val="bottom"/>
            <w:gridSpan w:val="2"/>
          </w:tcPr>
          <w:p>
            <w:pPr>
              <w:jc w:val="right"/>
              <w:ind w:right="80"/>
              <w:spacing w:after="0"/>
              <w:rPr>
                <w:sz w:val="20"/>
                <w:szCs w:val="20"/>
                <w:color w:val="auto"/>
              </w:rPr>
            </w:pPr>
            <w:r>
              <w:rPr>
                <w:rFonts w:ascii="Arial" w:cs="Arial" w:eastAsia="Arial" w:hAnsi="Arial"/>
                <w:sz w:val="18"/>
                <w:szCs w:val="18"/>
                <w:color w:val="auto"/>
              </w:rPr>
              <w:t>3.07</w:t>
            </w:r>
          </w:p>
        </w:tc>
      </w:tr>
      <w:tr>
        <w:trPr>
          <w:trHeight w:val="216"/>
        </w:trPr>
        <w:tc>
          <w:tcPr>
            <w:tcW w:w="5160" w:type="dxa"/>
            <w:vAlign w:val="bottom"/>
            <w:shd w:val="clear" w:color="auto" w:fill="CFF0FC"/>
          </w:tcPr>
          <w:p>
            <w:pPr>
              <w:spacing w:after="0"/>
              <w:rPr>
                <w:sz w:val="20"/>
                <w:szCs w:val="20"/>
                <w:color w:val="auto"/>
              </w:rPr>
            </w:pPr>
            <w:r>
              <w:rPr>
                <w:rFonts w:ascii="Arial" w:cs="Arial" w:eastAsia="Arial" w:hAnsi="Arial"/>
                <w:sz w:val="18"/>
                <w:szCs w:val="18"/>
                <w:color w:val="auto"/>
              </w:rPr>
              <w:t>3rd Quarter</w:t>
            </w:r>
          </w:p>
        </w:tc>
        <w:tc>
          <w:tcPr>
            <w:tcW w:w="260" w:type="dxa"/>
            <w:vAlign w:val="bottom"/>
            <w:shd w:val="clear" w:color="auto" w:fill="CFF0FC"/>
          </w:tcPr>
          <w:p>
            <w:pPr>
              <w:spacing w:after="0"/>
              <w:rPr>
                <w:sz w:val="18"/>
                <w:szCs w:val="18"/>
                <w:color w:val="auto"/>
              </w:rPr>
            </w:pPr>
          </w:p>
        </w:tc>
        <w:tc>
          <w:tcPr>
            <w:tcW w:w="114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2.04</w:t>
            </w:r>
          </w:p>
        </w:tc>
        <w:tc>
          <w:tcPr>
            <w:tcW w:w="160" w:type="dxa"/>
            <w:vAlign w:val="bottom"/>
            <w:shd w:val="clear" w:color="auto" w:fill="CFF0FC"/>
          </w:tcPr>
          <w:p>
            <w:pPr>
              <w:spacing w:after="0"/>
              <w:rPr>
                <w:sz w:val="18"/>
                <w:szCs w:val="18"/>
                <w:color w:val="auto"/>
              </w:rPr>
            </w:pPr>
          </w:p>
        </w:tc>
        <w:tc>
          <w:tcPr>
            <w:tcW w:w="122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1.42</w:t>
            </w:r>
          </w:p>
        </w:tc>
        <w:tc>
          <w:tcPr>
            <w:tcW w:w="260" w:type="dxa"/>
            <w:vAlign w:val="bottom"/>
            <w:shd w:val="clear" w:color="auto" w:fill="CFF0FC"/>
          </w:tcPr>
          <w:p>
            <w:pPr>
              <w:spacing w:after="0"/>
              <w:rPr>
                <w:sz w:val="18"/>
                <w:szCs w:val="18"/>
                <w:color w:val="auto"/>
              </w:rPr>
            </w:pPr>
          </w:p>
        </w:tc>
        <w:tc>
          <w:tcPr>
            <w:tcW w:w="108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6.55</w:t>
            </w:r>
          </w:p>
        </w:tc>
        <w:tc>
          <w:tcPr>
            <w:tcW w:w="260" w:type="dxa"/>
            <w:vAlign w:val="bottom"/>
            <w:shd w:val="clear" w:color="auto" w:fill="CFF0FC"/>
          </w:tcPr>
          <w:p>
            <w:pPr>
              <w:spacing w:after="0"/>
              <w:rPr>
                <w:sz w:val="18"/>
                <w:szCs w:val="18"/>
                <w:color w:val="auto"/>
              </w:rPr>
            </w:pPr>
          </w:p>
        </w:tc>
        <w:tc>
          <w:tcPr>
            <w:tcW w:w="96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4.68</w:t>
            </w:r>
          </w:p>
        </w:tc>
      </w:tr>
      <w:tr>
        <w:trPr>
          <w:trHeight w:val="230"/>
        </w:trPr>
        <w:tc>
          <w:tcPr>
            <w:tcW w:w="5160" w:type="dxa"/>
            <w:vAlign w:val="bottom"/>
          </w:tcPr>
          <w:p>
            <w:pPr>
              <w:spacing w:after="0"/>
              <w:rPr>
                <w:sz w:val="20"/>
                <w:szCs w:val="20"/>
                <w:color w:val="auto"/>
              </w:rPr>
            </w:pPr>
            <w:r>
              <w:rPr>
                <w:rFonts w:ascii="Arial" w:cs="Arial" w:eastAsia="Arial" w:hAnsi="Arial"/>
                <w:sz w:val="18"/>
                <w:szCs w:val="18"/>
                <w:color w:val="auto"/>
              </w:rPr>
              <w:t>4th Quarter</w:t>
            </w:r>
          </w:p>
        </w:tc>
        <w:tc>
          <w:tcPr>
            <w:tcW w:w="260" w:type="dxa"/>
            <w:vAlign w:val="bottom"/>
          </w:tcPr>
          <w:p>
            <w:pPr>
              <w:spacing w:after="0"/>
              <w:rPr>
                <w:sz w:val="20"/>
                <w:szCs w:val="20"/>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4.42</w:t>
            </w:r>
          </w:p>
        </w:tc>
        <w:tc>
          <w:tcPr>
            <w:tcW w:w="160" w:type="dxa"/>
            <w:vAlign w:val="bottom"/>
          </w:tcPr>
          <w:p>
            <w:pPr>
              <w:spacing w:after="0"/>
              <w:rPr>
                <w:sz w:val="20"/>
                <w:szCs w:val="20"/>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1.48</w:t>
            </w:r>
          </w:p>
        </w:tc>
        <w:tc>
          <w:tcPr>
            <w:tcW w:w="260" w:type="dxa"/>
            <w:vAlign w:val="bottom"/>
          </w:tcPr>
          <w:p>
            <w:pPr>
              <w:spacing w:after="0"/>
              <w:rPr>
                <w:sz w:val="20"/>
                <w:szCs w:val="20"/>
                <w:color w:val="auto"/>
              </w:rPr>
            </w:pPr>
          </w:p>
        </w:tc>
        <w:tc>
          <w:tcPr>
            <w:tcW w:w="1080" w:type="dxa"/>
            <w:vAlign w:val="bottom"/>
            <w:gridSpan w:val="2"/>
          </w:tcPr>
          <w:p>
            <w:pPr>
              <w:jc w:val="right"/>
              <w:ind w:right="180"/>
              <w:spacing w:after="0"/>
              <w:rPr>
                <w:sz w:val="20"/>
                <w:szCs w:val="20"/>
                <w:color w:val="auto"/>
              </w:rPr>
            </w:pPr>
            <w:r>
              <w:rPr>
                <w:rFonts w:ascii="Arial" w:cs="Arial" w:eastAsia="Arial" w:hAnsi="Arial"/>
                <w:sz w:val="18"/>
                <w:szCs w:val="18"/>
                <w:color w:val="auto"/>
              </w:rPr>
              <w:t>8.22</w:t>
            </w:r>
          </w:p>
        </w:tc>
        <w:tc>
          <w:tcPr>
            <w:tcW w:w="260" w:type="dxa"/>
            <w:vAlign w:val="bottom"/>
          </w:tcPr>
          <w:p>
            <w:pPr>
              <w:spacing w:after="0"/>
              <w:rPr>
                <w:sz w:val="20"/>
                <w:szCs w:val="20"/>
                <w:color w:val="auto"/>
              </w:rPr>
            </w:pPr>
          </w:p>
        </w:tc>
        <w:tc>
          <w:tcPr>
            <w:tcW w:w="960" w:type="dxa"/>
            <w:vAlign w:val="bottom"/>
            <w:gridSpan w:val="2"/>
          </w:tcPr>
          <w:p>
            <w:pPr>
              <w:jc w:val="right"/>
              <w:ind w:right="80"/>
              <w:spacing w:after="0"/>
              <w:rPr>
                <w:sz w:val="20"/>
                <w:szCs w:val="20"/>
                <w:color w:val="auto"/>
              </w:rPr>
            </w:pPr>
            <w:r>
              <w:rPr>
                <w:rFonts w:ascii="Arial" w:cs="Arial" w:eastAsia="Arial" w:hAnsi="Arial"/>
                <w:sz w:val="18"/>
                <w:szCs w:val="18"/>
                <w:color w:val="auto"/>
              </w:rPr>
              <w:t>5.29</w:t>
            </w:r>
          </w:p>
        </w:tc>
      </w:tr>
    </w:tbl>
    <w:p>
      <w:pPr>
        <w:spacing w:after="0" w:line="322"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Shares Outstanding</w:t>
      </w:r>
    </w:p>
    <w:p>
      <w:pPr>
        <w:spacing w:after="0" w:line="117" w:lineRule="exact"/>
        <w:rPr>
          <w:sz w:val="20"/>
          <w:szCs w:val="20"/>
          <w:color w:val="auto"/>
        </w:rPr>
      </w:pPr>
    </w:p>
    <w:p>
      <w:pPr>
        <w:ind w:right="380" w:firstLine="518"/>
        <w:spacing w:after="0" w:line="277" w:lineRule="auto"/>
        <w:rPr>
          <w:sz w:val="20"/>
          <w:szCs w:val="20"/>
          <w:color w:val="auto"/>
        </w:rPr>
      </w:pPr>
      <w:r>
        <w:rPr>
          <w:rFonts w:ascii="Arial" w:cs="Arial" w:eastAsia="Arial" w:hAnsi="Arial"/>
          <w:sz w:val="18"/>
          <w:szCs w:val="18"/>
          <w:color w:val="auto"/>
        </w:rPr>
        <w:t>At December 6, 2017, 74,828,280 shares of the Company’s Common Stock were issued and outstanding, and were owned by 129 stockholders of record, based on information provided by the Company’s transfer agent.</w:t>
      </w:r>
    </w:p>
    <w:p>
      <w:pPr>
        <w:spacing w:after="0" w:line="279"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Dividends</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Company has never paid dividends on its Common Stock and does not anticipate that it will do so in the foreseeable future.</w:t>
      </w:r>
    </w:p>
    <w:p>
      <w:pPr>
        <w:spacing w:after="0" w:line="333"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Securities Authorized for Issuance Under the Equity Compensation Plans</w:t>
      </w:r>
    </w:p>
    <w:p>
      <w:pPr>
        <w:spacing w:after="0" w:line="117" w:lineRule="exact"/>
        <w:rPr>
          <w:sz w:val="20"/>
          <w:szCs w:val="20"/>
          <w:color w:val="auto"/>
        </w:rPr>
      </w:pPr>
    </w:p>
    <w:p>
      <w:pPr>
        <w:ind w:right="460" w:firstLine="518"/>
        <w:spacing w:after="0" w:line="277" w:lineRule="auto"/>
        <w:rPr>
          <w:sz w:val="20"/>
          <w:szCs w:val="20"/>
          <w:color w:val="auto"/>
        </w:rPr>
      </w:pPr>
      <w:r>
        <w:rPr>
          <w:rFonts w:ascii="Arial" w:cs="Arial" w:eastAsia="Arial" w:hAnsi="Arial"/>
          <w:sz w:val="18"/>
          <w:szCs w:val="18"/>
          <w:color w:val="auto"/>
        </w:rPr>
        <w:t>The disclosure required under this item related to equity compensation plans is incorporated by reference from Item 12 of Part III of this Annual Report on Form 10-K.</w:t>
      </w:r>
    </w:p>
    <w:p>
      <w:pPr>
        <w:spacing w:after="0" w:line="279"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Sales of Unregistered Securities</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All information under this Item has been previously reported on our Current Reports on Form 8-K.</w:t>
      </w:r>
    </w:p>
    <w:p>
      <w:pPr>
        <w:spacing w:after="0" w:line="333"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Repurchases of Equity Securities</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We did not repurchase any shares of our Common Stock during the years ended September 30, 2017, 2016 and 2015.</w:t>
      </w:r>
    </w:p>
    <w:p>
      <w:pPr>
        <w:spacing w:after="0" w:line="333"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Performance Graph</w:t>
      </w:r>
    </w:p>
    <w:p>
      <w:pPr>
        <w:spacing w:after="0" w:line="131" w:lineRule="exact"/>
        <w:rPr>
          <w:sz w:val="20"/>
          <w:szCs w:val="20"/>
          <w:color w:val="auto"/>
        </w:rPr>
      </w:pPr>
    </w:p>
    <w:p>
      <w:pPr>
        <w:ind w:firstLine="518"/>
        <w:spacing w:after="0" w:line="254" w:lineRule="auto"/>
        <w:rPr>
          <w:sz w:val="20"/>
          <w:szCs w:val="20"/>
          <w:color w:val="auto"/>
        </w:rPr>
      </w:pPr>
      <w:r>
        <w:rPr>
          <w:rFonts w:ascii="Arial" w:cs="Arial" w:eastAsia="Arial" w:hAnsi="Arial"/>
          <w:sz w:val="18"/>
          <w:szCs w:val="18"/>
          <w:color w:val="auto"/>
        </w:rPr>
        <w:t>The following performance graph shall not be deemed “soliciting material” or to be “filed” with the SEC, nor shall such information be incorporated by reference into any future filing under the Securities Act of 1933 or Securities Exchange Act of 1934, each as amended, except to the extent that we specifically incorporate it by reference into such filing. The graph compares the cumulative 5-year total return to shareholders on our Common Stock relative to the cumulative total returns of the NASDAQ Composite Index and the NASDAQ Biotechnology Index. We selected the NASDAQ Biotechnology Index because we believe the index reflects the market conditions within the industry in which we primarily operate. The comparison of total return on investment, defined as the change in year-end stock price plus reinvested dividends, for each of the periods assumes that $100 was invested on September 30, 2012, in each of our Common Stock, the NASDAQ Composite Index and the NASDAQ Biotechnology Index, with investment weighted on the basis of market capitalization.</w:t>
      </w:r>
    </w:p>
    <w:p>
      <w:pPr>
        <w:spacing w:after="0" w:line="219" w:lineRule="exact"/>
        <w:rPr>
          <w:sz w:val="20"/>
          <w:szCs w:val="20"/>
          <w:color w:val="auto"/>
        </w:rPr>
      </w:pPr>
    </w:p>
    <w:p>
      <w:pPr>
        <w:ind w:left="520"/>
        <w:spacing w:after="0"/>
        <w:rPr>
          <w:sz w:val="20"/>
          <w:szCs w:val="20"/>
          <w:color w:val="auto"/>
        </w:rPr>
      </w:pPr>
      <w:r>
        <w:rPr>
          <w:rFonts w:ascii="Arial" w:cs="Arial" w:eastAsia="Arial" w:hAnsi="Arial"/>
          <w:sz w:val="16"/>
          <w:szCs w:val="16"/>
          <w:color w:val="auto"/>
        </w:rPr>
        <w:t>The comparisons in the following graph are based on historical data and are not intended to forecast the possible future performance of our Common</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Stock.</w:t>
      </w:r>
    </w:p>
    <w:p>
      <w:pPr>
        <w:spacing w:after="0" w:line="21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80"/>
          </w:cols>
          <w:pgMar w:left="240" w:top="427" w:right="279" w:bottom="1440" w:gutter="0" w:footer="0" w:header="0"/>
        </w:sectPr>
      </w:pPr>
    </w:p>
    <w:bookmarkStart w:id="38" w:name="page39"/>
    <w:bookmarkEnd w:id="38"/>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483235</wp:posOffset>
            </wp:positionH>
            <wp:positionV relativeFrom="page">
              <wp:posOffset>88900</wp:posOffset>
            </wp:positionV>
            <wp:extent cx="6165850" cy="376491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clrChange>
                        <a:clrFrom>
                          <a:srgbClr val="FFFFFF"/>
                        </a:clrFrom>
                        <a:clrTo>
                          <a:srgbClr val="FFFFFF">
                            <a:alpha val="0"/>
                          </a:srgbClr>
                        </a:clrTo>
                      </a:clrChange>
                      <a:extLst>
                        <a:ext uri="{28A0092B-C50C-407E-A947-70E740481C1C}"/>
                      </a:extLst>
                    </a:blip>
                    <a:srcRect/>
                    <a:stretch>
                      <a:fillRect/>
                    </a:stretch>
                  </pic:blipFill>
                  <pic:spPr bwMode="auto">
                    <a:xfrm>
                      <a:off x="0" y="0"/>
                      <a:ext cx="6165850" cy="37649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-768985</wp:posOffset>
            </wp:positionH>
            <wp:positionV relativeFrom="paragraph">
              <wp:posOffset>85090</wp:posOffset>
            </wp:positionV>
            <wp:extent cx="7289165"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sectPr>
      </w:pPr>
    </w:p>
    <w:bookmarkStart w:id="39" w:name="page40"/>
    <w:bookmarkEnd w:id="39"/>
    <w:p>
      <w:pPr>
        <w:spacing w:after="0"/>
        <w:tabs>
          <w:tab w:leader="none" w:pos="102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8"/>
          <w:szCs w:val="18"/>
          <w:b w:val="1"/>
          <w:bCs w:val="1"/>
          <w:color w:val="auto"/>
        </w:rPr>
        <w:t>SELECTED FINANCIAL DATA</w:t>
      </w:r>
    </w:p>
    <w:p>
      <w:pPr>
        <w:spacing w:after="0" w:line="135" w:lineRule="exact"/>
        <w:rPr>
          <w:sz w:val="20"/>
          <w:szCs w:val="20"/>
          <w:color w:val="auto"/>
        </w:rPr>
      </w:pPr>
    </w:p>
    <w:p>
      <w:pPr>
        <w:jc w:val="both"/>
        <w:ind w:left="120" w:right="1780" w:firstLine="397"/>
        <w:spacing w:after="0" w:line="288" w:lineRule="auto"/>
        <w:rPr>
          <w:sz w:val="20"/>
          <w:szCs w:val="20"/>
          <w:color w:val="auto"/>
        </w:rPr>
      </w:pPr>
      <w:r>
        <w:rPr>
          <w:rFonts w:ascii="Arial" w:cs="Arial" w:eastAsia="Arial" w:hAnsi="Arial"/>
          <w:sz w:val="16"/>
          <w:szCs w:val="16"/>
          <w:color w:val="auto"/>
        </w:rPr>
        <w:t>The following selected financial data has been derived from our audited consolidated financial statements and should be read in conjunction with the consolidated financial statements, the related notes thereto and the independent auditors’ report thereon, and “Management’s Discussion and Analysis of Financial Condition and Results of Operations,” which are included elsewhere in this</w:t>
      </w:r>
    </w:p>
    <w:p>
      <w:pPr>
        <w:spacing w:after="0"/>
        <w:rPr>
          <w:sz w:val="20"/>
          <w:szCs w:val="20"/>
          <w:color w:val="auto"/>
        </w:rPr>
      </w:pPr>
      <w:r>
        <w:rPr>
          <w:rFonts w:ascii="Arial" w:cs="Arial" w:eastAsia="Arial" w:hAnsi="Arial"/>
          <w:sz w:val="18"/>
          <w:szCs w:val="18"/>
          <w:color w:val="auto"/>
        </w:rPr>
        <w:t>Form 10-K and in previously filed annual reports on Form 10-K of Arrowhead Pharmaceuticals, Inc.</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18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8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2420" w:type="dxa"/>
            <w:vAlign w:val="bottom"/>
            <w:tcBorders>
              <w:bottom w:val="single" w:sz="8" w:color="auto"/>
            </w:tcBorders>
            <w:gridSpan w:val="9"/>
          </w:tcPr>
          <w:p>
            <w:pPr>
              <w:jc w:val="center"/>
              <w:ind w:left="720"/>
              <w:spacing w:after="0"/>
              <w:rPr>
                <w:sz w:val="20"/>
                <w:szCs w:val="20"/>
                <w:color w:val="auto"/>
              </w:rPr>
            </w:pPr>
            <w:r>
              <w:rPr>
                <w:rFonts w:ascii="Arial" w:cs="Arial" w:eastAsia="Arial" w:hAnsi="Arial"/>
                <w:sz w:val="14"/>
                <w:szCs w:val="14"/>
                <w:b w:val="1"/>
                <w:bCs w:val="1"/>
                <w:color w:val="auto"/>
                <w:w w:val="92"/>
              </w:rPr>
              <w:t>Year Ended September</w:t>
            </w:r>
          </w:p>
        </w:tc>
        <w:tc>
          <w:tcPr>
            <w:tcW w:w="96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r>
      <w:tr>
        <w:trPr>
          <w:trHeight w:val="156"/>
        </w:trPr>
        <w:tc>
          <w:tcPr>
            <w:tcW w:w="20" w:type="dxa"/>
            <w:vAlign w:val="bottom"/>
          </w:tcPr>
          <w:p>
            <w:pPr>
              <w:spacing w:after="0"/>
              <w:rPr>
                <w:sz w:val="13"/>
                <w:szCs w:val="13"/>
                <w:color w:val="auto"/>
              </w:rPr>
            </w:pPr>
          </w:p>
        </w:tc>
        <w:tc>
          <w:tcPr>
            <w:tcW w:w="1860" w:type="dxa"/>
            <w:vAlign w:val="bottom"/>
            <w:tcBorders>
              <w:bottom w:val="single" w:sz="8" w:color="CFF0FC"/>
            </w:tcBorders>
          </w:tcPr>
          <w:p>
            <w:pPr>
              <w:spacing w:after="0"/>
              <w:rPr>
                <w:sz w:val="13"/>
                <w:szCs w:val="13"/>
                <w:color w:val="auto"/>
              </w:rPr>
            </w:pPr>
          </w:p>
        </w:tc>
        <w:tc>
          <w:tcPr>
            <w:tcW w:w="780" w:type="dxa"/>
            <w:vAlign w:val="bottom"/>
            <w:tcBorders>
              <w:bottom w:val="single" w:sz="8" w:color="CFF0FC"/>
            </w:tcBorders>
          </w:tcPr>
          <w:p>
            <w:pPr>
              <w:spacing w:after="0"/>
              <w:rPr>
                <w:sz w:val="13"/>
                <w:szCs w:val="13"/>
                <w:color w:val="auto"/>
              </w:rPr>
            </w:pPr>
          </w:p>
        </w:tc>
        <w:tc>
          <w:tcPr>
            <w:tcW w:w="2800" w:type="dxa"/>
            <w:vAlign w:val="bottom"/>
            <w:tcBorders>
              <w:bottom w:val="single" w:sz="8" w:color="CFF0FC"/>
            </w:tcBorders>
          </w:tcPr>
          <w:p>
            <w:pPr>
              <w:spacing w:after="0"/>
              <w:rPr>
                <w:sz w:val="13"/>
                <w:szCs w:val="13"/>
                <w:color w:val="auto"/>
              </w:rPr>
            </w:pPr>
          </w:p>
        </w:tc>
        <w:tc>
          <w:tcPr>
            <w:tcW w:w="60" w:type="dxa"/>
            <w:vAlign w:val="bottom"/>
            <w:tcBorders>
              <w:bottom w:val="single" w:sz="8" w:color="CFF0FC"/>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tcPr>
          <w:p>
            <w:pPr>
              <w:jc w:val="right"/>
              <w:ind w:right="320"/>
              <w:spacing w:after="0" w:line="155" w:lineRule="exact"/>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CFF0FC"/>
            </w:tcBorders>
          </w:tcPr>
          <w:p>
            <w:pPr>
              <w:spacing w:after="0"/>
              <w:rPr>
                <w:sz w:val="13"/>
                <w:szCs w:val="13"/>
                <w:color w:val="auto"/>
              </w:rPr>
            </w:pPr>
          </w:p>
        </w:tc>
        <w:tc>
          <w:tcPr>
            <w:tcW w:w="20" w:type="dxa"/>
            <w:vAlign w:val="bottom"/>
            <w:tcBorders>
              <w:bottom w:val="single" w:sz="8" w:color="CFF0FC"/>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tcPr>
          <w:p>
            <w:pPr>
              <w:jc w:val="right"/>
              <w:ind w:right="320"/>
              <w:spacing w:after="0" w:line="155" w:lineRule="exact"/>
              <w:rPr>
                <w:sz w:val="20"/>
                <w:szCs w:val="20"/>
                <w:color w:val="auto"/>
              </w:rPr>
            </w:pPr>
            <w:r>
              <w:rPr>
                <w:rFonts w:ascii="Arial" w:cs="Arial" w:eastAsia="Arial" w:hAnsi="Arial"/>
                <w:sz w:val="14"/>
                <w:szCs w:val="14"/>
                <w:b w:val="1"/>
                <w:bCs w:val="1"/>
                <w:color w:val="auto"/>
              </w:rPr>
              <w:t>2016</w:t>
            </w:r>
          </w:p>
        </w:tc>
        <w:tc>
          <w:tcPr>
            <w:tcW w:w="80" w:type="dxa"/>
            <w:vAlign w:val="bottom"/>
            <w:tcBorders>
              <w:bottom w:val="single" w:sz="8" w:color="CFF0FC"/>
            </w:tcBorders>
          </w:tcPr>
          <w:p>
            <w:pPr>
              <w:spacing w:after="0"/>
              <w:rPr>
                <w:sz w:val="13"/>
                <w:szCs w:val="13"/>
                <w:color w:val="auto"/>
              </w:rPr>
            </w:pPr>
          </w:p>
        </w:tc>
        <w:tc>
          <w:tcPr>
            <w:tcW w:w="40" w:type="dxa"/>
            <w:vAlign w:val="bottom"/>
            <w:tcBorders>
              <w:bottom w:val="single" w:sz="8" w:color="CFF0FC"/>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gridSpan w:val="2"/>
          </w:tcPr>
          <w:p>
            <w:pPr>
              <w:jc w:val="center"/>
              <w:ind w:right="19"/>
              <w:spacing w:after="0" w:line="155" w:lineRule="exact"/>
              <w:rPr>
                <w:sz w:val="20"/>
                <w:szCs w:val="20"/>
                <w:color w:val="auto"/>
              </w:rPr>
            </w:pPr>
            <w:r>
              <w:rPr>
                <w:rFonts w:ascii="Arial" w:cs="Arial" w:eastAsia="Arial" w:hAnsi="Arial"/>
                <w:sz w:val="14"/>
                <w:szCs w:val="14"/>
                <w:b w:val="1"/>
                <w:bCs w:val="1"/>
                <w:color w:val="auto"/>
                <w:w w:val="89"/>
              </w:rPr>
              <w:t>2015</w:t>
            </w:r>
          </w:p>
        </w:tc>
        <w:tc>
          <w:tcPr>
            <w:tcW w:w="100" w:type="dxa"/>
            <w:vAlign w:val="bottom"/>
            <w:tcBorders>
              <w:bottom w:val="single" w:sz="8" w:color="CFF0FC"/>
            </w:tcBorders>
          </w:tcPr>
          <w:p>
            <w:pPr>
              <w:spacing w:after="0"/>
              <w:rPr>
                <w:sz w:val="13"/>
                <w:szCs w:val="13"/>
                <w:color w:val="auto"/>
              </w:rPr>
            </w:pPr>
          </w:p>
        </w:tc>
        <w:tc>
          <w:tcPr>
            <w:tcW w:w="20" w:type="dxa"/>
            <w:vAlign w:val="bottom"/>
            <w:tcBorders>
              <w:bottom w:val="single" w:sz="8" w:color="CFF0FC"/>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tcPr>
          <w:p>
            <w:pPr>
              <w:jc w:val="right"/>
              <w:ind w:right="320"/>
              <w:spacing w:after="0" w:line="155" w:lineRule="exact"/>
              <w:rPr>
                <w:sz w:val="20"/>
                <w:szCs w:val="20"/>
                <w:color w:val="auto"/>
              </w:rPr>
            </w:pPr>
            <w:r>
              <w:rPr>
                <w:rFonts w:ascii="Arial" w:cs="Arial" w:eastAsia="Arial" w:hAnsi="Arial"/>
                <w:sz w:val="14"/>
                <w:szCs w:val="14"/>
                <w:b w:val="1"/>
                <w:bCs w:val="1"/>
                <w:color w:val="auto"/>
              </w:rPr>
              <w:t>2014</w:t>
            </w:r>
          </w:p>
        </w:tc>
        <w:tc>
          <w:tcPr>
            <w:tcW w:w="120" w:type="dxa"/>
            <w:vAlign w:val="bottom"/>
            <w:tcBorders>
              <w:bottom w:val="single" w:sz="8" w:color="CFF0FC"/>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940" w:type="dxa"/>
            <w:vAlign w:val="bottom"/>
            <w:tcBorders>
              <w:bottom w:val="single" w:sz="8" w:color="auto"/>
            </w:tcBorders>
          </w:tcPr>
          <w:p>
            <w:pPr>
              <w:jc w:val="right"/>
              <w:ind w:right="320"/>
              <w:spacing w:after="0" w:line="155" w:lineRule="exact"/>
              <w:rPr>
                <w:sz w:val="20"/>
                <w:szCs w:val="20"/>
                <w:color w:val="auto"/>
              </w:rPr>
            </w:pPr>
            <w:r>
              <w:rPr>
                <w:rFonts w:ascii="Arial" w:cs="Arial" w:eastAsia="Arial" w:hAnsi="Arial"/>
                <w:sz w:val="14"/>
                <w:szCs w:val="14"/>
                <w:b w:val="1"/>
                <w:bCs w:val="1"/>
                <w:color w:val="auto"/>
              </w:rPr>
              <w:t>2013</w:t>
            </w:r>
          </w:p>
        </w:tc>
        <w:tc>
          <w:tcPr>
            <w:tcW w:w="60" w:type="dxa"/>
            <w:vAlign w:val="bottom"/>
            <w:tcBorders>
              <w:bottom w:val="single" w:sz="8" w:color="CFF0FC"/>
            </w:tcBorders>
          </w:tcPr>
          <w:p>
            <w:pPr>
              <w:spacing w:after="0"/>
              <w:rPr>
                <w:sz w:val="13"/>
                <w:szCs w:val="13"/>
                <w:color w:val="auto"/>
              </w:rPr>
            </w:pPr>
          </w:p>
        </w:tc>
      </w:tr>
      <w:tr>
        <w:trPr>
          <w:trHeight w:val="190"/>
        </w:trPr>
        <w:tc>
          <w:tcPr>
            <w:tcW w:w="20" w:type="dxa"/>
            <w:vAlign w:val="bottom"/>
          </w:tcPr>
          <w:p>
            <w:pPr>
              <w:spacing w:after="0"/>
              <w:rPr>
                <w:sz w:val="16"/>
                <w:szCs w:val="16"/>
                <w:color w:val="auto"/>
              </w:rPr>
            </w:pPr>
          </w:p>
        </w:tc>
        <w:tc>
          <w:tcPr>
            <w:tcW w:w="1860" w:type="dxa"/>
            <w:vAlign w:val="bottom"/>
            <w:tcBorders>
              <w:bottom w:val="single" w:sz="8" w:color="auto"/>
            </w:tcBorders>
            <w:shd w:val="clear" w:color="auto" w:fill="CFF0FC"/>
          </w:tcPr>
          <w:p>
            <w:pPr>
              <w:spacing w:after="0" w:line="169" w:lineRule="exact"/>
              <w:rPr>
                <w:sz w:val="20"/>
                <w:szCs w:val="20"/>
                <w:color w:val="auto"/>
              </w:rPr>
            </w:pPr>
            <w:r>
              <w:rPr>
                <w:rFonts w:ascii="Arial" w:cs="Arial" w:eastAsia="Arial" w:hAnsi="Arial"/>
                <w:sz w:val="16"/>
                <w:szCs w:val="16"/>
                <w:b w:val="1"/>
                <w:bCs w:val="1"/>
                <w:color w:val="auto"/>
              </w:rPr>
              <w:t>OPERATING SUMMARY</w:t>
            </w:r>
          </w:p>
        </w:tc>
        <w:tc>
          <w:tcPr>
            <w:tcW w:w="3580" w:type="dxa"/>
            <w:vAlign w:val="bottom"/>
            <w:tcBorders>
              <w:bottom w:val="single" w:sz="8" w:color="CFF0FC"/>
            </w:tcBorders>
            <w:gridSpan w:val="2"/>
            <w:shd w:val="clear" w:color="auto" w:fill="CFF0FC"/>
          </w:tcPr>
          <w:p>
            <w:pPr>
              <w:spacing w:after="0"/>
              <w:rPr>
                <w:sz w:val="16"/>
                <w:szCs w:val="16"/>
                <w:color w:val="auto"/>
              </w:rPr>
            </w:pPr>
          </w:p>
        </w:tc>
        <w:tc>
          <w:tcPr>
            <w:tcW w:w="60" w:type="dxa"/>
            <w:vAlign w:val="bottom"/>
            <w:tcBorders>
              <w:bottom w:val="single" w:sz="8" w:color="CFF0FC"/>
            </w:tcBorders>
            <w:shd w:val="clear" w:color="auto" w:fill="CFF0FC"/>
          </w:tcPr>
          <w:p>
            <w:pPr>
              <w:spacing w:after="0"/>
              <w:rPr>
                <w:sz w:val="16"/>
                <w:szCs w:val="16"/>
                <w:color w:val="auto"/>
              </w:rPr>
            </w:pPr>
          </w:p>
        </w:tc>
        <w:tc>
          <w:tcPr>
            <w:tcW w:w="100" w:type="dxa"/>
            <w:vAlign w:val="bottom"/>
            <w:tcBorders>
              <w:bottom w:val="single" w:sz="8" w:color="CFF0FC"/>
            </w:tcBorders>
            <w:shd w:val="clear" w:color="auto" w:fill="CFF0FC"/>
          </w:tcPr>
          <w:p>
            <w:pPr>
              <w:spacing w:after="0"/>
              <w:rPr>
                <w:sz w:val="16"/>
                <w:szCs w:val="16"/>
                <w:color w:val="auto"/>
              </w:rPr>
            </w:pPr>
          </w:p>
        </w:tc>
        <w:tc>
          <w:tcPr>
            <w:tcW w:w="960" w:type="dxa"/>
            <w:vAlign w:val="bottom"/>
            <w:tcBorders>
              <w:bottom w:val="single" w:sz="8" w:color="CFF0FC"/>
            </w:tcBorders>
            <w:shd w:val="clear" w:color="auto" w:fill="CFF0FC"/>
          </w:tcPr>
          <w:p>
            <w:pPr>
              <w:spacing w:after="0"/>
              <w:rPr>
                <w:sz w:val="16"/>
                <w:szCs w:val="16"/>
                <w:color w:val="auto"/>
              </w:rPr>
            </w:pPr>
          </w:p>
        </w:tc>
        <w:tc>
          <w:tcPr>
            <w:tcW w:w="100" w:type="dxa"/>
            <w:vAlign w:val="bottom"/>
            <w:tcBorders>
              <w:bottom w:val="single" w:sz="8" w:color="CFF0FC"/>
            </w:tcBorders>
            <w:shd w:val="clear" w:color="auto" w:fill="CFF0FC"/>
          </w:tcPr>
          <w:p>
            <w:pPr>
              <w:spacing w:after="0"/>
              <w:rPr>
                <w:sz w:val="16"/>
                <w:szCs w:val="16"/>
                <w:color w:val="auto"/>
              </w:rPr>
            </w:pPr>
          </w:p>
        </w:tc>
        <w:tc>
          <w:tcPr>
            <w:tcW w:w="20" w:type="dxa"/>
            <w:vAlign w:val="bottom"/>
            <w:tcBorders>
              <w:bottom w:val="single" w:sz="8" w:color="CFF0FC"/>
            </w:tcBorders>
            <w:shd w:val="clear" w:color="auto" w:fill="CFF0FC"/>
          </w:tcPr>
          <w:p>
            <w:pPr>
              <w:spacing w:after="0"/>
              <w:rPr>
                <w:sz w:val="16"/>
                <w:szCs w:val="16"/>
                <w:color w:val="auto"/>
              </w:rPr>
            </w:pPr>
          </w:p>
        </w:tc>
        <w:tc>
          <w:tcPr>
            <w:tcW w:w="120" w:type="dxa"/>
            <w:vAlign w:val="bottom"/>
            <w:tcBorders>
              <w:bottom w:val="single" w:sz="8" w:color="CFF0FC"/>
            </w:tcBorders>
            <w:shd w:val="clear" w:color="auto" w:fill="CFF0FC"/>
          </w:tcPr>
          <w:p>
            <w:pPr>
              <w:spacing w:after="0"/>
              <w:rPr>
                <w:sz w:val="16"/>
                <w:szCs w:val="16"/>
                <w:color w:val="auto"/>
              </w:rPr>
            </w:pPr>
          </w:p>
        </w:tc>
        <w:tc>
          <w:tcPr>
            <w:tcW w:w="960" w:type="dxa"/>
            <w:vAlign w:val="bottom"/>
            <w:tcBorders>
              <w:bottom w:val="single" w:sz="8" w:color="CFF0FC"/>
            </w:tcBorders>
            <w:shd w:val="clear" w:color="auto" w:fill="CFF0FC"/>
          </w:tcPr>
          <w:p>
            <w:pPr>
              <w:spacing w:after="0"/>
              <w:rPr>
                <w:sz w:val="16"/>
                <w:szCs w:val="16"/>
                <w:color w:val="auto"/>
              </w:rPr>
            </w:pPr>
          </w:p>
        </w:tc>
        <w:tc>
          <w:tcPr>
            <w:tcW w:w="80" w:type="dxa"/>
            <w:vAlign w:val="bottom"/>
            <w:tcBorders>
              <w:bottom w:val="single" w:sz="8" w:color="CFF0FC"/>
            </w:tcBorders>
            <w:shd w:val="clear" w:color="auto" w:fill="CFF0FC"/>
          </w:tcPr>
          <w:p>
            <w:pPr>
              <w:spacing w:after="0"/>
              <w:rPr>
                <w:sz w:val="16"/>
                <w:szCs w:val="16"/>
                <w:color w:val="auto"/>
              </w:rPr>
            </w:pPr>
          </w:p>
        </w:tc>
        <w:tc>
          <w:tcPr>
            <w:tcW w:w="40" w:type="dxa"/>
            <w:vAlign w:val="bottom"/>
            <w:tcBorders>
              <w:bottom w:val="single" w:sz="8" w:color="CFF0FC"/>
            </w:tcBorders>
            <w:shd w:val="clear" w:color="auto" w:fill="CFF0FC"/>
          </w:tcPr>
          <w:p>
            <w:pPr>
              <w:spacing w:after="0"/>
              <w:rPr>
                <w:sz w:val="16"/>
                <w:szCs w:val="16"/>
                <w:color w:val="auto"/>
              </w:rPr>
            </w:pPr>
          </w:p>
        </w:tc>
        <w:tc>
          <w:tcPr>
            <w:tcW w:w="80" w:type="dxa"/>
            <w:vAlign w:val="bottom"/>
            <w:tcBorders>
              <w:bottom w:val="single" w:sz="8" w:color="CFF0FC"/>
            </w:tcBorders>
            <w:shd w:val="clear" w:color="auto" w:fill="CFF0FC"/>
          </w:tcPr>
          <w:p>
            <w:pPr>
              <w:spacing w:after="0"/>
              <w:rPr>
                <w:sz w:val="16"/>
                <w:szCs w:val="16"/>
                <w:color w:val="auto"/>
              </w:rPr>
            </w:pPr>
          </w:p>
        </w:tc>
        <w:tc>
          <w:tcPr>
            <w:tcW w:w="60" w:type="dxa"/>
            <w:vAlign w:val="bottom"/>
            <w:tcBorders>
              <w:bottom w:val="single" w:sz="8" w:color="CFF0FC"/>
            </w:tcBorders>
            <w:shd w:val="clear" w:color="auto" w:fill="CFF0FC"/>
          </w:tcPr>
          <w:p>
            <w:pPr>
              <w:spacing w:after="0"/>
              <w:rPr>
                <w:sz w:val="16"/>
                <w:szCs w:val="16"/>
                <w:color w:val="auto"/>
              </w:rPr>
            </w:pPr>
          </w:p>
        </w:tc>
        <w:tc>
          <w:tcPr>
            <w:tcW w:w="960" w:type="dxa"/>
            <w:vAlign w:val="bottom"/>
            <w:tcBorders>
              <w:bottom w:val="single" w:sz="8" w:color="CFF0FC"/>
            </w:tcBorders>
            <w:shd w:val="clear" w:color="auto" w:fill="CFF0FC"/>
          </w:tcPr>
          <w:p>
            <w:pPr>
              <w:spacing w:after="0"/>
              <w:rPr>
                <w:sz w:val="16"/>
                <w:szCs w:val="16"/>
                <w:color w:val="auto"/>
              </w:rPr>
            </w:pPr>
          </w:p>
        </w:tc>
        <w:tc>
          <w:tcPr>
            <w:tcW w:w="100" w:type="dxa"/>
            <w:vAlign w:val="bottom"/>
            <w:tcBorders>
              <w:bottom w:val="single" w:sz="8" w:color="CFF0FC"/>
            </w:tcBorders>
            <w:shd w:val="clear" w:color="auto" w:fill="CFF0FC"/>
          </w:tcPr>
          <w:p>
            <w:pPr>
              <w:spacing w:after="0"/>
              <w:rPr>
                <w:sz w:val="16"/>
                <w:szCs w:val="16"/>
                <w:color w:val="auto"/>
              </w:rPr>
            </w:pPr>
          </w:p>
        </w:tc>
        <w:tc>
          <w:tcPr>
            <w:tcW w:w="20" w:type="dxa"/>
            <w:vAlign w:val="bottom"/>
            <w:tcBorders>
              <w:bottom w:val="single" w:sz="8" w:color="CFF0FC"/>
            </w:tcBorders>
            <w:shd w:val="clear" w:color="auto" w:fill="CFF0FC"/>
          </w:tcPr>
          <w:p>
            <w:pPr>
              <w:spacing w:after="0"/>
              <w:rPr>
                <w:sz w:val="16"/>
                <w:szCs w:val="16"/>
                <w:color w:val="auto"/>
              </w:rPr>
            </w:pPr>
          </w:p>
        </w:tc>
        <w:tc>
          <w:tcPr>
            <w:tcW w:w="120" w:type="dxa"/>
            <w:vAlign w:val="bottom"/>
            <w:tcBorders>
              <w:bottom w:val="single" w:sz="8" w:color="CFF0FC"/>
            </w:tcBorders>
            <w:shd w:val="clear" w:color="auto" w:fill="CFF0FC"/>
          </w:tcPr>
          <w:p>
            <w:pPr>
              <w:spacing w:after="0"/>
              <w:rPr>
                <w:sz w:val="16"/>
                <w:szCs w:val="16"/>
                <w:color w:val="auto"/>
              </w:rPr>
            </w:pPr>
          </w:p>
        </w:tc>
        <w:tc>
          <w:tcPr>
            <w:tcW w:w="960" w:type="dxa"/>
            <w:vAlign w:val="bottom"/>
            <w:tcBorders>
              <w:bottom w:val="single" w:sz="8" w:color="CFF0FC"/>
            </w:tcBorders>
            <w:shd w:val="clear" w:color="auto" w:fill="CFF0FC"/>
          </w:tcPr>
          <w:p>
            <w:pPr>
              <w:spacing w:after="0"/>
              <w:rPr>
                <w:sz w:val="16"/>
                <w:szCs w:val="16"/>
                <w:color w:val="auto"/>
              </w:rPr>
            </w:pPr>
          </w:p>
        </w:tc>
        <w:tc>
          <w:tcPr>
            <w:tcW w:w="120" w:type="dxa"/>
            <w:vAlign w:val="bottom"/>
            <w:tcBorders>
              <w:bottom w:val="single" w:sz="8" w:color="CFF0FC"/>
            </w:tcBorders>
            <w:shd w:val="clear" w:color="auto" w:fill="CFF0FC"/>
          </w:tcPr>
          <w:p>
            <w:pPr>
              <w:spacing w:after="0"/>
              <w:rPr>
                <w:sz w:val="16"/>
                <w:szCs w:val="16"/>
                <w:color w:val="auto"/>
              </w:rPr>
            </w:pPr>
          </w:p>
        </w:tc>
        <w:tc>
          <w:tcPr>
            <w:tcW w:w="100" w:type="dxa"/>
            <w:vAlign w:val="bottom"/>
            <w:tcBorders>
              <w:bottom w:val="single" w:sz="8" w:color="CFF0FC"/>
            </w:tcBorders>
            <w:shd w:val="clear" w:color="auto" w:fill="CFF0FC"/>
          </w:tcPr>
          <w:p>
            <w:pPr>
              <w:spacing w:after="0"/>
              <w:rPr>
                <w:sz w:val="16"/>
                <w:szCs w:val="16"/>
                <w:color w:val="auto"/>
              </w:rPr>
            </w:pPr>
          </w:p>
        </w:tc>
        <w:tc>
          <w:tcPr>
            <w:tcW w:w="940" w:type="dxa"/>
            <w:vAlign w:val="bottom"/>
            <w:tcBorders>
              <w:bottom w:val="single" w:sz="8" w:color="CFF0FC"/>
            </w:tcBorders>
            <w:shd w:val="clear" w:color="auto" w:fill="CFF0FC"/>
          </w:tcPr>
          <w:p>
            <w:pPr>
              <w:spacing w:after="0"/>
              <w:rPr>
                <w:sz w:val="16"/>
                <w:szCs w:val="16"/>
                <w:color w:val="auto"/>
              </w:rPr>
            </w:pPr>
          </w:p>
        </w:tc>
        <w:tc>
          <w:tcPr>
            <w:tcW w:w="60" w:type="dxa"/>
            <w:vAlign w:val="bottom"/>
            <w:tcBorders>
              <w:bottom w:val="single" w:sz="8" w:color="CFF0FC"/>
            </w:tcBorders>
            <w:shd w:val="clear" w:color="auto" w:fill="CFF0FC"/>
          </w:tcPr>
          <w:p>
            <w:pPr>
              <w:spacing w:after="0"/>
              <w:rPr>
                <w:sz w:val="16"/>
                <w:szCs w:val="16"/>
                <w:color w:val="auto"/>
              </w:rPr>
            </w:pPr>
          </w:p>
        </w:tc>
      </w:tr>
      <w:tr>
        <w:trPr>
          <w:trHeight w:val="210"/>
        </w:trPr>
        <w:tc>
          <w:tcPr>
            <w:tcW w:w="20" w:type="dxa"/>
            <w:vAlign w:val="bottom"/>
          </w:tcPr>
          <w:p>
            <w:pPr>
              <w:spacing w:after="0"/>
              <w:rPr>
                <w:sz w:val="18"/>
                <w:szCs w:val="18"/>
                <w:color w:val="auto"/>
              </w:rPr>
            </w:pPr>
          </w:p>
        </w:tc>
        <w:tc>
          <w:tcPr>
            <w:tcW w:w="5440" w:type="dxa"/>
            <w:vAlign w:val="bottom"/>
            <w:gridSpan w:val="3"/>
          </w:tcPr>
          <w:p>
            <w:pPr>
              <w:spacing w:after="0"/>
              <w:rPr>
                <w:sz w:val="20"/>
                <w:szCs w:val="20"/>
                <w:color w:val="auto"/>
              </w:rPr>
            </w:pPr>
            <w:r>
              <w:rPr>
                <w:rFonts w:ascii="Arial" w:cs="Arial" w:eastAsia="Arial" w:hAnsi="Arial"/>
                <w:sz w:val="16"/>
                <w:szCs w:val="16"/>
                <w:b w:val="1"/>
                <w:bCs w:val="1"/>
                <w:color w:val="auto"/>
              </w:rPr>
              <w:t>REVENUE</w:t>
            </w:r>
          </w:p>
        </w:tc>
        <w:tc>
          <w:tcPr>
            <w:tcW w:w="160" w:type="dxa"/>
            <w:vAlign w:val="bottom"/>
            <w:gridSpan w:val="2"/>
          </w:tcPr>
          <w:p>
            <w:pPr>
              <w:jc w:val="right"/>
              <w:ind w:right="20"/>
              <w:spacing w:after="0"/>
              <w:rPr>
                <w:sz w:val="20"/>
                <w:szCs w:val="20"/>
                <w:color w:val="auto"/>
              </w:rPr>
            </w:pPr>
            <w:r>
              <w:rPr>
                <w:rFonts w:ascii="Arial" w:cs="Arial" w:eastAsia="Arial" w:hAnsi="Arial"/>
                <w:sz w:val="16"/>
                <w:szCs w:val="16"/>
                <w:b w:val="1"/>
                <w:bCs w:val="1"/>
                <w:color w:val="auto"/>
              </w:rPr>
              <w:t>$</w:t>
            </w:r>
          </w:p>
        </w:tc>
        <w:tc>
          <w:tcPr>
            <w:tcW w:w="960" w:type="dxa"/>
            <w:vAlign w:val="bottom"/>
          </w:tcPr>
          <w:p>
            <w:pPr>
              <w:jc w:val="right"/>
              <w:spacing w:after="0"/>
              <w:rPr>
                <w:sz w:val="20"/>
                <w:szCs w:val="20"/>
                <w:color w:val="auto"/>
              </w:rPr>
            </w:pPr>
            <w:r>
              <w:rPr>
                <w:rFonts w:ascii="Arial" w:cs="Arial" w:eastAsia="Arial" w:hAnsi="Arial"/>
                <w:sz w:val="16"/>
                <w:szCs w:val="16"/>
                <w:b w:val="1"/>
                <w:bCs w:val="1"/>
                <w:color w:val="auto"/>
              </w:rPr>
              <w:t>31,407,709</w:t>
            </w:r>
          </w:p>
        </w:tc>
        <w:tc>
          <w:tcPr>
            <w:tcW w:w="100" w:type="dxa"/>
            <w:vAlign w:val="bottom"/>
          </w:tcPr>
          <w:p>
            <w:pPr>
              <w:spacing w:after="0"/>
              <w:rPr>
                <w:sz w:val="18"/>
                <w:szCs w:val="18"/>
                <w:color w:val="auto"/>
              </w:rPr>
            </w:pPr>
          </w:p>
        </w:tc>
        <w:tc>
          <w:tcPr>
            <w:tcW w:w="140" w:type="dxa"/>
            <w:vAlign w:val="bottom"/>
            <w:gridSpan w:val="2"/>
          </w:tcPr>
          <w:p>
            <w:pPr>
              <w:jc w:val="right"/>
              <w:ind w:right="40"/>
              <w:spacing w:after="0"/>
              <w:rPr>
                <w:sz w:val="20"/>
                <w:szCs w:val="20"/>
                <w:color w:val="auto"/>
              </w:rPr>
            </w:pPr>
            <w:r>
              <w:rPr>
                <w:rFonts w:ascii="Arial" w:cs="Arial" w:eastAsia="Arial" w:hAnsi="Arial"/>
                <w:sz w:val="16"/>
                <w:szCs w:val="16"/>
                <w:b w:val="1"/>
                <w:bCs w:val="1"/>
                <w:color w:val="auto"/>
                <w:w w:val="89"/>
              </w:rPr>
              <w:t>$</w:t>
            </w:r>
          </w:p>
        </w:tc>
        <w:tc>
          <w:tcPr>
            <w:tcW w:w="960" w:type="dxa"/>
            <w:vAlign w:val="bottom"/>
          </w:tcPr>
          <w:p>
            <w:pPr>
              <w:jc w:val="right"/>
              <w:spacing w:after="0"/>
              <w:rPr>
                <w:sz w:val="20"/>
                <w:szCs w:val="20"/>
                <w:color w:val="auto"/>
              </w:rPr>
            </w:pPr>
            <w:r>
              <w:rPr>
                <w:rFonts w:ascii="Arial" w:cs="Arial" w:eastAsia="Arial" w:hAnsi="Arial"/>
                <w:sz w:val="16"/>
                <w:szCs w:val="16"/>
                <w:b w:val="1"/>
                <w:bCs w:val="1"/>
                <w:color w:val="auto"/>
              </w:rPr>
              <w:t>158,333</w:t>
            </w:r>
          </w:p>
        </w:tc>
        <w:tc>
          <w:tcPr>
            <w:tcW w:w="80" w:type="dxa"/>
            <w:vAlign w:val="bottom"/>
          </w:tcPr>
          <w:p>
            <w:pPr>
              <w:spacing w:after="0"/>
              <w:rPr>
                <w:sz w:val="18"/>
                <w:szCs w:val="18"/>
                <w:color w:val="auto"/>
              </w:rPr>
            </w:pPr>
          </w:p>
        </w:tc>
        <w:tc>
          <w:tcPr>
            <w:tcW w:w="120" w:type="dxa"/>
            <w:vAlign w:val="bottom"/>
            <w:gridSpan w:val="2"/>
          </w:tcPr>
          <w:p>
            <w:pPr>
              <w:jc w:val="right"/>
              <w:spacing w:after="0"/>
              <w:rPr>
                <w:sz w:val="20"/>
                <w:szCs w:val="20"/>
                <w:color w:val="auto"/>
              </w:rPr>
            </w:pPr>
            <w:r>
              <w:rPr>
                <w:rFonts w:ascii="Arial" w:cs="Arial" w:eastAsia="Arial" w:hAnsi="Arial"/>
                <w:sz w:val="16"/>
                <w:szCs w:val="16"/>
                <w:b w:val="1"/>
                <w:bCs w:val="1"/>
                <w:color w:val="auto"/>
              </w:rPr>
              <w:t>$</w:t>
            </w:r>
          </w:p>
        </w:tc>
        <w:tc>
          <w:tcPr>
            <w:tcW w:w="1020" w:type="dxa"/>
            <w:vAlign w:val="bottom"/>
            <w:gridSpan w:val="2"/>
          </w:tcPr>
          <w:p>
            <w:pPr>
              <w:jc w:val="right"/>
              <w:spacing w:after="0"/>
              <w:rPr>
                <w:sz w:val="20"/>
                <w:szCs w:val="20"/>
                <w:color w:val="auto"/>
              </w:rPr>
            </w:pPr>
            <w:r>
              <w:rPr>
                <w:rFonts w:ascii="Arial" w:cs="Arial" w:eastAsia="Arial" w:hAnsi="Arial"/>
                <w:sz w:val="16"/>
                <w:szCs w:val="16"/>
                <w:b w:val="1"/>
                <w:bCs w:val="1"/>
                <w:color w:val="auto"/>
              </w:rPr>
              <w:t>382,000</w:t>
            </w:r>
          </w:p>
        </w:tc>
        <w:tc>
          <w:tcPr>
            <w:tcW w:w="100" w:type="dxa"/>
            <w:vAlign w:val="bottom"/>
          </w:tcPr>
          <w:p>
            <w:pPr>
              <w:spacing w:after="0"/>
              <w:rPr>
                <w:sz w:val="18"/>
                <w:szCs w:val="18"/>
                <w:color w:val="auto"/>
              </w:rPr>
            </w:pPr>
          </w:p>
        </w:tc>
        <w:tc>
          <w:tcPr>
            <w:tcW w:w="140" w:type="dxa"/>
            <w:vAlign w:val="bottom"/>
            <w:gridSpan w:val="2"/>
          </w:tcPr>
          <w:p>
            <w:pPr>
              <w:jc w:val="right"/>
              <w:ind w:right="40"/>
              <w:spacing w:after="0"/>
              <w:rPr>
                <w:sz w:val="20"/>
                <w:szCs w:val="20"/>
                <w:color w:val="auto"/>
              </w:rPr>
            </w:pPr>
            <w:r>
              <w:rPr>
                <w:rFonts w:ascii="Arial" w:cs="Arial" w:eastAsia="Arial" w:hAnsi="Arial"/>
                <w:sz w:val="16"/>
                <w:szCs w:val="16"/>
                <w:b w:val="1"/>
                <w:bCs w:val="1"/>
                <w:color w:val="auto"/>
                <w:w w:val="89"/>
              </w:rPr>
              <w:t>$</w:t>
            </w:r>
          </w:p>
        </w:tc>
        <w:tc>
          <w:tcPr>
            <w:tcW w:w="960" w:type="dxa"/>
            <w:vAlign w:val="bottom"/>
          </w:tcPr>
          <w:p>
            <w:pPr>
              <w:jc w:val="right"/>
              <w:spacing w:after="0"/>
              <w:rPr>
                <w:sz w:val="20"/>
                <w:szCs w:val="20"/>
                <w:color w:val="auto"/>
              </w:rPr>
            </w:pPr>
            <w:r>
              <w:rPr>
                <w:rFonts w:ascii="Arial" w:cs="Arial" w:eastAsia="Arial" w:hAnsi="Arial"/>
                <w:sz w:val="16"/>
                <w:szCs w:val="16"/>
                <w:b w:val="1"/>
                <w:bCs w:val="1"/>
                <w:color w:val="auto"/>
              </w:rPr>
              <w:t>175,000</w:t>
            </w:r>
          </w:p>
        </w:tc>
        <w:tc>
          <w:tcPr>
            <w:tcW w:w="12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b w:val="1"/>
                <w:bCs w:val="1"/>
                <w:color w:val="auto"/>
                <w:w w:val="71"/>
              </w:rPr>
              <w:t>$</w:t>
            </w:r>
          </w:p>
        </w:tc>
        <w:tc>
          <w:tcPr>
            <w:tcW w:w="940" w:type="dxa"/>
            <w:vAlign w:val="bottom"/>
          </w:tcPr>
          <w:p>
            <w:pPr>
              <w:jc w:val="right"/>
              <w:spacing w:after="0"/>
              <w:rPr>
                <w:sz w:val="20"/>
                <w:szCs w:val="20"/>
                <w:color w:val="auto"/>
              </w:rPr>
            </w:pPr>
            <w:r>
              <w:rPr>
                <w:rFonts w:ascii="Arial" w:cs="Arial" w:eastAsia="Arial" w:hAnsi="Arial"/>
                <w:sz w:val="16"/>
                <w:szCs w:val="16"/>
                <w:b w:val="1"/>
                <w:bCs w:val="1"/>
                <w:color w:val="auto"/>
              </w:rPr>
              <w:t>290,266</w:t>
            </w:r>
          </w:p>
        </w:tc>
        <w:tc>
          <w:tcPr>
            <w:tcW w:w="60" w:type="dxa"/>
            <w:vAlign w:val="bottom"/>
          </w:tcPr>
          <w:p>
            <w:pPr>
              <w:spacing w:after="0"/>
              <w:rPr>
                <w:sz w:val="18"/>
                <w:szCs w:val="18"/>
                <w:color w:val="auto"/>
              </w:rPr>
            </w:pPr>
          </w:p>
        </w:tc>
      </w:tr>
      <w:tr>
        <w:trPr>
          <w:trHeight w:val="222"/>
        </w:trPr>
        <w:tc>
          <w:tcPr>
            <w:tcW w:w="20" w:type="dxa"/>
            <w:vAlign w:val="bottom"/>
          </w:tcPr>
          <w:p>
            <w:pPr>
              <w:spacing w:after="0"/>
              <w:rPr>
                <w:sz w:val="19"/>
                <w:szCs w:val="19"/>
                <w:color w:val="auto"/>
              </w:rPr>
            </w:pPr>
          </w:p>
        </w:tc>
        <w:tc>
          <w:tcPr>
            <w:tcW w:w="5440" w:type="dxa"/>
            <w:vAlign w:val="bottom"/>
            <w:gridSpan w:val="3"/>
            <w:shd w:val="clear" w:color="auto" w:fill="CFF0FC"/>
          </w:tcPr>
          <w:p>
            <w:pPr>
              <w:spacing w:after="0"/>
              <w:rPr>
                <w:sz w:val="20"/>
                <w:szCs w:val="20"/>
                <w:color w:val="auto"/>
              </w:rPr>
            </w:pPr>
            <w:r>
              <w:rPr>
                <w:rFonts w:ascii="Arial" w:cs="Arial" w:eastAsia="Arial" w:hAnsi="Arial"/>
                <w:sz w:val="16"/>
                <w:szCs w:val="16"/>
                <w:b w:val="1"/>
                <w:bCs w:val="1"/>
                <w:color w:val="auto"/>
              </w:rPr>
              <w:t>OPERATING EXPENSES</w:t>
            </w:r>
          </w:p>
        </w:tc>
        <w:tc>
          <w:tcPr>
            <w:tcW w:w="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r>
      <w:tr>
        <w:trPr>
          <w:trHeight w:val="213"/>
        </w:trPr>
        <w:tc>
          <w:tcPr>
            <w:tcW w:w="20" w:type="dxa"/>
            <w:vAlign w:val="bottom"/>
          </w:tcPr>
          <w:p>
            <w:pPr>
              <w:spacing w:after="0"/>
              <w:rPr>
                <w:sz w:val="18"/>
                <w:szCs w:val="18"/>
                <w:color w:val="auto"/>
              </w:rPr>
            </w:pPr>
          </w:p>
        </w:tc>
        <w:tc>
          <w:tcPr>
            <w:tcW w:w="5440" w:type="dxa"/>
            <w:vAlign w:val="bottom"/>
            <w:gridSpan w:val="3"/>
          </w:tcPr>
          <w:p>
            <w:pPr>
              <w:ind w:left="240"/>
              <w:spacing w:after="0"/>
              <w:rPr>
                <w:sz w:val="20"/>
                <w:szCs w:val="20"/>
                <w:color w:val="auto"/>
              </w:rPr>
            </w:pPr>
            <w:r>
              <w:rPr>
                <w:rFonts w:ascii="Arial" w:cs="Arial" w:eastAsia="Arial" w:hAnsi="Arial"/>
                <w:sz w:val="16"/>
                <w:szCs w:val="16"/>
                <w:color w:val="auto"/>
              </w:rPr>
              <w:t>Research and development</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31,690,298</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41,454,452</w:t>
            </w: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gridSpan w:val="2"/>
          </w:tcPr>
          <w:p>
            <w:pPr>
              <w:jc w:val="right"/>
              <w:spacing w:after="0"/>
              <w:rPr>
                <w:sz w:val="20"/>
                <w:szCs w:val="20"/>
                <w:color w:val="auto"/>
              </w:rPr>
            </w:pPr>
            <w:r>
              <w:rPr>
                <w:rFonts w:ascii="Arial" w:cs="Arial" w:eastAsia="Arial" w:hAnsi="Arial"/>
                <w:sz w:val="16"/>
                <w:szCs w:val="16"/>
                <w:color w:val="auto"/>
              </w:rPr>
              <w:t>47,267,361</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23,138,050</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8,705,627</w:t>
            </w:r>
          </w:p>
        </w:tc>
        <w:tc>
          <w:tcPr>
            <w:tcW w:w="60" w:type="dxa"/>
            <w:vAlign w:val="bottom"/>
          </w:tcPr>
          <w:p>
            <w:pPr>
              <w:spacing w:after="0"/>
              <w:rPr>
                <w:sz w:val="18"/>
                <w:szCs w:val="18"/>
                <w:color w:val="auto"/>
              </w:rPr>
            </w:pPr>
          </w:p>
        </w:tc>
      </w:tr>
      <w:tr>
        <w:trPr>
          <w:trHeight w:val="219"/>
        </w:trPr>
        <w:tc>
          <w:tcPr>
            <w:tcW w:w="20" w:type="dxa"/>
            <w:vAlign w:val="bottom"/>
          </w:tcPr>
          <w:p>
            <w:pPr>
              <w:spacing w:after="0"/>
              <w:rPr>
                <w:sz w:val="19"/>
                <w:szCs w:val="19"/>
                <w:color w:val="auto"/>
              </w:rPr>
            </w:pPr>
          </w:p>
        </w:tc>
        <w:tc>
          <w:tcPr>
            <w:tcW w:w="5440" w:type="dxa"/>
            <w:vAlign w:val="bottom"/>
            <w:gridSpan w:val="3"/>
            <w:shd w:val="clear" w:color="auto" w:fill="CFF0FC"/>
          </w:tcPr>
          <w:p>
            <w:pPr>
              <w:ind w:left="240"/>
              <w:spacing w:after="0"/>
              <w:rPr>
                <w:sz w:val="20"/>
                <w:szCs w:val="20"/>
                <w:color w:val="auto"/>
              </w:rPr>
            </w:pPr>
            <w:r>
              <w:rPr>
                <w:rFonts w:ascii="Arial" w:cs="Arial" w:eastAsia="Arial" w:hAnsi="Arial"/>
                <w:sz w:val="16"/>
                <w:szCs w:val="16"/>
                <w:color w:val="auto"/>
              </w:rPr>
              <w:t>Acquired in-process research and development</w:t>
            </w:r>
          </w:p>
        </w:tc>
        <w:tc>
          <w:tcPr>
            <w:tcW w:w="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8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2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10,142,786</w:t>
            </w:r>
          </w:p>
        </w:tc>
        <w:tc>
          <w:tcPr>
            <w:tcW w:w="1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60" w:type="dxa"/>
            <w:vAlign w:val="bottom"/>
            <w:shd w:val="clear" w:color="auto" w:fill="CFF0FC"/>
          </w:tcPr>
          <w:p>
            <w:pPr>
              <w:spacing w:after="0"/>
              <w:rPr>
                <w:sz w:val="19"/>
                <w:szCs w:val="19"/>
                <w:color w:val="auto"/>
              </w:rPr>
            </w:pPr>
          </w:p>
        </w:tc>
      </w:tr>
      <w:tr>
        <w:trPr>
          <w:trHeight w:val="213"/>
        </w:trPr>
        <w:tc>
          <w:tcPr>
            <w:tcW w:w="20" w:type="dxa"/>
            <w:vAlign w:val="bottom"/>
          </w:tcPr>
          <w:p>
            <w:pPr>
              <w:spacing w:after="0"/>
              <w:rPr>
                <w:sz w:val="18"/>
                <w:szCs w:val="18"/>
                <w:color w:val="auto"/>
              </w:rPr>
            </w:pPr>
          </w:p>
        </w:tc>
        <w:tc>
          <w:tcPr>
            <w:tcW w:w="5440" w:type="dxa"/>
            <w:vAlign w:val="bottom"/>
            <w:gridSpan w:val="3"/>
          </w:tcPr>
          <w:p>
            <w:pPr>
              <w:ind w:left="240"/>
              <w:spacing w:after="0"/>
              <w:rPr>
                <w:sz w:val="20"/>
                <w:szCs w:val="20"/>
                <w:color w:val="auto"/>
              </w:rPr>
            </w:pPr>
            <w:r>
              <w:rPr>
                <w:rFonts w:ascii="Arial" w:cs="Arial" w:eastAsia="Arial" w:hAnsi="Arial"/>
                <w:sz w:val="16"/>
                <w:szCs w:val="16"/>
                <w:color w:val="auto"/>
              </w:rPr>
              <w:t>Salaries and payroll-related costs</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17,292,883</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19,461,656</w:t>
            </w: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gridSpan w:val="2"/>
          </w:tcPr>
          <w:p>
            <w:pPr>
              <w:jc w:val="right"/>
              <w:spacing w:after="0"/>
              <w:rPr>
                <w:sz w:val="20"/>
                <w:szCs w:val="20"/>
                <w:color w:val="auto"/>
              </w:rPr>
            </w:pPr>
            <w:r>
              <w:rPr>
                <w:rFonts w:ascii="Arial" w:cs="Arial" w:eastAsia="Arial" w:hAnsi="Arial"/>
                <w:sz w:val="16"/>
                <w:szCs w:val="16"/>
                <w:color w:val="auto"/>
              </w:rPr>
              <w:t>16,554,008</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12,829,355</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6,667,669</w:t>
            </w:r>
          </w:p>
        </w:tc>
        <w:tc>
          <w:tcPr>
            <w:tcW w:w="60" w:type="dxa"/>
            <w:vAlign w:val="bottom"/>
          </w:tcPr>
          <w:p>
            <w:pPr>
              <w:spacing w:after="0"/>
              <w:rPr>
                <w:sz w:val="18"/>
                <w:szCs w:val="18"/>
                <w:color w:val="auto"/>
              </w:rPr>
            </w:pPr>
          </w:p>
        </w:tc>
      </w:tr>
      <w:tr>
        <w:trPr>
          <w:trHeight w:val="219"/>
        </w:trPr>
        <w:tc>
          <w:tcPr>
            <w:tcW w:w="20" w:type="dxa"/>
            <w:vAlign w:val="bottom"/>
          </w:tcPr>
          <w:p>
            <w:pPr>
              <w:spacing w:after="0"/>
              <w:rPr>
                <w:sz w:val="19"/>
                <w:szCs w:val="19"/>
                <w:color w:val="auto"/>
              </w:rPr>
            </w:pPr>
          </w:p>
        </w:tc>
        <w:tc>
          <w:tcPr>
            <w:tcW w:w="5440" w:type="dxa"/>
            <w:vAlign w:val="bottom"/>
            <w:gridSpan w:val="3"/>
            <w:shd w:val="clear" w:color="auto" w:fill="CCECFF"/>
          </w:tcPr>
          <w:p>
            <w:pPr>
              <w:ind w:left="240"/>
              <w:spacing w:after="0"/>
              <w:rPr>
                <w:sz w:val="20"/>
                <w:szCs w:val="20"/>
                <w:color w:val="auto"/>
              </w:rPr>
            </w:pPr>
            <w:r>
              <w:rPr>
                <w:rFonts w:ascii="Arial" w:cs="Arial" w:eastAsia="Arial" w:hAnsi="Arial"/>
                <w:sz w:val="16"/>
                <w:szCs w:val="16"/>
                <w:color w:val="auto"/>
              </w:rPr>
              <w:t>General and administrative expenses</w:t>
            </w:r>
          </w:p>
        </w:tc>
        <w:tc>
          <w:tcPr>
            <w:tcW w:w="60" w:type="dxa"/>
            <w:vAlign w:val="bottom"/>
            <w:shd w:val="clear" w:color="auto" w:fill="CCECFF"/>
          </w:tcPr>
          <w:p>
            <w:pPr>
              <w:spacing w:after="0"/>
              <w:rPr>
                <w:sz w:val="19"/>
                <w:szCs w:val="19"/>
                <w:color w:val="auto"/>
              </w:rPr>
            </w:pPr>
          </w:p>
        </w:tc>
        <w:tc>
          <w:tcPr>
            <w:tcW w:w="100" w:type="dxa"/>
            <w:vAlign w:val="bottom"/>
            <w:shd w:val="clear" w:color="auto" w:fill="CCECFF"/>
          </w:tcPr>
          <w:p>
            <w:pPr>
              <w:spacing w:after="0"/>
              <w:rPr>
                <w:sz w:val="19"/>
                <w:szCs w:val="19"/>
                <w:color w:val="auto"/>
              </w:rPr>
            </w:pPr>
          </w:p>
        </w:tc>
        <w:tc>
          <w:tcPr>
            <w:tcW w:w="960" w:type="dxa"/>
            <w:vAlign w:val="bottom"/>
            <w:shd w:val="clear" w:color="auto" w:fill="CCECFF"/>
          </w:tcPr>
          <w:p>
            <w:pPr>
              <w:jc w:val="right"/>
              <w:spacing w:after="0"/>
              <w:rPr>
                <w:sz w:val="20"/>
                <w:szCs w:val="20"/>
                <w:color w:val="auto"/>
              </w:rPr>
            </w:pPr>
            <w:r>
              <w:rPr>
                <w:rFonts w:ascii="Arial" w:cs="Arial" w:eastAsia="Arial" w:hAnsi="Arial"/>
                <w:sz w:val="16"/>
                <w:szCs w:val="16"/>
                <w:color w:val="auto"/>
              </w:rPr>
              <w:t>6,838,402</w:t>
            </w:r>
          </w:p>
        </w:tc>
        <w:tc>
          <w:tcPr>
            <w:tcW w:w="100" w:type="dxa"/>
            <w:vAlign w:val="bottom"/>
            <w:shd w:val="clear" w:color="auto" w:fill="CCECFF"/>
          </w:tcPr>
          <w:p>
            <w:pPr>
              <w:spacing w:after="0"/>
              <w:rPr>
                <w:sz w:val="19"/>
                <w:szCs w:val="19"/>
                <w:color w:val="auto"/>
              </w:rPr>
            </w:pPr>
          </w:p>
        </w:tc>
        <w:tc>
          <w:tcPr>
            <w:tcW w:w="20" w:type="dxa"/>
            <w:vAlign w:val="bottom"/>
            <w:shd w:val="clear" w:color="auto" w:fill="CCECFF"/>
          </w:tcPr>
          <w:p>
            <w:pPr>
              <w:spacing w:after="0"/>
              <w:rPr>
                <w:sz w:val="19"/>
                <w:szCs w:val="19"/>
                <w:color w:val="auto"/>
              </w:rPr>
            </w:pPr>
          </w:p>
        </w:tc>
        <w:tc>
          <w:tcPr>
            <w:tcW w:w="120" w:type="dxa"/>
            <w:vAlign w:val="bottom"/>
            <w:shd w:val="clear" w:color="auto" w:fill="CCECFF"/>
          </w:tcPr>
          <w:p>
            <w:pPr>
              <w:spacing w:after="0"/>
              <w:rPr>
                <w:sz w:val="19"/>
                <w:szCs w:val="19"/>
                <w:color w:val="auto"/>
              </w:rPr>
            </w:pPr>
          </w:p>
        </w:tc>
        <w:tc>
          <w:tcPr>
            <w:tcW w:w="960" w:type="dxa"/>
            <w:vAlign w:val="bottom"/>
            <w:shd w:val="clear" w:color="auto" w:fill="CCECFF"/>
          </w:tcPr>
          <w:p>
            <w:pPr>
              <w:jc w:val="right"/>
              <w:spacing w:after="0"/>
              <w:rPr>
                <w:sz w:val="20"/>
                <w:szCs w:val="20"/>
                <w:color w:val="auto"/>
              </w:rPr>
            </w:pPr>
            <w:r>
              <w:rPr>
                <w:rFonts w:ascii="Arial" w:cs="Arial" w:eastAsia="Arial" w:hAnsi="Arial"/>
                <w:sz w:val="16"/>
                <w:szCs w:val="16"/>
                <w:color w:val="auto"/>
              </w:rPr>
              <w:t>9,940,737</w:t>
            </w:r>
          </w:p>
        </w:tc>
        <w:tc>
          <w:tcPr>
            <w:tcW w:w="80" w:type="dxa"/>
            <w:vAlign w:val="bottom"/>
            <w:shd w:val="clear" w:color="auto" w:fill="CCECFF"/>
          </w:tcPr>
          <w:p>
            <w:pPr>
              <w:spacing w:after="0"/>
              <w:rPr>
                <w:sz w:val="19"/>
                <w:szCs w:val="19"/>
                <w:color w:val="auto"/>
              </w:rPr>
            </w:pPr>
          </w:p>
        </w:tc>
        <w:tc>
          <w:tcPr>
            <w:tcW w:w="40" w:type="dxa"/>
            <w:vAlign w:val="bottom"/>
            <w:shd w:val="clear" w:color="auto" w:fill="CCECFF"/>
          </w:tcPr>
          <w:p>
            <w:pPr>
              <w:spacing w:after="0"/>
              <w:rPr>
                <w:sz w:val="19"/>
                <w:szCs w:val="19"/>
                <w:color w:val="auto"/>
              </w:rPr>
            </w:pPr>
          </w:p>
        </w:tc>
        <w:tc>
          <w:tcPr>
            <w:tcW w:w="80" w:type="dxa"/>
            <w:vAlign w:val="bottom"/>
            <w:shd w:val="clear" w:color="auto" w:fill="CCECFF"/>
          </w:tcPr>
          <w:p>
            <w:pPr>
              <w:spacing w:after="0"/>
              <w:rPr>
                <w:sz w:val="19"/>
                <w:szCs w:val="19"/>
                <w:color w:val="auto"/>
              </w:rPr>
            </w:pPr>
          </w:p>
        </w:tc>
        <w:tc>
          <w:tcPr>
            <w:tcW w:w="1020" w:type="dxa"/>
            <w:vAlign w:val="bottom"/>
            <w:gridSpan w:val="2"/>
            <w:shd w:val="clear" w:color="auto" w:fill="CCECFF"/>
          </w:tcPr>
          <w:p>
            <w:pPr>
              <w:jc w:val="right"/>
              <w:spacing w:after="0"/>
              <w:rPr>
                <w:sz w:val="20"/>
                <w:szCs w:val="20"/>
                <w:color w:val="auto"/>
              </w:rPr>
            </w:pPr>
            <w:r>
              <w:rPr>
                <w:rFonts w:ascii="Arial" w:cs="Arial" w:eastAsia="Arial" w:hAnsi="Arial"/>
                <w:sz w:val="16"/>
                <w:szCs w:val="16"/>
                <w:color w:val="auto"/>
              </w:rPr>
              <w:t>7,931,184</w:t>
            </w:r>
          </w:p>
        </w:tc>
        <w:tc>
          <w:tcPr>
            <w:tcW w:w="100" w:type="dxa"/>
            <w:vAlign w:val="bottom"/>
            <w:shd w:val="clear" w:color="auto" w:fill="CCECFF"/>
          </w:tcPr>
          <w:p>
            <w:pPr>
              <w:spacing w:after="0"/>
              <w:rPr>
                <w:sz w:val="19"/>
                <w:szCs w:val="19"/>
                <w:color w:val="auto"/>
              </w:rPr>
            </w:pPr>
          </w:p>
        </w:tc>
        <w:tc>
          <w:tcPr>
            <w:tcW w:w="20" w:type="dxa"/>
            <w:vAlign w:val="bottom"/>
            <w:shd w:val="clear" w:color="auto" w:fill="CCECFF"/>
          </w:tcPr>
          <w:p>
            <w:pPr>
              <w:spacing w:after="0"/>
              <w:rPr>
                <w:sz w:val="19"/>
                <w:szCs w:val="19"/>
                <w:color w:val="auto"/>
              </w:rPr>
            </w:pPr>
          </w:p>
        </w:tc>
        <w:tc>
          <w:tcPr>
            <w:tcW w:w="120" w:type="dxa"/>
            <w:vAlign w:val="bottom"/>
            <w:shd w:val="clear" w:color="auto" w:fill="CCECFF"/>
          </w:tcPr>
          <w:p>
            <w:pPr>
              <w:spacing w:after="0"/>
              <w:rPr>
                <w:sz w:val="19"/>
                <w:szCs w:val="19"/>
                <w:color w:val="auto"/>
              </w:rPr>
            </w:pPr>
          </w:p>
        </w:tc>
        <w:tc>
          <w:tcPr>
            <w:tcW w:w="960" w:type="dxa"/>
            <w:vAlign w:val="bottom"/>
            <w:shd w:val="clear" w:color="auto" w:fill="CCECFF"/>
          </w:tcPr>
          <w:p>
            <w:pPr>
              <w:jc w:val="right"/>
              <w:spacing w:after="0"/>
              <w:rPr>
                <w:sz w:val="20"/>
                <w:szCs w:val="20"/>
                <w:color w:val="auto"/>
              </w:rPr>
            </w:pPr>
            <w:r>
              <w:rPr>
                <w:rFonts w:ascii="Arial" w:cs="Arial" w:eastAsia="Arial" w:hAnsi="Arial"/>
                <w:sz w:val="16"/>
                <w:szCs w:val="16"/>
                <w:color w:val="auto"/>
              </w:rPr>
              <w:t>5,894,008</w:t>
            </w:r>
          </w:p>
        </w:tc>
        <w:tc>
          <w:tcPr>
            <w:tcW w:w="120" w:type="dxa"/>
            <w:vAlign w:val="bottom"/>
            <w:shd w:val="clear" w:color="auto" w:fill="CCECFF"/>
          </w:tcPr>
          <w:p>
            <w:pPr>
              <w:spacing w:after="0"/>
              <w:rPr>
                <w:sz w:val="19"/>
                <w:szCs w:val="19"/>
                <w:color w:val="auto"/>
              </w:rPr>
            </w:pPr>
          </w:p>
        </w:tc>
        <w:tc>
          <w:tcPr>
            <w:tcW w:w="100" w:type="dxa"/>
            <w:vAlign w:val="bottom"/>
            <w:shd w:val="clear" w:color="auto" w:fill="CCECFF"/>
          </w:tcPr>
          <w:p>
            <w:pPr>
              <w:spacing w:after="0"/>
              <w:rPr>
                <w:sz w:val="19"/>
                <w:szCs w:val="19"/>
                <w:color w:val="auto"/>
              </w:rPr>
            </w:pPr>
          </w:p>
        </w:tc>
        <w:tc>
          <w:tcPr>
            <w:tcW w:w="940" w:type="dxa"/>
            <w:vAlign w:val="bottom"/>
            <w:shd w:val="clear" w:color="auto" w:fill="CCECFF"/>
          </w:tcPr>
          <w:p>
            <w:pPr>
              <w:jc w:val="right"/>
              <w:spacing w:after="0"/>
              <w:rPr>
                <w:sz w:val="20"/>
                <w:szCs w:val="20"/>
                <w:color w:val="auto"/>
              </w:rPr>
            </w:pPr>
            <w:r>
              <w:rPr>
                <w:rFonts w:ascii="Arial" w:cs="Arial" w:eastAsia="Arial" w:hAnsi="Arial"/>
                <w:sz w:val="16"/>
                <w:szCs w:val="16"/>
                <w:color w:val="auto"/>
              </w:rPr>
              <w:t>3,488,864</w:t>
            </w:r>
          </w:p>
        </w:tc>
        <w:tc>
          <w:tcPr>
            <w:tcW w:w="60" w:type="dxa"/>
            <w:vAlign w:val="bottom"/>
            <w:shd w:val="clear" w:color="auto" w:fill="CCECFF"/>
          </w:tcPr>
          <w:p>
            <w:pPr>
              <w:spacing w:after="0"/>
              <w:rPr>
                <w:sz w:val="19"/>
                <w:szCs w:val="19"/>
                <w:color w:val="auto"/>
              </w:rPr>
            </w:pPr>
          </w:p>
        </w:tc>
      </w:tr>
      <w:tr>
        <w:trPr>
          <w:trHeight w:val="213"/>
        </w:trPr>
        <w:tc>
          <w:tcPr>
            <w:tcW w:w="20" w:type="dxa"/>
            <w:vAlign w:val="bottom"/>
          </w:tcPr>
          <w:p>
            <w:pPr>
              <w:spacing w:after="0"/>
              <w:rPr>
                <w:sz w:val="18"/>
                <w:szCs w:val="18"/>
                <w:color w:val="auto"/>
              </w:rPr>
            </w:pPr>
          </w:p>
        </w:tc>
        <w:tc>
          <w:tcPr>
            <w:tcW w:w="5440" w:type="dxa"/>
            <w:vAlign w:val="bottom"/>
            <w:gridSpan w:val="3"/>
          </w:tcPr>
          <w:p>
            <w:pPr>
              <w:ind w:left="240"/>
              <w:spacing w:after="0"/>
              <w:rPr>
                <w:sz w:val="20"/>
                <w:szCs w:val="20"/>
                <w:color w:val="auto"/>
              </w:rPr>
            </w:pPr>
            <w:r>
              <w:rPr>
                <w:rFonts w:ascii="Arial" w:cs="Arial" w:eastAsia="Arial" w:hAnsi="Arial"/>
                <w:sz w:val="16"/>
                <w:szCs w:val="16"/>
                <w:color w:val="auto"/>
              </w:rPr>
              <w:t>Stock-based compensation</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7,891,595</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11,595,816</w:t>
            </w: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gridSpan w:val="2"/>
          </w:tcPr>
          <w:p>
            <w:pPr>
              <w:jc w:val="right"/>
              <w:spacing w:after="0"/>
              <w:rPr>
                <w:sz w:val="20"/>
                <w:szCs w:val="20"/>
                <w:color w:val="auto"/>
              </w:rPr>
            </w:pPr>
            <w:r>
              <w:rPr>
                <w:rFonts w:ascii="Arial" w:cs="Arial" w:eastAsia="Arial" w:hAnsi="Arial"/>
                <w:sz w:val="16"/>
                <w:szCs w:val="16"/>
                <w:color w:val="auto"/>
              </w:rPr>
              <w:t>10,232,897</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5,696,173</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1,536,271</w:t>
            </w:r>
          </w:p>
        </w:tc>
        <w:tc>
          <w:tcPr>
            <w:tcW w:w="60" w:type="dxa"/>
            <w:vAlign w:val="bottom"/>
          </w:tcPr>
          <w:p>
            <w:pPr>
              <w:spacing w:after="0"/>
              <w:rPr>
                <w:sz w:val="18"/>
                <w:szCs w:val="18"/>
                <w:color w:val="auto"/>
              </w:rPr>
            </w:pPr>
          </w:p>
        </w:tc>
      </w:tr>
      <w:tr>
        <w:trPr>
          <w:trHeight w:val="219"/>
        </w:trPr>
        <w:tc>
          <w:tcPr>
            <w:tcW w:w="20" w:type="dxa"/>
            <w:vAlign w:val="bottom"/>
          </w:tcPr>
          <w:p>
            <w:pPr>
              <w:spacing w:after="0"/>
              <w:rPr>
                <w:sz w:val="19"/>
                <w:szCs w:val="19"/>
                <w:color w:val="auto"/>
              </w:rPr>
            </w:pPr>
          </w:p>
        </w:tc>
        <w:tc>
          <w:tcPr>
            <w:tcW w:w="5440" w:type="dxa"/>
            <w:vAlign w:val="bottom"/>
            <w:gridSpan w:val="3"/>
            <w:shd w:val="clear" w:color="auto" w:fill="CCECFF"/>
          </w:tcPr>
          <w:p>
            <w:pPr>
              <w:ind w:left="240"/>
              <w:spacing w:after="0"/>
              <w:rPr>
                <w:sz w:val="20"/>
                <w:szCs w:val="20"/>
                <w:color w:val="auto"/>
              </w:rPr>
            </w:pPr>
            <w:r>
              <w:rPr>
                <w:rFonts w:ascii="Arial" w:cs="Arial" w:eastAsia="Arial" w:hAnsi="Arial"/>
                <w:sz w:val="16"/>
                <w:szCs w:val="16"/>
                <w:color w:val="auto"/>
              </w:rPr>
              <w:t>Depreciation and amortization</w:t>
            </w:r>
          </w:p>
        </w:tc>
        <w:tc>
          <w:tcPr>
            <w:tcW w:w="60" w:type="dxa"/>
            <w:vAlign w:val="bottom"/>
            <w:shd w:val="clear" w:color="auto" w:fill="CCECFF"/>
          </w:tcPr>
          <w:p>
            <w:pPr>
              <w:spacing w:after="0"/>
              <w:rPr>
                <w:sz w:val="19"/>
                <w:szCs w:val="19"/>
                <w:color w:val="auto"/>
              </w:rPr>
            </w:pPr>
          </w:p>
        </w:tc>
        <w:tc>
          <w:tcPr>
            <w:tcW w:w="100" w:type="dxa"/>
            <w:vAlign w:val="bottom"/>
            <w:shd w:val="clear" w:color="auto" w:fill="CCECFF"/>
          </w:tcPr>
          <w:p>
            <w:pPr>
              <w:spacing w:after="0"/>
              <w:rPr>
                <w:sz w:val="19"/>
                <w:szCs w:val="19"/>
                <w:color w:val="auto"/>
              </w:rPr>
            </w:pPr>
          </w:p>
        </w:tc>
        <w:tc>
          <w:tcPr>
            <w:tcW w:w="960" w:type="dxa"/>
            <w:vAlign w:val="bottom"/>
            <w:shd w:val="clear" w:color="auto" w:fill="CCECFF"/>
          </w:tcPr>
          <w:p>
            <w:pPr>
              <w:jc w:val="right"/>
              <w:spacing w:after="0"/>
              <w:rPr>
                <w:sz w:val="20"/>
                <w:szCs w:val="20"/>
                <w:color w:val="auto"/>
              </w:rPr>
            </w:pPr>
            <w:r>
              <w:rPr>
                <w:rFonts w:ascii="Arial" w:cs="Arial" w:eastAsia="Arial" w:hAnsi="Arial"/>
                <w:sz w:val="16"/>
                <w:szCs w:val="16"/>
                <w:color w:val="auto"/>
              </w:rPr>
              <w:t>4,690,440</w:t>
            </w:r>
          </w:p>
        </w:tc>
        <w:tc>
          <w:tcPr>
            <w:tcW w:w="100" w:type="dxa"/>
            <w:vAlign w:val="bottom"/>
            <w:shd w:val="clear" w:color="auto" w:fill="CCECFF"/>
          </w:tcPr>
          <w:p>
            <w:pPr>
              <w:spacing w:after="0"/>
              <w:rPr>
                <w:sz w:val="19"/>
                <w:szCs w:val="19"/>
                <w:color w:val="auto"/>
              </w:rPr>
            </w:pPr>
          </w:p>
        </w:tc>
        <w:tc>
          <w:tcPr>
            <w:tcW w:w="20" w:type="dxa"/>
            <w:vAlign w:val="bottom"/>
            <w:shd w:val="clear" w:color="auto" w:fill="CCECFF"/>
          </w:tcPr>
          <w:p>
            <w:pPr>
              <w:spacing w:after="0"/>
              <w:rPr>
                <w:sz w:val="19"/>
                <w:szCs w:val="19"/>
                <w:color w:val="auto"/>
              </w:rPr>
            </w:pPr>
          </w:p>
        </w:tc>
        <w:tc>
          <w:tcPr>
            <w:tcW w:w="120" w:type="dxa"/>
            <w:vAlign w:val="bottom"/>
            <w:shd w:val="clear" w:color="auto" w:fill="CCECFF"/>
          </w:tcPr>
          <w:p>
            <w:pPr>
              <w:spacing w:after="0"/>
              <w:rPr>
                <w:sz w:val="19"/>
                <w:szCs w:val="19"/>
                <w:color w:val="auto"/>
              </w:rPr>
            </w:pPr>
          </w:p>
        </w:tc>
        <w:tc>
          <w:tcPr>
            <w:tcW w:w="960" w:type="dxa"/>
            <w:vAlign w:val="bottom"/>
            <w:shd w:val="clear" w:color="auto" w:fill="CCECFF"/>
          </w:tcPr>
          <w:p>
            <w:pPr>
              <w:jc w:val="right"/>
              <w:spacing w:after="0"/>
              <w:rPr>
                <w:sz w:val="20"/>
                <w:szCs w:val="20"/>
                <w:color w:val="auto"/>
              </w:rPr>
            </w:pPr>
            <w:r>
              <w:rPr>
                <w:rFonts w:ascii="Arial" w:cs="Arial" w:eastAsia="Arial" w:hAnsi="Arial"/>
                <w:sz w:val="16"/>
                <w:szCs w:val="16"/>
                <w:color w:val="auto"/>
              </w:rPr>
              <w:t>3,260,045</w:t>
            </w:r>
          </w:p>
        </w:tc>
        <w:tc>
          <w:tcPr>
            <w:tcW w:w="80" w:type="dxa"/>
            <w:vAlign w:val="bottom"/>
            <w:shd w:val="clear" w:color="auto" w:fill="CCECFF"/>
          </w:tcPr>
          <w:p>
            <w:pPr>
              <w:spacing w:after="0"/>
              <w:rPr>
                <w:sz w:val="19"/>
                <w:szCs w:val="19"/>
                <w:color w:val="auto"/>
              </w:rPr>
            </w:pPr>
          </w:p>
        </w:tc>
        <w:tc>
          <w:tcPr>
            <w:tcW w:w="40" w:type="dxa"/>
            <w:vAlign w:val="bottom"/>
            <w:shd w:val="clear" w:color="auto" w:fill="CCECFF"/>
          </w:tcPr>
          <w:p>
            <w:pPr>
              <w:spacing w:after="0"/>
              <w:rPr>
                <w:sz w:val="19"/>
                <w:szCs w:val="19"/>
                <w:color w:val="auto"/>
              </w:rPr>
            </w:pPr>
          </w:p>
        </w:tc>
        <w:tc>
          <w:tcPr>
            <w:tcW w:w="80" w:type="dxa"/>
            <w:vAlign w:val="bottom"/>
            <w:shd w:val="clear" w:color="auto" w:fill="CCECFF"/>
          </w:tcPr>
          <w:p>
            <w:pPr>
              <w:spacing w:after="0"/>
              <w:rPr>
                <w:sz w:val="19"/>
                <w:szCs w:val="19"/>
                <w:color w:val="auto"/>
              </w:rPr>
            </w:pPr>
          </w:p>
        </w:tc>
        <w:tc>
          <w:tcPr>
            <w:tcW w:w="1020" w:type="dxa"/>
            <w:vAlign w:val="bottom"/>
            <w:gridSpan w:val="2"/>
            <w:shd w:val="clear" w:color="auto" w:fill="CCECFF"/>
          </w:tcPr>
          <w:p>
            <w:pPr>
              <w:jc w:val="right"/>
              <w:spacing w:after="0"/>
              <w:rPr>
                <w:sz w:val="20"/>
                <w:szCs w:val="20"/>
                <w:color w:val="auto"/>
              </w:rPr>
            </w:pPr>
            <w:r>
              <w:rPr>
                <w:rFonts w:ascii="Arial" w:cs="Arial" w:eastAsia="Arial" w:hAnsi="Arial"/>
                <w:sz w:val="16"/>
                <w:szCs w:val="16"/>
                <w:color w:val="auto"/>
              </w:rPr>
              <w:t>2,336,207</w:t>
            </w:r>
          </w:p>
        </w:tc>
        <w:tc>
          <w:tcPr>
            <w:tcW w:w="100" w:type="dxa"/>
            <w:vAlign w:val="bottom"/>
            <w:shd w:val="clear" w:color="auto" w:fill="CCECFF"/>
          </w:tcPr>
          <w:p>
            <w:pPr>
              <w:spacing w:after="0"/>
              <w:rPr>
                <w:sz w:val="19"/>
                <w:szCs w:val="19"/>
                <w:color w:val="auto"/>
              </w:rPr>
            </w:pPr>
          </w:p>
        </w:tc>
        <w:tc>
          <w:tcPr>
            <w:tcW w:w="20" w:type="dxa"/>
            <w:vAlign w:val="bottom"/>
            <w:shd w:val="clear" w:color="auto" w:fill="CCECFF"/>
          </w:tcPr>
          <w:p>
            <w:pPr>
              <w:spacing w:after="0"/>
              <w:rPr>
                <w:sz w:val="19"/>
                <w:szCs w:val="19"/>
                <w:color w:val="auto"/>
              </w:rPr>
            </w:pPr>
          </w:p>
        </w:tc>
        <w:tc>
          <w:tcPr>
            <w:tcW w:w="120" w:type="dxa"/>
            <w:vAlign w:val="bottom"/>
            <w:shd w:val="clear" w:color="auto" w:fill="CCECFF"/>
          </w:tcPr>
          <w:p>
            <w:pPr>
              <w:spacing w:after="0"/>
              <w:rPr>
                <w:sz w:val="19"/>
                <w:szCs w:val="19"/>
                <w:color w:val="auto"/>
              </w:rPr>
            </w:pPr>
          </w:p>
        </w:tc>
        <w:tc>
          <w:tcPr>
            <w:tcW w:w="960" w:type="dxa"/>
            <w:vAlign w:val="bottom"/>
            <w:shd w:val="clear" w:color="auto" w:fill="CCECFF"/>
          </w:tcPr>
          <w:p>
            <w:pPr>
              <w:jc w:val="right"/>
              <w:spacing w:after="0"/>
              <w:rPr>
                <w:sz w:val="20"/>
                <w:szCs w:val="20"/>
                <w:color w:val="auto"/>
              </w:rPr>
            </w:pPr>
            <w:r>
              <w:rPr>
                <w:rFonts w:ascii="Arial" w:cs="Arial" w:eastAsia="Arial" w:hAnsi="Arial"/>
                <w:sz w:val="16"/>
                <w:szCs w:val="16"/>
                <w:color w:val="auto"/>
              </w:rPr>
              <w:t>1,345,655</w:t>
            </w:r>
          </w:p>
        </w:tc>
        <w:tc>
          <w:tcPr>
            <w:tcW w:w="120" w:type="dxa"/>
            <w:vAlign w:val="bottom"/>
            <w:shd w:val="clear" w:color="auto" w:fill="CCECFF"/>
          </w:tcPr>
          <w:p>
            <w:pPr>
              <w:spacing w:after="0"/>
              <w:rPr>
                <w:sz w:val="19"/>
                <w:szCs w:val="19"/>
                <w:color w:val="auto"/>
              </w:rPr>
            </w:pPr>
          </w:p>
        </w:tc>
        <w:tc>
          <w:tcPr>
            <w:tcW w:w="100" w:type="dxa"/>
            <w:vAlign w:val="bottom"/>
            <w:shd w:val="clear" w:color="auto" w:fill="CCECFF"/>
          </w:tcPr>
          <w:p>
            <w:pPr>
              <w:spacing w:after="0"/>
              <w:rPr>
                <w:sz w:val="19"/>
                <w:szCs w:val="19"/>
                <w:color w:val="auto"/>
              </w:rPr>
            </w:pPr>
          </w:p>
        </w:tc>
        <w:tc>
          <w:tcPr>
            <w:tcW w:w="940" w:type="dxa"/>
            <w:vAlign w:val="bottom"/>
            <w:shd w:val="clear" w:color="auto" w:fill="CCECFF"/>
          </w:tcPr>
          <w:p>
            <w:pPr>
              <w:jc w:val="right"/>
              <w:spacing w:after="0"/>
              <w:rPr>
                <w:sz w:val="20"/>
                <w:szCs w:val="20"/>
                <w:color w:val="auto"/>
              </w:rPr>
            </w:pPr>
            <w:r>
              <w:rPr>
                <w:rFonts w:ascii="Arial" w:cs="Arial" w:eastAsia="Arial" w:hAnsi="Arial"/>
                <w:sz w:val="16"/>
                <w:szCs w:val="16"/>
                <w:color w:val="auto"/>
              </w:rPr>
              <w:t>1,751,412</w:t>
            </w:r>
          </w:p>
        </w:tc>
        <w:tc>
          <w:tcPr>
            <w:tcW w:w="60" w:type="dxa"/>
            <w:vAlign w:val="bottom"/>
            <w:shd w:val="clear" w:color="auto" w:fill="CCECFF"/>
          </w:tcPr>
          <w:p>
            <w:pPr>
              <w:spacing w:after="0"/>
              <w:rPr>
                <w:sz w:val="19"/>
                <w:szCs w:val="19"/>
                <w:color w:val="auto"/>
              </w:rPr>
            </w:pPr>
          </w:p>
        </w:tc>
      </w:tr>
      <w:tr>
        <w:trPr>
          <w:trHeight w:val="213"/>
        </w:trPr>
        <w:tc>
          <w:tcPr>
            <w:tcW w:w="20" w:type="dxa"/>
            <w:vAlign w:val="bottom"/>
          </w:tcPr>
          <w:p>
            <w:pPr>
              <w:spacing w:after="0"/>
              <w:rPr>
                <w:sz w:val="18"/>
                <w:szCs w:val="18"/>
                <w:color w:val="auto"/>
              </w:rPr>
            </w:pPr>
          </w:p>
        </w:tc>
        <w:tc>
          <w:tcPr>
            <w:tcW w:w="5440" w:type="dxa"/>
            <w:vAlign w:val="bottom"/>
            <w:gridSpan w:val="3"/>
          </w:tcPr>
          <w:p>
            <w:pPr>
              <w:ind w:left="240"/>
              <w:spacing w:after="0"/>
              <w:rPr>
                <w:sz w:val="20"/>
                <w:szCs w:val="20"/>
                <w:color w:val="auto"/>
              </w:rPr>
            </w:pPr>
            <w:r>
              <w:rPr>
                <w:rFonts w:ascii="Arial" w:cs="Arial" w:eastAsia="Arial" w:hAnsi="Arial"/>
                <w:sz w:val="16"/>
                <w:szCs w:val="16"/>
                <w:color w:val="auto"/>
              </w:rPr>
              <w:t>Impairment expense</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2,050,817</w:t>
            </w: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2,172,387</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1,308,047</w:t>
            </w:r>
          </w:p>
        </w:tc>
        <w:tc>
          <w:tcPr>
            <w:tcW w:w="60" w:type="dxa"/>
            <w:vAlign w:val="bottom"/>
          </w:tcPr>
          <w:p>
            <w:pPr>
              <w:spacing w:after="0"/>
              <w:rPr>
                <w:sz w:val="18"/>
                <w:szCs w:val="18"/>
                <w:color w:val="auto"/>
              </w:rPr>
            </w:pPr>
          </w:p>
        </w:tc>
      </w:tr>
      <w:tr>
        <w:trPr>
          <w:trHeight w:val="219"/>
        </w:trPr>
        <w:tc>
          <w:tcPr>
            <w:tcW w:w="20" w:type="dxa"/>
            <w:vAlign w:val="bottom"/>
          </w:tcPr>
          <w:p>
            <w:pPr>
              <w:spacing w:after="0"/>
              <w:rPr>
                <w:sz w:val="19"/>
                <w:szCs w:val="19"/>
                <w:color w:val="auto"/>
              </w:rPr>
            </w:pPr>
          </w:p>
        </w:tc>
        <w:tc>
          <w:tcPr>
            <w:tcW w:w="5440" w:type="dxa"/>
            <w:vAlign w:val="bottom"/>
            <w:gridSpan w:val="3"/>
            <w:shd w:val="clear" w:color="auto" w:fill="CCECFF"/>
          </w:tcPr>
          <w:p>
            <w:pPr>
              <w:ind w:left="240"/>
              <w:spacing w:after="0"/>
              <w:rPr>
                <w:sz w:val="20"/>
                <w:szCs w:val="20"/>
                <w:color w:val="auto"/>
              </w:rPr>
            </w:pPr>
            <w:r>
              <w:rPr>
                <w:rFonts w:ascii="Arial" w:cs="Arial" w:eastAsia="Arial" w:hAnsi="Arial"/>
                <w:sz w:val="16"/>
                <w:szCs w:val="16"/>
                <w:color w:val="auto"/>
              </w:rPr>
              <w:t>Contingent consideration - fair value adjustments</w:t>
            </w:r>
          </w:p>
        </w:tc>
        <w:tc>
          <w:tcPr>
            <w:tcW w:w="60" w:type="dxa"/>
            <w:vAlign w:val="bottom"/>
            <w:shd w:val="clear" w:color="auto" w:fill="CCECFF"/>
          </w:tcPr>
          <w:p>
            <w:pPr>
              <w:spacing w:after="0"/>
              <w:rPr>
                <w:sz w:val="19"/>
                <w:szCs w:val="19"/>
                <w:color w:val="auto"/>
              </w:rPr>
            </w:pPr>
          </w:p>
        </w:tc>
        <w:tc>
          <w:tcPr>
            <w:tcW w:w="100" w:type="dxa"/>
            <w:vAlign w:val="bottom"/>
            <w:shd w:val="clear" w:color="auto" w:fill="CCECFF"/>
          </w:tcPr>
          <w:p>
            <w:pPr>
              <w:spacing w:after="0"/>
              <w:rPr>
                <w:sz w:val="19"/>
                <w:szCs w:val="19"/>
                <w:color w:val="auto"/>
              </w:rPr>
            </w:pPr>
          </w:p>
        </w:tc>
        <w:tc>
          <w:tcPr>
            <w:tcW w:w="960" w:type="dxa"/>
            <w:vAlign w:val="bottom"/>
            <w:shd w:val="clear" w:color="auto" w:fill="CCECFF"/>
          </w:tcPr>
          <w:p>
            <w:pPr>
              <w:jc w:val="right"/>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CFF"/>
          </w:tcPr>
          <w:p>
            <w:pPr>
              <w:spacing w:after="0"/>
              <w:rPr>
                <w:sz w:val="19"/>
                <w:szCs w:val="19"/>
                <w:color w:val="auto"/>
              </w:rPr>
            </w:pPr>
          </w:p>
        </w:tc>
        <w:tc>
          <w:tcPr>
            <w:tcW w:w="20" w:type="dxa"/>
            <w:vAlign w:val="bottom"/>
            <w:shd w:val="clear" w:color="auto" w:fill="CCECFF"/>
          </w:tcPr>
          <w:p>
            <w:pPr>
              <w:spacing w:after="0"/>
              <w:rPr>
                <w:sz w:val="19"/>
                <w:szCs w:val="19"/>
                <w:color w:val="auto"/>
              </w:rPr>
            </w:pPr>
          </w:p>
        </w:tc>
        <w:tc>
          <w:tcPr>
            <w:tcW w:w="120" w:type="dxa"/>
            <w:vAlign w:val="bottom"/>
            <w:shd w:val="clear" w:color="auto" w:fill="CCECFF"/>
          </w:tcPr>
          <w:p>
            <w:pPr>
              <w:spacing w:after="0"/>
              <w:rPr>
                <w:sz w:val="19"/>
                <w:szCs w:val="19"/>
                <w:color w:val="auto"/>
              </w:rPr>
            </w:pPr>
          </w:p>
        </w:tc>
        <w:tc>
          <w:tcPr>
            <w:tcW w:w="1040" w:type="dxa"/>
            <w:vAlign w:val="bottom"/>
            <w:gridSpan w:val="2"/>
            <w:shd w:val="clear" w:color="auto" w:fill="CCECFF"/>
          </w:tcPr>
          <w:p>
            <w:pPr>
              <w:jc w:val="right"/>
              <w:ind w:right="40"/>
              <w:spacing w:after="0"/>
              <w:rPr>
                <w:sz w:val="20"/>
                <w:szCs w:val="20"/>
                <w:color w:val="auto"/>
              </w:rPr>
            </w:pPr>
            <w:r>
              <w:rPr>
                <w:rFonts w:ascii="Arial" w:cs="Arial" w:eastAsia="Arial" w:hAnsi="Arial"/>
                <w:sz w:val="16"/>
                <w:szCs w:val="16"/>
                <w:color w:val="auto"/>
              </w:rPr>
              <w:t>(5,862,464)</w:t>
            </w:r>
          </w:p>
        </w:tc>
        <w:tc>
          <w:tcPr>
            <w:tcW w:w="40" w:type="dxa"/>
            <w:vAlign w:val="bottom"/>
            <w:shd w:val="clear" w:color="auto" w:fill="CCECFF"/>
          </w:tcPr>
          <w:p>
            <w:pPr>
              <w:spacing w:after="0"/>
              <w:rPr>
                <w:sz w:val="19"/>
                <w:szCs w:val="19"/>
                <w:color w:val="auto"/>
              </w:rPr>
            </w:pPr>
          </w:p>
        </w:tc>
        <w:tc>
          <w:tcPr>
            <w:tcW w:w="80" w:type="dxa"/>
            <w:vAlign w:val="bottom"/>
            <w:shd w:val="clear" w:color="auto" w:fill="CCECFF"/>
          </w:tcPr>
          <w:p>
            <w:pPr>
              <w:spacing w:after="0"/>
              <w:rPr>
                <w:sz w:val="19"/>
                <w:szCs w:val="19"/>
                <w:color w:val="auto"/>
              </w:rPr>
            </w:pPr>
          </w:p>
        </w:tc>
        <w:tc>
          <w:tcPr>
            <w:tcW w:w="1020" w:type="dxa"/>
            <w:vAlign w:val="bottom"/>
            <w:gridSpan w:val="2"/>
            <w:shd w:val="clear" w:color="auto" w:fill="CCECFF"/>
          </w:tcPr>
          <w:p>
            <w:pPr>
              <w:jc w:val="right"/>
              <w:spacing w:after="0"/>
              <w:rPr>
                <w:sz w:val="20"/>
                <w:szCs w:val="20"/>
                <w:color w:val="auto"/>
              </w:rPr>
            </w:pPr>
            <w:r>
              <w:rPr>
                <w:rFonts w:ascii="Arial" w:cs="Arial" w:eastAsia="Arial" w:hAnsi="Arial"/>
                <w:sz w:val="16"/>
                <w:szCs w:val="16"/>
                <w:color w:val="auto"/>
              </w:rPr>
              <w:t>1,891,533</w:t>
            </w:r>
          </w:p>
        </w:tc>
        <w:tc>
          <w:tcPr>
            <w:tcW w:w="100" w:type="dxa"/>
            <w:vAlign w:val="bottom"/>
            <w:shd w:val="clear" w:color="auto" w:fill="CCECFF"/>
          </w:tcPr>
          <w:p>
            <w:pPr>
              <w:spacing w:after="0"/>
              <w:rPr>
                <w:sz w:val="19"/>
                <w:szCs w:val="19"/>
                <w:color w:val="auto"/>
              </w:rPr>
            </w:pPr>
          </w:p>
        </w:tc>
        <w:tc>
          <w:tcPr>
            <w:tcW w:w="20" w:type="dxa"/>
            <w:vAlign w:val="bottom"/>
            <w:shd w:val="clear" w:color="auto" w:fill="CCECFF"/>
          </w:tcPr>
          <w:p>
            <w:pPr>
              <w:spacing w:after="0"/>
              <w:rPr>
                <w:sz w:val="19"/>
                <w:szCs w:val="19"/>
                <w:color w:val="auto"/>
              </w:rPr>
            </w:pPr>
          </w:p>
        </w:tc>
        <w:tc>
          <w:tcPr>
            <w:tcW w:w="120" w:type="dxa"/>
            <w:vAlign w:val="bottom"/>
            <w:shd w:val="clear" w:color="auto" w:fill="CCECFF"/>
          </w:tcPr>
          <w:p>
            <w:pPr>
              <w:spacing w:after="0"/>
              <w:rPr>
                <w:sz w:val="19"/>
                <w:szCs w:val="19"/>
                <w:color w:val="auto"/>
              </w:rPr>
            </w:pPr>
          </w:p>
        </w:tc>
        <w:tc>
          <w:tcPr>
            <w:tcW w:w="960" w:type="dxa"/>
            <w:vAlign w:val="bottom"/>
            <w:shd w:val="clear" w:color="auto" w:fill="CCECFF"/>
          </w:tcPr>
          <w:p>
            <w:pPr>
              <w:jc w:val="right"/>
              <w:spacing w:after="0"/>
              <w:rPr>
                <w:sz w:val="20"/>
                <w:szCs w:val="20"/>
                <w:color w:val="auto"/>
              </w:rPr>
            </w:pPr>
            <w:r>
              <w:rPr>
                <w:rFonts w:ascii="Arial" w:cs="Arial" w:eastAsia="Arial" w:hAnsi="Arial"/>
                <w:sz w:val="16"/>
                <w:szCs w:val="16"/>
                <w:color w:val="auto"/>
              </w:rPr>
              <w:t>2,375,658</w:t>
            </w:r>
          </w:p>
        </w:tc>
        <w:tc>
          <w:tcPr>
            <w:tcW w:w="120" w:type="dxa"/>
            <w:vAlign w:val="bottom"/>
            <w:shd w:val="clear" w:color="auto" w:fill="CCECFF"/>
          </w:tcPr>
          <w:p>
            <w:pPr>
              <w:spacing w:after="0"/>
              <w:rPr>
                <w:sz w:val="19"/>
                <w:szCs w:val="19"/>
                <w:color w:val="auto"/>
              </w:rPr>
            </w:pPr>
          </w:p>
        </w:tc>
        <w:tc>
          <w:tcPr>
            <w:tcW w:w="100" w:type="dxa"/>
            <w:vAlign w:val="bottom"/>
            <w:shd w:val="clear" w:color="auto" w:fill="CCECFF"/>
          </w:tcPr>
          <w:p>
            <w:pPr>
              <w:spacing w:after="0"/>
              <w:rPr>
                <w:sz w:val="19"/>
                <w:szCs w:val="19"/>
                <w:color w:val="auto"/>
              </w:rPr>
            </w:pPr>
          </w:p>
        </w:tc>
        <w:tc>
          <w:tcPr>
            <w:tcW w:w="940" w:type="dxa"/>
            <w:vAlign w:val="bottom"/>
            <w:shd w:val="clear" w:color="auto" w:fill="CCECFF"/>
          </w:tcPr>
          <w:p>
            <w:pPr>
              <w:jc w:val="right"/>
              <w:spacing w:after="0"/>
              <w:rPr>
                <w:sz w:val="20"/>
                <w:szCs w:val="20"/>
                <w:color w:val="auto"/>
              </w:rPr>
            </w:pPr>
            <w:r>
              <w:rPr>
                <w:rFonts w:ascii="Arial" w:cs="Arial" w:eastAsia="Arial" w:hAnsi="Arial"/>
                <w:sz w:val="16"/>
                <w:szCs w:val="16"/>
                <w:color w:val="auto"/>
              </w:rPr>
              <w:t>1,421,652</w:t>
            </w:r>
          </w:p>
        </w:tc>
        <w:tc>
          <w:tcPr>
            <w:tcW w:w="60" w:type="dxa"/>
            <w:vAlign w:val="bottom"/>
            <w:shd w:val="clear" w:color="auto" w:fill="CCECFF"/>
          </w:tcPr>
          <w:p>
            <w:pPr>
              <w:spacing w:after="0"/>
              <w:rPr>
                <w:sz w:val="19"/>
                <w:szCs w:val="19"/>
                <w:color w:val="auto"/>
              </w:rPr>
            </w:pPr>
          </w:p>
        </w:tc>
      </w:tr>
      <w:tr>
        <w:trPr>
          <w:trHeight w:val="207"/>
        </w:trPr>
        <w:tc>
          <w:tcPr>
            <w:tcW w:w="20" w:type="dxa"/>
            <w:vAlign w:val="bottom"/>
          </w:tcPr>
          <w:p>
            <w:pPr>
              <w:spacing w:after="0"/>
              <w:rPr>
                <w:sz w:val="17"/>
                <w:szCs w:val="17"/>
                <w:color w:val="auto"/>
              </w:rPr>
            </w:pPr>
          </w:p>
        </w:tc>
        <w:tc>
          <w:tcPr>
            <w:tcW w:w="5440" w:type="dxa"/>
            <w:vAlign w:val="bottom"/>
            <w:tcBorders>
              <w:bottom w:val="single" w:sz="8" w:color="CCECFF"/>
            </w:tcBorders>
            <w:gridSpan w:val="3"/>
          </w:tcPr>
          <w:p>
            <w:pPr>
              <w:ind w:left="480"/>
              <w:spacing w:after="0"/>
              <w:rPr>
                <w:sz w:val="20"/>
                <w:szCs w:val="20"/>
                <w:color w:val="auto"/>
              </w:rPr>
            </w:pPr>
            <w:r>
              <w:rPr>
                <w:rFonts w:ascii="Arial" w:cs="Arial" w:eastAsia="Arial" w:hAnsi="Arial"/>
                <w:sz w:val="16"/>
                <w:szCs w:val="16"/>
                <w:color w:val="auto"/>
              </w:rPr>
              <w:t>TOTAL OPERATING EXPENSES (a)</w:t>
            </w:r>
          </w:p>
        </w:tc>
        <w:tc>
          <w:tcPr>
            <w:tcW w:w="60" w:type="dxa"/>
            <w:vAlign w:val="bottom"/>
            <w:tcBorders>
              <w:bottom w:val="single" w:sz="8" w:color="CCECFF"/>
            </w:tcBorders>
          </w:tcPr>
          <w:p>
            <w:pPr>
              <w:spacing w:after="0"/>
              <w:rPr>
                <w:sz w:val="17"/>
                <w:szCs w:val="17"/>
                <w:color w:val="auto"/>
              </w:rPr>
            </w:pPr>
          </w:p>
        </w:tc>
        <w:tc>
          <w:tcPr>
            <w:tcW w:w="100" w:type="dxa"/>
            <w:vAlign w:val="bottom"/>
            <w:tcBorders>
              <w:bottom w:val="single" w:sz="8" w:color="CCECFF"/>
            </w:tcBorders>
          </w:tcPr>
          <w:p>
            <w:pPr>
              <w:spacing w:after="0"/>
              <w:rPr>
                <w:sz w:val="17"/>
                <w:szCs w:val="17"/>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68,403,618</w:t>
            </w:r>
          </w:p>
        </w:tc>
        <w:tc>
          <w:tcPr>
            <w:tcW w:w="100" w:type="dxa"/>
            <w:vAlign w:val="bottom"/>
            <w:tcBorders>
              <w:bottom w:val="single" w:sz="8" w:color="CCECFF"/>
            </w:tcBorders>
          </w:tcPr>
          <w:p>
            <w:pPr>
              <w:spacing w:after="0"/>
              <w:rPr>
                <w:sz w:val="17"/>
                <w:szCs w:val="17"/>
                <w:color w:val="auto"/>
              </w:rPr>
            </w:pPr>
          </w:p>
        </w:tc>
        <w:tc>
          <w:tcPr>
            <w:tcW w:w="20" w:type="dxa"/>
            <w:vAlign w:val="bottom"/>
            <w:tcBorders>
              <w:bottom w:val="single" w:sz="8" w:color="CCECFF"/>
            </w:tcBorders>
          </w:tcPr>
          <w:p>
            <w:pPr>
              <w:spacing w:after="0"/>
              <w:rPr>
                <w:sz w:val="17"/>
                <w:szCs w:val="17"/>
                <w:color w:val="auto"/>
              </w:rPr>
            </w:pPr>
          </w:p>
        </w:tc>
        <w:tc>
          <w:tcPr>
            <w:tcW w:w="120" w:type="dxa"/>
            <w:vAlign w:val="bottom"/>
            <w:tcBorders>
              <w:bottom w:val="single" w:sz="8" w:color="CCECFF"/>
            </w:tcBorders>
          </w:tcPr>
          <w:p>
            <w:pPr>
              <w:spacing w:after="0"/>
              <w:rPr>
                <w:sz w:val="17"/>
                <w:szCs w:val="17"/>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81,901,059</w:t>
            </w:r>
          </w:p>
        </w:tc>
        <w:tc>
          <w:tcPr>
            <w:tcW w:w="80" w:type="dxa"/>
            <w:vAlign w:val="bottom"/>
            <w:tcBorders>
              <w:bottom w:val="single" w:sz="8" w:color="CCECFF"/>
            </w:tcBorders>
          </w:tcPr>
          <w:p>
            <w:pPr>
              <w:spacing w:after="0"/>
              <w:rPr>
                <w:sz w:val="17"/>
                <w:szCs w:val="17"/>
                <w:color w:val="auto"/>
              </w:rPr>
            </w:pPr>
          </w:p>
        </w:tc>
        <w:tc>
          <w:tcPr>
            <w:tcW w:w="40" w:type="dxa"/>
            <w:vAlign w:val="bottom"/>
            <w:tcBorders>
              <w:bottom w:val="single" w:sz="8" w:color="CCECFF"/>
            </w:tcBorders>
          </w:tcPr>
          <w:p>
            <w:pPr>
              <w:spacing w:after="0"/>
              <w:rPr>
                <w:sz w:val="17"/>
                <w:szCs w:val="17"/>
                <w:color w:val="auto"/>
              </w:rPr>
            </w:pPr>
          </w:p>
        </w:tc>
        <w:tc>
          <w:tcPr>
            <w:tcW w:w="80" w:type="dxa"/>
            <w:vAlign w:val="bottom"/>
            <w:tcBorders>
              <w:bottom w:val="single" w:sz="8" w:color="CCECFF"/>
            </w:tcBorders>
          </w:tcPr>
          <w:p>
            <w:pPr>
              <w:spacing w:after="0"/>
              <w:rPr>
                <w:sz w:val="17"/>
                <w:szCs w:val="17"/>
                <w:color w:val="auto"/>
              </w:rPr>
            </w:pPr>
          </w:p>
        </w:tc>
        <w:tc>
          <w:tcPr>
            <w:tcW w:w="60" w:type="dxa"/>
            <w:vAlign w:val="bottom"/>
            <w:tcBorders>
              <w:bottom w:val="single" w:sz="8" w:color="CCECFF"/>
            </w:tcBorders>
          </w:tcPr>
          <w:p>
            <w:pPr>
              <w:spacing w:after="0"/>
              <w:rPr>
                <w:sz w:val="17"/>
                <w:szCs w:val="17"/>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96,355,976</w:t>
            </w:r>
          </w:p>
        </w:tc>
        <w:tc>
          <w:tcPr>
            <w:tcW w:w="100" w:type="dxa"/>
            <w:vAlign w:val="bottom"/>
            <w:tcBorders>
              <w:bottom w:val="single" w:sz="8" w:color="CCECFF"/>
            </w:tcBorders>
          </w:tcPr>
          <w:p>
            <w:pPr>
              <w:spacing w:after="0"/>
              <w:rPr>
                <w:sz w:val="17"/>
                <w:szCs w:val="17"/>
                <w:color w:val="auto"/>
              </w:rPr>
            </w:pPr>
          </w:p>
        </w:tc>
        <w:tc>
          <w:tcPr>
            <w:tcW w:w="20" w:type="dxa"/>
            <w:vAlign w:val="bottom"/>
            <w:tcBorders>
              <w:bottom w:val="single" w:sz="8" w:color="CCECFF"/>
            </w:tcBorders>
          </w:tcPr>
          <w:p>
            <w:pPr>
              <w:spacing w:after="0"/>
              <w:rPr>
                <w:sz w:val="17"/>
                <w:szCs w:val="17"/>
                <w:color w:val="auto"/>
              </w:rPr>
            </w:pPr>
          </w:p>
        </w:tc>
        <w:tc>
          <w:tcPr>
            <w:tcW w:w="120" w:type="dxa"/>
            <w:vAlign w:val="bottom"/>
            <w:tcBorders>
              <w:bottom w:val="single" w:sz="8" w:color="CCECFF"/>
            </w:tcBorders>
          </w:tcPr>
          <w:p>
            <w:pPr>
              <w:spacing w:after="0"/>
              <w:rPr>
                <w:sz w:val="17"/>
                <w:szCs w:val="17"/>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53,451,286</w:t>
            </w:r>
          </w:p>
        </w:tc>
        <w:tc>
          <w:tcPr>
            <w:tcW w:w="120" w:type="dxa"/>
            <w:vAlign w:val="bottom"/>
            <w:tcBorders>
              <w:bottom w:val="single" w:sz="8" w:color="CCECFF"/>
            </w:tcBorders>
          </w:tcPr>
          <w:p>
            <w:pPr>
              <w:spacing w:after="0"/>
              <w:rPr>
                <w:sz w:val="17"/>
                <w:szCs w:val="17"/>
                <w:color w:val="auto"/>
              </w:rPr>
            </w:pPr>
          </w:p>
        </w:tc>
        <w:tc>
          <w:tcPr>
            <w:tcW w:w="100" w:type="dxa"/>
            <w:vAlign w:val="bottom"/>
            <w:tcBorders>
              <w:bottom w:val="single" w:sz="8" w:color="CCECFF"/>
            </w:tcBorders>
          </w:tcPr>
          <w:p>
            <w:pPr>
              <w:spacing w:after="0"/>
              <w:rPr>
                <w:sz w:val="17"/>
                <w:szCs w:val="17"/>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24,879,542</w:t>
            </w:r>
          </w:p>
        </w:tc>
        <w:tc>
          <w:tcPr>
            <w:tcW w:w="60" w:type="dxa"/>
            <w:vAlign w:val="bottom"/>
            <w:tcBorders>
              <w:bottom w:val="single" w:sz="8" w:color="CCECFF"/>
            </w:tcBorders>
          </w:tcPr>
          <w:p>
            <w:pPr>
              <w:spacing w:after="0"/>
              <w:rPr>
                <w:sz w:val="17"/>
                <w:szCs w:val="17"/>
                <w:color w:val="auto"/>
              </w:rPr>
            </w:pPr>
          </w:p>
        </w:tc>
      </w:tr>
      <w:tr>
        <w:trPr>
          <w:trHeight w:val="213"/>
        </w:trPr>
        <w:tc>
          <w:tcPr>
            <w:tcW w:w="20" w:type="dxa"/>
            <w:vAlign w:val="bottom"/>
          </w:tcPr>
          <w:p>
            <w:pPr>
              <w:spacing w:after="0"/>
              <w:rPr>
                <w:sz w:val="18"/>
                <w:szCs w:val="18"/>
                <w:color w:val="auto"/>
              </w:rPr>
            </w:pPr>
          </w:p>
        </w:tc>
        <w:tc>
          <w:tcPr>
            <w:tcW w:w="5440" w:type="dxa"/>
            <w:vAlign w:val="bottom"/>
            <w:gridSpan w:val="3"/>
            <w:shd w:val="clear" w:color="auto" w:fill="CCECFF"/>
          </w:tcPr>
          <w:p>
            <w:pPr>
              <w:spacing w:after="0"/>
              <w:rPr>
                <w:sz w:val="20"/>
                <w:szCs w:val="20"/>
                <w:color w:val="auto"/>
              </w:rPr>
            </w:pPr>
            <w:r>
              <w:rPr>
                <w:rFonts w:ascii="Arial" w:cs="Arial" w:eastAsia="Arial" w:hAnsi="Arial"/>
                <w:sz w:val="16"/>
                <w:szCs w:val="16"/>
                <w:b w:val="1"/>
                <w:bCs w:val="1"/>
                <w:color w:val="auto"/>
              </w:rPr>
              <w:t>OPERATING LOSS</w:t>
            </w:r>
          </w:p>
        </w:tc>
        <w:tc>
          <w:tcPr>
            <w:tcW w:w="60" w:type="dxa"/>
            <w:vAlign w:val="bottom"/>
            <w:shd w:val="clear" w:color="auto" w:fill="CCECFF"/>
          </w:tcPr>
          <w:p>
            <w:pPr>
              <w:spacing w:after="0"/>
              <w:rPr>
                <w:sz w:val="18"/>
                <w:szCs w:val="18"/>
                <w:color w:val="auto"/>
              </w:rPr>
            </w:pPr>
          </w:p>
        </w:tc>
        <w:tc>
          <w:tcPr>
            <w:tcW w:w="100" w:type="dxa"/>
            <w:vAlign w:val="bottom"/>
            <w:shd w:val="clear" w:color="auto" w:fill="CCECFF"/>
          </w:tcPr>
          <w:p>
            <w:pPr>
              <w:spacing w:after="0"/>
              <w:rPr>
                <w:sz w:val="18"/>
                <w:szCs w:val="18"/>
                <w:color w:val="auto"/>
              </w:rPr>
            </w:pPr>
          </w:p>
        </w:tc>
        <w:tc>
          <w:tcPr>
            <w:tcW w:w="960" w:type="dxa"/>
            <w:vAlign w:val="bottom"/>
            <w:shd w:val="clear" w:color="auto" w:fill="CCECFF"/>
          </w:tcPr>
          <w:p>
            <w:pPr>
              <w:jc w:val="right"/>
              <w:spacing w:after="0"/>
              <w:rPr>
                <w:sz w:val="20"/>
                <w:szCs w:val="20"/>
                <w:color w:val="auto"/>
              </w:rPr>
            </w:pPr>
            <w:r>
              <w:rPr>
                <w:rFonts w:ascii="Arial" w:cs="Arial" w:eastAsia="Arial" w:hAnsi="Arial"/>
                <w:sz w:val="16"/>
                <w:szCs w:val="16"/>
                <w:b w:val="1"/>
                <w:bCs w:val="1"/>
                <w:color w:val="auto"/>
              </w:rPr>
              <w:t>(36,995,909)</w:t>
            </w:r>
          </w:p>
        </w:tc>
        <w:tc>
          <w:tcPr>
            <w:tcW w:w="100" w:type="dxa"/>
            <w:vAlign w:val="bottom"/>
            <w:shd w:val="clear" w:color="auto" w:fill="CCECFF"/>
          </w:tcPr>
          <w:p>
            <w:pPr>
              <w:spacing w:after="0"/>
              <w:rPr>
                <w:sz w:val="18"/>
                <w:szCs w:val="18"/>
                <w:color w:val="auto"/>
              </w:rPr>
            </w:pPr>
          </w:p>
        </w:tc>
        <w:tc>
          <w:tcPr>
            <w:tcW w:w="20" w:type="dxa"/>
            <w:vAlign w:val="bottom"/>
            <w:shd w:val="clear" w:color="auto" w:fill="CCECFF"/>
          </w:tcPr>
          <w:p>
            <w:pPr>
              <w:spacing w:after="0"/>
              <w:rPr>
                <w:sz w:val="18"/>
                <w:szCs w:val="18"/>
                <w:color w:val="auto"/>
              </w:rPr>
            </w:pPr>
          </w:p>
        </w:tc>
        <w:tc>
          <w:tcPr>
            <w:tcW w:w="120" w:type="dxa"/>
            <w:vAlign w:val="bottom"/>
            <w:shd w:val="clear" w:color="auto" w:fill="CCECFF"/>
          </w:tcPr>
          <w:p>
            <w:pPr>
              <w:spacing w:after="0"/>
              <w:rPr>
                <w:sz w:val="18"/>
                <w:szCs w:val="18"/>
                <w:color w:val="auto"/>
              </w:rPr>
            </w:pPr>
          </w:p>
        </w:tc>
        <w:tc>
          <w:tcPr>
            <w:tcW w:w="960" w:type="dxa"/>
            <w:vAlign w:val="bottom"/>
            <w:shd w:val="clear" w:color="auto" w:fill="CCECFF"/>
          </w:tcPr>
          <w:p>
            <w:pPr>
              <w:jc w:val="right"/>
              <w:spacing w:after="0"/>
              <w:rPr>
                <w:sz w:val="20"/>
                <w:szCs w:val="20"/>
                <w:color w:val="auto"/>
              </w:rPr>
            </w:pPr>
            <w:r>
              <w:rPr>
                <w:rFonts w:ascii="Arial" w:cs="Arial" w:eastAsia="Arial" w:hAnsi="Arial"/>
                <w:sz w:val="16"/>
                <w:szCs w:val="16"/>
                <w:b w:val="1"/>
                <w:bCs w:val="1"/>
                <w:color w:val="auto"/>
              </w:rPr>
              <w:t>(81,742,726)</w:t>
            </w:r>
          </w:p>
        </w:tc>
        <w:tc>
          <w:tcPr>
            <w:tcW w:w="80" w:type="dxa"/>
            <w:vAlign w:val="bottom"/>
            <w:shd w:val="clear" w:color="auto" w:fill="CCECFF"/>
          </w:tcPr>
          <w:p>
            <w:pPr>
              <w:spacing w:after="0"/>
              <w:rPr>
                <w:sz w:val="18"/>
                <w:szCs w:val="18"/>
                <w:color w:val="auto"/>
              </w:rPr>
            </w:pPr>
          </w:p>
        </w:tc>
        <w:tc>
          <w:tcPr>
            <w:tcW w:w="40" w:type="dxa"/>
            <w:vAlign w:val="bottom"/>
            <w:shd w:val="clear" w:color="auto" w:fill="CCECFF"/>
          </w:tcPr>
          <w:p>
            <w:pPr>
              <w:spacing w:after="0"/>
              <w:rPr>
                <w:sz w:val="18"/>
                <w:szCs w:val="18"/>
                <w:color w:val="auto"/>
              </w:rPr>
            </w:pPr>
          </w:p>
        </w:tc>
        <w:tc>
          <w:tcPr>
            <w:tcW w:w="80" w:type="dxa"/>
            <w:vAlign w:val="bottom"/>
            <w:shd w:val="clear" w:color="auto" w:fill="CCECFF"/>
          </w:tcPr>
          <w:p>
            <w:pPr>
              <w:spacing w:after="0"/>
              <w:rPr>
                <w:sz w:val="18"/>
                <w:szCs w:val="18"/>
                <w:color w:val="auto"/>
              </w:rPr>
            </w:pPr>
          </w:p>
        </w:tc>
        <w:tc>
          <w:tcPr>
            <w:tcW w:w="60" w:type="dxa"/>
            <w:vAlign w:val="bottom"/>
            <w:shd w:val="clear" w:color="auto" w:fill="CCECFF"/>
          </w:tcPr>
          <w:p>
            <w:pPr>
              <w:spacing w:after="0"/>
              <w:rPr>
                <w:sz w:val="18"/>
                <w:szCs w:val="18"/>
                <w:color w:val="auto"/>
              </w:rPr>
            </w:pPr>
          </w:p>
        </w:tc>
        <w:tc>
          <w:tcPr>
            <w:tcW w:w="960" w:type="dxa"/>
            <w:vAlign w:val="bottom"/>
            <w:shd w:val="clear" w:color="auto" w:fill="CCECFF"/>
          </w:tcPr>
          <w:p>
            <w:pPr>
              <w:jc w:val="right"/>
              <w:spacing w:after="0"/>
              <w:rPr>
                <w:sz w:val="20"/>
                <w:szCs w:val="20"/>
                <w:color w:val="auto"/>
              </w:rPr>
            </w:pPr>
            <w:r>
              <w:rPr>
                <w:rFonts w:ascii="Arial" w:cs="Arial" w:eastAsia="Arial" w:hAnsi="Arial"/>
                <w:sz w:val="16"/>
                <w:szCs w:val="16"/>
                <w:b w:val="1"/>
                <w:bCs w:val="1"/>
                <w:color w:val="auto"/>
              </w:rPr>
              <w:t>(95,973,976)</w:t>
            </w:r>
          </w:p>
        </w:tc>
        <w:tc>
          <w:tcPr>
            <w:tcW w:w="100" w:type="dxa"/>
            <w:vAlign w:val="bottom"/>
            <w:shd w:val="clear" w:color="auto" w:fill="CCECFF"/>
          </w:tcPr>
          <w:p>
            <w:pPr>
              <w:spacing w:after="0"/>
              <w:rPr>
                <w:sz w:val="18"/>
                <w:szCs w:val="18"/>
                <w:color w:val="auto"/>
              </w:rPr>
            </w:pPr>
          </w:p>
        </w:tc>
        <w:tc>
          <w:tcPr>
            <w:tcW w:w="20" w:type="dxa"/>
            <w:vAlign w:val="bottom"/>
            <w:shd w:val="clear" w:color="auto" w:fill="CCECFF"/>
          </w:tcPr>
          <w:p>
            <w:pPr>
              <w:spacing w:after="0"/>
              <w:rPr>
                <w:sz w:val="18"/>
                <w:szCs w:val="18"/>
                <w:color w:val="auto"/>
              </w:rPr>
            </w:pPr>
          </w:p>
        </w:tc>
        <w:tc>
          <w:tcPr>
            <w:tcW w:w="120" w:type="dxa"/>
            <w:vAlign w:val="bottom"/>
            <w:shd w:val="clear" w:color="auto" w:fill="CCECFF"/>
          </w:tcPr>
          <w:p>
            <w:pPr>
              <w:spacing w:after="0"/>
              <w:rPr>
                <w:sz w:val="18"/>
                <w:szCs w:val="18"/>
                <w:color w:val="auto"/>
              </w:rPr>
            </w:pPr>
          </w:p>
        </w:tc>
        <w:tc>
          <w:tcPr>
            <w:tcW w:w="960" w:type="dxa"/>
            <w:vAlign w:val="bottom"/>
            <w:shd w:val="clear" w:color="auto" w:fill="CCECFF"/>
          </w:tcPr>
          <w:p>
            <w:pPr>
              <w:jc w:val="right"/>
              <w:spacing w:after="0"/>
              <w:rPr>
                <w:sz w:val="20"/>
                <w:szCs w:val="20"/>
                <w:color w:val="auto"/>
              </w:rPr>
            </w:pPr>
            <w:r>
              <w:rPr>
                <w:rFonts w:ascii="Arial" w:cs="Arial" w:eastAsia="Arial" w:hAnsi="Arial"/>
                <w:sz w:val="16"/>
                <w:szCs w:val="16"/>
                <w:b w:val="1"/>
                <w:bCs w:val="1"/>
                <w:color w:val="auto"/>
              </w:rPr>
              <w:t>(53,276,286)</w:t>
            </w:r>
          </w:p>
        </w:tc>
        <w:tc>
          <w:tcPr>
            <w:tcW w:w="120" w:type="dxa"/>
            <w:vAlign w:val="bottom"/>
            <w:shd w:val="clear" w:color="auto" w:fill="CCECFF"/>
          </w:tcPr>
          <w:p>
            <w:pPr>
              <w:spacing w:after="0"/>
              <w:rPr>
                <w:sz w:val="18"/>
                <w:szCs w:val="18"/>
                <w:color w:val="auto"/>
              </w:rPr>
            </w:pPr>
          </w:p>
        </w:tc>
        <w:tc>
          <w:tcPr>
            <w:tcW w:w="100" w:type="dxa"/>
            <w:vAlign w:val="bottom"/>
            <w:shd w:val="clear" w:color="auto" w:fill="CCECFF"/>
          </w:tcPr>
          <w:p>
            <w:pPr>
              <w:spacing w:after="0"/>
              <w:rPr>
                <w:sz w:val="18"/>
                <w:szCs w:val="18"/>
                <w:color w:val="auto"/>
              </w:rPr>
            </w:pPr>
          </w:p>
        </w:tc>
        <w:tc>
          <w:tcPr>
            <w:tcW w:w="940" w:type="dxa"/>
            <w:vAlign w:val="bottom"/>
            <w:shd w:val="clear" w:color="auto" w:fill="CCECFF"/>
          </w:tcPr>
          <w:p>
            <w:pPr>
              <w:jc w:val="right"/>
              <w:spacing w:after="0"/>
              <w:rPr>
                <w:sz w:val="20"/>
                <w:szCs w:val="20"/>
                <w:color w:val="auto"/>
              </w:rPr>
            </w:pPr>
            <w:r>
              <w:rPr>
                <w:rFonts w:ascii="Arial" w:cs="Arial" w:eastAsia="Arial" w:hAnsi="Arial"/>
                <w:sz w:val="16"/>
                <w:szCs w:val="16"/>
                <w:b w:val="1"/>
                <w:bCs w:val="1"/>
                <w:color w:val="auto"/>
              </w:rPr>
              <w:t>(24,589,276)</w:t>
            </w:r>
          </w:p>
        </w:tc>
        <w:tc>
          <w:tcPr>
            <w:tcW w:w="60" w:type="dxa"/>
            <w:vAlign w:val="bottom"/>
            <w:shd w:val="clear" w:color="auto" w:fill="CCECFF"/>
          </w:tcPr>
          <w:p>
            <w:pPr>
              <w:spacing w:after="0"/>
              <w:rPr>
                <w:sz w:val="18"/>
                <w:szCs w:val="18"/>
                <w:color w:val="auto"/>
              </w:rPr>
            </w:pPr>
          </w:p>
        </w:tc>
      </w:tr>
      <w:tr>
        <w:trPr>
          <w:trHeight w:val="213"/>
        </w:trPr>
        <w:tc>
          <w:tcPr>
            <w:tcW w:w="20" w:type="dxa"/>
            <w:vAlign w:val="bottom"/>
          </w:tcPr>
          <w:p>
            <w:pPr>
              <w:spacing w:after="0"/>
              <w:rPr>
                <w:sz w:val="18"/>
                <w:szCs w:val="18"/>
                <w:color w:val="auto"/>
              </w:rPr>
            </w:pPr>
          </w:p>
        </w:tc>
        <w:tc>
          <w:tcPr>
            <w:tcW w:w="5440" w:type="dxa"/>
            <w:vAlign w:val="bottom"/>
            <w:gridSpan w:val="3"/>
          </w:tcPr>
          <w:p>
            <w:pPr>
              <w:spacing w:after="0"/>
              <w:rPr>
                <w:sz w:val="20"/>
                <w:szCs w:val="20"/>
                <w:color w:val="auto"/>
              </w:rPr>
            </w:pPr>
            <w:r>
              <w:rPr>
                <w:rFonts w:ascii="Arial" w:cs="Arial" w:eastAsia="Arial" w:hAnsi="Arial"/>
                <w:sz w:val="16"/>
                <w:szCs w:val="16"/>
                <w:b w:val="1"/>
                <w:bCs w:val="1"/>
                <w:color w:val="auto"/>
              </w:rPr>
              <w:t>LOSS FROM CONTINUING OPERATIONS</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right"/>
              <w:ind w:right="40"/>
              <w:spacing w:after="0"/>
              <w:rPr>
                <w:sz w:val="20"/>
                <w:szCs w:val="20"/>
                <w:color w:val="auto"/>
              </w:rPr>
            </w:pPr>
            <w:r>
              <w:rPr>
                <w:rFonts w:ascii="Arial" w:cs="Arial" w:eastAsia="Arial" w:hAnsi="Arial"/>
                <w:sz w:val="16"/>
                <w:szCs w:val="16"/>
                <w:b w:val="1"/>
                <w:bCs w:val="1"/>
                <w:color w:val="auto"/>
              </w:rPr>
              <w:t>(34,380,295)</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gridSpan w:val="2"/>
          </w:tcPr>
          <w:p>
            <w:pPr>
              <w:jc w:val="right"/>
              <w:ind w:right="40"/>
              <w:spacing w:after="0"/>
              <w:rPr>
                <w:sz w:val="20"/>
                <w:szCs w:val="20"/>
                <w:color w:val="auto"/>
              </w:rPr>
            </w:pPr>
            <w:r>
              <w:rPr>
                <w:rFonts w:ascii="Arial" w:cs="Arial" w:eastAsia="Arial" w:hAnsi="Arial"/>
                <w:sz w:val="16"/>
                <w:szCs w:val="16"/>
                <w:b w:val="1"/>
                <w:bCs w:val="1"/>
                <w:color w:val="auto"/>
              </w:rPr>
              <w:t>(81,723,002)</w:t>
            </w: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20" w:type="dxa"/>
            <w:vAlign w:val="bottom"/>
            <w:gridSpan w:val="3"/>
          </w:tcPr>
          <w:p>
            <w:pPr>
              <w:jc w:val="right"/>
              <w:ind w:right="40"/>
              <w:spacing w:after="0"/>
              <w:rPr>
                <w:sz w:val="20"/>
                <w:szCs w:val="20"/>
                <w:color w:val="auto"/>
              </w:rPr>
            </w:pPr>
            <w:r>
              <w:rPr>
                <w:rFonts w:ascii="Arial" w:cs="Arial" w:eastAsia="Arial" w:hAnsi="Arial"/>
                <w:sz w:val="16"/>
                <w:szCs w:val="16"/>
                <w:b w:val="1"/>
                <w:bCs w:val="1"/>
                <w:color w:val="auto"/>
              </w:rPr>
              <w:t>(91,940,882)</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gridSpan w:val="2"/>
          </w:tcPr>
          <w:p>
            <w:pPr>
              <w:jc w:val="right"/>
              <w:ind w:right="80"/>
              <w:spacing w:after="0"/>
              <w:rPr>
                <w:sz w:val="20"/>
                <w:szCs w:val="20"/>
                <w:color w:val="auto"/>
              </w:rPr>
            </w:pPr>
            <w:r>
              <w:rPr>
                <w:rFonts w:ascii="Arial" w:cs="Arial" w:eastAsia="Arial" w:hAnsi="Arial"/>
                <w:sz w:val="16"/>
                <w:szCs w:val="16"/>
                <w:b w:val="1"/>
                <w:bCs w:val="1"/>
                <w:color w:val="auto"/>
              </w:rPr>
              <w:t>(58,725,412)</w:t>
            </w:r>
          </w:p>
        </w:tc>
        <w:tc>
          <w:tcPr>
            <w:tcW w:w="100" w:type="dxa"/>
            <w:vAlign w:val="bottom"/>
          </w:tcPr>
          <w:p>
            <w:pPr>
              <w:spacing w:after="0"/>
              <w:rPr>
                <w:sz w:val="18"/>
                <w:szCs w:val="18"/>
                <w:color w:val="auto"/>
              </w:rPr>
            </w:pPr>
          </w:p>
        </w:tc>
        <w:tc>
          <w:tcPr>
            <w:tcW w:w="1000" w:type="dxa"/>
            <w:vAlign w:val="bottom"/>
            <w:gridSpan w:val="2"/>
          </w:tcPr>
          <w:p>
            <w:pPr>
              <w:jc w:val="right"/>
              <w:ind w:right="20"/>
              <w:spacing w:after="0"/>
              <w:rPr>
                <w:sz w:val="20"/>
                <w:szCs w:val="20"/>
                <w:color w:val="auto"/>
              </w:rPr>
            </w:pPr>
            <w:r>
              <w:rPr>
                <w:rFonts w:ascii="Arial" w:cs="Arial" w:eastAsia="Arial" w:hAnsi="Arial"/>
                <w:sz w:val="16"/>
                <w:szCs w:val="16"/>
                <w:b w:val="1"/>
                <w:bCs w:val="1"/>
                <w:color w:val="auto"/>
              </w:rPr>
              <w:t>(31,703,079)</w:t>
            </w:r>
          </w:p>
        </w:tc>
      </w:tr>
      <w:tr>
        <w:trPr>
          <w:trHeight w:val="213"/>
        </w:trPr>
        <w:tc>
          <w:tcPr>
            <w:tcW w:w="20" w:type="dxa"/>
            <w:vAlign w:val="bottom"/>
          </w:tcPr>
          <w:p>
            <w:pPr>
              <w:spacing w:after="0"/>
              <w:rPr>
                <w:sz w:val="18"/>
                <w:szCs w:val="18"/>
                <w:color w:val="auto"/>
              </w:rPr>
            </w:pPr>
          </w:p>
        </w:tc>
        <w:tc>
          <w:tcPr>
            <w:tcW w:w="5440" w:type="dxa"/>
            <w:vAlign w:val="bottom"/>
            <w:gridSpan w:val="3"/>
            <w:shd w:val="clear" w:color="auto" w:fill="CCECFF"/>
          </w:tcPr>
          <w:p>
            <w:pPr>
              <w:ind w:left="240"/>
              <w:spacing w:after="0"/>
              <w:rPr>
                <w:sz w:val="20"/>
                <w:szCs w:val="20"/>
                <w:color w:val="auto"/>
              </w:rPr>
            </w:pPr>
            <w:r>
              <w:rPr>
                <w:rFonts w:ascii="Arial" w:cs="Arial" w:eastAsia="Arial" w:hAnsi="Arial"/>
                <w:sz w:val="16"/>
                <w:szCs w:val="16"/>
                <w:color w:val="auto"/>
              </w:rPr>
              <w:t>Income (loss) from discontinued operations</w:t>
            </w:r>
          </w:p>
        </w:tc>
        <w:tc>
          <w:tcPr>
            <w:tcW w:w="60" w:type="dxa"/>
            <w:vAlign w:val="bottom"/>
            <w:shd w:val="clear" w:color="auto" w:fill="CCECFF"/>
          </w:tcPr>
          <w:p>
            <w:pPr>
              <w:spacing w:after="0"/>
              <w:rPr>
                <w:sz w:val="18"/>
                <w:szCs w:val="18"/>
                <w:color w:val="auto"/>
              </w:rPr>
            </w:pPr>
          </w:p>
        </w:tc>
        <w:tc>
          <w:tcPr>
            <w:tcW w:w="100" w:type="dxa"/>
            <w:vAlign w:val="bottom"/>
            <w:shd w:val="clear" w:color="auto" w:fill="CCECFF"/>
          </w:tcPr>
          <w:p>
            <w:pPr>
              <w:spacing w:after="0"/>
              <w:rPr>
                <w:sz w:val="18"/>
                <w:szCs w:val="18"/>
                <w:color w:val="auto"/>
              </w:rPr>
            </w:pPr>
          </w:p>
        </w:tc>
        <w:tc>
          <w:tcPr>
            <w:tcW w:w="960" w:type="dxa"/>
            <w:vAlign w:val="bottom"/>
            <w:shd w:val="clear" w:color="auto" w:fill="CCECFF"/>
          </w:tcPr>
          <w:p>
            <w:pPr>
              <w:jc w:val="right"/>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CFF"/>
          </w:tcPr>
          <w:p>
            <w:pPr>
              <w:spacing w:after="0"/>
              <w:rPr>
                <w:sz w:val="18"/>
                <w:szCs w:val="18"/>
                <w:color w:val="auto"/>
              </w:rPr>
            </w:pPr>
          </w:p>
        </w:tc>
        <w:tc>
          <w:tcPr>
            <w:tcW w:w="20" w:type="dxa"/>
            <w:vAlign w:val="bottom"/>
            <w:shd w:val="clear" w:color="auto" w:fill="CCECFF"/>
          </w:tcPr>
          <w:p>
            <w:pPr>
              <w:spacing w:after="0"/>
              <w:rPr>
                <w:sz w:val="18"/>
                <w:szCs w:val="18"/>
                <w:color w:val="auto"/>
              </w:rPr>
            </w:pPr>
          </w:p>
        </w:tc>
        <w:tc>
          <w:tcPr>
            <w:tcW w:w="120" w:type="dxa"/>
            <w:vAlign w:val="bottom"/>
            <w:shd w:val="clear" w:color="auto" w:fill="CCECFF"/>
          </w:tcPr>
          <w:p>
            <w:pPr>
              <w:spacing w:after="0"/>
              <w:rPr>
                <w:sz w:val="18"/>
                <w:szCs w:val="18"/>
                <w:color w:val="auto"/>
              </w:rPr>
            </w:pPr>
          </w:p>
        </w:tc>
        <w:tc>
          <w:tcPr>
            <w:tcW w:w="960" w:type="dxa"/>
            <w:vAlign w:val="bottom"/>
            <w:shd w:val="clear" w:color="auto" w:fill="CCECFF"/>
          </w:tcPr>
          <w:p>
            <w:pPr>
              <w:jc w:val="right"/>
              <w:spacing w:after="0"/>
              <w:rPr>
                <w:sz w:val="20"/>
                <w:szCs w:val="20"/>
                <w:color w:val="auto"/>
              </w:rPr>
            </w:pPr>
            <w:r>
              <w:rPr>
                <w:rFonts w:ascii="Arial" w:cs="Arial" w:eastAsia="Arial" w:hAnsi="Arial"/>
                <w:sz w:val="16"/>
                <w:szCs w:val="16"/>
                <w:color w:val="auto"/>
              </w:rPr>
              <w:t>-</w:t>
            </w:r>
          </w:p>
        </w:tc>
        <w:tc>
          <w:tcPr>
            <w:tcW w:w="80" w:type="dxa"/>
            <w:vAlign w:val="bottom"/>
            <w:shd w:val="clear" w:color="auto" w:fill="CCECFF"/>
          </w:tcPr>
          <w:p>
            <w:pPr>
              <w:spacing w:after="0"/>
              <w:rPr>
                <w:sz w:val="18"/>
                <w:szCs w:val="18"/>
                <w:color w:val="auto"/>
              </w:rPr>
            </w:pPr>
          </w:p>
        </w:tc>
        <w:tc>
          <w:tcPr>
            <w:tcW w:w="40" w:type="dxa"/>
            <w:vAlign w:val="bottom"/>
            <w:shd w:val="clear" w:color="auto" w:fill="CCECFF"/>
          </w:tcPr>
          <w:p>
            <w:pPr>
              <w:spacing w:after="0"/>
              <w:rPr>
                <w:sz w:val="18"/>
                <w:szCs w:val="18"/>
                <w:color w:val="auto"/>
              </w:rPr>
            </w:pPr>
          </w:p>
        </w:tc>
        <w:tc>
          <w:tcPr>
            <w:tcW w:w="80" w:type="dxa"/>
            <w:vAlign w:val="bottom"/>
            <w:shd w:val="clear" w:color="auto" w:fill="CCECFF"/>
          </w:tcPr>
          <w:p>
            <w:pPr>
              <w:spacing w:after="0"/>
              <w:rPr>
                <w:sz w:val="18"/>
                <w:szCs w:val="18"/>
                <w:color w:val="auto"/>
              </w:rPr>
            </w:pPr>
          </w:p>
        </w:tc>
        <w:tc>
          <w:tcPr>
            <w:tcW w:w="1020" w:type="dxa"/>
            <w:vAlign w:val="bottom"/>
            <w:gridSpan w:val="2"/>
            <w:shd w:val="clear" w:color="auto" w:fill="CCECFF"/>
          </w:tcPr>
          <w:p>
            <w:pPr>
              <w:jc w:val="right"/>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CFF"/>
          </w:tcPr>
          <w:p>
            <w:pPr>
              <w:spacing w:after="0"/>
              <w:rPr>
                <w:sz w:val="18"/>
                <w:szCs w:val="18"/>
                <w:color w:val="auto"/>
              </w:rPr>
            </w:pPr>
          </w:p>
        </w:tc>
        <w:tc>
          <w:tcPr>
            <w:tcW w:w="20" w:type="dxa"/>
            <w:vAlign w:val="bottom"/>
            <w:shd w:val="clear" w:color="auto" w:fill="CCECFF"/>
          </w:tcPr>
          <w:p>
            <w:pPr>
              <w:spacing w:after="0"/>
              <w:rPr>
                <w:sz w:val="18"/>
                <w:szCs w:val="18"/>
                <w:color w:val="auto"/>
              </w:rPr>
            </w:pPr>
          </w:p>
        </w:tc>
        <w:tc>
          <w:tcPr>
            <w:tcW w:w="120" w:type="dxa"/>
            <w:vAlign w:val="bottom"/>
            <w:shd w:val="clear" w:color="auto" w:fill="CCECFF"/>
          </w:tcPr>
          <w:p>
            <w:pPr>
              <w:spacing w:after="0"/>
              <w:rPr>
                <w:sz w:val="18"/>
                <w:szCs w:val="18"/>
                <w:color w:val="auto"/>
              </w:rPr>
            </w:pPr>
          </w:p>
        </w:tc>
        <w:tc>
          <w:tcPr>
            <w:tcW w:w="960" w:type="dxa"/>
            <w:vAlign w:val="bottom"/>
            <w:shd w:val="clear" w:color="auto" w:fill="CCECFF"/>
          </w:tcPr>
          <w:p>
            <w:pPr>
              <w:jc w:val="right"/>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CFF"/>
          </w:tcPr>
          <w:p>
            <w:pPr>
              <w:spacing w:after="0"/>
              <w:rPr>
                <w:sz w:val="18"/>
                <w:szCs w:val="18"/>
                <w:color w:val="auto"/>
              </w:rPr>
            </w:pPr>
          </w:p>
        </w:tc>
        <w:tc>
          <w:tcPr>
            <w:tcW w:w="100" w:type="dxa"/>
            <w:vAlign w:val="bottom"/>
            <w:shd w:val="clear" w:color="auto" w:fill="CCECFF"/>
          </w:tcPr>
          <w:p>
            <w:pPr>
              <w:spacing w:after="0"/>
              <w:rPr>
                <w:sz w:val="18"/>
                <w:szCs w:val="18"/>
                <w:color w:val="auto"/>
              </w:rPr>
            </w:pPr>
          </w:p>
        </w:tc>
        <w:tc>
          <w:tcPr>
            <w:tcW w:w="1000" w:type="dxa"/>
            <w:vAlign w:val="bottom"/>
            <w:gridSpan w:val="2"/>
            <w:shd w:val="clear" w:color="auto" w:fill="CCECFF"/>
          </w:tcPr>
          <w:p>
            <w:pPr>
              <w:jc w:val="right"/>
              <w:ind w:right="20"/>
              <w:spacing w:after="0"/>
              <w:rPr>
                <w:sz w:val="20"/>
                <w:szCs w:val="20"/>
                <w:color w:val="auto"/>
              </w:rPr>
            </w:pPr>
            <w:r>
              <w:rPr>
                <w:rFonts w:ascii="Arial" w:cs="Arial" w:eastAsia="Arial" w:hAnsi="Arial"/>
                <w:sz w:val="16"/>
                <w:szCs w:val="16"/>
                <w:color w:val="auto"/>
              </w:rPr>
              <w:t>(354)</w:t>
            </w:r>
          </w:p>
        </w:tc>
      </w:tr>
      <w:tr>
        <w:trPr>
          <w:trHeight w:val="216"/>
        </w:trPr>
        <w:tc>
          <w:tcPr>
            <w:tcW w:w="20" w:type="dxa"/>
            <w:vAlign w:val="bottom"/>
          </w:tcPr>
          <w:p>
            <w:pPr>
              <w:spacing w:after="0"/>
              <w:rPr>
                <w:sz w:val="18"/>
                <w:szCs w:val="18"/>
                <w:color w:val="auto"/>
              </w:rPr>
            </w:pPr>
          </w:p>
        </w:tc>
        <w:tc>
          <w:tcPr>
            <w:tcW w:w="5440" w:type="dxa"/>
            <w:vAlign w:val="bottom"/>
            <w:tcBorders>
              <w:top w:val="single" w:sz="8" w:color="CCECFF"/>
            </w:tcBorders>
            <w:gridSpan w:val="3"/>
            <w:shd w:val="clear" w:color="auto" w:fill="CCECFF"/>
          </w:tcPr>
          <w:p>
            <w:pPr>
              <w:spacing w:after="0"/>
              <w:rPr>
                <w:sz w:val="20"/>
                <w:szCs w:val="20"/>
                <w:color w:val="auto"/>
              </w:rPr>
            </w:pPr>
            <w:r>
              <w:rPr>
                <w:rFonts w:ascii="Arial" w:cs="Arial" w:eastAsia="Arial" w:hAnsi="Arial"/>
                <w:sz w:val="16"/>
                <w:szCs w:val="16"/>
                <w:b w:val="1"/>
                <w:bCs w:val="1"/>
                <w:color w:val="auto"/>
              </w:rPr>
              <w:t>NET LOSS</w:t>
            </w:r>
          </w:p>
        </w:tc>
        <w:tc>
          <w:tcPr>
            <w:tcW w:w="60" w:type="dxa"/>
            <w:vAlign w:val="bottom"/>
            <w:tcBorders>
              <w:top w:val="single" w:sz="8" w:color="CCECFF"/>
            </w:tcBorders>
            <w:shd w:val="clear" w:color="auto" w:fill="CCECFF"/>
          </w:tcPr>
          <w:p>
            <w:pPr>
              <w:spacing w:after="0"/>
              <w:rPr>
                <w:sz w:val="18"/>
                <w:szCs w:val="18"/>
                <w:color w:val="auto"/>
              </w:rPr>
            </w:pPr>
          </w:p>
        </w:tc>
        <w:tc>
          <w:tcPr>
            <w:tcW w:w="100" w:type="dxa"/>
            <w:vAlign w:val="bottom"/>
            <w:tcBorders>
              <w:top w:val="single" w:sz="8" w:color="CCECFF"/>
            </w:tcBorders>
            <w:shd w:val="clear" w:color="auto" w:fill="CCECFF"/>
          </w:tcPr>
          <w:p>
            <w:pPr>
              <w:spacing w:after="0"/>
              <w:rPr>
                <w:sz w:val="18"/>
                <w:szCs w:val="18"/>
                <w:color w:val="auto"/>
              </w:rPr>
            </w:pPr>
          </w:p>
        </w:tc>
        <w:tc>
          <w:tcPr>
            <w:tcW w:w="960" w:type="dxa"/>
            <w:vAlign w:val="bottom"/>
            <w:tcBorders>
              <w:top w:val="single" w:sz="8" w:color="auto"/>
            </w:tcBorders>
            <w:shd w:val="clear" w:color="auto" w:fill="CCECFF"/>
          </w:tcPr>
          <w:p>
            <w:pPr>
              <w:jc w:val="right"/>
              <w:spacing w:after="0"/>
              <w:rPr>
                <w:sz w:val="20"/>
                <w:szCs w:val="20"/>
                <w:color w:val="auto"/>
              </w:rPr>
            </w:pPr>
            <w:r>
              <w:rPr>
                <w:rFonts w:ascii="Arial" w:cs="Arial" w:eastAsia="Arial" w:hAnsi="Arial"/>
                <w:sz w:val="16"/>
                <w:szCs w:val="16"/>
                <w:b w:val="1"/>
                <w:bCs w:val="1"/>
                <w:color w:val="auto"/>
                <w:shd w:val="clear" w:color="auto" w:fill="CCECFF"/>
              </w:rPr>
              <w:t>(34,380,295)</w:t>
            </w:r>
          </w:p>
        </w:tc>
        <w:tc>
          <w:tcPr>
            <w:tcW w:w="100" w:type="dxa"/>
            <w:vAlign w:val="bottom"/>
            <w:tcBorders>
              <w:top w:val="single" w:sz="8" w:color="CCECFF"/>
            </w:tcBorders>
            <w:shd w:val="clear" w:color="auto" w:fill="CCECFF"/>
          </w:tcPr>
          <w:p>
            <w:pPr>
              <w:spacing w:after="0"/>
              <w:rPr>
                <w:sz w:val="18"/>
                <w:szCs w:val="18"/>
                <w:color w:val="auto"/>
              </w:rPr>
            </w:pPr>
          </w:p>
        </w:tc>
        <w:tc>
          <w:tcPr>
            <w:tcW w:w="20" w:type="dxa"/>
            <w:vAlign w:val="bottom"/>
            <w:tcBorders>
              <w:top w:val="single" w:sz="8" w:color="CCECFF"/>
            </w:tcBorders>
            <w:shd w:val="clear" w:color="auto" w:fill="CCECFF"/>
          </w:tcPr>
          <w:p>
            <w:pPr>
              <w:spacing w:after="0"/>
              <w:rPr>
                <w:sz w:val="18"/>
                <w:szCs w:val="18"/>
                <w:color w:val="auto"/>
              </w:rPr>
            </w:pPr>
          </w:p>
        </w:tc>
        <w:tc>
          <w:tcPr>
            <w:tcW w:w="120" w:type="dxa"/>
            <w:vAlign w:val="bottom"/>
            <w:tcBorders>
              <w:top w:val="single" w:sz="8" w:color="CCECFF"/>
            </w:tcBorders>
            <w:shd w:val="clear" w:color="auto" w:fill="CCECFF"/>
          </w:tcPr>
          <w:p>
            <w:pPr>
              <w:spacing w:after="0"/>
              <w:rPr>
                <w:sz w:val="18"/>
                <w:szCs w:val="18"/>
                <w:color w:val="auto"/>
              </w:rPr>
            </w:pPr>
          </w:p>
        </w:tc>
        <w:tc>
          <w:tcPr>
            <w:tcW w:w="960" w:type="dxa"/>
            <w:vAlign w:val="bottom"/>
            <w:tcBorders>
              <w:top w:val="single" w:sz="8" w:color="auto"/>
            </w:tcBorders>
            <w:shd w:val="clear" w:color="auto" w:fill="CCECFF"/>
          </w:tcPr>
          <w:p>
            <w:pPr>
              <w:jc w:val="right"/>
              <w:spacing w:after="0"/>
              <w:rPr>
                <w:sz w:val="20"/>
                <w:szCs w:val="20"/>
                <w:color w:val="auto"/>
              </w:rPr>
            </w:pPr>
            <w:r>
              <w:rPr>
                <w:rFonts w:ascii="Arial" w:cs="Arial" w:eastAsia="Arial" w:hAnsi="Arial"/>
                <w:sz w:val="16"/>
                <w:szCs w:val="16"/>
                <w:b w:val="1"/>
                <w:bCs w:val="1"/>
                <w:color w:val="auto"/>
                <w:shd w:val="clear" w:color="auto" w:fill="CCECFF"/>
              </w:rPr>
              <w:t>(81,723,002)</w:t>
            </w:r>
          </w:p>
        </w:tc>
        <w:tc>
          <w:tcPr>
            <w:tcW w:w="80" w:type="dxa"/>
            <w:vAlign w:val="bottom"/>
            <w:tcBorders>
              <w:top w:val="single" w:sz="8" w:color="CCECFF"/>
            </w:tcBorders>
            <w:shd w:val="clear" w:color="auto" w:fill="CCECFF"/>
          </w:tcPr>
          <w:p>
            <w:pPr>
              <w:spacing w:after="0"/>
              <w:rPr>
                <w:sz w:val="18"/>
                <w:szCs w:val="18"/>
                <w:color w:val="auto"/>
              </w:rPr>
            </w:pPr>
          </w:p>
        </w:tc>
        <w:tc>
          <w:tcPr>
            <w:tcW w:w="40" w:type="dxa"/>
            <w:vAlign w:val="bottom"/>
            <w:tcBorders>
              <w:top w:val="single" w:sz="8" w:color="CCECFF"/>
            </w:tcBorders>
            <w:shd w:val="clear" w:color="auto" w:fill="CCECFF"/>
          </w:tcPr>
          <w:p>
            <w:pPr>
              <w:spacing w:after="0"/>
              <w:rPr>
                <w:sz w:val="18"/>
                <w:szCs w:val="18"/>
                <w:color w:val="auto"/>
              </w:rPr>
            </w:pPr>
          </w:p>
        </w:tc>
        <w:tc>
          <w:tcPr>
            <w:tcW w:w="80" w:type="dxa"/>
            <w:vAlign w:val="bottom"/>
            <w:tcBorders>
              <w:top w:val="single" w:sz="8" w:color="CCECFF"/>
            </w:tcBorders>
            <w:shd w:val="clear" w:color="auto" w:fill="CCECFF"/>
          </w:tcPr>
          <w:p>
            <w:pPr>
              <w:spacing w:after="0"/>
              <w:rPr>
                <w:sz w:val="18"/>
                <w:szCs w:val="18"/>
                <w:color w:val="auto"/>
              </w:rPr>
            </w:pPr>
          </w:p>
        </w:tc>
        <w:tc>
          <w:tcPr>
            <w:tcW w:w="60" w:type="dxa"/>
            <w:vAlign w:val="bottom"/>
            <w:tcBorders>
              <w:top w:val="single" w:sz="8" w:color="CCECFF"/>
            </w:tcBorders>
            <w:shd w:val="clear" w:color="auto" w:fill="CCECFF"/>
          </w:tcPr>
          <w:p>
            <w:pPr>
              <w:spacing w:after="0"/>
              <w:rPr>
                <w:sz w:val="18"/>
                <w:szCs w:val="18"/>
                <w:color w:val="auto"/>
              </w:rPr>
            </w:pPr>
          </w:p>
        </w:tc>
        <w:tc>
          <w:tcPr>
            <w:tcW w:w="960" w:type="dxa"/>
            <w:vAlign w:val="bottom"/>
            <w:tcBorders>
              <w:top w:val="single" w:sz="8" w:color="auto"/>
            </w:tcBorders>
            <w:shd w:val="clear" w:color="auto" w:fill="CCECFF"/>
          </w:tcPr>
          <w:p>
            <w:pPr>
              <w:jc w:val="right"/>
              <w:spacing w:after="0"/>
              <w:rPr>
                <w:sz w:val="20"/>
                <w:szCs w:val="20"/>
                <w:color w:val="auto"/>
              </w:rPr>
            </w:pPr>
            <w:r>
              <w:rPr>
                <w:rFonts w:ascii="Arial" w:cs="Arial" w:eastAsia="Arial" w:hAnsi="Arial"/>
                <w:sz w:val="16"/>
                <w:szCs w:val="16"/>
                <w:b w:val="1"/>
                <w:bCs w:val="1"/>
                <w:color w:val="auto"/>
                <w:shd w:val="clear" w:color="auto" w:fill="CCECFF"/>
              </w:rPr>
              <w:t>(91,940,882)</w:t>
            </w:r>
          </w:p>
        </w:tc>
        <w:tc>
          <w:tcPr>
            <w:tcW w:w="100" w:type="dxa"/>
            <w:vAlign w:val="bottom"/>
            <w:tcBorders>
              <w:top w:val="single" w:sz="8" w:color="CCECFF"/>
            </w:tcBorders>
            <w:shd w:val="clear" w:color="auto" w:fill="CCECFF"/>
          </w:tcPr>
          <w:p>
            <w:pPr>
              <w:spacing w:after="0"/>
              <w:rPr>
                <w:sz w:val="18"/>
                <w:szCs w:val="18"/>
                <w:color w:val="auto"/>
              </w:rPr>
            </w:pPr>
          </w:p>
        </w:tc>
        <w:tc>
          <w:tcPr>
            <w:tcW w:w="20" w:type="dxa"/>
            <w:vAlign w:val="bottom"/>
            <w:tcBorders>
              <w:top w:val="single" w:sz="8" w:color="CCECFF"/>
            </w:tcBorders>
            <w:shd w:val="clear" w:color="auto" w:fill="CCECFF"/>
          </w:tcPr>
          <w:p>
            <w:pPr>
              <w:spacing w:after="0"/>
              <w:rPr>
                <w:sz w:val="18"/>
                <w:szCs w:val="18"/>
                <w:color w:val="auto"/>
              </w:rPr>
            </w:pPr>
          </w:p>
        </w:tc>
        <w:tc>
          <w:tcPr>
            <w:tcW w:w="120" w:type="dxa"/>
            <w:vAlign w:val="bottom"/>
            <w:tcBorders>
              <w:top w:val="single" w:sz="8" w:color="CCECFF"/>
            </w:tcBorders>
            <w:shd w:val="clear" w:color="auto" w:fill="CCECFF"/>
          </w:tcPr>
          <w:p>
            <w:pPr>
              <w:spacing w:after="0"/>
              <w:rPr>
                <w:sz w:val="18"/>
                <w:szCs w:val="18"/>
                <w:color w:val="auto"/>
              </w:rPr>
            </w:pPr>
          </w:p>
        </w:tc>
        <w:tc>
          <w:tcPr>
            <w:tcW w:w="960" w:type="dxa"/>
            <w:vAlign w:val="bottom"/>
            <w:tcBorders>
              <w:top w:val="single" w:sz="8" w:color="auto"/>
            </w:tcBorders>
            <w:shd w:val="clear" w:color="auto" w:fill="CCECFF"/>
          </w:tcPr>
          <w:p>
            <w:pPr>
              <w:jc w:val="right"/>
              <w:spacing w:after="0"/>
              <w:rPr>
                <w:sz w:val="20"/>
                <w:szCs w:val="20"/>
                <w:color w:val="auto"/>
              </w:rPr>
            </w:pPr>
            <w:r>
              <w:rPr>
                <w:rFonts w:ascii="Arial" w:cs="Arial" w:eastAsia="Arial" w:hAnsi="Arial"/>
                <w:sz w:val="16"/>
                <w:szCs w:val="16"/>
                <w:b w:val="1"/>
                <w:bCs w:val="1"/>
                <w:color w:val="auto"/>
                <w:shd w:val="clear" w:color="auto" w:fill="CCECFF"/>
              </w:rPr>
              <w:t>(58,725,412)</w:t>
            </w:r>
          </w:p>
        </w:tc>
        <w:tc>
          <w:tcPr>
            <w:tcW w:w="120" w:type="dxa"/>
            <w:vAlign w:val="bottom"/>
            <w:tcBorders>
              <w:top w:val="single" w:sz="8" w:color="CCECFF"/>
            </w:tcBorders>
            <w:shd w:val="clear" w:color="auto" w:fill="CCECFF"/>
          </w:tcPr>
          <w:p>
            <w:pPr>
              <w:spacing w:after="0"/>
              <w:rPr>
                <w:sz w:val="18"/>
                <w:szCs w:val="18"/>
                <w:color w:val="auto"/>
              </w:rPr>
            </w:pPr>
          </w:p>
        </w:tc>
        <w:tc>
          <w:tcPr>
            <w:tcW w:w="100" w:type="dxa"/>
            <w:vAlign w:val="bottom"/>
            <w:tcBorders>
              <w:top w:val="single" w:sz="8" w:color="CCECFF"/>
            </w:tcBorders>
            <w:shd w:val="clear" w:color="auto" w:fill="CCECFF"/>
          </w:tcPr>
          <w:p>
            <w:pPr>
              <w:spacing w:after="0"/>
              <w:rPr>
                <w:sz w:val="18"/>
                <w:szCs w:val="18"/>
                <w:color w:val="auto"/>
              </w:rPr>
            </w:pPr>
          </w:p>
        </w:tc>
        <w:tc>
          <w:tcPr>
            <w:tcW w:w="940" w:type="dxa"/>
            <w:vAlign w:val="bottom"/>
            <w:tcBorders>
              <w:top w:val="single" w:sz="8" w:color="auto"/>
            </w:tcBorders>
            <w:shd w:val="clear" w:color="auto" w:fill="CCECFF"/>
          </w:tcPr>
          <w:p>
            <w:pPr>
              <w:jc w:val="right"/>
              <w:spacing w:after="0"/>
              <w:rPr>
                <w:sz w:val="20"/>
                <w:szCs w:val="20"/>
                <w:color w:val="auto"/>
              </w:rPr>
            </w:pPr>
            <w:r>
              <w:rPr>
                <w:rFonts w:ascii="Arial" w:cs="Arial" w:eastAsia="Arial" w:hAnsi="Arial"/>
                <w:sz w:val="16"/>
                <w:szCs w:val="16"/>
                <w:b w:val="1"/>
                <w:bCs w:val="1"/>
                <w:color w:val="auto"/>
                <w:shd w:val="clear" w:color="auto" w:fill="CCECFF"/>
              </w:rPr>
              <w:t>(31,703,433)</w:t>
            </w:r>
          </w:p>
        </w:tc>
        <w:tc>
          <w:tcPr>
            <w:tcW w:w="60" w:type="dxa"/>
            <w:vAlign w:val="bottom"/>
            <w:tcBorders>
              <w:top w:val="single" w:sz="8" w:color="CCECFF"/>
            </w:tcBorders>
            <w:shd w:val="clear" w:color="auto" w:fill="CCECFF"/>
          </w:tcPr>
          <w:p>
            <w:pPr>
              <w:spacing w:after="0"/>
              <w:rPr>
                <w:sz w:val="18"/>
                <w:szCs w:val="18"/>
                <w:color w:val="auto"/>
              </w:rPr>
            </w:pPr>
          </w:p>
        </w:tc>
      </w:tr>
      <w:tr>
        <w:trPr>
          <w:trHeight w:val="213"/>
        </w:trPr>
        <w:tc>
          <w:tcPr>
            <w:tcW w:w="20" w:type="dxa"/>
            <w:vAlign w:val="bottom"/>
          </w:tcPr>
          <w:p>
            <w:pPr>
              <w:spacing w:after="0"/>
              <w:rPr>
                <w:sz w:val="18"/>
                <w:szCs w:val="18"/>
                <w:color w:val="auto"/>
              </w:rPr>
            </w:pPr>
          </w:p>
        </w:tc>
        <w:tc>
          <w:tcPr>
            <w:tcW w:w="5440" w:type="dxa"/>
            <w:vAlign w:val="bottom"/>
            <w:gridSpan w:val="3"/>
          </w:tcPr>
          <w:p>
            <w:pPr>
              <w:ind w:left="240"/>
              <w:spacing w:after="0"/>
              <w:rPr>
                <w:sz w:val="20"/>
                <w:szCs w:val="20"/>
                <w:color w:val="auto"/>
              </w:rPr>
            </w:pPr>
            <w:r>
              <w:rPr>
                <w:rFonts w:ascii="Arial" w:cs="Arial" w:eastAsia="Arial" w:hAnsi="Arial"/>
                <w:sz w:val="16"/>
                <w:szCs w:val="16"/>
                <w:color w:val="auto"/>
              </w:rPr>
              <w:t>Net (gain) loss attributable to non-controlling interests</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95,222</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560,144</w:t>
            </w:r>
          </w:p>
        </w:tc>
        <w:tc>
          <w:tcPr>
            <w:tcW w:w="60" w:type="dxa"/>
            <w:vAlign w:val="bottom"/>
          </w:tcPr>
          <w:p>
            <w:pPr>
              <w:spacing w:after="0"/>
              <w:rPr>
                <w:sz w:val="18"/>
                <w:szCs w:val="18"/>
                <w:color w:val="auto"/>
              </w:rPr>
            </w:pPr>
          </w:p>
        </w:tc>
      </w:tr>
      <w:tr>
        <w:trPr>
          <w:trHeight w:val="213"/>
        </w:trPr>
        <w:tc>
          <w:tcPr>
            <w:tcW w:w="20" w:type="dxa"/>
            <w:vAlign w:val="bottom"/>
          </w:tcPr>
          <w:p>
            <w:pPr>
              <w:spacing w:after="0"/>
              <w:rPr>
                <w:sz w:val="18"/>
                <w:szCs w:val="18"/>
                <w:color w:val="auto"/>
              </w:rPr>
            </w:pPr>
          </w:p>
        </w:tc>
        <w:tc>
          <w:tcPr>
            <w:tcW w:w="5440" w:type="dxa"/>
            <w:vAlign w:val="bottom"/>
            <w:tcBorders>
              <w:top w:val="single" w:sz="8" w:color="CCECFF"/>
            </w:tcBorders>
            <w:gridSpan w:val="3"/>
            <w:shd w:val="clear" w:color="auto" w:fill="CCECFF"/>
          </w:tcPr>
          <w:p>
            <w:pPr>
              <w:spacing w:after="0"/>
              <w:rPr>
                <w:sz w:val="20"/>
                <w:szCs w:val="20"/>
                <w:color w:val="auto"/>
              </w:rPr>
            </w:pPr>
            <w:r>
              <w:rPr>
                <w:rFonts w:ascii="Arial" w:cs="Arial" w:eastAsia="Arial" w:hAnsi="Arial"/>
                <w:sz w:val="16"/>
                <w:szCs w:val="16"/>
                <w:b w:val="1"/>
                <w:bCs w:val="1"/>
                <w:color w:val="auto"/>
              </w:rPr>
              <w:t>NET LOSS ATTRIBUTABLE TO ARROWHEAD</w:t>
            </w:r>
          </w:p>
        </w:tc>
        <w:tc>
          <w:tcPr>
            <w:tcW w:w="160" w:type="dxa"/>
            <w:vAlign w:val="bottom"/>
            <w:tcBorders>
              <w:top w:val="single" w:sz="8" w:color="CCECFF"/>
            </w:tcBorders>
            <w:gridSpan w:val="2"/>
            <w:shd w:val="clear" w:color="auto" w:fill="CCECFF"/>
          </w:tcPr>
          <w:p>
            <w:pPr>
              <w:jc w:val="right"/>
              <w:ind w:right="20"/>
              <w:spacing w:after="0"/>
              <w:rPr>
                <w:sz w:val="20"/>
                <w:szCs w:val="20"/>
                <w:color w:val="auto"/>
              </w:rPr>
            </w:pPr>
            <w:r>
              <w:rPr>
                <w:rFonts w:ascii="Arial" w:cs="Arial" w:eastAsia="Arial" w:hAnsi="Arial"/>
                <w:sz w:val="16"/>
                <w:szCs w:val="16"/>
                <w:b w:val="1"/>
                <w:bCs w:val="1"/>
                <w:color w:val="auto"/>
              </w:rPr>
              <w:t>$</w:t>
            </w:r>
          </w:p>
        </w:tc>
        <w:tc>
          <w:tcPr>
            <w:tcW w:w="960" w:type="dxa"/>
            <w:vAlign w:val="bottom"/>
            <w:tcBorders>
              <w:top w:val="single" w:sz="8" w:color="auto"/>
            </w:tcBorders>
            <w:shd w:val="clear" w:color="auto" w:fill="CCECFF"/>
          </w:tcPr>
          <w:p>
            <w:pPr>
              <w:jc w:val="right"/>
              <w:spacing w:after="0"/>
              <w:rPr>
                <w:sz w:val="20"/>
                <w:szCs w:val="20"/>
                <w:color w:val="auto"/>
              </w:rPr>
            </w:pPr>
            <w:r>
              <w:rPr>
                <w:rFonts w:ascii="Arial" w:cs="Arial" w:eastAsia="Arial" w:hAnsi="Arial"/>
                <w:sz w:val="16"/>
                <w:szCs w:val="16"/>
                <w:b w:val="1"/>
                <w:bCs w:val="1"/>
                <w:color w:val="auto"/>
              </w:rPr>
              <w:t>(34,380,295)</w:t>
            </w:r>
          </w:p>
        </w:tc>
        <w:tc>
          <w:tcPr>
            <w:tcW w:w="100" w:type="dxa"/>
            <w:vAlign w:val="bottom"/>
            <w:tcBorders>
              <w:top w:val="single" w:sz="8" w:color="CCECFF"/>
            </w:tcBorders>
            <w:shd w:val="clear" w:color="auto" w:fill="CCECFF"/>
          </w:tcPr>
          <w:p>
            <w:pPr>
              <w:spacing w:after="0"/>
              <w:rPr>
                <w:sz w:val="18"/>
                <w:szCs w:val="18"/>
                <w:color w:val="auto"/>
              </w:rPr>
            </w:pPr>
          </w:p>
        </w:tc>
        <w:tc>
          <w:tcPr>
            <w:tcW w:w="140" w:type="dxa"/>
            <w:vAlign w:val="bottom"/>
            <w:tcBorders>
              <w:top w:val="single" w:sz="8" w:color="CCECFF"/>
            </w:tcBorders>
            <w:gridSpan w:val="2"/>
            <w:shd w:val="clear" w:color="auto" w:fill="CCECFF"/>
          </w:tcPr>
          <w:p>
            <w:pPr>
              <w:jc w:val="right"/>
              <w:ind w:right="40"/>
              <w:spacing w:after="0"/>
              <w:rPr>
                <w:sz w:val="20"/>
                <w:szCs w:val="20"/>
                <w:color w:val="auto"/>
              </w:rPr>
            </w:pPr>
            <w:r>
              <w:rPr>
                <w:rFonts w:ascii="Arial" w:cs="Arial" w:eastAsia="Arial" w:hAnsi="Arial"/>
                <w:sz w:val="16"/>
                <w:szCs w:val="16"/>
                <w:b w:val="1"/>
                <w:bCs w:val="1"/>
                <w:color w:val="auto"/>
                <w:w w:val="89"/>
              </w:rPr>
              <w:t>$</w:t>
            </w:r>
          </w:p>
        </w:tc>
        <w:tc>
          <w:tcPr>
            <w:tcW w:w="960" w:type="dxa"/>
            <w:vAlign w:val="bottom"/>
            <w:tcBorders>
              <w:top w:val="single" w:sz="8" w:color="auto"/>
            </w:tcBorders>
            <w:shd w:val="clear" w:color="auto" w:fill="CCECFF"/>
          </w:tcPr>
          <w:p>
            <w:pPr>
              <w:jc w:val="right"/>
              <w:spacing w:after="0"/>
              <w:rPr>
                <w:sz w:val="20"/>
                <w:szCs w:val="20"/>
                <w:color w:val="auto"/>
              </w:rPr>
            </w:pPr>
            <w:r>
              <w:rPr>
                <w:rFonts w:ascii="Arial" w:cs="Arial" w:eastAsia="Arial" w:hAnsi="Arial"/>
                <w:sz w:val="16"/>
                <w:szCs w:val="16"/>
                <w:b w:val="1"/>
                <w:bCs w:val="1"/>
                <w:color w:val="auto"/>
              </w:rPr>
              <w:t>(81,723,002)</w:t>
            </w:r>
          </w:p>
        </w:tc>
        <w:tc>
          <w:tcPr>
            <w:tcW w:w="80" w:type="dxa"/>
            <w:vAlign w:val="bottom"/>
            <w:tcBorders>
              <w:top w:val="single" w:sz="8" w:color="CCECFF"/>
            </w:tcBorders>
            <w:shd w:val="clear" w:color="auto" w:fill="CCECFF"/>
          </w:tcPr>
          <w:p>
            <w:pPr>
              <w:spacing w:after="0"/>
              <w:rPr>
                <w:sz w:val="18"/>
                <w:szCs w:val="18"/>
                <w:color w:val="auto"/>
              </w:rPr>
            </w:pPr>
          </w:p>
        </w:tc>
        <w:tc>
          <w:tcPr>
            <w:tcW w:w="120" w:type="dxa"/>
            <w:vAlign w:val="bottom"/>
            <w:tcBorders>
              <w:top w:val="single" w:sz="8" w:color="CCECFF"/>
            </w:tcBorders>
            <w:gridSpan w:val="2"/>
            <w:shd w:val="clear" w:color="auto" w:fill="CCECFF"/>
          </w:tcPr>
          <w:p>
            <w:pPr>
              <w:jc w:val="right"/>
              <w:spacing w:after="0"/>
              <w:rPr>
                <w:sz w:val="20"/>
                <w:szCs w:val="20"/>
                <w:color w:val="auto"/>
              </w:rPr>
            </w:pPr>
            <w:r>
              <w:rPr>
                <w:rFonts w:ascii="Arial" w:cs="Arial" w:eastAsia="Arial" w:hAnsi="Arial"/>
                <w:sz w:val="16"/>
                <w:szCs w:val="16"/>
                <w:b w:val="1"/>
                <w:bCs w:val="1"/>
                <w:color w:val="auto"/>
              </w:rPr>
              <w:t>$</w:t>
            </w:r>
          </w:p>
        </w:tc>
        <w:tc>
          <w:tcPr>
            <w:tcW w:w="60" w:type="dxa"/>
            <w:vAlign w:val="bottom"/>
            <w:tcBorders>
              <w:top w:val="single" w:sz="8" w:color="CCECFF"/>
            </w:tcBorders>
            <w:shd w:val="clear" w:color="auto" w:fill="CCECFF"/>
          </w:tcPr>
          <w:p>
            <w:pPr>
              <w:spacing w:after="0"/>
              <w:rPr>
                <w:sz w:val="18"/>
                <w:szCs w:val="18"/>
                <w:color w:val="auto"/>
              </w:rPr>
            </w:pPr>
          </w:p>
        </w:tc>
        <w:tc>
          <w:tcPr>
            <w:tcW w:w="960" w:type="dxa"/>
            <w:vAlign w:val="bottom"/>
            <w:tcBorders>
              <w:top w:val="single" w:sz="8" w:color="auto"/>
            </w:tcBorders>
            <w:shd w:val="clear" w:color="auto" w:fill="CCECFF"/>
          </w:tcPr>
          <w:p>
            <w:pPr>
              <w:jc w:val="right"/>
              <w:spacing w:after="0"/>
              <w:rPr>
                <w:sz w:val="20"/>
                <w:szCs w:val="20"/>
                <w:color w:val="auto"/>
              </w:rPr>
            </w:pPr>
            <w:r>
              <w:rPr>
                <w:rFonts w:ascii="Arial" w:cs="Arial" w:eastAsia="Arial" w:hAnsi="Arial"/>
                <w:sz w:val="16"/>
                <w:szCs w:val="16"/>
                <w:b w:val="1"/>
                <w:bCs w:val="1"/>
                <w:color w:val="auto"/>
              </w:rPr>
              <w:t>(91,940,882)</w:t>
            </w:r>
          </w:p>
        </w:tc>
        <w:tc>
          <w:tcPr>
            <w:tcW w:w="100" w:type="dxa"/>
            <w:vAlign w:val="bottom"/>
            <w:tcBorders>
              <w:top w:val="single" w:sz="8" w:color="CCECFF"/>
            </w:tcBorders>
            <w:shd w:val="clear" w:color="auto" w:fill="CCECFF"/>
          </w:tcPr>
          <w:p>
            <w:pPr>
              <w:spacing w:after="0"/>
              <w:rPr>
                <w:sz w:val="18"/>
                <w:szCs w:val="18"/>
                <w:color w:val="auto"/>
              </w:rPr>
            </w:pPr>
          </w:p>
        </w:tc>
        <w:tc>
          <w:tcPr>
            <w:tcW w:w="140" w:type="dxa"/>
            <w:vAlign w:val="bottom"/>
            <w:tcBorders>
              <w:top w:val="single" w:sz="8" w:color="CCECFF"/>
            </w:tcBorders>
            <w:gridSpan w:val="2"/>
            <w:shd w:val="clear" w:color="auto" w:fill="CCECFF"/>
          </w:tcPr>
          <w:p>
            <w:pPr>
              <w:jc w:val="right"/>
              <w:ind w:right="40"/>
              <w:spacing w:after="0"/>
              <w:rPr>
                <w:sz w:val="20"/>
                <w:szCs w:val="20"/>
                <w:color w:val="auto"/>
              </w:rPr>
            </w:pPr>
            <w:r>
              <w:rPr>
                <w:rFonts w:ascii="Arial" w:cs="Arial" w:eastAsia="Arial" w:hAnsi="Arial"/>
                <w:sz w:val="16"/>
                <w:szCs w:val="16"/>
                <w:b w:val="1"/>
                <w:bCs w:val="1"/>
                <w:color w:val="auto"/>
                <w:w w:val="89"/>
              </w:rPr>
              <w:t>$</w:t>
            </w:r>
          </w:p>
        </w:tc>
        <w:tc>
          <w:tcPr>
            <w:tcW w:w="960" w:type="dxa"/>
            <w:vAlign w:val="bottom"/>
            <w:tcBorders>
              <w:top w:val="single" w:sz="8" w:color="auto"/>
            </w:tcBorders>
            <w:shd w:val="clear" w:color="auto" w:fill="CCECFF"/>
          </w:tcPr>
          <w:p>
            <w:pPr>
              <w:jc w:val="right"/>
              <w:spacing w:after="0"/>
              <w:rPr>
                <w:sz w:val="20"/>
                <w:szCs w:val="20"/>
                <w:color w:val="auto"/>
              </w:rPr>
            </w:pPr>
            <w:r>
              <w:rPr>
                <w:rFonts w:ascii="Arial" w:cs="Arial" w:eastAsia="Arial" w:hAnsi="Arial"/>
                <w:sz w:val="16"/>
                <w:szCs w:val="16"/>
                <w:b w:val="1"/>
                <w:bCs w:val="1"/>
                <w:color w:val="auto"/>
              </w:rPr>
              <w:t>(58,630,190)</w:t>
            </w:r>
          </w:p>
        </w:tc>
        <w:tc>
          <w:tcPr>
            <w:tcW w:w="120" w:type="dxa"/>
            <w:vAlign w:val="bottom"/>
            <w:tcBorders>
              <w:top w:val="single" w:sz="8" w:color="CCECFF"/>
            </w:tcBorders>
            <w:shd w:val="clear" w:color="auto" w:fill="CCECFF"/>
          </w:tcPr>
          <w:p>
            <w:pPr>
              <w:spacing w:after="0"/>
              <w:rPr>
                <w:sz w:val="18"/>
                <w:szCs w:val="18"/>
                <w:color w:val="auto"/>
              </w:rPr>
            </w:pPr>
          </w:p>
        </w:tc>
        <w:tc>
          <w:tcPr>
            <w:tcW w:w="100" w:type="dxa"/>
            <w:vAlign w:val="bottom"/>
            <w:tcBorders>
              <w:top w:val="single" w:sz="8" w:color="CCECFF"/>
            </w:tcBorders>
            <w:shd w:val="clear" w:color="auto" w:fill="CCECFF"/>
          </w:tcPr>
          <w:p>
            <w:pPr>
              <w:jc w:val="right"/>
              <w:spacing w:after="0"/>
              <w:rPr>
                <w:sz w:val="20"/>
                <w:szCs w:val="20"/>
                <w:color w:val="auto"/>
              </w:rPr>
            </w:pPr>
            <w:r>
              <w:rPr>
                <w:rFonts w:ascii="Arial" w:cs="Arial" w:eastAsia="Arial" w:hAnsi="Arial"/>
                <w:sz w:val="15"/>
                <w:szCs w:val="15"/>
                <w:b w:val="1"/>
                <w:bCs w:val="1"/>
                <w:color w:val="auto"/>
                <w:w w:val="71"/>
              </w:rPr>
              <w:t>$</w:t>
            </w:r>
          </w:p>
        </w:tc>
        <w:tc>
          <w:tcPr>
            <w:tcW w:w="940" w:type="dxa"/>
            <w:vAlign w:val="bottom"/>
            <w:tcBorders>
              <w:top w:val="single" w:sz="8" w:color="auto"/>
            </w:tcBorders>
            <w:shd w:val="clear" w:color="auto" w:fill="CCECFF"/>
          </w:tcPr>
          <w:p>
            <w:pPr>
              <w:jc w:val="right"/>
              <w:spacing w:after="0"/>
              <w:rPr>
                <w:sz w:val="20"/>
                <w:szCs w:val="20"/>
                <w:color w:val="auto"/>
              </w:rPr>
            </w:pPr>
            <w:r>
              <w:rPr>
                <w:rFonts w:ascii="Arial" w:cs="Arial" w:eastAsia="Arial" w:hAnsi="Arial"/>
                <w:sz w:val="16"/>
                <w:szCs w:val="16"/>
                <w:b w:val="1"/>
                <w:bCs w:val="1"/>
                <w:color w:val="auto"/>
              </w:rPr>
              <w:t>(31,143,289)</w:t>
            </w:r>
          </w:p>
        </w:tc>
        <w:tc>
          <w:tcPr>
            <w:tcW w:w="60" w:type="dxa"/>
            <w:vAlign w:val="bottom"/>
            <w:tcBorders>
              <w:top w:val="single" w:sz="8" w:color="CCECFF"/>
            </w:tcBorders>
            <w:shd w:val="clear" w:color="auto" w:fill="CCECFF"/>
          </w:tcPr>
          <w:p>
            <w:pPr>
              <w:spacing w:after="0"/>
              <w:rPr>
                <w:sz w:val="18"/>
                <w:szCs w:val="18"/>
                <w:color w:val="auto"/>
              </w:rPr>
            </w:pPr>
          </w:p>
        </w:tc>
      </w:tr>
      <w:tr>
        <w:trPr>
          <w:trHeight w:val="213"/>
        </w:trPr>
        <w:tc>
          <w:tcPr>
            <w:tcW w:w="20" w:type="dxa"/>
            <w:vAlign w:val="bottom"/>
          </w:tcPr>
          <w:p>
            <w:pPr>
              <w:spacing w:after="0"/>
              <w:rPr>
                <w:sz w:val="18"/>
                <w:szCs w:val="18"/>
                <w:color w:val="auto"/>
              </w:rPr>
            </w:pPr>
          </w:p>
        </w:tc>
        <w:tc>
          <w:tcPr>
            <w:tcW w:w="5440" w:type="dxa"/>
            <w:vAlign w:val="bottom"/>
            <w:tcBorders>
              <w:bottom w:val="single" w:sz="8" w:color="CCECFF"/>
            </w:tcBorders>
            <w:gridSpan w:val="3"/>
          </w:tcPr>
          <w:p>
            <w:pPr>
              <w:spacing w:after="0"/>
              <w:rPr>
                <w:sz w:val="20"/>
                <w:szCs w:val="20"/>
                <w:color w:val="auto"/>
              </w:rPr>
            </w:pPr>
            <w:r>
              <w:rPr>
                <w:rFonts w:ascii="Arial" w:cs="Arial" w:eastAsia="Arial" w:hAnsi="Arial"/>
                <w:sz w:val="16"/>
                <w:szCs w:val="16"/>
                <w:b w:val="1"/>
                <w:bCs w:val="1"/>
                <w:color w:val="auto"/>
              </w:rPr>
              <w:t>EARNINGS PER SHARE (BASIC AND DILUTED):</w:t>
            </w:r>
          </w:p>
        </w:tc>
        <w:tc>
          <w:tcPr>
            <w:tcW w:w="60" w:type="dxa"/>
            <w:vAlign w:val="bottom"/>
            <w:tcBorders>
              <w:bottom w:val="single" w:sz="8" w:color="CCECFF"/>
            </w:tcBorders>
          </w:tcPr>
          <w:p>
            <w:pPr>
              <w:spacing w:after="0"/>
              <w:rPr>
                <w:sz w:val="18"/>
                <w:szCs w:val="18"/>
                <w:color w:val="auto"/>
              </w:rPr>
            </w:pPr>
          </w:p>
        </w:tc>
        <w:tc>
          <w:tcPr>
            <w:tcW w:w="100" w:type="dxa"/>
            <w:vAlign w:val="bottom"/>
            <w:tcBorders>
              <w:bottom w:val="single" w:sz="8" w:color="CCECFF"/>
            </w:tcBorders>
          </w:tcPr>
          <w:p>
            <w:pPr>
              <w:spacing w:after="0"/>
              <w:rPr>
                <w:sz w:val="18"/>
                <w:szCs w:val="18"/>
                <w:color w:val="auto"/>
              </w:rPr>
            </w:pPr>
          </w:p>
        </w:tc>
        <w:tc>
          <w:tcPr>
            <w:tcW w:w="960" w:type="dxa"/>
            <w:vAlign w:val="bottom"/>
            <w:tcBorders>
              <w:bottom w:val="single" w:sz="8" w:color="auto"/>
            </w:tcBorders>
          </w:tcPr>
          <w:p>
            <w:pPr>
              <w:spacing w:after="0"/>
              <w:rPr>
                <w:sz w:val="18"/>
                <w:szCs w:val="18"/>
                <w:color w:val="auto"/>
              </w:rPr>
            </w:pPr>
          </w:p>
        </w:tc>
        <w:tc>
          <w:tcPr>
            <w:tcW w:w="100" w:type="dxa"/>
            <w:vAlign w:val="bottom"/>
            <w:tcBorders>
              <w:bottom w:val="single" w:sz="8" w:color="CCECFF"/>
            </w:tcBorders>
          </w:tcPr>
          <w:p>
            <w:pPr>
              <w:spacing w:after="0"/>
              <w:rPr>
                <w:sz w:val="18"/>
                <w:szCs w:val="18"/>
                <w:color w:val="auto"/>
              </w:rPr>
            </w:pPr>
          </w:p>
        </w:tc>
        <w:tc>
          <w:tcPr>
            <w:tcW w:w="20" w:type="dxa"/>
            <w:vAlign w:val="bottom"/>
            <w:tcBorders>
              <w:bottom w:val="single" w:sz="8" w:color="CCECFF"/>
            </w:tcBorders>
          </w:tcPr>
          <w:p>
            <w:pPr>
              <w:spacing w:after="0"/>
              <w:rPr>
                <w:sz w:val="18"/>
                <w:szCs w:val="18"/>
                <w:color w:val="auto"/>
              </w:rPr>
            </w:pPr>
          </w:p>
        </w:tc>
        <w:tc>
          <w:tcPr>
            <w:tcW w:w="120" w:type="dxa"/>
            <w:vAlign w:val="bottom"/>
            <w:tcBorders>
              <w:bottom w:val="single" w:sz="8" w:color="CCECFF"/>
            </w:tcBorders>
          </w:tcPr>
          <w:p>
            <w:pPr>
              <w:spacing w:after="0"/>
              <w:rPr>
                <w:sz w:val="18"/>
                <w:szCs w:val="18"/>
                <w:color w:val="auto"/>
              </w:rPr>
            </w:pPr>
          </w:p>
        </w:tc>
        <w:tc>
          <w:tcPr>
            <w:tcW w:w="960" w:type="dxa"/>
            <w:vAlign w:val="bottom"/>
            <w:tcBorders>
              <w:bottom w:val="single" w:sz="8" w:color="auto"/>
            </w:tcBorders>
          </w:tcPr>
          <w:p>
            <w:pPr>
              <w:spacing w:after="0"/>
              <w:rPr>
                <w:sz w:val="18"/>
                <w:szCs w:val="18"/>
                <w:color w:val="auto"/>
              </w:rPr>
            </w:pPr>
          </w:p>
        </w:tc>
        <w:tc>
          <w:tcPr>
            <w:tcW w:w="80" w:type="dxa"/>
            <w:vAlign w:val="bottom"/>
            <w:tcBorders>
              <w:bottom w:val="single" w:sz="8" w:color="CCECFF"/>
            </w:tcBorders>
          </w:tcPr>
          <w:p>
            <w:pPr>
              <w:spacing w:after="0"/>
              <w:rPr>
                <w:sz w:val="18"/>
                <w:szCs w:val="18"/>
                <w:color w:val="auto"/>
              </w:rPr>
            </w:pPr>
          </w:p>
        </w:tc>
        <w:tc>
          <w:tcPr>
            <w:tcW w:w="40" w:type="dxa"/>
            <w:vAlign w:val="bottom"/>
            <w:tcBorders>
              <w:bottom w:val="single" w:sz="8" w:color="CCECFF"/>
            </w:tcBorders>
          </w:tcPr>
          <w:p>
            <w:pPr>
              <w:spacing w:after="0"/>
              <w:rPr>
                <w:sz w:val="18"/>
                <w:szCs w:val="18"/>
                <w:color w:val="auto"/>
              </w:rPr>
            </w:pPr>
          </w:p>
        </w:tc>
        <w:tc>
          <w:tcPr>
            <w:tcW w:w="80" w:type="dxa"/>
            <w:vAlign w:val="bottom"/>
            <w:tcBorders>
              <w:bottom w:val="single" w:sz="8" w:color="CCECFF"/>
            </w:tcBorders>
          </w:tcPr>
          <w:p>
            <w:pPr>
              <w:spacing w:after="0"/>
              <w:rPr>
                <w:sz w:val="18"/>
                <w:szCs w:val="18"/>
                <w:color w:val="auto"/>
              </w:rPr>
            </w:pPr>
          </w:p>
        </w:tc>
        <w:tc>
          <w:tcPr>
            <w:tcW w:w="60" w:type="dxa"/>
            <w:vAlign w:val="bottom"/>
            <w:tcBorders>
              <w:bottom w:val="single" w:sz="8" w:color="CCECFF"/>
            </w:tcBorders>
          </w:tcPr>
          <w:p>
            <w:pPr>
              <w:spacing w:after="0"/>
              <w:rPr>
                <w:sz w:val="18"/>
                <w:szCs w:val="18"/>
                <w:color w:val="auto"/>
              </w:rPr>
            </w:pPr>
          </w:p>
        </w:tc>
        <w:tc>
          <w:tcPr>
            <w:tcW w:w="960" w:type="dxa"/>
            <w:vAlign w:val="bottom"/>
            <w:tcBorders>
              <w:bottom w:val="single" w:sz="8" w:color="auto"/>
            </w:tcBorders>
          </w:tcPr>
          <w:p>
            <w:pPr>
              <w:spacing w:after="0"/>
              <w:rPr>
                <w:sz w:val="18"/>
                <w:szCs w:val="18"/>
                <w:color w:val="auto"/>
              </w:rPr>
            </w:pPr>
          </w:p>
        </w:tc>
        <w:tc>
          <w:tcPr>
            <w:tcW w:w="100" w:type="dxa"/>
            <w:vAlign w:val="bottom"/>
            <w:tcBorders>
              <w:bottom w:val="single" w:sz="8" w:color="CCECFF"/>
            </w:tcBorders>
          </w:tcPr>
          <w:p>
            <w:pPr>
              <w:spacing w:after="0"/>
              <w:rPr>
                <w:sz w:val="18"/>
                <w:szCs w:val="18"/>
                <w:color w:val="auto"/>
              </w:rPr>
            </w:pPr>
          </w:p>
        </w:tc>
        <w:tc>
          <w:tcPr>
            <w:tcW w:w="20" w:type="dxa"/>
            <w:vAlign w:val="bottom"/>
            <w:tcBorders>
              <w:bottom w:val="single" w:sz="8" w:color="CCECFF"/>
            </w:tcBorders>
          </w:tcPr>
          <w:p>
            <w:pPr>
              <w:spacing w:after="0"/>
              <w:rPr>
                <w:sz w:val="18"/>
                <w:szCs w:val="18"/>
                <w:color w:val="auto"/>
              </w:rPr>
            </w:pPr>
          </w:p>
        </w:tc>
        <w:tc>
          <w:tcPr>
            <w:tcW w:w="120" w:type="dxa"/>
            <w:vAlign w:val="bottom"/>
            <w:tcBorders>
              <w:bottom w:val="single" w:sz="8" w:color="CCECFF"/>
            </w:tcBorders>
          </w:tcPr>
          <w:p>
            <w:pPr>
              <w:spacing w:after="0"/>
              <w:rPr>
                <w:sz w:val="18"/>
                <w:szCs w:val="18"/>
                <w:color w:val="auto"/>
              </w:rPr>
            </w:pPr>
          </w:p>
        </w:tc>
        <w:tc>
          <w:tcPr>
            <w:tcW w:w="960" w:type="dxa"/>
            <w:vAlign w:val="bottom"/>
            <w:tcBorders>
              <w:bottom w:val="single" w:sz="8" w:color="auto"/>
            </w:tcBorders>
          </w:tcPr>
          <w:p>
            <w:pPr>
              <w:spacing w:after="0"/>
              <w:rPr>
                <w:sz w:val="18"/>
                <w:szCs w:val="18"/>
                <w:color w:val="auto"/>
              </w:rPr>
            </w:pPr>
          </w:p>
        </w:tc>
        <w:tc>
          <w:tcPr>
            <w:tcW w:w="120" w:type="dxa"/>
            <w:vAlign w:val="bottom"/>
            <w:tcBorders>
              <w:bottom w:val="single" w:sz="8" w:color="CCECFF"/>
            </w:tcBorders>
          </w:tcPr>
          <w:p>
            <w:pPr>
              <w:spacing w:after="0"/>
              <w:rPr>
                <w:sz w:val="18"/>
                <w:szCs w:val="18"/>
                <w:color w:val="auto"/>
              </w:rPr>
            </w:pPr>
          </w:p>
        </w:tc>
        <w:tc>
          <w:tcPr>
            <w:tcW w:w="100" w:type="dxa"/>
            <w:vAlign w:val="bottom"/>
            <w:tcBorders>
              <w:bottom w:val="single" w:sz="8" w:color="CCECFF"/>
            </w:tcBorders>
          </w:tcPr>
          <w:p>
            <w:pPr>
              <w:spacing w:after="0"/>
              <w:rPr>
                <w:sz w:val="18"/>
                <w:szCs w:val="18"/>
                <w:color w:val="auto"/>
              </w:rPr>
            </w:pPr>
          </w:p>
        </w:tc>
        <w:tc>
          <w:tcPr>
            <w:tcW w:w="940" w:type="dxa"/>
            <w:vAlign w:val="bottom"/>
            <w:tcBorders>
              <w:bottom w:val="single" w:sz="8" w:color="auto"/>
            </w:tcBorders>
          </w:tcPr>
          <w:p>
            <w:pPr>
              <w:spacing w:after="0"/>
              <w:rPr>
                <w:sz w:val="18"/>
                <w:szCs w:val="18"/>
                <w:color w:val="auto"/>
              </w:rPr>
            </w:pPr>
          </w:p>
        </w:tc>
        <w:tc>
          <w:tcPr>
            <w:tcW w:w="60" w:type="dxa"/>
            <w:vAlign w:val="bottom"/>
            <w:tcBorders>
              <w:bottom w:val="single" w:sz="8" w:color="CCECFF"/>
            </w:tcBorders>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5440" w:type="dxa"/>
            <w:vAlign w:val="bottom"/>
            <w:tcBorders>
              <w:bottom w:val="single" w:sz="8" w:color="CCECFF"/>
            </w:tcBorders>
            <w:gridSpan w:val="3"/>
            <w:shd w:val="clear" w:color="auto" w:fill="CCECFF"/>
          </w:tcPr>
          <w:p>
            <w:pPr>
              <w:ind w:left="240"/>
              <w:spacing w:after="0"/>
              <w:rPr>
                <w:sz w:val="20"/>
                <w:szCs w:val="20"/>
                <w:color w:val="auto"/>
              </w:rPr>
            </w:pPr>
            <w:r>
              <w:rPr>
                <w:rFonts w:ascii="Arial" w:cs="Arial" w:eastAsia="Arial" w:hAnsi="Arial"/>
                <w:sz w:val="16"/>
                <w:szCs w:val="16"/>
                <w:color w:val="auto"/>
              </w:rPr>
              <w:t>Net Income (Loss) attributable to Arrowhead common shareholders</w:t>
            </w:r>
          </w:p>
        </w:tc>
        <w:tc>
          <w:tcPr>
            <w:tcW w:w="160" w:type="dxa"/>
            <w:vAlign w:val="bottom"/>
            <w:tcBorders>
              <w:bottom w:val="single" w:sz="8" w:color="CCECFF"/>
            </w:tcBorders>
            <w:gridSpan w:val="2"/>
            <w:shd w:val="clear" w:color="auto" w:fill="CCECFF"/>
          </w:tcPr>
          <w:p>
            <w:pPr>
              <w:jc w:val="right"/>
              <w:ind w:right="20"/>
              <w:spacing w:after="0"/>
              <w:rPr>
                <w:sz w:val="20"/>
                <w:szCs w:val="20"/>
                <w:color w:val="auto"/>
              </w:rPr>
            </w:pPr>
            <w:r>
              <w:rPr>
                <w:rFonts w:ascii="Arial" w:cs="Arial" w:eastAsia="Arial" w:hAnsi="Arial"/>
                <w:sz w:val="16"/>
                <w:szCs w:val="16"/>
                <w:b w:val="1"/>
                <w:bCs w:val="1"/>
                <w:color w:val="auto"/>
              </w:rPr>
              <w:t>$</w:t>
            </w:r>
          </w:p>
        </w:tc>
        <w:tc>
          <w:tcPr>
            <w:tcW w:w="96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6"/>
                <w:szCs w:val="16"/>
                <w:b w:val="1"/>
                <w:bCs w:val="1"/>
                <w:color w:val="auto"/>
              </w:rPr>
              <w:t>(0.47)</w:t>
            </w:r>
          </w:p>
        </w:tc>
        <w:tc>
          <w:tcPr>
            <w:tcW w:w="100" w:type="dxa"/>
            <w:vAlign w:val="bottom"/>
            <w:tcBorders>
              <w:bottom w:val="single" w:sz="8" w:color="CCECFF"/>
            </w:tcBorders>
            <w:shd w:val="clear" w:color="auto" w:fill="CCECFF"/>
          </w:tcPr>
          <w:p>
            <w:pPr>
              <w:spacing w:after="0"/>
              <w:rPr>
                <w:sz w:val="18"/>
                <w:szCs w:val="18"/>
                <w:color w:val="auto"/>
              </w:rPr>
            </w:pPr>
          </w:p>
        </w:tc>
        <w:tc>
          <w:tcPr>
            <w:tcW w:w="140" w:type="dxa"/>
            <w:vAlign w:val="bottom"/>
            <w:tcBorders>
              <w:bottom w:val="single" w:sz="8" w:color="CCECFF"/>
            </w:tcBorders>
            <w:gridSpan w:val="2"/>
            <w:shd w:val="clear" w:color="auto" w:fill="CCECFF"/>
          </w:tcPr>
          <w:p>
            <w:pPr>
              <w:jc w:val="right"/>
              <w:ind w:right="40"/>
              <w:spacing w:after="0"/>
              <w:rPr>
                <w:sz w:val="20"/>
                <w:szCs w:val="20"/>
                <w:color w:val="auto"/>
              </w:rPr>
            </w:pPr>
            <w:r>
              <w:rPr>
                <w:rFonts w:ascii="Arial" w:cs="Arial" w:eastAsia="Arial" w:hAnsi="Arial"/>
                <w:sz w:val="16"/>
                <w:szCs w:val="16"/>
                <w:b w:val="1"/>
                <w:bCs w:val="1"/>
                <w:color w:val="auto"/>
                <w:w w:val="89"/>
              </w:rPr>
              <w:t>$</w:t>
            </w:r>
          </w:p>
        </w:tc>
        <w:tc>
          <w:tcPr>
            <w:tcW w:w="96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6"/>
                <w:szCs w:val="16"/>
                <w:b w:val="1"/>
                <w:bCs w:val="1"/>
                <w:color w:val="auto"/>
              </w:rPr>
              <w:t>(1.34)</w:t>
            </w:r>
          </w:p>
        </w:tc>
        <w:tc>
          <w:tcPr>
            <w:tcW w:w="80" w:type="dxa"/>
            <w:vAlign w:val="bottom"/>
            <w:tcBorders>
              <w:bottom w:val="single" w:sz="8" w:color="CCECFF"/>
            </w:tcBorders>
            <w:shd w:val="clear" w:color="auto" w:fill="CCECFF"/>
          </w:tcPr>
          <w:p>
            <w:pPr>
              <w:spacing w:after="0"/>
              <w:rPr>
                <w:sz w:val="18"/>
                <w:szCs w:val="18"/>
                <w:color w:val="auto"/>
              </w:rPr>
            </w:pPr>
          </w:p>
        </w:tc>
        <w:tc>
          <w:tcPr>
            <w:tcW w:w="120" w:type="dxa"/>
            <w:vAlign w:val="bottom"/>
            <w:tcBorders>
              <w:bottom w:val="single" w:sz="8" w:color="CCECFF"/>
            </w:tcBorders>
            <w:gridSpan w:val="2"/>
            <w:shd w:val="clear" w:color="auto" w:fill="CCECFF"/>
          </w:tcPr>
          <w:p>
            <w:pPr>
              <w:jc w:val="right"/>
              <w:spacing w:after="0"/>
              <w:rPr>
                <w:sz w:val="20"/>
                <w:szCs w:val="20"/>
                <w:color w:val="auto"/>
              </w:rPr>
            </w:pPr>
            <w:r>
              <w:rPr>
                <w:rFonts w:ascii="Arial" w:cs="Arial" w:eastAsia="Arial" w:hAnsi="Arial"/>
                <w:sz w:val="16"/>
                <w:szCs w:val="16"/>
                <w:b w:val="1"/>
                <w:bCs w:val="1"/>
                <w:color w:val="auto"/>
              </w:rPr>
              <w:t>$</w:t>
            </w:r>
          </w:p>
        </w:tc>
        <w:tc>
          <w:tcPr>
            <w:tcW w:w="60" w:type="dxa"/>
            <w:vAlign w:val="bottom"/>
            <w:tcBorders>
              <w:bottom w:val="single" w:sz="8" w:color="CCECFF"/>
            </w:tcBorders>
            <w:shd w:val="clear" w:color="auto" w:fill="CCECFF"/>
          </w:tcPr>
          <w:p>
            <w:pPr>
              <w:spacing w:after="0"/>
              <w:rPr>
                <w:sz w:val="18"/>
                <w:szCs w:val="18"/>
                <w:color w:val="auto"/>
              </w:rPr>
            </w:pPr>
          </w:p>
        </w:tc>
        <w:tc>
          <w:tcPr>
            <w:tcW w:w="96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6"/>
                <w:szCs w:val="16"/>
                <w:b w:val="1"/>
                <w:bCs w:val="1"/>
                <w:color w:val="auto"/>
              </w:rPr>
              <w:t>(1.60)</w:t>
            </w:r>
          </w:p>
        </w:tc>
        <w:tc>
          <w:tcPr>
            <w:tcW w:w="100" w:type="dxa"/>
            <w:vAlign w:val="bottom"/>
            <w:tcBorders>
              <w:bottom w:val="single" w:sz="8" w:color="CCECFF"/>
            </w:tcBorders>
            <w:shd w:val="clear" w:color="auto" w:fill="CCECFF"/>
          </w:tcPr>
          <w:p>
            <w:pPr>
              <w:spacing w:after="0"/>
              <w:rPr>
                <w:sz w:val="18"/>
                <w:szCs w:val="18"/>
                <w:color w:val="auto"/>
              </w:rPr>
            </w:pPr>
          </w:p>
        </w:tc>
        <w:tc>
          <w:tcPr>
            <w:tcW w:w="140" w:type="dxa"/>
            <w:vAlign w:val="bottom"/>
            <w:tcBorders>
              <w:bottom w:val="single" w:sz="8" w:color="CCECFF"/>
            </w:tcBorders>
            <w:gridSpan w:val="2"/>
            <w:shd w:val="clear" w:color="auto" w:fill="CCECFF"/>
          </w:tcPr>
          <w:p>
            <w:pPr>
              <w:jc w:val="right"/>
              <w:ind w:right="40"/>
              <w:spacing w:after="0"/>
              <w:rPr>
                <w:sz w:val="20"/>
                <w:szCs w:val="20"/>
                <w:color w:val="auto"/>
              </w:rPr>
            </w:pPr>
            <w:r>
              <w:rPr>
                <w:rFonts w:ascii="Arial" w:cs="Arial" w:eastAsia="Arial" w:hAnsi="Arial"/>
                <w:sz w:val="16"/>
                <w:szCs w:val="16"/>
                <w:b w:val="1"/>
                <w:bCs w:val="1"/>
                <w:color w:val="auto"/>
                <w:w w:val="89"/>
              </w:rPr>
              <w:t>$</w:t>
            </w:r>
          </w:p>
        </w:tc>
        <w:tc>
          <w:tcPr>
            <w:tcW w:w="96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6"/>
                <w:szCs w:val="16"/>
                <w:b w:val="1"/>
                <w:bCs w:val="1"/>
                <w:color w:val="auto"/>
              </w:rPr>
              <w:t>(1.25)</w:t>
            </w:r>
          </w:p>
        </w:tc>
        <w:tc>
          <w:tcPr>
            <w:tcW w:w="120" w:type="dxa"/>
            <w:vAlign w:val="bottom"/>
            <w:tcBorders>
              <w:bottom w:val="single" w:sz="8" w:color="CCECFF"/>
            </w:tcBorders>
            <w:shd w:val="clear" w:color="auto" w:fill="CCECFF"/>
          </w:tcPr>
          <w:p>
            <w:pPr>
              <w:spacing w:after="0"/>
              <w:rPr>
                <w:sz w:val="18"/>
                <w:szCs w:val="18"/>
                <w:color w:val="auto"/>
              </w:rPr>
            </w:pPr>
          </w:p>
        </w:tc>
        <w:tc>
          <w:tcPr>
            <w:tcW w:w="100" w:type="dxa"/>
            <w:vAlign w:val="bottom"/>
            <w:tcBorders>
              <w:bottom w:val="single" w:sz="8" w:color="CCECFF"/>
            </w:tcBorders>
            <w:shd w:val="clear" w:color="auto" w:fill="CCECFF"/>
          </w:tcPr>
          <w:p>
            <w:pPr>
              <w:jc w:val="right"/>
              <w:spacing w:after="0"/>
              <w:rPr>
                <w:sz w:val="20"/>
                <w:szCs w:val="20"/>
                <w:color w:val="auto"/>
              </w:rPr>
            </w:pPr>
            <w:r>
              <w:rPr>
                <w:rFonts w:ascii="Arial" w:cs="Arial" w:eastAsia="Arial" w:hAnsi="Arial"/>
                <w:sz w:val="15"/>
                <w:szCs w:val="15"/>
                <w:b w:val="1"/>
                <w:bCs w:val="1"/>
                <w:color w:val="auto"/>
                <w:w w:val="71"/>
              </w:rPr>
              <w:t>$</w:t>
            </w:r>
          </w:p>
        </w:tc>
        <w:tc>
          <w:tcPr>
            <w:tcW w:w="94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6"/>
                <w:szCs w:val="16"/>
                <w:b w:val="1"/>
                <w:bCs w:val="1"/>
                <w:color w:val="auto"/>
              </w:rPr>
              <w:t>(1.30)</w:t>
            </w:r>
          </w:p>
        </w:tc>
        <w:tc>
          <w:tcPr>
            <w:tcW w:w="60" w:type="dxa"/>
            <w:vAlign w:val="bottom"/>
            <w:tcBorders>
              <w:bottom w:val="single" w:sz="8" w:color="CCECFF"/>
            </w:tcBorders>
            <w:shd w:val="clear" w:color="auto" w:fill="CCECFF"/>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8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328"/>
        </w:trPr>
        <w:tc>
          <w:tcPr>
            <w:tcW w:w="20" w:type="dxa"/>
            <w:vAlign w:val="bottom"/>
          </w:tcPr>
          <w:p>
            <w:pPr>
              <w:spacing w:after="0"/>
              <w:rPr>
                <w:sz w:val="24"/>
                <w:szCs w:val="24"/>
                <w:color w:val="auto"/>
              </w:rPr>
            </w:pPr>
          </w:p>
        </w:tc>
        <w:tc>
          <w:tcPr>
            <w:tcW w:w="5440" w:type="dxa"/>
            <w:vAlign w:val="bottom"/>
            <w:gridSpan w:val="3"/>
          </w:tcPr>
          <w:p>
            <w:pPr>
              <w:ind w:left="240"/>
              <w:spacing w:after="0"/>
              <w:rPr>
                <w:sz w:val="20"/>
                <w:szCs w:val="20"/>
                <w:color w:val="auto"/>
              </w:rPr>
            </w:pPr>
            <w:r>
              <w:rPr>
                <w:rFonts w:ascii="Arial" w:cs="Arial" w:eastAsia="Arial" w:hAnsi="Arial"/>
                <w:sz w:val="16"/>
                <w:szCs w:val="16"/>
                <w:color w:val="auto"/>
              </w:rPr>
              <w:t>Weighted average shares outstanding – basic and diluted</w:t>
            </w: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73,898,598</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61,050,880</w:t>
            </w: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20" w:type="dxa"/>
            <w:vAlign w:val="bottom"/>
            <w:gridSpan w:val="2"/>
          </w:tcPr>
          <w:p>
            <w:pPr>
              <w:jc w:val="right"/>
              <w:spacing w:after="0"/>
              <w:rPr>
                <w:sz w:val="20"/>
                <w:szCs w:val="20"/>
                <w:color w:val="auto"/>
              </w:rPr>
            </w:pPr>
            <w:r>
              <w:rPr>
                <w:rFonts w:ascii="Arial" w:cs="Arial" w:eastAsia="Arial" w:hAnsi="Arial"/>
                <w:sz w:val="16"/>
                <w:szCs w:val="16"/>
                <w:color w:val="auto"/>
              </w:rPr>
              <w:t>57,358,442</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46,933,030</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24,002,224</w:t>
            </w:r>
          </w:p>
        </w:tc>
        <w:tc>
          <w:tcPr>
            <w:tcW w:w="60" w:type="dxa"/>
            <w:vAlign w:val="bottom"/>
          </w:tcPr>
          <w:p>
            <w:pPr>
              <w:spacing w:after="0"/>
              <w:rPr>
                <w:sz w:val="24"/>
                <w:szCs w:val="24"/>
                <w:color w:val="auto"/>
              </w:rPr>
            </w:pPr>
          </w:p>
        </w:tc>
      </w:tr>
      <w:tr>
        <w:trPr>
          <w:trHeight w:val="351"/>
        </w:trPr>
        <w:tc>
          <w:tcPr>
            <w:tcW w:w="5460" w:type="dxa"/>
            <w:vAlign w:val="bottom"/>
            <w:gridSpan w:val="4"/>
          </w:tcPr>
          <w:p>
            <w:pPr>
              <w:spacing w:after="0"/>
              <w:rPr>
                <w:sz w:val="20"/>
                <w:szCs w:val="20"/>
                <w:color w:val="auto"/>
              </w:rPr>
            </w:pPr>
            <w:r>
              <w:rPr>
                <w:rFonts w:ascii="Arial" w:cs="Arial" w:eastAsia="Arial" w:hAnsi="Arial"/>
                <w:sz w:val="16"/>
                <w:szCs w:val="16"/>
                <w:b w:val="1"/>
                <w:bCs w:val="1"/>
                <w:color w:val="auto"/>
              </w:rPr>
              <w:t>CASH DIVDEND PAID PER COMMON SHARE</w:t>
            </w:r>
          </w:p>
        </w:tc>
        <w:tc>
          <w:tcPr>
            <w:tcW w:w="160" w:type="dxa"/>
            <w:vAlign w:val="bottom"/>
            <w:gridSpan w:val="2"/>
          </w:tcPr>
          <w:p>
            <w:pPr>
              <w:jc w:val="right"/>
              <w:ind w:right="20"/>
              <w:spacing w:after="0"/>
              <w:rPr>
                <w:sz w:val="20"/>
                <w:szCs w:val="20"/>
                <w:color w:val="auto"/>
              </w:rPr>
            </w:pPr>
            <w:r>
              <w:rPr>
                <w:rFonts w:ascii="Arial" w:cs="Arial" w:eastAsia="Arial" w:hAnsi="Arial"/>
                <w:sz w:val="16"/>
                <w:szCs w:val="16"/>
                <w:b w:val="1"/>
                <w:bCs w:val="1"/>
                <w:color w:val="auto"/>
              </w:rPr>
              <w:t>$</w:t>
            </w:r>
          </w:p>
        </w:tc>
        <w:tc>
          <w:tcPr>
            <w:tcW w:w="96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100" w:type="dxa"/>
            <w:vAlign w:val="bottom"/>
          </w:tcPr>
          <w:p>
            <w:pPr>
              <w:spacing w:after="0"/>
              <w:rPr>
                <w:sz w:val="24"/>
                <w:szCs w:val="24"/>
                <w:color w:val="auto"/>
              </w:rPr>
            </w:pPr>
          </w:p>
        </w:tc>
        <w:tc>
          <w:tcPr>
            <w:tcW w:w="140" w:type="dxa"/>
            <w:vAlign w:val="bottom"/>
            <w:gridSpan w:val="2"/>
          </w:tcPr>
          <w:p>
            <w:pPr>
              <w:jc w:val="right"/>
              <w:ind w:right="40"/>
              <w:spacing w:after="0"/>
              <w:rPr>
                <w:sz w:val="20"/>
                <w:szCs w:val="20"/>
                <w:color w:val="auto"/>
              </w:rPr>
            </w:pPr>
            <w:r>
              <w:rPr>
                <w:rFonts w:ascii="Arial" w:cs="Arial" w:eastAsia="Arial" w:hAnsi="Arial"/>
                <w:sz w:val="16"/>
                <w:szCs w:val="16"/>
                <w:b w:val="1"/>
                <w:bCs w:val="1"/>
                <w:color w:val="auto"/>
                <w:w w:val="89"/>
              </w:rPr>
              <w:t>$</w:t>
            </w:r>
          </w:p>
        </w:tc>
        <w:tc>
          <w:tcPr>
            <w:tcW w:w="96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80" w:type="dxa"/>
            <w:vAlign w:val="bottom"/>
          </w:tcPr>
          <w:p>
            <w:pPr>
              <w:spacing w:after="0"/>
              <w:rPr>
                <w:sz w:val="24"/>
                <w:szCs w:val="24"/>
                <w:color w:val="auto"/>
              </w:rPr>
            </w:pPr>
          </w:p>
        </w:tc>
        <w:tc>
          <w:tcPr>
            <w:tcW w:w="120" w:type="dxa"/>
            <w:vAlign w:val="bottom"/>
            <w:gridSpan w:val="2"/>
          </w:tcPr>
          <w:p>
            <w:pPr>
              <w:jc w:val="right"/>
              <w:spacing w:after="0"/>
              <w:rPr>
                <w:sz w:val="20"/>
                <w:szCs w:val="20"/>
                <w:color w:val="auto"/>
              </w:rPr>
            </w:pPr>
            <w:r>
              <w:rPr>
                <w:rFonts w:ascii="Arial" w:cs="Arial" w:eastAsia="Arial" w:hAnsi="Arial"/>
                <w:sz w:val="16"/>
                <w:szCs w:val="16"/>
                <w:b w:val="1"/>
                <w:bCs w:val="1"/>
                <w:color w:val="auto"/>
              </w:rPr>
              <w:t>$</w:t>
            </w:r>
          </w:p>
        </w:tc>
        <w:tc>
          <w:tcPr>
            <w:tcW w:w="1020" w:type="dxa"/>
            <w:vAlign w:val="bottom"/>
            <w:gridSpan w:val="2"/>
          </w:tcPr>
          <w:p>
            <w:pPr>
              <w:jc w:val="right"/>
              <w:spacing w:after="0"/>
              <w:rPr>
                <w:sz w:val="20"/>
                <w:szCs w:val="20"/>
                <w:color w:val="auto"/>
              </w:rPr>
            </w:pPr>
            <w:r>
              <w:rPr>
                <w:rFonts w:ascii="Arial" w:cs="Arial" w:eastAsia="Arial" w:hAnsi="Arial"/>
                <w:sz w:val="16"/>
                <w:szCs w:val="16"/>
                <w:b w:val="1"/>
                <w:bCs w:val="1"/>
                <w:color w:val="auto"/>
              </w:rPr>
              <w:t>-</w:t>
            </w:r>
          </w:p>
        </w:tc>
        <w:tc>
          <w:tcPr>
            <w:tcW w:w="100" w:type="dxa"/>
            <w:vAlign w:val="bottom"/>
          </w:tcPr>
          <w:p>
            <w:pPr>
              <w:spacing w:after="0"/>
              <w:rPr>
                <w:sz w:val="24"/>
                <w:szCs w:val="24"/>
                <w:color w:val="auto"/>
              </w:rPr>
            </w:pPr>
          </w:p>
        </w:tc>
        <w:tc>
          <w:tcPr>
            <w:tcW w:w="140" w:type="dxa"/>
            <w:vAlign w:val="bottom"/>
            <w:gridSpan w:val="2"/>
          </w:tcPr>
          <w:p>
            <w:pPr>
              <w:jc w:val="right"/>
              <w:ind w:right="40"/>
              <w:spacing w:after="0"/>
              <w:rPr>
                <w:sz w:val="20"/>
                <w:szCs w:val="20"/>
                <w:color w:val="auto"/>
              </w:rPr>
            </w:pPr>
            <w:r>
              <w:rPr>
                <w:rFonts w:ascii="Arial" w:cs="Arial" w:eastAsia="Arial" w:hAnsi="Arial"/>
                <w:sz w:val="16"/>
                <w:szCs w:val="16"/>
                <w:b w:val="1"/>
                <w:bCs w:val="1"/>
                <w:color w:val="auto"/>
                <w:w w:val="89"/>
              </w:rPr>
              <w:t>$</w:t>
            </w:r>
          </w:p>
        </w:tc>
        <w:tc>
          <w:tcPr>
            <w:tcW w:w="96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120" w:type="dxa"/>
            <w:vAlign w:val="bottom"/>
          </w:tcPr>
          <w:p>
            <w:pPr>
              <w:spacing w:after="0"/>
              <w:rPr>
                <w:sz w:val="24"/>
                <w:szCs w:val="24"/>
                <w:color w:val="auto"/>
              </w:rPr>
            </w:pPr>
          </w:p>
        </w:tc>
        <w:tc>
          <w:tcPr>
            <w:tcW w:w="100" w:type="dxa"/>
            <w:vAlign w:val="bottom"/>
          </w:tcPr>
          <w:p>
            <w:pPr>
              <w:jc w:val="right"/>
              <w:spacing w:after="0"/>
              <w:rPr>
                <w:sz w:val="20"/>
                <w:szCs w:val="20"/>
                <w:color w:val="auto"/>
              </w:rPr>
            </w:pPr>
            <w:r>
              <w:rPr>
                <w:rFonts w:ascii="Arial" w:cs="Arial" w:eastAsia="Arial" w:hAnsi="Arial"/>
                <w:sz w:val="15"/>
                <w:szCs w:val="15"/>
                <w:b w:val="1"/>
                <w:bCs w:val="1"/>
                <w:color w:val="auto"/>
                <w:w w:val="71"/>
              </w:rPr>
              <w:t>$</w:t>
            </w:r>
          </w:p>
        </w:tc>
        <w:tc>
          <w:tcPr>
            <w:tcW w:w="94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60" w:type="dxa"/>
            <w:vAlign w:val="bottom"/>
          </w:tcPr>
          <w:p>
            <w:pPr>
              <w:spacing w:after="0"/>
              <w:rPr>
                <w:sz w:val="24"/>
                <w:szCs w:val="24"/>
                <w:color w:val="auto"/>
              </w:rPr>
            </w:pPr>
          </w:p>
        </w:tc>
      </w:tr>
      <w:tr>
        <w:trPr>
          <w:trHeight w:val="375"/>
        </w:trPr>
        <w:tc>
          <w:tcPr>
            <w:tcW w:w="20" w:type="dxa"/>
            <w:vAlign w:val="bottom"/>
          </w:tcPr>
          <w:p>
            <w:pPr>
              <w:spacing w:after="0"/>
              <w:rPr>
                <w:sz w:val="24"/>
                <w:szCs w:val="24"/>
                <w:color w:val="auto"/>
              </w:rPr>
            </w:pPr>
          </w:p>
        </w:tc>
        <w:tc>
          <w:tcPr>
            <w:tcW w:w="18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8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20" w:type="dxa"/>
            <w:vAlign w:val="bottom"/>
            <w:gridSpan w:val="3"/>
          </w:tcPr>
          <w:p>
            <w:pPr>
              <w:jc w:val="center"/>
              <w:ind w:right="240"/>
              <w:spacing w:after="0"/>
              <w:rPr>
                <w:sz w:val="20"/>
                <w:szCs w:val="20"/>
                <w:color w:val="auto"/>
              </w:rPr>
            </w:pPr>
            <w:r>
              <w:rPr>
                <w:rFonts w:ascii="Arial" w:cs="Arial" w:eastAsia="Arial" w:hAnsi="Arial"/>
                <w:sz w:val="14"/>
                <w:szCs w:val="14"/>
                <w:b w:val="1"/>
                <w:bCs w:val="1"/>
                <w:color w:val="auto"/>
                <w:w w:val="91"/>
              </w:rPr>
              <w:t>September 30,</w:t>
            </w: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171"/>
        </w:trPr>
        <w:tc>
          <w:tcPr>
            <w:tcW w:w="20" w:type="dxa"/>
            <w:vAlign w:val="bottom"/>
          </w:tcPr>
          <w:p>
            <w:pPr>
              <w:spacing w:after="0"/>
              <w:rPr>
                <w:sz w:val="14"/>
                <w:szCs w:val="14"/>
                <w:color w:val="auto"/>
              </w:rPr>
            </w:pPr>
          </w:p>
        </w:tc>
        <w:tc>
          <w:tcPr>
            <w:tcW w:w="1860" w:type="dxa"/>
            <w:vAlign w:val="bottom"/>
            <w:tcBorders>
              <w:bottom w:val="single" w:sz="8" w:color="CFF0FC"/>
            </w:tcBorders>
          </w:tcPr>
          <w:p>
            <w:pPr>
              <w:spacing w:after="0"/>
              <w:rPr>
                <w:sz w:val="14"/>
                <w:szCs w:val="14"/>
                <w:color w:val="auto"/>
              </w:rPr>
            </w:pPr>
          </w:p>
        </w:tc>
        <w:tc>
          <w:tcPr>
            <w:tcW w:w="780" w:type="dxa"/>
            <w:vAlign w:val="bottom"/>
            <w:tcBorders>
              <w:bottom w:val="single" w:sz="8" w:color="CFF0FC"/>
            </w:tcBorders>
          </w:tcPr>
          <w:p>
            <w:pPr>
              <w:spacing w:after="0"/>
              <w:rPr>
                <w:sz w:val="14"/>
                <w:szCs w:val="14"/>
                <w:color w:val="auto"/>
              </w:rPr>
            </w:pPr>
          </w:p>
        </w:tc>
        <w:tc>
          <w:tcPr>
            <w:tcW w:w="2800" w:type="dxa"/>
            <w:vAlign w:val="bottom"/>
            <w:tcBorders>
              <w:bottom w:val="single" w:sz="8" w:color="CFF0FC"/>
            </w:tcBorders>
          </w:tcPr>
          <w:p>
            <w:pPr>
              <w:spacing w:after="0"/>
              <w:rPr>
                <w:sz w:val="14"/>
                <w:szCs w:val="14"/>
                <w:color w:val="auto"/>
              </w:rPr>
            </w:pPr>
          </w:p>
        </w:tc>
        <w:tc>
          <w:tcPr>
            <w:tcW w:w="60" w:type="dxa"/>
            <w:vAlign w:val="bottom"/>
            <w:tcBorders>
              <w:bottom w:val="single" w:sz="8" w:color="CFF0FC"/>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right"/>
              <w:ind w:right="320"/>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CFF0FC"/>
            </w:tcBorders>
          </w:tcPr>
          <w:p>
            <w:pPr>
              <w:spacing w:after="0"/>
              <w:rPr>
                <w:sz w:val="14"/>
                <w:szCs w:val="14"/>
                <w:color w:val="auto"/>
              </w:rPr>
            </w:pPr>
          </w:p>
        </w:tc>
        <w:tc>
          <w:tcPr>
            <w:tcW w:w="20" w:type="dxa"/>
            <w:vAlign w:val="bottom"/>
            <w:tcBorders>
              <w:bottom w:val="single" w:sz="8" w:color="CFF0FC"/>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right"/>
              <w:ind w:right="320"/>
              <w:spacing w:after="0"/>
              <w:rPr>
                <w:sz w:val="20"/>
                <w:szCs w:val="20"/>
                <w:color w:val="auto"/>
              </w:rPr>
            </w:pPr>
            <w:r>
              <w:rPr>
                <w:rFonts w:ascii="Arial" w:cs="Arial" w:eastAsia="Arial" w:hAnsi="Arial"/>
                <w:sz w:val="14"/>
                <w:szCs w:val="14"/>
                <w:b w:val="1"/>
                <w:bCs w:val="1"/>
                <w:color w:val="auto"/>
              </w:rPr>
              <w:t>2016</w:t>
            </w:r>
          </w:p>
        </w:tc>
        <w:tc>
          <w:tcPr>
            <w:tcW w:w="80" w:type="dxa"/>
            <w:vAlign w:val="bottom"/>
            <w:tcBorders>
              <w:bottom w:val="single" w:sz="8" w:color="CFF0FC"/>
            </w:tcBorders>
          </w:tcPr>
          <w:p>
            <w:pPr>
              <w:spacing w:after="0"/>
              <w:rPr>
                <w:sz w:val="14"/>
                <w:szCs w:val="14"/>
                <w:color w:val="auto"/>
              </w:rPr>
            </w:pPr>
          </w:p>
        </w:tc>
        <w:tc>
          <w:tcPr>
            <w:tcW w:w="40" w:type="dxa"/>
            <w:vAlign w:val="bottom"/>
            <w:tcBorders>
              <w:bottom w:val="single" w:sz="8" w:color="CFF0FC"/>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gridSpan w:val="2"/>
          </w:tcPr>
          <w:p>
            <w:pPr>
              <w:jc w:val="center"/>
              <w:ind w:right="19"/>
              <w:spacing w:after="0"/>
              <w:rPr>
                <w:sz w:val="20"/>
                <w:szCs w:val="20"/>
                <w:color w:val="auto"/>
              </w:rPr>
            </w:pPr>
            <w:r>
              <w:rPr>
                <w:rFonts w:ascii="Arial" w:cs="Arial" w:eastAsia="Arial" w:hAnsi="Arial"/>
                <w:sz w:val="14"/>
                <w:szCs w:val="14"/>
                <w:b w:val="1"/>
                <w:bCs w:val="1"/>
                <w:color w:val="auto"/>
                <w:w w:val="89"/>
              </w:rPr>
              <w:t>2015</w:t>
            </w:r>
          </w:p>
        </w:tc>
        <w:tc>
          <w:tcPr>
            <w:tcW w:w="100" w:type="dxa"/>
            <w:vAlign w:val="bottom"/>
            <w:tcBorders>
              <w:bottom w:val="single" w:sz="8" w:color="CFF0FC"/>
            </w:tcBorders>
          </w:tcPr>
          <w:p>
            <w:pPr>
              <w:spacing w:after="0"/>
              <w:rPr>
                <w:sz w:val="14"/>
                <w:szCs w:val="14"/>
                <w:color w:val="auto"/>
              </w:rPr>
            </w:pPr>
          </w:p>
        </w:tc>
        <w:tc>
          <w:tcPr>
            <w:tcW w:w="20" w:type="dxa"/>
            <w:vAlign w:val="bottom"/>
            <w:tcBorders>
              <w:bottom w:val="single" w:sz="8" w:color="CFF0FC"/>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right"/>
              <w:ind w:right="320"/>
              <w:spacing w:after="0"/>
              <w:rPr>
                <w:sz w:val="20"/>
                <w:szCs w:val="20"/>
                <w:color w:val="auto"/>
              </w:rPr>
            </w:pPr>
            <w:r>
              <w:rPr>
                <w:rFonts w:ascii="Arial" w:cs="Arial" w:eastAsia="Arial" w:hAnsi="Arial"/>
                <w:sz w:val="14"/>
                <w:szCs w:val="14"/>
                <w:b w:val="1"/>
                <w:bCs w:val="1"/>
                <w:color w:val="auto"/>
              </w:rPr>
              <w:t>2014</w:t>
            </w:r>
          </w:p>
        </w:tc>
        <w:tc>
          <w:tcPr>
            <w:tcW w:w="120" w:type="dxa"/>
            <w:vAlign w:val="bottom"/>
            <w:tcBorders>
              <w:bottom w:val="single" w:sz="8" w:color="CFF0FC"/>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right"/>
              <w:ind w:right="320"/>
              <w:spacing w:after="0"/>
              <w:rPr>
                <w:sz w:val="20"/>
                <w:szCs w:val="20"/>
                <w:color w:val="auto"/>
              </w:rPr>
            </w:pPr>
            <w:r>
              <w:rPr>
                <w:rFonts w:ascii="Arial" w:cs="Arial" w:eastAsia="Arial" w:hAnsi="Arial"/>
                <w:sz w:val="14"/>
                <w:szCs w:val="14"/>
                <w:b w:val="1"/>
                <w:bCs w:val="1"/>
                <w:color w:val="auto"/>
              </w:rPr>
              <w:t>2013</w:t>
            </w:r>
          </w:p>
        </w:tc>
        <w:tc>
          <w:tcPr>
            <w:tcW w:w="60" w:type="dxa"/>
            <w:vAlign w:val="bottom"/>
            <w:tcBorders>
              <w:bottom w:val="single" w:sz="8" w:color="CFF0FC"/>
            </w:tcBorders>
          </w:tcPr>
          <w:p>
            <w:pPr>
              <w:spacing w:after="0"/>
              <w:rPr>
                <w:sz w:val="14"/>
                <w:szCs w:val="14"/>
                <w:color w:val="auto"/>
              </w:rPr>
            </w:pPr>
          </w:p>
        </w:tc>
      </w:tr>
      <w:tr>
        <w:trPr>
          <w:trHeight w:val="190"/>
        </w:trPr>
        <w:tc>
          <w:tcPr>
            <w:tcW w:w="20" w:type="dxa"/>
            <w:vAlign w:val="bottom"/>
          </w:tcPr>
          <w:p>
            <w:pPr>
              <w:spacing w:after="0"/>
              <w:rPr>
                <w:sz w:val="16"/>
                <w:szCs w:val="16"/>
                <w:color w:val="auto"/>
              </w:rPr>
            </w:pPr>
          </w:p>
        </w:tc>
        <w:tc>
          <w:tcPr>
            <w:tcW w:w="2640" w:type="dxa"/>
            <w:vAlign w:val="bottom"/>
            <w:tcBorders>
              <w:bottom w:val="single" w:sz="8" w:color="auto"/>
            </w:tcBorders>
            <w:gridSpan w:val="2"/>
            <w:shd w:val="clear" w:color="auto" w:fill="CFF0FC"/>
          </w:tcPr>
          <w:p>
            <w:pPr>
              <w:spacing w:after="0" w:line="169" w:lineRule="exact"/>
              <w:rPr>
                <w:sz w:val="20"/>
                <w:szCs w:val="20"/>
                <w:color w:val="auto"/>
              </w:rPr>
            </w:pPr>
            <w:r>
              <w:rPr>
                <w:rFonts w:ascii="Arial" w:cs="Arial" w:eastAsia="Arial" w:hAnsi="Arial"/>
                <w:sz w:val="16"/>
                <w:szCs w:val="16"/>
                <w:b w:val="1"/>
                <w:bCs w:val="1"/>
                <w:color w:val="auto"/>
              </w:rPr>
              <w:t>FINANCIAL POSITION SUMMARY</w:t>
            </w:r>
          </w:p>
        </w:tc>
        <w:tc>
          <w:tcPr>
            <w:tcW w:w="2800" w:type="dxa"/>
            <w:vAlign w:val="bottom"/>
            <w:tcBorders>
              <w:bottom w:val="single" w:sz="8" w:color="CFF0FC"/>
            </w:tcBorders>
            <w:shd w:val="clear" w:color="auto" w:fill="CFF0FC"/>
          </w:tcPr>
          <w:p>
            <w:pPr>
              <w:spacing w:after="0"/>
              <w:rPr>
                <w:sz w:val="16"/>
                <w:szCs w:val="16"/>
                <w:color w:val="auto"/>
              </w:rPr>
            </w:pPr>
          </w:p>
        </w:tc>
        <w:tc>
          <w:tcPr>
            <w:tcW w:w="60" w:type="dxa"/>
            <w:vAlign w:val="bottom"/>
            <w:tcBorders>
              <w:bottom w:val="single" w:sz="8" w:color="CFF0FC"/>
            </w:tcBorders>
            <w:shd w:val="clear" w:color="auto" w:fill="CFF0FC"/>
          </w:tcPr>
          <w:p>
            <w:pPr>
              <w:spacing w:after="0"/>
              <w:rPr>
                <w:sz w:val="16"/>
                <w:szCs w:val="16"/>
                <w:color w:val="auto"/>
              </w:rPr>
            </w:pPr>
          </w:p>
        </w:tc>
        <w:tc>
          <w:tcPr>
            <w:tcW w:w="100" w:type="dxa"/>
            <w:vAlign w:val="bottom"/>
            <w:tcBorders>
              <w:bottom w:val="single" w:sz="8" w:color="CFF0FC"/>
            </w:tcBorders>
            <w:shd w:val="clear" w:color="auto" w:fill="CFF0FC"/>
          </w:tcPr>
          <w:p>
            <w:pPr>
              <w:spacing w:after="0"/>
              <w:rPr>
                <w:sz w:val="16"/>
                <w:szCs w:val="16"/>
                <w:color w:val="auto"/>
              </w:rPr>
            </w:pPr>
          </w:p>
        </w:tc>
        <w:tc>
          <w:tcPr>
            <w:tcW w:w="960" w:type="dxa"/>
            <w:vAlign w:val="bottom"/>
            <w:tcBorders>
              <w:bottom w:val="single" w:sz="8" w:color="CFF0FC"/>
            </w:tcBorders>
            <w:shd w:val="clear" w:color="auto" w:fill="CFF0FC"/>
          </w:tcPr>
          <w:p>
            <w:pPr>
              <w:spacing w:after="0"/>
              <w:rPr>
                <w:sz w:val="16"/>
                <w:szCs w:val="16"/>
                <w:color w:val="auto"/>
              </w:rPr>
            </w:pPr>
          </w:p>
        </w:tc>
        <w:tc>
          <w:tcPr>
            <w:tcW w:w="100" w:type="dxa"/>
            <w:vAlign w:val="bottom"/>
            <w:tcBorders>
              <w:bottom w:val="single" w:sz="8" w:color="CFF0FC"/>
            </w:tcBorders>
            <w:shd w:val="clear" w:color="auto" w:fill="CFF0FC"/>
          </w:tcPr>
          <w:p>
            <w:pPr>
              <w:spacing w:after="0"/>
              <w:rPr>
                <w:sz w:val="16"/>
                <w:szCs w:val="16"/>
                <w:color w:val="auto"/>
              </w:rPr>
            </w:pPr>
          </w:p>
        </w:tc>
        <w:tc>
          <w:tcPr>
            <w:tcW w:w="20" w:type="dxa"/>
            <w:vAlign w:val="bottom"/>
            <w:tcBorders>
              <w:bottom w:val="single" w:sz="8" w:color="CFF0FC"/>
            </w:tcBorders>
            <w:shd w:val="clear" w:color="auto" w:fill="CFF0FC"/>
          </w:tcPr>
          <w:p>
            <w:pPr>
              <w:spacing w:after="0"/>
              <w:rPr>
                <w:sz w:val="16"/>
                <w:szCs w:val="16"/>
                <w:color w:val="auto"/>
              </w:rPr>
            </w:pPr>
          </w:p>
        </w:tc>
        <w:tc>
          <w:tcPr>
            <w:tcW w:w="120" w:type="dxa"/>
            <w:vAlign w:val="bottom"/>
            <w:tcBorders>
              <w:bottom w:val="single" w:sz="8" w:color="CFF0FC"/>
            </w:tcBorders>
            <w:shd w:val="clear" w:color="auto" w:fill="CFF0FC"/>
          </w:tcPr>
          <w:p>
            <w:pPr>
              <w:spacing w:after="0"/>
              <w:rPr>
                <w:sz w:val="16"/>
                <w:szCs w:val="16"/>
                <w:color w:val="auto"/>
              </w:rPr>
            </w:pPr>
          </w:p>
        </w:tc>
        <w:tc>
          <w:tcPr>
            <w:tcW w:w="960" w:type="dxa"/>
            <w:vAlign w:val="bottom"/>
            <w:tcBorders>
              <w:bottom w:val="single" w:sz="8" w:color="CFF0FC"/>
            </w:tcBorders>
            <w:shd w:val="clear" w:color="auto" w:fill="CFF0FC"/>
          </w:tcPr>
          <w:p>
            <w:pPr>
              <w:spacing w:after="0"/>
              <w:rPr>
                <w:sz w:val="16"/>
                <w:szCs w:val="16"/>
                <w:color w:val="auto"/>
              </w:rPr>
            </w:pPr>
          </w:p>
        </w:tc>
        <w:tc>
          <w:tcPr>
            <w:tcW w:w="80" w:type="dxa"/>
            <w:vAlign w:val="bottom"/>
            <w:tcBorders>
              <w:bottom w:val="single" w:sz="8" w:color="CFF0FC"/>
            </w:tcBorders>
            <w:shd w:val="clear" w:color="auto" w:fill="CFF0FC"/>
          </w:tcPr>
          <w:p>
            <w:pPr>
              <w:spacing w:after="0"/>
              <w:rPr>
                <w:sz w:val="16"/>
                <w:szCs w:val="16"/>
                <w:color w:val="auto"/>
              </w:rPr>
            </w:pPr>
          </w:p>
        </w:tc>
        <w:tc>
          <w:tcPr>
            <w:tcW w:w="40" w:type="dxa"/>
            <w:vAlign w:val="bottom"/>
            <w:tcBorders>
              <w:bottom w:val="single" w:sz="8" w:color="CFF0FC"/>
            </w:tcBorders>
            <w:shd w:val="clear" w:color="auto" w:fill="CFF0FC"/>
          </w:tcPr>
          <w:p>
            <w:pPr>
              <w:spacing w:after="0"/>
              <w:rPr>
                <w:sz w:val="16"/>
                <w:szCs w:val="16"/>
                <w:color w:val="auto"/>
              </w:rPr>
            </w:pPr>
          </w:p>
        </w:tc>
        <w:tc>
          <w:tcPr>
            <w:tcW w:w="80" w:type="dxa"/>
            <w:vAlign w:val="bottom"/>
            <w:tcBorders>
              <w:bottom w:val="single" w:sz="8" w:color="CFF0FC"/>
            </w:tcBorders>
            <w:shd w:val="clear" w:color="auto" w:fill="CFF0FC"/>
          </w:tcPr>
          <w:p>
            <w:pPr>
              <w:spacing w:after="0"/>
              <w:rPr>
                <w:sz w:val="16"/>
                <w:szCs w:val="16"/>
                <w:color w:val="auto"/>
              </w:rPr>
            </w:pPr>
          </w:p>
        </w:tc>
        <w:tc>
          <w:tcPr>
            <w:tcW w:w="60" w:type="dxa"/>
            <w:vAlign w:val="bottom"/>
            <w:tcBorders>
              <w:bottom w:val="single" w:sz="8" w:color="CFF0FC"/>
            </w:tcBorders>
            <w:shd w:val="clear" w:color="auto" w:fill="CFF0FC"/>
          </w:tcPr>
          <w:p>
            <w:pPr>
              <w:spacing w:after="0"/>
              <w:rPr>
                <w:sz w:val="16"/>
                <w:szCs w:val="16"/>
                <w:color w:val="auto"/>
              </w:rPr>
            </w:pPr>
          </w:p>
        </w:tc>
        <w:tc>
          <w:tcPr>
            <w:tcW w:w="960" w:type="dxa"/>
            <w:vAlign w:val="bottom"/>
            <w:tcBorders>
              <w:bottom w:val="single" w:sz="8" w:color="CFF0FC"/>
            </w:tcBorders>
            <w:shd w:val="clear" w:color="auto" w:fill="CFF0FC"/>
          </w:tcPr>
          <w:p>
            <w:pPr>
              <w:spacing w:after="0"/>
              <w:rPr>
                <w:sz w:val="16"/>
                <w:szCs w:val="16"/>
                <w:color w:val="auto"/>
              </w:rPr>
            </w:pPr>
          </w:p>
        </w:tc>
        <w:tc>
          <w:tcPr>
            <w:tcW w:w="100" w:type="dxa"/>
            <w:vAlign w:val="bottom"/>
            <w:tcBorders>
              <w:bottom w:val="single" w:sz="8" w:color="CFF0FC"/>
            </w:tcBorders>
            <w:shd w:val="clear" w:color="auto" w:fill="CFF0FC"/>
          </w:tcPr>
          <w:p>
            <w:pPr>
              <w:spacing w:after="0"/>
              <w:rPr>
                <w:sz w:val="16"/>
                <w:szCs w:val="16"/>
                <w:color w:val="auto"/>
              </w:rPr>
            </w:pPr>
          </w:p>
        </w:tc>
        <w:tc>
          <w:tcPr>
            <w:tcW w:w="20" w:type="dxa"/>
            <w:vAlign w:val="bottom"/>
            <w:tcBorders>
              <w:bottom w:val="single" w:sz="8" w:color="CFF0FC"/>
            </w:tcBorders>
            <w:shd w:val="clear" w:color="auto" w:fill="CFF0FC"/>
          </w:tcPr>
          <w:p>
            <w:pPr>
              <w:spacing w:after="0"/>
              <w:rPr>
                <w:sz w:val="16"/>
                <w:szCs w:val="16"/>
                <w:color w:val="auto"/>
              </w:rPr>
            </w:pPr>
          </w:p>
        </w:tc>
        <w:tc>
          <w:tcPr>
            <w:tcW w:w="120" w:type="dxa"/>
            <w:vAlign w:val="bottom"/>
            <w:tcBorders>
              <w:bottom w:val="single" w:sz="8" w:color="CFF0FC"/>
            </w:tcBorders>
            <w:shd w:val="clear" w:color="auto" w:fill="CFF0FC"/>
          </w:tcPr>
          <w:p>
            <w:pPr>
              <w:spacing w:after="0"/>
              <w:rPr>
                <w:sz w:val="16"/>
                <w:szCs w:val="16"/>
                <w:color w:val="auto"/>
              </w:rPr>
            </w:pPr>
          </w:p>
        </w:tc>
        <w:tc>
          <w:tcPr>
            <w:tcW w:w="960" w:type="dxa"/>
            <w:vAlign w:val="bottom"/>
            <w:tcBorders>
              <w:bottom w:val="single" w:sz="8" w:color="CFF0FC"/>
            </w:tcBorders>
            <w:shd w:val="clear" w:color="auto" w:fill="CFF0FC"/>
          </w:tcPr>
          <w:p>
            <w:pPr>
              <w:spacing w:after="0"/>
              <w:rPr>
                <w:sz w:val="16"/>
                <w:szCs w:val="16"/>
                <w:color w:val="auto"/>
              </w:rPr>
            </w:pPr>
          </w:p>
        </w:tc>
        <w:tc>
          <w:tcPr>
            <w:tcW w:w="120" w:type="dxa"/>
            <w:vAlign w:val="bottom"/>
            <w:tcBorders>
              <w:bottom w:val="single" w:sz="8" w:color="CFF0FC"/>
            </w:tcBorders>
            <w:shd w:val="clear" w:color="auto" w:fill="CFF0FC"/>
          </w:tcPr>
          <w:p>
            <w:pPr>
              <w:spacing w:after="0"/>
              <w:rPr>
                <w:sz w:val="16"/>
                <w:szCs w:val="16"/>
                <w:color w:val="auto"/>
              </w:rPr>
            </w:pPr>
          </w:p>
        </w:tc>
        <w:tc>
          <w:tcPr>
            <w:tcW w:w="100" w:type="dxa"/>
            <w:vAlign w:val="bottom"/>
            <w:tcBorders>
              <w:bottom w:val="single" w:sz="8" w:color="CFF0FC"/>
            </w:tcBorders>
            <w:shd w:val="clear" w:color="auto" w:fill="CFF0FC"/>
          </w:tcPr>
          <w:p>
            <w:pPr>
              <w:spacing w:after="0"/>
              <w:rPr>
                <w:sz w:val="16"/>
                <w:szCs w:val="16"/>
                <w:color w:val="auto"/>
              </w:rPr>
            </w:pPr>
          </w:p>
        </w:tc>
        <w:tc>
          <w:tcPr>
            <w:tcW w:w="940" w:type="dxa"/>
            <w:vAlign w:val="bottom"/>
            <w:tcBorders>
              <w:bottom w:val="single" w:sz="8" w:color="CFF0FC"/>
            </w:tcBorders>
            <w:shd w:val="clear" w:color="auto" w:fill="CFF0FC"/>
          </w:tcPr>
          <w:p>
            <w:pPr>
              <w:spacing w:after="0"/>
              <w:rPr>
                <w:sz w:val="16"/>
                <w:szCs w:val="16"/>
                <w:color w:val="auto"/>
              </w:rPr>
            </w:pPr>
          </w:p>
        </w:tc>
        <w:tc>
          <w:tcPr>
            <w:tcW w:w="60" w:type="dxa"/>
            <w:vAlign w:val="bottom"/>
            <w:tcBorders>
              <w:bottom w:val="single" w:sz="8" w:color="CFF0FC"/>
            </w:tcBorders>
            <w:shd w:val="clear" w:color="auto" w:fill="CFF0FC"/>
          </w:tcPr>
          <w:p>
            <w:pPr>
              <w:spacing w:after="0"/>
              <w:rPr>
                <w:sz w:val="16"/>
                <w:szCs w:val="16"/>
                <w:color w:val="auto"/>
              </w:rPr>
            </w:pPr>
          </w:p>
        </w:tc>
      </w:tr>
      <w:tr>
        <w:trPr>
          <w:trHeight w:val="210"/>
        </w:trPr>
        <w:tc>
          <w:tcPr>
            <w:tcW w:w="20" w:type="dxa"/>
            <w:vAlign w:val="bottom"/>
          </w:tcPr>
          <w:p>
            <w:pPr>
              <w:spacing w:after="0"/>
              <w:rPr>
                <w:sz w:val="18"/>
                <w:szCs w:val="18"/>
                <w:color w:val="auto"/>
              </w:rPr>
            </w:pPr>
          </w:p>
        </w:tc>
        <w:tc>
          <w:tcPr>
            <w:tcW w:w="5440" w:type="dxa"/>
            <w:vAlign w:val="bottom"/>
            <w:gridSpan w:val="3"/>
          </w:tcPr>
          <w:p>
            <w:pPr>
              <w:spacing w:after="0"/>
              <w:rPr>
                <w:sz w:val="20"/>
                <w:szCs w:val="20"/>
                <w:color w:val="auto"/>
              </w:rPr>
            </w:pPr>
            <w:r>
              <w:rPr>
                <w:rFonts w:ascii="Arial" w:cs="Arial" w:eastAsia="Arial" w:hAnsi="Arial"/>
                <w:sz w:val="16"/>
                <w:szCs w:val="16"/>
                <w:b w:val="1"/>
                <w:bCs w:val="1"/>
                <w:color w:val="auto"/>
              </w:rPr>
              <w:t>CASH AND CASH EQUIVALENTS (b)</w:t>
            </w:r>
          </w:p>
        </w:tc>
        <w:tc>
          <w:tcPr>
            <w:tcW w:w="160" w:type="dxa"/>
            <w:vAlign w:val="bottom"/>
            <w:gridSpan w:val="2"/>
          </w:tcPr>
          <w:p>
            <w:pPr>
              <w:jc w:val="right"/>
              <w:ind w:right="20"/>
              <w:spacing w:after="0"/>
              <w:rPr>
                <w:sz w:val="20"/>
                <w:szCs w:val="20"/>
                <w:color w:val="auto"/>
              </w:rPr>
            </w:pPr>
            <w:r>
              <w:rPr>
                <w:rFonts w:ascii="Arial" w:cs="Arial" w:eastAsia="Arial" w:hAnsi="Arial"/>
                <w:sz w:val="16"/>
                <w:szCs w:val="16"/>
                <w:b w:val="1"/>
                <w:bCs w:val="1"/>
                <w:color w:val="auto"/>
              </w:rPr>
              <w:t>$</w:t>
            </w:r>
          </w:p>
        </w:tc>
        <w:tc>
          <w:tcPr>
            <w:tcW w:w="960" w:type="dxa"/>
            <w:vAlign w:val="bottom"/>
          </w:tcPr>
          <w:p>
            <w:pPr>
              <w:jc w:val="right"/>
              <w:spacing w:after="0"/>
              <w:rPr>
                <w:sz w:val="20"/>
                <w:szCs w:val="20"/>
                <w:color w:val="auto"/>
              </w:rPr>
            </w:pPr>
            <w:r>
              <w:rPr>
                <w:rFonts w:ascii="Arial" w:cs="Arial" w:eastAsia="Arial" w:hAnsi="Arial"/>
                <w:sz w:val="16"/>
                <w:szCs w:val="16"/>
                <w:b w:val="1"/>
                <w:bCs w:val="1"/>
                <w:color w:val="auto"/>
              </w:rPr>
              <w:t>24,838,567</w:t>
            </w:r>
          </w:p>
        </w:tc>
        <w:tc>
          <w:tcPr>
            <w:tcW w:w="100" w:type="dxa"/>
            <w:vAlign w:val="bottom"/>
          </w:tcPr>
          <w:p>
            <w:pPr>
              <w:spacing w:after="0"/>
              <w:rPr>
                <w:sz w:val="18"/>
                <w:szCs w:val="18"/>
                <w:color w:val="auto"/>
              </w:rPr>
            </w:pPr>
          </w:p>
        </w:tc>
        <w:tc>
          <w:tcPr>
            <w:tcW w:w="140" w:type="dxa"/>
            <w:vAlign w:val="bottom"/>
            <w:gridSpan w:val="2"/>
          </w:tcPr>
          <w:p>
            <w:pPr>
              <w:jc w:val="right"/>
              <w:ind w:right="40"/>
              <w:spacing w:after="0"/>
              <w:rPr>
                <w:sz w:val="20"/>
                <w:szCs w:val="20"/>
                <w:color w:val="auto"/>
              </w:rPr>
            </w:pPr>
            <w:r>
              <w:rPr>
                <w:rFonts w:ascii="Arial" w:cs="Arial" w:eastAsia="Arial" w:hAnsi="Arial"/>
                <w:sz w:val="16"/>
                <w:szCs w:val="16"/>
                <w:b w:val="1"/>
                <w:bCs w:val="1"/>
                <w:color w:val="auto"/>
                <w:w w:val="89"/>
              </w:rPr>
              <w:t>$</w:t>
            </w:r>
          </w:p>
        </w:tc>
        <w:tc>
          <w:tcPr>
            <w:tcW w:w="960" w:type="dxa"/>
            <w:vAlign w:val="bottom"/>
          </w:tcPr>
          <w:p>
            <w:pPr>
              <w:jc w:val="right"/>
              <w:spacing w:after="0"/>
              <w:rPr>
                <w:sz w:val="20"/>
                <w:szCs w:val="20"/>
                <w:color w:val="auto"/>
              </w:rPr>
            </w:pPr>
            <w:r>
              <w:rPr>
                <w:rFonts w:ascii="Arial" w:cs="Arial" w:eastAsia="Arial" w:hAnsi="Arial"/>
                <w:sz w:val="16"/>
                <w:szCs w:val="16"/>
                <w:b w:val="1"/>
                <w:bCs w:val="1"/>
                <w:color w:val="auto"/>
              </w:rPr>
              <w:t>85,366,448</w:t>
            </w:r>
          </w:p>
        </w:tc>
        <w:tc>
          <w:tcPr>
            <w:tcW w:w="80" w:type="dxa"/>
            <w:vAlign w:val="bottom"/>
          </w:tcPr>
          <w:p>
            <w:pPr>
              <w:spacing w:after="0"/>
              <w:rPr>
                <w:sz w:val="18"/>
                <w:szCs w:val="18"/>
                <w:color w:val="auto"/>
              </w:rPr>
            </w:pPr>
          </w:p>
        </w:tc>
        <w:tc>
          <w:tcPr>
            <w:tcW w:w="120" w:type="dxa"/>
            <w:vAlign w:val="bottom"/>
            <w:gridSpan w:val="2"/>
          </w:tcPr>
          <w:p>
            <w:pPr>
              <w:jc w:val="right"/>
              <w:spacing w:after="0"/>
              <w:rPr>
                <w:sz w:val="20"/>
                <w:szCs w:val="20"/>
                <w:color w:val="auto"/>
              </w:rPr>
            </w:pPr>
            <w:r>
              <w:rPr>
                <w:rFonts w:ascii="Arial" w:cs="Arial" w:eastAsia="Arial" w:hAnsi="Arial"/>
                <w:sz w:val="16"/>
                <w:szCs w:val="16"/>
                <w:b w:val="1"/>
                <w:bCs w:val="1"/>
                <w:color w:val="auto"/>
              </w:rPr>
              <w:t>$</w:t>
            </w:r>
          </w:p>
        </w:tc>
        <w:tc>
          <w:tcPr>
            <w:tcW w:w="1020" w:type="dxa"/>
            <w:vAlign w:val="bottom"/>
            <w:gridSpan w:val="2"/>
          </w:tcPr>
          <w:p>
            <w:pPr>
              <w:jc w:val="right"/>
              <w:spacing w:after="0"/>
              <w:rPr>
                <w:sz w:val="20"/>
                <w:szCs w:val="20"/>
                <w:color w:val="auto"/>
              </w:rPr>
            </w:pPr>
            <w:r>
              <w:rPr>
                <w:rFonts w:ascii="Arial" w:cs="Arial" w:eastAsia="Arial" w:hAnsi="Arial"/>
                <w:sz w:val="16"/>
                <w:szCs w:val="16"/>
                <w:b w:val="1"/>
                <w:bCs w:val="1"/>
                <w:color w:val="auto"/>
              </w:rPr>
              <w:t>81,214,354</w:t>
            </w:r>
          </w:p>
        </w:tc>
        <w:tc>
          <w:tcPr>
            <w:tcW w:w="100" w:type="dxa"/>
            <w:vAlign w:val="bottom"/>
          </w:tcPr>
          <w:p>
            <w:pPr>
              <w:spacing w:after="0"/>
              <w:rPr>
                <w:sz w:val="18"/>
                <w:szCs w:val="18"/>
                <w:color w:val="auto"/>
              </w:rPr>
            </w:pPr>
          </w:p>
        </w:tc>
        <w:tc>
          <w:tcPr>
            <w:tcW w:w="140" w:type="dxa"/>
            <w:vAlign w:val="bottom"/>
            <w:gridSpan w:val="2"/>
          </w:tcPr>
          <w:p>
            <w:pPr>
              <w:jc w:val="right"/>
              <w:ind w:right="40"/>
              <w:spacing w:after="0"/>
              <w:rPr>
                <w:sz w:val="20"/>
                <w:szCs w:val="20"/>
                <w:color w:val="auto"/>
              </w:rPr>
            </w:pPr>
            <w:r>
              <w:rPr>
                <w:rFonts w:ascii="Arial" w:cs="Arial" w:eastAsia="Arial" w:hAnsi="Arial"/>
                <w:sz w:val="16"/>
                <w:szCs w:val="16"/>
                <w:b w:val="1"/>
                <w:bCs w:val="1"/>
                <w:color w:val="auto"/>
                <w:w w:val="89"/>
              </w:rPr>
              <w:t>$</w:t>
            </w:r>
          </w:p>
        </w:tc>
        <w:tc>
          <w:tcPr>
            <w:tcW w:w="960" w:type="dxa"/>
            <w:vAlign w:val="bottom"/>
          </w:tcPr>
          <w:p>
            <w:pPr>
              <w:jc w:val="right"/>
              <w:spacing w:after="0"/>
              <w:rPr>
                <w:sz w:val="20"/>
                <w:szCs w:val="20"/>
                <w:color w:val="auto"/>
              </w:rPr>
            </w:pPr>
            <w:r>
              <w:rPr>
                <w:rFonts w:ascii="Arial" w:cs="Arial" w:eastAsia="Arial" w:hAnsi="Arial"/>
                <w:sz w:val="16"/>
                <w:szCs w:val="16"/>
                <w:b w:val="1"/>
                <w:bCs w:val="1"/>
                <w:color w:val="auto"/>
              </w:rPr>
              <w:t>132,510,610</w:t>
            </w:r>
          </w:p>
        </w:tc>
        <w:tc>
          <w:tcPr>
            <w:tcW w:w="12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b w:val="1"/>
                <w:bCs w:val="1"/>
                <w:color w:val="auto"/>
                <w:w w:val="71"/>
              </w:rPr>
              <w:t>$</w:t>
            </w:r>
          </w:p>
        </w:tc>
        <w:tc>
          <w:tcPr>
            <w:tcW w:w="940" w:type="dxa"/>
            <w:vAlign w:val="bottom"/>
          </w:tcPr>
          <w:p>
            <w:pPr>
              <w:jc w:val="right"/>
              <w:spacing w:after="0"/>
              <w:rPr>
                <w:sz w:val="20"/>
                <w:szCs w:val="20"/>
                <w:color w:val="auto"/>
              </w:rPr>
            </w:pPr>
            <w:r>
              <w:rPr>
                <w:rFonts w:ascii="Arial" w:cs="Arial" w:eastAsia="Arial" w:hAnsi="Arial"/>
                <w:sz w:val="16"/>
                <w:szCs w:val="16"/>
                <w:b w:val="1"/>
                <w:bCs w:val="1"/>
                <w:color w:val="auto"/>
              </w:rPr>
              <w:t>19,114,444</w:t>
            </w:r>
          </w:p>
        </w:tc>
        <w:tc>
          <w:tcPr>
            <w:tcW w:w="60" w:type="dxa"/>
            <w:vAlign w:val="bottom"/>
          </w:tcPr>
          <w:p>
            <w:pPr>
              <w:spacing w:after="0"/>
              <w:rPr>
                <w:sz w:val="18"/>
                <w:szCs w:val="18"/>
                <w:color w:val="auto"/>
              </w:rPr>
            </w:pPr>
          </w:p>
        </w:tc>
      </w:tr>
      <w:tr>
        <w:trPr>
          <w:trHeight w:val="222"/>
        </w:trPr>
        <w:tc>
          <w:tcPr>
            <w:tcW w:w="20" w:type="dxa"/>
            <w:vAlign w:val="bottom"/>
          </w:tcPr>
          <w:p>
            <w:pPr>
              <w:spacing w:after="0"/>
              <w:rPr>
                <w:sz w:val="19"/>
                <w:szCs w:val="19"/>
                <w:color w:val="auto"/>
              </w:rPr>
            </w:pPr>
          </w:p>
        </w:tc>
        <w:tc>
          <w:tcPr>
            <w:tcW w:w="5440" w:type="dxa"/>
            <w:vAlign w:val="bottom"/>
            <w:gridSpan w:val="3"/>
            <w:shd w:val="clear" w:color="auto" w:fill="CFF0FC"/>
          </w:tcPr>
          <w:p>
            <w:pPr>
              <w:spacing w:after="0"/>
              <w:rPr>
                <w:sz w:val="20"/>
                <w:szCs w:val="20"/>
                <w:color w:val="auto"/>
              </w:rPr>
            </w:pPr>
            <w:r>
              <w:rPr>
                <w:rFonts w:ascii="Arial" w:cs="Arial" w:eastAsia="Arial" w:hAnsi="Arial"/>
                <w:sz w:val="16"/>
                <w:szCs w:val="16"/>
                <w:b w:val="1"/>
                <w:bCs w:val="1"/>
                <w:color w:val="auto"/>
              </w:rPr>
              <w:t>SHORT- AND LONG-TERM INVESTMENTS (b)</w:t>
            </w:r>
          </w:p>
        </w:tc>
        <w:tc>
          <w:tcPr>
            <w:tcW w:w="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6"/>
                <w:szCs w:val="16"/>
                <w:b w:val="1"/>
                <w:bCs w:val="1"/>
                <w:color w:val="auto"/>
              </w:rPr>
              <w:t>40,769,539</w:t>
            </w:r>
          </w:p>
        </w:tc>
        <w:tc>
          <w:tcPr>
            <w:tcW w:w="1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6"/>
                <w:szCs w:val="16"/>
                <w:b w:val="1"/>
                <w:bCs w:val="1"/>
                <w:color w:val="auto"/>
              </w:rPr>
              <w:t>-</w:t>
            </w:r>
          </w:p>
        </w:tc>
        <w:tc>
          <w:tcPr>
            <w:tcW w:w="8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20" w:type="dxa"/>
            <w:vAlign w:val="bottom"/>
            <w:gridSpan w:val="2"/>
            <w:shd w:val="clear" w:color="auto" w:fill="CFF0FC"/>
          </w:tcPr>
          <w:p>
            <w:pPr>
              <w:jc w:val="right"/>
              <w:spacing w:after="0"/>
              <w:rPr>
                <w:sz w:val="20"/>
                <w:szCs w:val="20"/>
                <w:color w:val="auto"/>
              </w:rPr>
            </w:pPr>
            <w:r>
              <w:rPr>
                <w:rFonts w:ascii="Arial" w:cs="Arial" w:eastAsia="Arial" w:hAnsi="Arial"/>
                <w:sz w:val="16"/>
                <w:szCs w:val="16"/>
                <w:b w:val="1"/>
                <w:bCs w:val="1"/>
                <w:color w:val="auto"/>
              </w:rPr>
              <w:t>17,539,902</w:t>
            </w:r>
          </w:p>
        </w:tc>
        <w:tc>
          <w:tcPr>
            <w:tcW w:w="1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6"/>
                <w:szCs w:val="16"/>
                <w:b w:val="1"/>
                <w:bCs w:val="1"/>
                <w:color w:val="auto"/>
              </w:rPr>
              <w:t>44,741,378</w:t>
            </w:r>
          </w:p>
        </w:tc>
        <w:tc>
          <w:tcPr>
            <w:tcW w:w="1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6"/>
                <w:szCs w:val="16"/>
                <w:b w:val="1"/>
                <w:bCs w:val="1"/>
                <w:color w:val="auto"/>
              </w:rPr>
              <w:t>10,732,414</w:t>
            </w:r>
          </w:p>
        </w:tc>
        <w:tc>
          <w:tcPr>
            <w:tcW w:w="60" w:type="dxa"/>
            <w:vAlign w:val="bottom"/>
            <w:shd w:val="clear" w:color="auto" w:fill="CFF0FC"/>
          </w:tcPr>
          <w:p>
            <w:pPr>
              <w:spacing w:after="0"/>
              <w:rPr>
                <w:sz w:val="19"/>
                <w:szCs w:val="19"/>
                <w:color w:val="auto"/>
              </w:rPr>
            </w:pPr>
          </w:p>
        </w:tc>
      </w:tr>
      <w:tr>
        <w:trPr>
          <w:trHeight w:val="210"/>
        </w:trPr>
        <w:tc>
          <w:tcPr>
            <w:tcW w:w="20" w:type="dxa"/>
            <w:vAlign w:val="bottom"/>
          </w:tcPr>
          <w:p>
            <w:pPr>
              <w:spacing w:after="0"/>
              <w:rPr>
                <w:sz w:val="18"/>
                <w:szCs w:val="18"/>
                <w:color w:val="auto"/>
              </w:rPr>
            </w:pPr>
          </w:p>
        </w:tc>
        <w:tc>
          <w:tcPr>
            <w:tcW w:w="5440" w:type="dxa"/>
            <w:vAlign w:val="bottom"/>
            <w:gridSpan w:val="3"/>
          </w:tcPr>
          <w:p>
            <w:pPr>
              <w:spacing w:after="0"/>
              <w:rPr>
                <w:sz w:val="20"/>
                <w:szCs w:val="20"/>
                <w:color w:val="auto"/>
              </w:rPr>
            </w:pPr>
            <w:r>
              <w:rPr>
                <w:rFonts w:ascii="Arial" w:cs="Arial" w:eastAsia="Arial" w:hAnsi="Arial"/>
                <w:sz w:val="16"/>
                <w:szCs w:val="16"/>
                <w:b w:val="1"/>
                <w:bCs w:val="1"/>
                <w:color w:val="auto"/>
              </w:rPr>
              <w:t>TOTAL ASSETS (c)</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b w:val="1"/>
                <w:bCs w:val="1"/>
                <w:color w:val="auto"/>
              </w:rPr>
              <w:t>104,022,280</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b w:val="1"/>
                <w:bCs w:val="1"/>
                <w:color w:val="auto"/>
              </w:rPr>
              <w:t>128,176,505</w:t>
            </w: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gridSpan w:val="2"/>
          </w:tcPr>
          <w:p>
            <w:pPr>
              <w:jc w:val="right"/>
              <w:spacing w:after="0"/>
              <w:rPr>
                <w:sz w:val="20"/>
                <w:szCs w:val="20"/>
                <w:color w:val="auto"/>
              </w:rPr>
            </w:pPr>
            <w:r>
              <w:rPr>
                <w:rFonts w:ascii="Arial" w:cs="Arial" w:eastAsia="Arial" w:hAnsi="Arial"/>
                <w:sz w:val="16"/>
                <w:szCs w:val="16"/>
                <w:b w:val="1"/>
                <w:bCs w:val="1"/>
                <w:color w:val="auto"/>
              </w:rPr>
              <w:t>132,267,914</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b w:val="1"/>
                <w:bCs w:val="1"/>
                <w:color w:val="auto"/>
              </w:rPr>
              <w:t>182,816,756</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b w:val="1"/>
                <w:bCs w:val="1"/>
                <w:color w:val="auto"/>
              </w:rPr>
              <w:t>37,329,631</w:t>
            </w:r>
          </w:p>
        </w:tc>
        <w:tc>
          <w:tcPr>
            <w:tcW w:w="60" w:type="dxa"/>
            <w:vAlign w:val="bottom"/>
          </w:tcPr>
          <w:p>
            <w:pPr>
              <w:spacing w:after="0"/>
              <w:rPr>
                <w:sz w:val="18"/>
                <w:szCs w:val="18"/>
                <w:color w:val="auto"/>
              </w:rPr>
            </w:pPr>
          </w:p>
        </w:tc>
      </w:tr>
      <w:tr>
        <w:trPr>
          <w:trHeight w:val="222"/>
        </w:trPr>
        <w:tc>
          <w:tcPr>
            <w:tcW w:w="20" w:type="dxa"/>
            <w:vAlign w:val="bottom"/>
          </w:tcPr>
          <w:p>
            <w:pPr>
              <w:spacing w:after="0"/>
              <w:rPr>
                <w:sz w:val="19"/>
                <w:szCs w:val="19"/>
                <w:color w:val="auto"/>
              </w:rPr>
            </w:pPr>
          </w:p>
        </w:tc>
        <w:tc>
          <w:tcPr>
            <w:tcW w:w="5440" w:type="dxa"/>
            <w:vAlign w:val="bottom"/>
            <w:gridSpan w:val="3"/>
            <w:shd w:val="clear" w:color="auto" w:fill="CFF0FC"/>
          </w:tcPr>
          <w:p>
            <w:pPr>
              <w:spacing w:after="0"/>
              <w:rPr>
                <w:sz w:val="20"/>
                <w:szCs w:val="20"/>
                <w:color w:val="auto"/>
              </w:rPr>
            </w:pPr>
            <w:r>
              <w:rPr>
                <w:rFonts w:ascii="Arial" w:cs="Arial" w:eastAsia="Arial" w:hAnsi="Arial"/>
                <w:sz w:val="16"/>
                <w:szCs w:val="16"/>
                <w:b w:val="1"/>
                <w:bCs w:val="1"/>
                <w:color w:val="auto"/>
              </w:rPr>
              <w:t>CAPITAL LEASE OBLIGATIONS</w:t>
            </w:r>
          </w:p>
        </w:tc>
        <w:tc>
          <w:tcPr>
            <w:tcW w:w="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6"/>
                <w:szCs w:val="16"/>
                <w:b w:val="1"/>
                <w:bCs w:val="1"/>
                <w:color w:val="auto"/>
              </w:rPr>
              <w:t>-</w:t>
            </w:r>
          </w:p>
        </w:tc>
        <w:tc>
          <w:tcPr>
            <w:tcW w:w="1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6"/>
                <w:szCs w:val="16"/>
                <w:b w:val="1"/>
                <w:bCs w:val="1"/>
                <w:color w:val="auto"/>
              </w:rPr>
              <w:t>-</w:t>
            </w:r>
          </w:p>
        </w:tc>
        <w:tc>
          <w:tcPr>
            <w:tcW w:w="8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20" w:type="dxa"/>
            <w:vAlign w:val="bottom"/>
            <w:gridSpan w:val="2"/>
            <w:shd w:val="clear" w:color="auto" w:fill="CFF0FC"/>
          </w:tcPr>
          <w:p>
            <w:pPr>
              <w:jc w:val="right"/>
              <w:spacing w:after="0"/>
              <w:rPr>
                <w:sz w:val="20"/>
                <w:szCs w:val="20"/>
                <w:color w:val="auto"/>
              </w:rPr>
            </w:pPr>
            <w:r>
              <w:rPr>
                <w:rFonts w:ascii="Arial" w:cs="Arial" w:eastAsia="Arial" w:hAnsi="Arial"/>
                <w:sz w:val="16"/>
                <w:szCs w:val="16"/>
                <w:b w:val="1"/>
                <w:bCs w:val="1"/>
                <w:color w:val="auto"/>
              </w:rPr>
              <w:t>758,340</w:t>
            </w:r>
          </w:p>
        </w:tc>
        <w:tc>
          <w:tcPr>
            <w:tcW w:w="1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6"/>
                <w:szCs w:val="16"/>
                <w:b w:val="1"/>
                <w:bCs w:val="1"/>
                <w:color w:val="auto"/>
              </w:rPr>
              <w:t>972,331</w:t>
            </w:r>
          </w:p>
        </w:tc>
        <w:tc>
          <w:tcPr>
            <w:tcW w:w="1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6"/>
                <w:szCs w:val="16"/>
                <w:b w:val="1"/>
                <w:bCs w:val="1"/>
                <w:color w:val="auto"/>
              </w:rPr>
              <w:t>1,282,458</w:t>
            </w:r>
          </w:p>
        </w:tc>
        <w:tc>
          <w:tcPr>
            <w:tcW w:w="60" w:type="dxa"/>
            <w:vAlign w:val="bottom"/>
            <w:shd w:val="clear" w:color="auto" w:fill="CFF0FC"/>
          </w:tcPr>
          <w:p>
            <w:pPr>
              <w:spacing w:after="0"/>
              <w:rPr>
                <w:sz w:val="19"/>
                <w:szCs w:val="19"/>
                <w:color w:val="auto"/>
              </w:rPr>
            </w:pPr>
          </w:p>
        </w:tc>
      </w:tr>
      <w:tr>
        <w:trPr>
          <w:trHeight w:val="210"/>
        </w:trPr>
        <w:tc>
          <w:tcPr>
            <w:tcW w:w="20" w:type="dxa"/>
            <w:vAlign w:val="bottom"/>
          </w:tcPr>
          <w:p>
            <w:pPr>
              <w:spacing w:after="0"/>
              <w:rPr>
                <w:sz w:val="18"/>
                <w:szCs w:val="18"/>
                <w:color w:val="auto"/>
              </w:rPr>
            </w:pPr>
          </w:p>
        </w:tc>
        <w:tc>
          <w:tcPr>
            <w:tcW w:w="5440" w:type="dxa"/>
            <w:vAlign w:val="bottom"/>
            <w:gridSpan w:val="3"/>
          </w:tcPr>
          <w:p>
            <w:pPr>
              <w:spacing w:after="0"/>
              <w:rPr>
                <w:sz w:val="20"/>
                <w:szCs w:val="20"/>
                <w:color w:val="auto"/>
              </w:rPr>
            </w:pPr>
            <w:r>
              <w:rPr>
                <w:rFonts w:ascii="Arial" w:cs="Arial" w:eastAsia="Arial" w:hAnsi="Arial"/>
                <w:sz w:val="16"/>
                <w:szCs w:val="16"/>
                <w:b w:val="1"/>
                <w:bCs w:val="1"/>
                <w:color w:val="auto"/>
              </w:rPr>
              <w:t>OTHER LONG-TERM OBLIGATIONS</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b w:val="1"/>
                <w:bCs w:val="1"/>
                <w:color w:val="auto"/>
              </w:rPr>
              <w:t>4,454,070</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b w:val="1"/>
                <w:bCs w:val="1"/>
                <w:color w:val="auto"/>
              </w:rPr>
              <w:t>7,508,452</w:t>
            </w: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gridSpan w:val="2"/>
          </w:tcPr>
          <w:p>
            <w:pPr>
              <w:jc w:val="right"/>
              <w:spacing w:after="0"/>
              <w:rPr>
                <w:sz w:val="20"/>
                <w:szCs w:val="20"/>
                <w:color w:val="auto"/>
              </w:rPr>
            </w:pPr>
            <w:r>
              <w:rPr>
                <w:rFonts w:ascii="Arial" w:cs="Arial" w:eastAsia="Arial" w:hAnsi="Arial"/>
                <w:sz w:val="16"/>
                <w:szCs w:val="16"/>
                <w:b w:val="1"/>
                <w:bCs w:val="1"/>
                <w:color w:val="auto"/>
              </w:rPr>
              <w:t>6,204,917</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b w:val="1"/>
                <w:bCs w:val="1"/>
                <w:color w:val="auto"/>
              </w:rPr>
              <w:t>4,226,137</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b w:val="1"/>
                <w:bCs w:val="1"/>
                <w:color w:val="auto"/>
              </w:rPr>
              <w:t>1,808,709</w:t>
            </w:r>
          </w:p>
        </w:tc>
        <w:tc>
          <w:tcPr>
            <w:tcW w:w="60" w:type="dxa"/>
            <w:vAlign w:val="bottom"/>
          </w:tcPr>
          <w:p>
            <w:pPr>
              <w:spacing w:after="0"/>
              <w:rPr>
                <w:sz w:val="18"/>
                <w:szCs w:val="18"/>
                <w:color w:val="auto"/>
              </w:rPr>
            </w:pPr>
          </w:p>
        </w:tc>
      </w:tr>
    </w:tbl>
    <w:p>
      <w:pPr>
        <w:spacing w:after="0" w:line="234" w:lineRule="exact"/>
        <w:rPr>
          <w:sz w:val="20"/>
          <w:szCs w:val="20"/>
          <w:color w:val="auto"/>
        </w:rPr>
      </w:pPr>
    </w:p>
    <w:p>
      <w:pPr>
        <w:ind w:left="760" w:right="40" w:hanging="374"/>
        <w:spacing w:after="0" w:line="256" w:lineRule="auto"/>
        <w:tabs>
          <w:tab w:leader="none" w:pos="7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decrease in our Total Operating Expenses during the year ended September 30, 2017 is primarily due to the Company’s decision to discontinue its previous clinical trial candidates: ARC-520, ARC-AAT and ARC-521. However, we expect research and development expenses to increase as our next generation candidates progress toward the clinic.</w:t>
      </w:r>
    </w:p>
    <w:p>
      <w:pPr>
        <w:ind w:left="760" w:right="400" w:hanging="374"/>
        <w:spacing w:after="0" w:line="265" w:lineRule="auto"/>
        <w:tabs>
          <w:tab w:leader="none" w:pos="760" w:val="left"/>
        </w:tabs>
        <w:numPr>
          <w:ilvl w:val="0"/>
          <w:numId w:val="26"/>
        </w:numPr>
        <w:rPr>
          <w:rFonts w:ascii="Arial" w:cs="Arial" w:eastAsia="Arial" w:hAnsi="Arial"/>
          <w:sz w:val="17"/>
          <w:szCs w:val="17"/>
          <w:color w:val="auto"/>
        </w:rPr>
      </w:pPr>
      <w:r>
        <w:rPr>
          <w:rFonts w:ascii="Arial" w:cs="Arial" w:eastAsia="Arial" w:hAnsi="Arial"/>
          <w:sz w:val="17"/>
          <w:szCs w:val="17"/>
          <w:color w:val="auto"/>
        </w:rPr>
        <w:t>The Company’s Cash and Cash Equivalents decreased from September 30, 2016 to September 30, 2017 due primarily to the Company’s $40.8 million investments in fixed-income debt securities, as well as cash used in research and development expenditures.</w:t>
      </w:r>
    </w:p>
    <w:p>
      <w:pPr>
        <w:ind w:left="760" w:right="260" w:hanging="374"/>
        <w:spacing w:after="0" w:line="261" w:lineRule="auto"/>
        <w:tabs>
          <w:tab w:leader="none" w:pos="7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Company’s Total Assets decreased from September 30, 2016 to September 30, 2017 due primarly to cash used in research and development expenditures.</w:t>
      </w: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40" w:name="page41"/>
    <w:bookmarkEnd w:id="40"/>
    <w:p>
      <w:pPr>
        <w:ind w:right="1060"/>
        <w:spacing w:after="0" w:line="378" w:lineRule="auto"/>
        <w:rPr>
          <w:sz w:val="20"/>
          <w:szCs w:val="20"/>
          <w:color w:val="auto"/>
        </w:rPr>
      </w:pPr>
      <w:r>
        <w:rPr>
          <w:rFonts w:ascii="Arial" w:cs="Arial" w:eastAsia="Arial" w:hAnsi="Arial"/>
          <w:sz w:val="18"/>
          <w:szCs w:val="18"/>
          <w:b w:val="1"/>
          <w:bCs w:val="1"/>
          <w:color w:val="auto"/>
        </w:rPr>
        <w:t>ITEM 7. MANAGEMENT’S DISCUSSION AND ANALYSIS OF FINANCIAL CONDITION AND RESULTS OF OPERATIONS Description of Business</w:t>
      </w:r>
    </w:p>
    <w:p>
      <w:pPr>
        <w:ind w:firstLine="518"/>
        <w:spacing w:after="0" w:line="276" w:lineRule="auto"/>
        <w:rPr>
          <w:sz w:val="20"/>
          <w:szCs w:val="20"/>
          <w:color w:val="auto"/>
        </w:rPr>
      </w:pPr>
      <w:r>
        <w:rPr>
          <w:rFonts w:ascii="Arial" w:cs="Arial" w:eastAsia="Arial" w:hAnsi="Arial"/>
          <w:sz w:val="17"/>
          <w:szCs w:val="17"/>
          <w:i w:val="1"/>
          <w:iCs w:val="1"/>
          <w:color w:val="auto"/>
        </w:rPr>
        <w:t>Unless otherwise noted, (1) the term “Arrowhead” refers to Arrowhead Pharmaceuticals, Inc., a Delaware corporation, (2) the terms “Company,” “we,” “us,” and “our,” refer to the ongoing business operations of Arrowhead and its Subsidiaries, whether conducted through Arrowhead or a subsidiary of Arrowhead, (3) the term “Subsidiaries” refers collectively to Arrowhead Madison Inc. (“Arrowhead Madison”), Arrowhead Australia Pty Ltd (“Arrowhead Australia”) and Ablaris Therapeutics, Inc. (“Ablaris”), (4) the term “Common Stock” refers to Arrowhead’s Common Stock, (5) the term “Preferred Stock” refers to Arrowhead’s Preferred Stock and (6) the term “Stockholder(s)” refers to the holders of Arrowhead Common Stock.</w:t>
      </w:r>
    </w:p>
    <w:p>
      <w:pPr>
        <w:spacing w:after="0" w:line="2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00" w:lineRule="exact"/>
        <w:rPr>
          <w:sz w:val="20"/>
          <w:szCs w:val="20"/>
          <w:color w:val="auto"/>
        </w:rPr>
      </w:pPr>
    </w:p>
    <w:p>
      <w:pPr>
        <w:spacing w:after="0" w:line="245" w:lineRule="exact"/>
        <w:rPr>
          <w:sz w:val="20"/>
          <w:szCs w:val="20"/>
          <w:color w:val="auto"/>
        </w:rPr>
      </w:pPr>
    </w:p>
    <w:p>
      <w:pPr>
        <w:ind w:right="140" w:firstLine="665"/>
        <w:spacing w:after="0" w:line="270" w:lineRule="auto"/>
        <w:rPr>
          <w:sz w:val="20"/>
          <w:szCs w:val="20"/>
          <w:color w:val="auto"/>
        </w:rPr>
      </w:pPr>
      <w:r>
        <w:rPr>
          <w:rFonts w:ascii="Arial" w:cs="Arial" w:eastAsia="Arial" w:hAnsi="Arial"/>
          <w:sz w:val="17"/>
          <w:szCs w:val="17"/>
          <w:color w:val="auto"/>
        </w:rPr>
        <w:t>Arrowhead Pharmaceuticals, Inc. develops medicines that treat intractable diseases by silencing the genes that cause them. Using a broad portfolio of RNA chemistries and efficient modes of delivery, Arrowhead therapies trigger the RNA interference mechanism to induce rapid, deep and durable knockdown of target genes. RNA interference, or RNAi, is a mechanism present in living cells that inhibits the expression of a specific gene, thereby affecting the production of a specific protein. Deemed to be one of the most important recent discoveries in life science with the potential to transform medicine, the discoverers of RNAi were awarded a Nobel Prize in 2006 for their work. Arrowhead’s RNAi-based therapeutics leverage this natural pathway of gene silencing. The company's pipeline includes ARO-HBV for chronic hepatitis B virus, ARO-AAT for liver disease associated with alpha-1 antitrypsin deficiency (AATD), ARO-APOC3 and ARO-ANG3 for hypertriglyceridemia, ARO-Lung1 for an undisclosed pulmonary target, ARO-HIF2 for renal cell carcinoma, ARO-F12 for hereditary angioedema and thromboembolic disorders, and ARO-AMG1 for an undisclosed genetically validated cardiovascular target under a license and collaboration agreement with Amgen, Inc., a Delaware corporation (“Amgen”). ARO-LPA (AMG 890) for cardiovascular disease was out-licensed to Amgen in 2016.</w:t>
      </w:r>
    </w:p>
    <w:p>
      <w:pPr>
        <w:spacing w:after="0" w:line="178" w:lineRule="exact"/>
        <w:rPr>
          <w:sz w:val="20"/>
          <w:szCs w:val="20"/>
          <w:color w:val="auto"/>
        </w:rPr>
      </w:pPr>
    </w:p>
    <w:p>
      <w:pPr>
        <w:ind w:right="160" w:firstLine="665"/>
        <w:spacing w:after="0" w:line="277" w:lineRule="auto"/>
        <w:rPr>
          <w:sz w:val="20"/>
          <w:szCs w:val="20"/>
          <w:color w:val="auto"/>
        </w:rPr>
      </w:pPr>
      <w:r>
        <w:rPr>
          <w:rFonts w:ascii="Arial" w:cs="Arial" w:eastAsia="Arial" w:hAnsi="Arial"/>
          <w:sz w:val="18"/>
          <w:szCs w:val="18"/>
          <w:color w:val="auto"/>
        </w:rPr>
        <w:t>Arrowhead operates a lab facility in Madison, Wisconsin, where the Company’s research and development activities, including the development of RNAi therapeutics, are based. The Company’s principal executive offices are located in Pasadena, California.</w:t>
      </w:r>
    </w:p>
    <w:p>
      <w:pPr>
        <w:spacing w:after="0" w:line="62" w:lineRule="exact"/>
        <w:rPr>
          <w:sz w:val="20"/>
          <w:szCs w:val="20"/>
          <w:color w:val="auto"/>
        </w:rPr>
      </w:pPr>
    </w:p>
    <w:p>
      <w:pPr>
        <w:ind w:right="40" w:firstLine="665"/>
        <w:spacing w:after="0" w:line="255" w:lineRule="auto"/>
        <w:rPr>
          <w:sz w:val="20"/>
          <w:szCs w:val="20"/>
          <w:color w:val="auto"/>
        </w:rPr>
      </w:pPr>
      <w:r>
        <w:rPr>
          <w:rFonts w:ascii="Arial" w:cs="Arial" w:eastAsia="Arial" w:hAnsi="Arial"/>
          <w:sz w:val="18"/>
          <w:szCs w:val="18"/>
          <w:color w:val="auto"/>
        </w:rPr>
        <w:t>In fiscal 2017, Arrowhead refocused its resources on therapeutics that exclusively utilize the company’s Targeted RNAi Molecule (TRiM</w:t>
      </w:r>
      <w:r>
        <w:rPr>
          <w:rFonts w:ascii="Arial" w:cs="Arial" w:eastAsia="Arial" w:hAnsi="Arial"/>
          <w:sz w:val="15"/>
          <w:szCs w:val="15"/>
          <w:color w:val="auto"/>
        </w:rPr>
        <w:t>TM</w:t>
      </w:r>
      <w:r>
        <w:rPr>
          <w:rFonts w:ascii="Arial" w:cs="Arial" w:eastAsia="Arial" w:hAnsi="Arial"/>
          <w:sz w:val="18"/>
          <w:szCs w:val="18"/>
          <w:color w:val="auto"/>
        </w:rPr>
        <w:t>) platform technology. Therapeutics built on the TRiM</w:t>
      </w:r>
      <w:r>
        <w:rPr>
          <w:rFonts w:ascii="Arial" w:cs="Arial" w:eastAsia="Arial" w:hAnsi="Arial"/>
          <w:sz w:val="15"/>
          <w:szCs w:val="15"/>
          <w:color w:val="auto"/>
        </w:rPr>
        <w:t>TM</w:t>
      </w:r>
      <w:r>
        <w:rPr>
          <w:rFonts w:ascii="Arial" w:cs="Arial" w:eastAsia="Arial" w:hAnsi="Arial"/>
          <w:sz w:val="18"/>
          <w:szCs w:val="18"/>
          <w:color w:val="auto"/>
        </w:rPr>
        <w:t xml:space="preserve"> platform have demonstrated high levels of pharmacologic activity in multiple animal models spanning several therapeutic areas. TRiM</w:t>
      </w:r>
      <w:r>
        <w:rPr>
          <w:rFonts w:ascii="Arial" w:cs="Arial" w:eastAsia="Arial" w:hAnsi="Arial"/>
          <w:sz w:val="15"/>
          <w:szCs w:val="15"/>
          <w:color w:val="auto"/>
        </w:rPr>
        <w:t>TM</w:t>
      </w:r>
      <w:r>
        <w:rPr>
          <w:rFonts w:ascii="Arial" w:cs="Arial" w:eastAsia="Arial" w:hAnsi="Arial"/>
          <w:sz w:val="18"/>
          <w:szCs w:val="18"/>
          <w:color w:val="auto"/>
        </w:rPr>
        <w:t xml:space="preserve"> enabled therapeutics offer several potential advantages over prior generation and competing technologies, including: simplified manufacturing and reduced costs; multiple routes of administration including subcutaneous injection and inhaled administration; the ability to target multiple tissue types including liver, lung, and tumors; and the potential for improved safety and reduced risk of intracellular buildup, because there are less metabolites from smaller, simpler molecules.</w:t>
      </w:r>
    </w:p>
    <w:p>
      <w:pPr>
        <w:spacing w:after="0" w:line="112" w:lineRule="exact"/>
        <w:rPr>
          <w:sz w:val="20"/>
          <w:szCs w:val="20"/>
          <w:color w:val="auto"/>
        </w:rPr>
      </w:pPr>
    </w:p>
    <w:p>
      <w:pPr>
        <w:ind w:right="40" w:firstLine="655"/>
        <w:spacing w:after="0" w:line="279" w:lineRule="auto"/>
        <w:rPr>
          <w:sz w:val="20"/>
          <w:szCs w:val="20"/>
          <w:color w:val="auto"/>
        </w:rPr>
      </w:pPr>
      <w:r>
        <w:rPr>
          <w:rFonts w:ascii="Arial" w:cs="Arial" w:eastAsia="Arial" w:hAnsi="Arial"/>
          <w:sz w:val="17"/>
          <w:szCs w:val="17"/>
          <w:color w:val="auto"/>
        </w:rPr>
        <w:t>As part of the refocusing of resources, Arrowhead announced in November 2016 that it would be discontinuing all clinical programs that utilized the intravenously administered DPC, or EX1, delivery vehicle. The decision to discontinue development of EX1-containing programs was based primarily on two factors. First, during discussions with regulatory agencies and outside experts, it became apparent that there would be substantial delays in all clinical programs that utilize EX1, while the Company further explored the cause of deaths in a non-clinical toxicology study in non-human primates exploring doses of EX1 higher than those planned to be used in humans. Second, the Company had made substantial advances in RNA chemistry and targeting resulting in large potency gains for development programs utilizing the TRiM</w:t>
      </w:r>
      <w:r>
        <w:rPr>
          <w:rFonts w:ascii="Arial" w:cs="Arial" w:eastAsia="Arial" w:hAnsi="Arial"/>
          <w:sz w:val="14"/>
          <w:szCs w:val="14"/>
          <w:color w:val="auto"/>
        </w:rPr>
        <w:t>TM</w:t>
      </w:r>
      <w:r>
        <w:rPr>
          <w:rFonts w:ascii="Arial" w:cs="Arial" w:eastAsia="Arial" w:hAnsi="Arial"/>
          <w:sz w:val="17"/>
          <w:szCs w:val="17"/>
          <w:color w:val="auto"/>
        </w:rPr>
        <w:t xml:space="preserve"> technology, making EX1 no longer necessary.</w:t>
      </w:r>
    </w:p>
    <w:p>
      <w:pPr>
        <w:ind w:right="40" w:firstLine="620"/>
        <w:spacing w:after="0" w:line="251" w:lineRule="auto"/>
        <w:rPr>
          <w:sz w:val="20"/>
          <w:szCs w:val="20"/>
          <w:color w:val="auto"/>
        </w:rPr>
      </w:pPr>
      <w:r>
        <w:rPr>
          <w:rFonts w:ascii="Arial" w:cs="Arial" w:eastAsia="Arial" w:hAnsi="Arial"/>
          <w:sz w:val="18"/>
          <w:szCs w:val="18"/>
          <w:color w:val="auto"/>
        </w:rPr>
        <w:t>As part of an R&amp;D day in September 2017, the Company introduced its new TRiM</w:t>
      </w:r>
      <w:r>
        <w:rPr>
          <w:rFonts w:ascii="Arial" w:cs="Arial" w:eastAsia="Arial" w:hAnsi="Arial"/>
          <w:sz w:val="15"/>
          <w:szCs w:val="15"/>
          <w:color w:val="auto"/>
        </w:rPr>
        <w:t>TM</w:t>
      </w:r>
      <w:r>
        <w:rPr>
          <w:rFonts w:ascii="Arial" w:cs="Arial" w:eastAsia="Arial" w:hAnsi="Arial"/>
          <w:sz w:val="18"/>
          <w:szCs w:val="18"/>
          <w:color w:val="auto"/>
        </w:rPr>
        <w:t xml:space="preserve"> platform and made the following announcements regarding its pipeline candidates:</w:t>
      </w:r>
    </w:p>
    <w:p>
      <w:pPr>
        <w:ind w:left="760" w:right="80" w:hanging="374"/>
        <w:spacing w:after="0" w:line="250" w:lineRule="auto"/>
        <w:tabs>
          <w:tab w:leader="none" w:pos="7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ARO-AAT, Arrowhead's second generation subcutaneously administered clinical candidate for the treatment of alpha-1 antitrypsin deficiency liver disease, achieved up to 92% knockdown in monkeys, thought to be near complete suppression of hepatic production of the alpha-1 antitrypsin protein. In non-GLP rat and monkey exploratory toxicology studies, no changes in clinical chemistries or histopathology suggestive of organ toxicity were observed at doses up to 300 mg/kg (100x expected human dose).</w:t>
      </w:r>
    </w:p>
    <w:p>
      <w:pPr>
        <w:spacing w:after="0" w:line="1" w:lineRule="exact"/>
        <w:rPr>
          <w:rFonts w:ascii="Arial" w:cs="Arial" w:eastAsia="Arial" w:hAnsi="Arial"/>
          <w:sz w:val="18"/>
          <w:szCs w:val="18"/>
          <w:color w:val="auto"/>
        </w:rPr>
      </w:pPr>
    </w:p>
    <w:p>
      <w:pPr>
        <w:ind w:left="760" w:right="100" w:hanging="374"/>
        <w:spacing w:after="0" w:line="254" w:lineRule="auto"/>
        <w:tabs>
          <w:tab w:leader="none" w:pos="7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ARO-HBV, Arrowhead's third generation subcutaneously administered clinical candidate for the treatment of chronic hepatitis B virus infection, achieved up to 99.9% knockdown of hepatitis B surface antigen (HBsAg), e-antigen (HBeAg), and HBV DNA in rodent models. In a non-GLP rat exploratory toxicology study, no changes in clinical chemistries or histopathology changes suggestive of organ toxicity were observed at doses up to 300 mg/kg (75-100x expected human dose).</w:t>
      </w:r>
    </w:p>
    <w:p>
      <w:pPr>
        <w:spacing w:after="0" w:line="19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41" w:name="page42"/>
    <w:bookmarkEnd w:id="41"/>
    <w:p>
      <w:pPr>
        <w:ind w:left="760" w:right="360" w:hanging="374"/>
        <w:spacing w:after="0" w:line="271" w:lineRule="auto"/>
        <w:tabs>
          <w:tab w:leader="none" w:pos="760" w:val="left"/>
        </w:tabs>
        <w:numPr>
          <w:ilvl w:val="0"/>
          <w:numId w:val="28"/>
        </w:numPr>
        <w:rPr>
          <w:rFonts w:ascii="Arial" w:cs="Arial" w:eastAsia="Arial" w:hAnsi="Arial"/>
          <w:sz w:val="17"/>
          <w:szCs w:val="17"/>
          <w:color w:val="auto"/>
        </w:rPr>
      </w:pPr>
      <w:r>
        <w:rPr>
          <w:rFonts w:ascii="Arial" w:cs="Arial" w:eastAsia="Arial" w:hAnsi="Arial"/>
          <w:sz w:val="17"/>
          <w:szCs w:val="17"/>
          <w:color w:val="auto"/>
        </w:rPr>
        <w:t>Arrowhead has expanded its cardiovascular disease portfolio utilizing the TRiM™ platform. ARO-APOC3, targeting apolipoprotein C-III, and ARO-ANG3, targeting angiopoietin-like protein 3 (ANGPTL3) will be added to ARO-LPA (AMG 890) and ARO-AMG1, which are both partnered with Amgen. ARO-APOC3 and ARO-ANG3 will both be developed for the treatment of hypertriglyceridemia.</w:t>
      </w:r>
    </w:p>
    <w:p>
      <w:pPr>
        <w:ind w:left="760" w:right="40" w:hanging="374"/>
        <w:spacing w:after="0" w:line="250" w:lineRule="auto"/>
        <w:tabs>
          <w:tab w:leader="none" w:pos="7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ARO-Lung1, the first generation candidate against an undisclosed gene target in the lung, reached almost 90% target knockdown following inhaled administration in rodents.</w:t>
      </w:r>
    </w:p>
    <w:p>
      <w:pPr>
        <w:ind w:left="760" w:hanging="374"/>
        <w:spacing w:after="0"/>
        <w:tabs>
          <w:tab w:leader="none" w:pos="7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ARO-HIF2 candidate targeting renal cell carcinoma achieved 85% target gene knockdown in a rodent tumor model.</w:t>
      </w:r>
    </w:p>
    <w:p>
      <w:pPr>
        <w:spacing w:after="0" w:line="211" w:lineRule="exact"/>
        <w:rPr>
          <w:sz w:val="20"/>
          <w:szCs w:val="20"/>
          <w:color w:val="auto"/>
        </w:rPr>
      </w:pPr>
    </w:p>
    <w:p>
      <w:pPr>
        <w:ind w:firstLine="665"/>
        <w:spacing w:after="0" w:line="282" w:lineRule="auto"/>
        <w:rPr>
          <w:sz w:val="20"/>
          <w:szCs w:val="20"/>
          <w:color w:val="auto"/>
        </w:rPr>
      </w:pPr>
      <w:r>
        <w:rPr>
          <w:rFonts w:ascii="Arial" w:cs="Arial" w:eastAsia="Arial" w:hAnsi="Arial"/>
          <w:sz w:val="16"/>
          <w:szCs w:val="16"/>
          <w:color w:val="auto"/>
        </w:rPr>
        <w:t>On September 28, 2016, the Company entered into two Collaboration and License agreements and a Common Stock Purchase Agreement with Amgen. Under one of the license agreements (the “First Collaboration and License Agreement” or “ARO-AMG1 Agreement”), Amgen has received an option to a worldwide, exclusive license for ARO-AMG1</w:t>
      </w:r>
      <w:r>
        <w:rPr>
          <w:rFonts w:ascii="Arial" w:cs="Arial" w:eastAsia="Arial" w:hAnsi="Arial"/>
          <w:sz w:val="19"/>
          <w:szCs w:val="19"/>
          <w:color w:val="auto"/>
          <w:vertAlign w:val="subscript"/>
        </w:rPr>
        <w:t>,</w:t>
      </w:r>
      <w:r>
        <w:rPr>
          <w:rFonts w:ascii="Arial" w:cs="Arial" w:eastAsia="Arial" w:hAnsi="Arial"/>
          <w:sz w:val="16"/>
          <w:szCs w:val="16"/>
          <w:color w:val="auto"/>
        </w:rPr>
        <w:t xml:space="preserve"> an RNAi therapy for an undisclosed genetically validated cardiovascular target. Under the other license agreement (the “Second Collaboration and License Agreement” or “ARO-LPA (AMG 890) Agreement”), Amgen has received a worldwide, exclusive license to Arrowhead’s novel, RNAi ARO-LPA (AMG 890) program. The ARO-LPA (AMG-890) RNAi molecules are designed to reduce elevated lipoprotein(a), which is a genetically validated, independent risk factor for atherosclerotic cardiovascular disease. In both agreements, Amgen is wholly responsible for clinical development and commercialization. Under the terms of the agreements taken together, the Company has received $35 million in upfront payments and $21.5 million in the form of an equity investment by Amgen in the Company’s Common Stock, and could receive up to $617 million in option payments and development, regulatory and sales milestone payments. The Company is further eligible to receive single-digit royalties for sales of products under the ARO-AMG1 agreement and up to low double-digit royalties for sales of products under the ARO-LPA (AMG 890) agreement.</w:t>
      </w:r>
    </w:p>
    <w:p>
      <w:pPr>
        <w:spacing w:after="0" w:line="175" w:lineRule="exact"/>
        <w:rPr>
          <w:sz w:val="20"/>
          <w:szCs w:val="20"/>
          <w:color w:val="auto"/>
        </w:rPr>
      </w:pPr>
    </w:p>
    <w:p>
      <w:pPr>
        <w:ind w:right="20" w:firstLine="665"/>
        <w:spacing w:after="0" w:line="255" w:lineRule="auto"/>
        <w:rPr>
          <w:sz w:val="20"/>
          <w:szCs w:val="20"/>
          <w:color w:val="auto"/>
        </w:rPr>
      </w:pPr>
      <w:r>
        <w:rPr>
          <w:rFonts w:ascii="Arial" w:cs="Arial" w:eastAsia="Arial" w:hAnsi="Arial"/>
          <w:sz w:val="18"/>
          <w:szCs w:val="18"/>
          <w:color w:val="auto"/>
        </w:rPr>
        <w:t>The Company continues to develop other clinical candidates for future clinical trials. Clinical candidates are tested internally and through GLP toxicology studies at outside laboratories. Drug materials for such studies and clinical trials are contracted to third-party manufacturers when cGMP production is required. The Company engages third-party contract research organizations (CROs) to manage clinical trials and works cooperatively with such organizations on all aspects of clinical trial management, including plan design, patient recruiting, and follow up. These outside costs, relating to the preparation for and administration of clinical trials, are referred to as “program costs”. If the clinical candidates progress through human testing, program costs will increase.</w:t>
      </w:r>
    </w:p>
    <w:p>
      <w:pPr>
        <w:spacing w:after="0" w:line="193" w:lineRule="exact"/>
        <w:rPr>
          <w:sz w:val="20"/>
          <w:szCs w:val="20"/>
          <w:color w:val="auto"/>
        </w:rPr>
      </w:pPr>
    </w:p>
    <w:p>
      <w:pPr>
        <w:ind w:right="180" w:firstLine="518"/>
        <w:spacing w:after="0" w:line="312" w:lineRule="auto"/>
        <w:rPr>
          <w:sz w:val="20"/>
          <w:szCs w:val="20"/>
          <w:color w:val="auto"/>
        </w:rPr>
      </w:pPr>
      <w:r>
        <w:rPr>
          <w:rFonts w:ascii="Arial" w:cs="Arial" w:eastAsia="Arial" w:hAnsi="Arial"/>
          <w:sz w:val="16"/>
          <w:szCs w:val="16"/>
          <w:color w:val="auto"/>
        </w:rPr>
        <w:t>Net losses were $34.4 million, $81.7 million and $91.9 million during the years ended September 30, 2017, 2016 and 2015, respectively. Diluted losses per share were $0.47, $1.34 and $1.60 during the years ended September 30, 2017, 2016 and 2015, respectively. An increase in revenue in 2017 from the collaborations with Amgen is the driver of the reductions in the net losses and diluted losses per share, as discussed further below.</w:t>
      </w:r>
    </w:p>
    <w:p>
      <w:pPr>
        <w:spacing w:after="0" w:line="147" w:lineRule="exact"/>
        <w:rPr>
          <w:sz w:val="20"/>
          <w:szCs w:val="20"/>
          <w:color w:val="auto"/>
        </w:rPr>
      </w:pPr>
    </w:p>
    <w:p>
      <w:pPr>
        <w:ind w:right="100" w:firstLine="665"/>
        <w:spacing w:after="0" w:line="273" w:lineRule="auto"/>
        <w:rPr>
          <w:sz w:val="20"/>
          <w:szCs w:val="20"/>
          <w:color w:val="auto"/>
        </w:rPr>
      </w:pPr>
      <w:r>
        <w:rPr>
          <w:rFonts w:ascii="Arial" w:cs="Arial" w:eastAsia="Arial" w:hAnsi="Arial"/>
          <w:sz w:val="17"/>
          <w:szCs w:val="17"/>
          <w:color w:val="auto"/>
        </w:rPr>
        <w:t>The Company strengthened its liquidity and financial position through an equity offering completed in August 2016, which generated $43.2 million of net cash proceeds for the Company. Additionally, the Company received $56.5 million in upfront payments and equity investments from Amgen. These cash proceeds secured the funding needed to continue to advance our preclinical candidates. The Company had $24.8 million of cash and cash equivalents, $40.8 million in short-term investments and $104.0 million of total assets as of September 30, 2017, as compared to $85.4 million, $0 million and $128.2 million as of September 30, 2016, respectively. Based upon the Company’s current cash and short-term investment resources and operating plan, the Company expects to have sufficient liquidity to fund operations for at least the next twelve months.</w:t>
      </w:r>
    </w:p>
    <w:p>
      <w:pPr>
        <w:spacing w:after="0" w:line="395"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Critical Accounting Policies and Estimates</w:t>
      </w:r>
    </w:p>
    <w:p>
      <w:pPr>
        <w:spacing w:after="0" w:line="225" w:lineRule="exact"/>
        <w:rPr>
          <w:sz w:val="20"/>
          <w:szCs w:val="20"/>
          <w:color w:val="auto"/>
        </w:rPr>
      </w:pPr>
    </w:p>
    <w:p>
      <w:pPr>
        <w:ind w:firstLine="518"/>
        <w:spacing w:after="0" w:line="291" w:lineRule="auto"/>
        <w:rPr>
          <w:sz w:val="20"/>
          <w:szCs w:val="20"/>
          <w:color w:val="auto"/>
        </w:rPr>
      </w:pPr>
      <w:r>
        <w:rPr>
          <w:rFonts w:ascii="Arial" w:cs="Arial" w:eastAsia="Arial" w:hAnsi="Arial"/>
          <w:sz w:val="16"/>
          <w:szCs w:val="16"/>
          <w:color w:val="auto"/>
        </w:rPr>
        <w:t xml:space="preserve">Management makes certain judgments and uses certain estimates and assumptions when applying GAAP in the preparation of our Consolidated Financial Statements. We evaluate our estimates and judgments on an ongoing basis and base our estimates on historical experience and on assumptions that we believe to be reasonable under the circumstances. Our experience and assumptions form the basis for our judgments about the carrying value of assets and liabilities that are not readily apparent from other sources. Actual results may vary from what we anticipate and different assumptions or estimates about the future could change our reported results. We believe the following accounting policies are the most critical to us, in that they require our most difficult, subjective or complex judgments in the preparation of our consolidated financial statements. For further information, see </w:t>
      </w:r>
      <w:r>
        <w:rPr>
          <w:rFonts w:ascii="Arial" w:cs="Arial" w:eastAsia="Arial" w:hAnsi="Arial"/>
          <w:sz w:val="16"/>
          <w:szCs w:val="16"/>
          <w:i w:val="1"/>
          <w:iCs w:val="1"/>
          <w:color w:val="auto"/>
        </w:rPr>
        <w:t>Note 1, Organization and Significant</w:t>
      </w:r>
      <w:r>
        <w:rPr>
          <w:rFonts w:ascii="Arial" w:cs="Arial" w:eastAsia="Arial" w:hAnsi="Arial"/>
          <w:sz w:val="16"/>
          <w:szCs w:val="16"/>
          <w:color w:val="auto"/>
        </w:rPr>
        <w:t xml:space="preserve"> </w:t>
      </w:r>
      <w:r>
        <w:rPr>
          <w:rFonts w:ascii="Arial" w:cs="Arial" w:eastAsia="Arial" w:hAnsi="Arial"/>
          <w:sz w:val="16"/>
          <w:szCs w:val="16"/>
          <w:i w:val="1"/>
          <w:iCs w:val="1"/>
          <w:color w:val="auto"/>
        </w:rPr>
        <w:t>Accounting Policies</w:t>
      </w:r>
      <w:r>
        <w:rPr>
          <w:rFonts w:ascii="Arial" w:cs="Arial" w:eastAsia="Arial" w:hAnsi="Arial"/>
          <w:sz w:val="16"/>
          <w:szCs w:val="16"/>
          <w:color w:val="auto"/>
        </w:rPr>
        <w:t>, to our Consolidated Financial Statements, which outlines our application of significant accounting policies.</w:t>
      </w:r>
    </w:p>
    <w:p>
      <w:pPr>
        <w:spacing w:after="0" w:line="275"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Revenue Recognition</w:t>
      </w:r>
    </w:p>
    <w:p>
      <w:pPr>
        <w:spacing w:after="0" w:line="225" w:lineRule="exact"/>
        <w:rPr>
          <w:sz w:val="20"/>
          <w:szCs w:val="20"/>
          <w:color w:val="auto"/>
        </w:rPr>
      </w:pPr>
    </w:p>
    <w:p>
      <w:pPr>
        <w:ind w:right="260" w:firstLine="754"/>
        <w:spacing w:after="0" w:line="277" w:lineRule="auto"/>
        <w:rPr>
          <w:sz w:val="20"/>
          <w:szCs w:val="20"/>
          <w:color w:val="auto"/>
        </w:rPr>
      </w:pPr>
      <w:r>
        <w:rPr>
          <w:rFonts w:ascii="Arial" w:cs="Arial" w:eastAsia="Arial" w:hAnsi="Arial"/>
          <w:sz w:val="18"/>
          <w:szCs w:val="18"/>
          <w:color w:val="auto"/>
        </w:rPr>
        <w:t>Revenue from product sales is recorded when persuasive evidence of an arrangement exists, title has passed and delivery has occurred, a price is fixed and determinable, and collection is reasonably assured.</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42" w:name="page43"/>
    <w:bookmarkEnd w:id="42"/>
    <w:p>
      <w:pPr>
        <w:ind w:right="100" w:firstLine="754"/>
        <w:spacing w:after="0" w:line="259" w:lineRule="auto"/>
        <w:rPr>
          <w:sz w:val="20"/>
          <w:szCs w:val="20"/>
          <w:color w:val="auto"/>
        </w:rPr>
      </w:pPr>
      <w:r>
        <w:rPr>
          <w:rFonts w:ascii="Arial" w:cs="Arial" w:eastAsia="Arial" w:hAnsi="Arial"/>
          <w:sz w:val="18"/>
          <w:szCs w:val="18"/>
          <w:color w:val="auto"/>
        </w:rPr>
        <w:t>The Company may generate revenue from technology licenses, collaborative research and development arrangements, research grants and product sales. Revenue under technology licenses and collaborative agreements typically consists of nonrefundable and/or guaranteed technology license fees, collaborative research funding, manufacturing and development services and various milestone and future product royalty or profit-sharing payments. These agreements are generally referred to as “multiple element arrangements”.</w:t>
      </w:r>
    </w:p>
    <w:p>
      <w:pPr>
        <w:spacing w:after="0" w:line="187" w:lineRule="exact"/>
        <w:rPr>
          <w:sz w:val="20"/>
          <w:szCs w:val="20"/>
          <w:color w:val="auto"/>
        </w:rPr>
      </w:pPr>
    </w:p>
    <w:p>
      <w:pPr>
        <w:ind w:right="60" w:firstLine="665"/>
        <w:spacing w:after="0" w:line="257" w:lineRule="auto"/>
        <w:rPr>
          <w:sz w:val="20"/>
          <w:szCs w:val="20"/>
          <w:color w:val="auto"/>
        </w:rPr>
      </w:pPr>
      <w:r>
        <w:rPr>
          <w:rFonts w:ascii="Arial" w:cs="Arial" w:eastAsia="Arial" w:hAnsi="Arial"/>
          <w:sz w:val="18"/>
          <w:szCs w:val="18"/>
          <w:color w:val="auto"/>
        </w:rPr>
        <w:t>The Company applies the accounting standard on revenue recognition for multiple element arrangements. The fair value of deliverables under the arrangement may be derived using a best estimate of selling price if vendor specific objective evidence and third-party evidence is not available. Deliverables under the arrangement will be separate units of accounting if a delivered item has value to the customer on a standalone basis and if the arrangement includes a general right of return for the delivered item, delivery or performance of the undelivered item is considered probable and substantially in the Company’s control.</w:t>
      </w:r>
    </w:p>
    <w:p>
      <w:pPr>
        <w:spacing w:after="0" w:line="188" w:lineRule="exact"/>
        <w:rPr>
          <w:sz w:val="20"/>
          <w:szCs w:val="20"/>
          <w:color w:val="auto"/>
        </w:rPr>
      </w:pPr>
    </w:p>
    <w:p>
      <w:pPr>
        <w:ind w:right="100" w:firstLine="665"/>
        <w:spacing w:after="0" w:line="255" w:lineRule="auto"/>
        <w:rPr>
          <w:sz w:val="20"/>
          <w:szCs w:val="20"/>
          <w:color w:val="auto"/>
        </w:rPr>
      </w:pPr>
      <w:r>
        <w:rPr>
          <w:rFonts w:ascii="Arial" w:cs="Arial" w:eastAsia="Arial" w:hAnsi="Arial"/>
          <w:sz w:val="18"/>
          <w:szCs w:val="18"/>
          <w:color w:val="auto"/>
        </w:rPr>
        <w:t>The Company recognizes upfront license payments as revenue upon delivery of the license only if the license has standalone value from any undelivered performance obligations and that value can be determined. The undelivered performance obligations typically include manufacturing or development services or research and/or steering committee services. If the fair value of the undelivered performance obligations can be determined, then these obligations would be accounted for separately. If the license is not considered to have standalone value, then the license and other undelivered performance obligations would be accounted for as a single unit of accounting. In this case, the license payments and payments for performance obligations are recognized as revenue over the estimated period of when the performance obligations are performed or deferred indefinitely until the undelivered performance obligation is determined.</w:t>
      </w:r>
    </w:p>
    <w:p>
      <w:pPr>
        <w:spacing w:after="0" w:line="189" w:lineRule="exact"/>
        <w:rPr>
          <w:sz w:val="20"/>
          <w:szCs w:val="20"/>
          <w:color w:val="auto"/>
        </w:rPr>
      </w:pPr>
    </w:p>
    <w:p>
      <w:pPr>
        <w:ind w:right="40" w:firstLine="665"/>
        <w:spacing w:after="0" w:line="289" w:lineRule="auto"/>
        <w:rPr>
          <w:sz w:val="20"/>
          <w:szCs w:val="20"/>
          <w:color w:val="auto"/>
        </w:rPr>
      </w:pPr>
      <w:r>
        <w:rPr>
          <w:rFonts w:ascii="Arial" w:cs="Arial" w:eastAsia="Arial" w:hAnsi="Arial"/>
          <w:sz w:val="16"/>
          <w:szCs w:val="16"/>
          <w:color w:val="auto"/>
        </w:rPr>
        <w:t>Whenever the Company determines that an arrangement should be accounted for as a single unit of accounting, the Company determines the period over which the performance obligations will be performed and revenue will be recognized. Revenue is recognized using a proportional performance or straight-line method. The proportional performance method is used when the level of effort required to complete performance obligations under an arrangement can be reasonably estimated. The amount of revenue recognized under the proportional performance method is determined by multiplying the total payments under the contract, excluding royalties and payments contingent upon achievement of milestones, by the ratio of the level of effort performed to date to the estimated total level of effort required to complete performance obligations under the arrangement. If the Company cannot reasonably estimate the level of effort to complete performance obligations under an arrangement, the Company recognizes revenue under the arrangement on a straight-line basis over the period the Company is expected to complete its performance obligations. Significant management judgment is required in determining the level of effort required under an arrangement and the period over which the Company is expected to complete its performance obligations under an arrangement.</w:t>
      </w:r>
    </w:p>
    <w:p>
      <w:pPr>
        <w:spacing w:after="0" w:line="167" w:lineRule="exact"/>
        <w:rPr>
          <w:sz w:val="20"/>
          <w:szCs w:val="20"/>
          <w:color w:val="auto"/>
        </w:rPr>
      </w:pPr>
    </w:p>
    <w:p>
      <w:pPr>
        <w:ind w:firstLine="571"/>
        <w:spacing w:after="0" w:line="270" w:lineRule="auto"/>
        <w:rPr>
          <w:sz w:val="20"/>
          <w:szCs w:val="20"/>
          <w:color w:val="auto"/>
        </w:rPr>
      </w:pPr>
      <w:r>
        <w:rPr>
          <w:rFonts w:ascii="Arial" w:cs="Arial" w:eastAsia="Arial" w:hAnsi="Arial"/>
          <w:sz w:val="17"/>
          <w:szCs w:val="17"/>
          <w:color w:val="auto"/>
        </w:rPr>
        <w:t>Many of the Company’s collaboration agreements entitle the Company to additional payments upon the achievement of development, regulatory and sales performance-based milestones. If the achievement of a milestone is considered probable at the inception of the collaboration, the related milestone payment is included with other collaboration consideration, such as upfront fees and research funding, in the Company’s revenue calculation. Typically, these milestones are not considered probable at the inception of the collaboration. As such, milestones will typically be recognized in one of two ways depending on the timing of when the milestone is achieved. If the milestone is achieved during the performance period, then the Company will only recognize revenue to the extent of the proportional performance achieved at that date, or the proportion of the straight-line basis achieved at that date, and the remainder will be recorded as deferred revenue to be amortized over the remaining performance period. If the milestone is achieved after the performance period has completed and all performance obligations have been delivered, then the Company will recognize the milestone payment as revenue in its entirety in the period the milestone was achieved.</w:t>
      </w:r>
    </w:p>
    <w:p>
      <w:pPr>
        <w:spacing w:after="0" w:line="182" w:lineRule="exact"/>
        <w:rPr>
          <w:sz w:val="20"/>
          <w:szCs w:val="20"/>
          <w:color w:val="auto"/>
        </w:rPr>
      </w:pPr>
    </w:p>
    <w:p>
      <w:pPr>
        <w:ind w:right="300" w:firstLine="665"/>
        <w:spacing w:after="0" w:line="279" w:lineRule="auto"/>
        <w:rPr>
          <w:sz w:val="20"/>
          <w:szCs w:val="20"/>
          <w:color w:val="auto"/>
        </w:rPr>
      </w:pPr>
      <w:r>
        <w:rPr>
          <w:rFonts w:ascii="Arial" w:cs="Arial" w:eastAsia="Arial" w:hAnsi="Arial"/>
          <w:sz w:val="17"/>
          <w:szCs w:val="17"/>
          <w:color w:val="auto"/>
        </w:rPr>
        <w:t>Deferred revenue will be classified as part of Current or Long-Term Liabilities in the accompanying Consolidated Balance Sheets based on the Company’s estimate of the portion of the performance obligations regarding that revenue will be completed within the next 12 months divided by the total performance period estimate. This estimate is based on the Company’s current operating plan and, if the Company’s operating plan should change in the future, the Company may recognize a different amount of deferred revenue over the next 12-month period.</w:t>
      </w:r>
    </w:p>
    <w:p>
      <w:pPr>
        <w:spacing w:after="0" w:line="280" w:lineRule="exact"/>
        <w:rPr>
          <w:sz w:val="20"/>
          <w:szCs w:val="20"/>
          <w:color w:val="auto"/>
        </w:rPr>
      </w:pPr>
    </w:p>
    <w:p>
      <w:pPr>
        <w:ind w:left="400"/>
        <w:spacing w:after="0"/>
        <w:rPr>
          <w:sz w:val="20"/>
          <w:szCs w:val="20"/>
          <w:color w:val="auto"/>
        </w:rPr>
      </w:pPr>
      <w:r>
        <w:rPr>
          <w:rFonts w:ascii="Arial" w:cs="Arial" w:eastAsia="Arial" w:hAnsi="Arial"/>
          <w:sz w:val="18"/>
          <w:szCs w:val="18"/>
          <w:i w:val="1"/>
          <w:iCs w:val="1"/>
          <w:color w:val="auto"/>
        </w:rPr>
        <w:t>Impairment of Long-lived Assets</w:t>
      </w:r>
    </w:p>
    <w:p>
      <w:pPr>
        <w:spacing w:after="0" w:line="117" w:lineRule="exact"/>
        <w:rPr>
          <w:sz w:val="20"/>
          <w:szCs w:val="20"/>
          <w:color w:val="auto"/>
        </w:rPr>
      </w:pPr>
    </w:p>
    <w:p>
      <w:pPr>
        <w:ind w:right="180" w:firstLine="665"/>
        <w:spacing w:after="0" w:line="257" w:lineRule="auto"/>
        <w:rPr>
          <w:sz w:val="20"/>
          <w:szCs w:val="20"/>
          <w:color w:val="auto"/>
        </w:rPr>
      </w:pPr>
      <w:r>
        <w:rPr>
          <w:rFonts w:ascii="Arial" w:cs="Arial" w:eastAsia="Arial" w:hAnsi="Arial"/>
          <w:sz w:val="18"/>
          <w:szCs w:val="18"/>
          <w:color w:val="auto"/>
        </w:rPr>
        <w:t>We review long-lived assets for impairment whenever events or changes in business circumstances indicate that the carrying amount of assets may not be fully recoverable or that our assumptions about the useful lives of these assets are no longer appropriate. If impairment is indicated, recoverability is measured by a comparison of the carrying amount of an asset to the estimated undiscounted future cash flows expected to be generated by the asset. If the carrying amount of an asset exceeds its estimated future cash flows, an impairment charge is recognized in the amount by which the carrying amount of the asset exceeds the fair value of the asset.</w:t>
      </w:r>
    </w:p>
    <w:p>
      <w:pPr>
        <w:spacing w:after="0" w:line="296"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Impairment of Intangible assets</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43" w:name="page44"/>
    <w:bookmarkEnd w:id="43"/>
    <w:p>
      <w:pPr>
        <w:ind w:right="260" w:firstLine="665"/>
        <w:spacing w:after="0" w:line="257" w:lineRule="auto"/>
        <w:rPr>
          <w:sz w:val="20"/>
          <w:szCs w:val="20"/>
          <w:color w:val="auto"/>
        </w:rPr>
      </w:pPr>
      <w:r>
        <w:rPr>
          <w:rFonts w:ascii="Arial" w:cs="Arial" w:eastAsia="Arial" w:hAnsi="Arial"/>
          <w:sz w:val="18"/>
          <w:szCs w:val="18"/>
          <w:color w:val="auto"/>
        </w:rPr>
        <w:t>Intangible assets consist of a license agreement and patents acquired in conjunction with a business or asset acquisition. Intangible assets are monitored for potential impairment whenever events or circumstances indicate that the carrying amount may not be recoverable, and are also reviewed annually to determine whether any impairment is necessary. Based on ASU 2012-02, the annual review of intangible assets is performed via a two-step process. First, a qualitative assessment is performed to determine if it is more likely than not that the intangible asset is impaired. If required, a quantitative assessment is performed and, if necessary, impairment is recorded.</w:t>
      </w:r>
    </w:p>
    <w:p>
      <w:pPr>
        <w:spacing w:after="0" w:line="296"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Stock-Based Compensation</w:t>
      </w:r>
    </w:p>
    <w:p>
      <w:pPr>
        <w:spacing w:after="0" w:line="117" w:lineRule="exact"/>
        <w:rPr>
          <w:sz w:val="20"/>
          <w:szCs w:val="20"/>
          <w:color w:val="auto"/>
        </w:rPr>
      </w:pPr>
    </w:p>
    <w:p>
      <w:pPr>
        <w:ind w:right="60" w:firstLine="665"/>
        <w:spacing w:after="0" w:line="290" w:lineRule="auto"/>
        <w:rPr>
          <w:sz w:val="20"/>
          <w:szCs w:val="20"/>
          <w:color w:val="auto"/>
        </w:rPr>
      </w:pPr>
      <w:r>
        <w:rPr>
          <w:rFonts w:ascii="Arial" w:cs="Arial" w:eastAsia="Arial" w:hAnsi="Arial"/>
          <w:sz w:val="16"/>
          <w:szCs w:val="16"/>
          <w:color w:val="auto"/>
        </w:rPr>
        <w:t>We account for stock-based compensation arrangements in accordance with FASB ASC 718, which requires the measurement and recognition of compensation expense for all share-based payment awards to be based on estimated fair values. The Company uses the Black-Scholes option valuation model to estimate the fair value of its stock options at the date of grant. The Black-Scholes option valuation model requires the input of subjective assumptions to calculate the value of stock options. For restricted stock units, the value of the award is based on the Company’s stock price at the grant date. For performance-based restricted stock unit awards, the value of the award is based on the Company’s stock price at the grant date. The Company uses historical data and other information to estimate the expected price volatility for stock option awards and the expected forfeiture rate for all awards. Expense is recognized over the vesting period for all awards, and commences at the grant date for time-based awards and upon the Company’s determination that the achievement of such performance conditions is probable for performance-based awards. This determination requires significant judgement by management.</w:t>
      </w:r>
    </w:p>
    <w:p>
      <w:pPr>
        <w:spacing w:after="0" w:line="274"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Derivative Assets and Liabilities</w:t>
      </w:r>
    </w:p>
    <w:p>
      <w:pPr>
        <w:spacing w:after="0" w:line="117" w:lineRule="exact"/>
        <w:rPr>
          <w:sz w:val="20"/>
          <w:szCs w:val="20"/>
          <w:color w:val="auto"/>
        </w:rPr>
      </w:pPr>
    </w:p>
    <w:p>
      <w:pPr>
        <w:ind w:right="120" w:firstLine="665"/>
        <w:spacing w:after="0" w:line="289" w:lineRule="auto"/>
        <w:rPr>
          <w:sz w:val="20"/>
          <w:szCs w:val="20"/>
          <w:color w:val="auto"/>
        </w:rPr>
      </w:pPr>
      <w:r>
        <w:rPr>
          <w:rFonts w:ascii="Arial" w:cs="Arial" w:eastAsia="Arial" w:hAnsi="Arial"/>
          <w:sz w:val="16"/>
          <w:szCs w:val="16"/>
          <w:color w:val="auto"/>
        </w:rPr>
        <w:t>We account for warrants and other derivative financial instruments as either equity or assets/liabilities based upon the characteristics and provisions of each instrument. Warrants classified as equity are recorded as additional paid-in capital on our Consolidated Balance Sheet and no further adjustments to their valuation are made. Some of our warrants were determined to be ineligible for equity classification because of provisions that may result in an adjustment to their exercise price. Warrants classified as derivative liabilities and other derivative financial instruments that require separate accounting as assets or liabilities are recorded on our Consolidated Balance Sheet at their fair value on the date of issuance and are revalued on each subsequent balance sheet date until such instruments are exercised or expire, with any changes in the fair value between reporting periods recorded as other income or expense. We estimate the fair value of these assets/liabilities using option pricing models that are based on the individual characteristics of the warrants or instruments on the valuation date, as well as assumptions for expected volatility, expected life and risk-free interest rate. Changes in the assumptions used could have a material impact on the resulting fair value. The primary input affecting the value of our derivatives liabilities is the Company’s stock price.</w:t>
      </w:r>
    </w:p>
    <w:p>
      <w:pPr>
        <w:spacing w:after="0" w:line="275"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Contingent Consideration</w:t>
      </w:r>
    </w:p>
    <w:p>
      <w:pPr>
        <w:spacing w:after="0" w:line="117" w:lineRule="exact"/>
        <w:rPr>
          <w:sz w:val="20"/>
          <w:szCs w:val="20"/>
          <w:color w:val="auto"/>
        </w:rPr>
      </w:pPr>
    </w:p>
    <w:p>
      <w:pPr>
        <w:ind w:right="140" w:firstLine="665"/>
        <w:spacing w:after="0" w:line="286" w:lineRule="auto"/>
        <w:rPr>
          <w:sz w:val="20"/>
          <w:szCs w:val="20"/>
          <w:color w:val="auto"/>
        </w:rPr>
      </w:pPr>
      <w:r>
        <w:rPr>
          <w:rFonts w:ascii="Arial" w:cs="Arial" w:eastAsia="Arial" w:hAnsi="Arial"/>
          <w:sz w:val="16"/>
          <w:szCs w:val="16"/>
          <w:color w:val="auto"/>
        </w:rPr>
        <w:t>The consideration for our acquisitions often includes future payments that are contingent upon the occurrence of a particular event. For example, milestone payments might be based on progress of clinical development, the achievement of various regulatory approvals or future sales milestones, and royalty payments might be based on drug product sales levels. The Company records a contingent consideration obligation for such contingent payments at fair value on the acquisition date. The Company estimates the fair value of contingent consideration obligations through valuation models designed to estimate the probability of the occurrence of such contingent payments based on various assumptions and incorporating estimated success rates. Estimated payments are discounted using present value techniques to arrive at estimated fair value at the balance sheet date. Changes in the fair value of our contingent consideration obligations are recognized within our Consolidated Statements of Operations. Changes in the fair value of the contingent consideration obligations can result from changes to one or multiple inputs, including adjustments to the discount rates, changes in the amount or timing of expected expenditures associated with product development, changes in the amount or timing of cash flows from products upon commercialization, changes in the assumed achievement or timing of any development milestones, changes in the probability of certain clinical events and changes in the assumed probability associated with regulatory approval. These fair value measurements are based on significant inputs not observable in the market. Substantial judgment is employed in determining the appropriateness of these assumptions as of the acquisition date and for each subsequent period. Accordingly, changes in assumptions could have a material impact on the amount of contingent consideration expense the Company records in any given period.</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following data summarizes our results of operations for the following periods indicated:</w:t>
      </w:r>
    </w:p>
    <w:p>
      <w:pPr>
        <w:spacing w:after="0" w:line="284"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80" w:type="dxa"/>
            <w:vAlign w:val="bottom"/>
          </w:tcPr>
          <w:p>
            <w:pPr>
              <w:spacing w:after="0"/>
              <w:rPr>
                <w:sz w:val="16"/>
                <w:szCs w:val="16"/>
                <w:color w:val="auto"/>
              </w:rPr>
            </w:pPr>
          </w:p>
        </w:tc>
        <w:tc>
          <w:tcPr>
            <w:tcW w:w="42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040" w:type="dxa"/>
            <w:vAlign w:val="bottom"/>
            <w:gridSpan w:val="3"/>
          </w:tcPr>
          <w:p>
            <w:pPr>
              <w:jc w:val="right"/>
              <w:ind w:right="400"/>
              <w:spacing w:after="0"/>
              <w:rPr>
                <w:sz w:val="20"/>
                <w:szCs w:val="20"/>
                <w:color w:val="auto"/>
              </w:rPr>
            </w:pPr>
            <w:r>
              <w:rPr>
                <w:rFonts w:ascii="Arial" w:cs="Arial" w:eastAsia="Arial" w:hAnsi="Arial"/>
                <w:sz w:val="14"/>
                <w:szCs w:val="14"/>
                <w:b w:val="1"/>
                <w:bCs w:val="1"/>
                <w:color w:val="auto"/>
                <w:w w:val="92"/>
              </w:rPr>
              <w:t>Year ended September 30,</w:t>
            </w:r>
          </w:p>
        </w:tc>
        <w:tc>
          <w:tcPr>
            <w:tcW w:w="42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80" w:type="dxa"/>
            <w:vAlign w:val="bottom"/>
          </w:tcPr>
          <w:p>
            <w:pPr>
              <w:spacing w:after="0"/>
              <w:rPr>
                <w:sz w:val="16"/>
                <w:szCs w:val="16"/>
                <w:color w:val="auto"/>
              </w:rPr>
            </w:pPr>
          </w:p>
        </w:tc>
      </w:tr>
      <w:tr>
        <w:trPr>
          <w:trHeight w:val="26"/>
        </w:trPr>
        <w:tc>
          <w:tcPr>
            <w:tcW w:w="580" w:type="dxa"/>
            <w:vAlign w:val="bottom"/>
          </w:tcPr>
          <w:p>
            <w:pPr>
              <w:spacing w:after="0"/>
              <w:rPr>
                <w:sz w:val="2"/>
                <w:szCs w:val="2"/>
                <w:color w:val="auto"/>
              </w:rPr>
            </w:pPr>
          </w:p>
        </w:tc>
        <w:tc>
          <w:tcPr>
            <w:tcW w:w="422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r>
      <w:tr>
        <w:trPr>
          <w:trHeight w:val="156"/>
        </w:trPr>
        <w:tc>
          <w:tcPr>
            <w:tcW w:w="580" w:type="dxa"/>
            <w:vAlign w:val="bottom"/>
          </w:tcPr>
          <w:p>
            <w:pPr>
              <w:spacing w:after="0"/>
              <w:rPr>
                <w:sz w:val="13"/>
                <w:szCs w:val="13"/>
                <w:color w:val="auto"/>
              </w:rPr>
            </w:pPr>
          </w:p>
        </w:tc>
        <w:tc>
          <w:tcPr>
            <w:tcW w:w="4220" w:type="dxa"/>
            <w:vAlign w:val="bottom"/>
            <w:tcBorders>
              <w:bottom w:val="single" w:sz="8" w:color="CFF0FC"/>
            </w:tcBorders>
          </w:tcPr>
          <w:p>
            <w:pPr>
              <w:spacing w:after="0"/>
              <w:rPr>
                <w:sz w:val="13"/>
                <w:szCs w:val="13"/>
                <w:color w:val="auto"/>
              </w:rPr>
            </w:pPr>
          </w:p>
        </w:tc>
        <w:tc>
          <w:tcPr>
            <w:tcW w:w="420" w:type="dxa"/>
            <w:vAlign w:val="bottom"/>
            <w:tcBorders>
              <w:bottom w:val="single" w:sz="8" w:color="auto"/>
            </w:tcBorders>
          </w:tcPr>
          <w:p>
            <w:pPr>
              <w:spacing w:after="0"/>
              <w:rPr>
                <w:sz w:val="13"/>
                <w:szCs w:val="13"/>
                <w:color w:val="auto"/>
              </w:rPr>
            </w:pPr>
          </w:p>
        </w:tc>
        <w:tc>
          <w:tcPr>
            <w:tcW w:w="1440" w:type="dxa"/>
            <w:vAlign w:val="bottom"/>
            <w:tcBorders>
              <w:bottom w:val="single" w:sz="8" w:color="auto"/>
            </w:tcBorders>
          </w:tcPr>
          <w:p>
            <w:pPr>
              <w:jc w:val="right"/>
              <w:ind w:right="714"/>
              <w:spacing w:after="0" w:line="155" w:lineRule="exact"/>
              <w:rPr>
                <w:sz w:val="20"/>
                <w:szCs w:val="20"/>
                <w:color w:val="auto"/>
              </w:rPr>
            </w:pPr>
            <w:r>
              <w:rPr>
                <w:rFonts w:ascii="Arial" w:cs="Arial" w:eastAsia="Arial" w:hAnsi="Arial"/>
                <w:sz w:val="14"/>
                <w:szCs w:val="14"/>
                <w:b w:val="1"/>
                <w:bCs w:val="1"/>
                <w:color w:val="auto"/>
              </w:rPr>
              <w:t>2017</w:t>
            </w:r>
          </w:p>
        </w:tc>
        <w:tc>
          <w:tcPr>
            <w:tcW w:w="280" w:type="dxa"/>
            <w:vAlign w:val="bottom"/>
            <w:tcBorders>
              <w:bottom w:val="single" w:sz="8" w:color="CFF0FC"/>
            </w:tcBorders>
          </w:tcPr>
          <w:p>
            <w:pPr>
              <w:spacing w:after="0"/>
              <w:rPr>
                <w:sz w:val="13"/>
                <w:szCs w:val="13"/>
                <w:color w:val="auto"/>
              </w:rPr>
            </w:pPr>
          </w:p>
        </w:tc>
        <w:tc>
          <w:tcPr>
            <w:tcW w:w="400" w:type="dxa"/>
            <w:vAlign w:val="bottom"/>
            <w:tcBorders>
              <w:bottom w:val="single" w:sz="8" w:color="auto"/>
            </w:tcBorders>
          </w:tcPr>
          <w:p>
            <w:pPr>
              <w:spacing w:after="0"/>
              <w:rPr>
                <w:sz w:val="13"/>
                <w:szCs w:val="13"/>
                <w:color w:val="auto"/>
              </w:rPr>
            </w:pPr>
          </w:p>
        </w:tc>
        <w:tc>
          <w:tcPr>
            <w:tcW w:w="1360" w:type="dxa"/>
            <w:vAlign w:val="bottom"/>
            <w:tcBorders>
              <w:bottom w:val="single" w:sz="8" w:color="auto"/>
            </w:tcBorders>
          </w:tcPr>
          <w:p>
            <w:pPr>
              <w:jc w:val="right"/>
              <w:ind w:right="654"/>
              <w:spacing w:after="0" w:line="155" w:lineRule="exact"/>
              <w:rPr>
                <w:sz w:val="20"/>
                <w:szCs w:val="20"/>
                <w:color w:val="auto"/>
              </w:rPr>
            </w:pPr>
            <w:r>
              <w:rPr>
                <w:rFonts w:ascii="Arial" w:cs="Arial" w:eastAsia="Arial" w:hAnsi="Arial"/>
                <w:sz w:val="14"/>
                <w:szCs w:val="14"/>
                <w:b w:val="1"/>
                <w:bCs w:val="1"/>
                <w:color w:val="auto"/>
              </w:rPr>
              <w:t>2016</w:t>
            </w:r>
          </w:p>
        </w:tc>
        <w:tc>
          <w:tcPr>
            <w:tcW w:w="280" w:type="dxa"/>
            <w:vAlign w:val="bottom"/>
            <w:tcBorders>
              <w:bottom w:val="single" w:sz="8" w:color="CFF0FC"/>
            </w:tcBorders>
          </w:tcPr>
          <w:p>
            <w:pPr>
              <w:spacing w:after="0"/>
              <w:rPr>
                <w:sz w:val="13"/>
                <w:szCs w:val="13"/>
                <w:color w:val="auto"/>
              </w:rPr>
            </w:pPr>
          </w:p>
        </w:tc>
        <w:tc>
          <w:tcPr>
            <w:tcW w:w="420" w:type="dxa"/>
            <w:vAlign w:val="bottom"/>
            <w:tcBorders>
              <w:bottom w:val="single" w:sz="8" w:color="auto"/>
            </w:tcBorders>
          </w:tcPr>
          <w:p>
            <w:pPr>
              <w:spacing w:after="0"/>
              <w:rPr>
                <w:sz w:val="13"/>
                <w:szCs w:val="13"/>
                <w:color w:val="auto"/>
              </w:rPr>
            </w:pPr>
          </w:p>
        </w:tc>
        <w:tc>
          <w:tcPr>
            <w:tcW w:w="1360" w:type="dxa"/>
            <w:vAlign w:val="bottom"/>
            <w:tcBorders>
              <w:bottom w:val="single" w:sz="8" w:color="auto"/>
            </w:tcBorders>
          </w:tcPr>
          <w:p>
            <w:pPr>
              <w:jc w:val="right"/>
              <w:ind w:right="674"/>
              <w:spacing w:after="0" w:line="155" w:lineRule="exact"/>
              <w:rPr>
                <w:sz w:val="20"/>
                <w:szCs w:val="20"/>
                <w:color w:val="auto"/>
              </w:rPr>
            </w:pPr>
            <w:r>
              <w:rPr>
                <w:rFonts w:ascii="Arial" w:cs="Arial" w:eastAsia="Arial" w:hAnsi="Arial"/>
                <w:sz w:val="14"/>
                <w:szCs w:val="14"/>
                <w:b w:val="1"/>
                <w:bCs w:val="1"/>
                <w:color w:val="auto"/>
              </w:rPr>
              <w:t>2015</w:t>
            </w:r>
          </w:p>
        </w:tc>
        <w:tc>
          <w:tcPr>
            <w:tcW w:w="100" w:type="dxa"/>
            <w:vAlign w:val="bottom"/>
            <w:tcBorders>
              <w:bottom w:val="single" w:sz="8" w:color="CFF0FC"/>
            </w:tcBorders>
          </w:tcPr>
          <w:p>
            <w:pPr>
              <w:spacing w:after="0"/>
              <w:rPr>
                <w:sz w:val="13"/>
                <w:szCs w:val="13"/>
                <w:color w:val="auto"/>
              </w:rPr>
            </w:pPr>
          </w:p>
        </w:tc>
        <w:tc>
          <w:tcPr>
            <w:tcW w:w="580" w:type="dxa"/>
            <w:vAlign w:val="bottom"/>
          </w:tcPr>
          <w:p>
            <w:pPr>
              <w:spacing w:after="0"/>
              <w:rPr>
                <w:sz w:val="13"/>
                <w:szCs w:val="13"/>
                <w:color w:val="auto"/>
              </w:rPr>
            </w:pPr>
          </w:p>
        </w:tc>
      </w:tr>
      <w:tr>
        <w:trPr>
          <w:trHeight w:val="223"/>
        </w:trPr>
        <w:tc>
          <w:tcPr>
            <w:tcW w:w="580" w:type="dxa"/>
            <w:vAlign w:val="bottom"/>
          </w:tcPr>
          <w:p>
            <w:pPr>
              <w:spacing w:after="0"/>
              <w:rPr>
                <w:sz w:val="19"/>
                <w:szCs w:val="19"/>
                <w:color w:val="auto"/>
              </w:rPr>
            </w:pPr>
          </w:p>
        </w:tc>
        <w:tc>
          <w:tcPr>
            <w:tcW w:w="4220" w:type="dxa"/>
            <w:vAlign w:val="bottom"/>
            <w:shd w:val="clear" w:color="auto" w:fill="CFF0FC"/>
          </w:tcPr>
          <w:p>
            <w:pPr>
              <w:spacing w:after="0"/>
              <w:rPr>
                <w:sz w:val="20"/>
                <w:szCs w:val="20"/>
                <w:color w:val="auto"/>
              </w:rPr>
            </w:pPr>
            <w:r>
              <w:rPr>
                <w:rFonts w:ascii="Arial" w:cs="Arial" w:eastAsia="Arial" w:hAnsi="Arial"/>
                <w:sz w:val="18"/>
                <w:szCs w:val="18"/>
                <w:color w:val="auto"/>
              </w:rPr>
              <w:t>Revenue</w:t>
            </w:r>
          </w:p>
        </w:tc>
        <w:tc>
          <w:tcPr>
            <w:tcW w:w="420" w:type="dxa"/>
            <w:vAlign w:val="bottom"/>
            <w:shd w:val="clear" w:color="auto" w:fill="CFF0FC"/>
          </w:tcPr>
          <w:p>
            <w:pPr>
              <w:jc w:val="right"/>
              <w:ind w:right="265"/>
              <w:spacing w:after="0"/>
              <w:rPr>
                <w:sz w:val="20"/>
                <w:szCs w:val="20"/>
                <w:color w:val="auto"/>
              </w:rPr>
            </w:pPr>
            <w:r>
              <w:rPr>
                <w:rFonts w:ascii="Arial" w:cs="Arial" w:eastAsia="Arial" w:hAnsi="Arial"/>
                <w:sz w:val="15"/>
                <w:szCs w:val="15"/>
                <w:color w:val="auto"/>
                <w:w w:val="71"/>
              </w:rPr>
              <w:t>$</w:t>
            </w:r>
          </w:p>
        </w:tc>
        <w:tc>
          <w:tcPr>
            <w:tcW w:w="14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31,407,709</w:t>
            </w:r>
          </w:p>
        </w:tc>
        <w:tc>
          <w:tcPr>
            <w:tcW w:w="280" w:type="dxa"/>
            <w:vAlign w:val="bottom"/>
            <w:shd w:val="clear" w:color="auto" w:fill="CFF0FC"/>
          </w:tcPr>
          <w:p>
            <w:pPr>
              <w:spacing w:after="0"/>
              <w:rPr>
                <w:sz w:val="19"/>
                <w:szCs w:val="19"/>
                <w:color w:val="auto"/>
              </w:rPr>
            </w:pPr>
          </w:p>
        </w:tc>
        <w:tc>
          <w:tcPr>
            <w:tcW w:w="400" w:type="dxa"/>
            <w:vAlign w:val="bottom"/>
            <w:shd w:val="clear" w:color="auto" w:fill="CFF0FC"/>
          </w:tcPr>
          <w:p>
            <w:pPr>
              <w:jc w:val="right"/>
              <w:ind w:right="247"/>
              <w:spacing w:after="0"/>
              <w:rPr>
                <w:sz w:val="20"/>
                <w:szCs w:val="20"/>
                <w:color w:val="auto"/>
              </w:rPr>
            </w:pPr>
            <w:r>
              <w:rPr>
                <w:rFonts w:ascii="Arial" w:cs="Arial" w:eastAsia="Arial" w:hAnsi="Arial"/>
                <w:sz w:val="15"/>
                <w:szCs w:val="15"/>
                <w:color w:val="auto"/>
                <w:w w:val="71"/>
              </w:rPr>
              <w:t>$</w:t>
            </w: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158,333</w:t>
            </w:r>
          </w:p>
        </w:tc>
        <w:tc>
          <w:tcPr>
            <w:tcW w:w="280" w:type="dxa"/>
            <w:vAlign w:val="bottom"/>
            <w:shd w:val="clear" w:color="auto" w:fill="CFF0FC"/>
          </w:tcPr>
          <w:p>
            <w:pPr>
              <w:spacing w:after="0"/>
              <w:rPr>
                <w:sz w:val="19"/>
                <w:szCs w:val="19"/>
                <w:color w:val="auto"/>
              </w:rPr>
            </w:pPr>
          </w:p>
        </w:tc>
        <w:tc>
          <w:tcPr>
            <w:tcW w:w="420" w:type="dxa"/>
            <w:vAlign w:val="bottom"/>
            <w:shd w:val="clear" w:color="auto" w:fill="CFF0FC"/>
          </w:tcPr>
          <w:p>
            <w:pPr>
              <w:jc w:val="right"/>
              <w:ind w:right="230"/>
              <w:spacing w:after="0"/>
              <w:rPr>
                <w:sz w:val="20"/>
                <w:szCs w:val="20"/>
                <w:color w:val="auto"/>
              </w:rPr>
            </w:pPr>
            <w:r>
              <w:rPr>
                <w:rFonts w:ascii="Arial" w:cs="Arial" w:eastAsia="Arial" w:hAnsi="Arial"/>
                <w:sz w:val="18"/>
                <w:szCs w:val="18"/>
                <w:color w:val="auto"/>
                <w:w w:val="79"/>
              </w:rPr>
              <w:t>$</w:t>
            </w: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382,000</w:t>
            </w:r>
          </w:p>
        </w:tc>
        <w:tc>
          <w:tcPr>
            <w:tcW w:w="100" w:type="dxa"/>
            <w:vAlign w:val="bottom"/>
            <w:shd w:val="clear" w:color="auto" w:fill="CFF0FC"/>
          </w:tcPr>
          <w:p>
            <w:pPr>
              <w:spacing w:after="0"/>
              <w:rPr>
                <w:sz w:val="19"/>
                <w:szCs w:val="19"/>
                <w:color w:val="auto"/>
              </w:rPr>
            </w:pPr>
          </w:p>
        </w:tc>
        <w:tc>
          <w:tcPr>
            <w:tcW w:w="580" w:type="dxa"/>
            <w:vAlign w:val="bottom"/>
          </w:tcPr>
          <w:p>
            <w:pPr>
              <w:spacing w:after="0"/>
              <w:rPr>
                <w:sz w:val="19"/>
                <w:szCs w:val="19"/>
                <w:color w:val="auto"/>
              </w:rPr>
            </w:pPr>
          </w:p>
        </w:tc>
      </w:tr>
      <w:tr>
        <w:trPr>
          <w:trHeight w:val="230"/>
        </w:trPr>
        <w:tc>
          <w:tcPr>
            <w:tcW w:w="580" w:type="dxa"/>
            <w:vAlign w:val="bottom"/>
          </w:tcPr>
          <w:p>
            <w:pPr>
              <w:spacing w:after="0"/>
              <w:rPr>
                <w:sz w:val="19"/>
                <w:szCs w:val="19"/>
                <w:color w:val="auto"/>
              </w:rPr>
            </w:pPr>
          </w:p>
        </w:tc>
        <w:tc>
          <w:tcPr>
            <w:tcW w:w="4220" w:type="dxa"/>
            <w:vAlign w:val="bottom"/>
          </w:tcPr>
          <w:p>
            <w:pPr>
              <w:spacing w:after="0"/>
              <w:rPr>
                <w:sz w:val="20"/>
                <w:szCs w:val="20"/>
                <w:color w:val="auto"/>
              </w:rPr>
            </w:pPr>
            <w:r>
              <w:rPr>
                <w:rFonts w:ascii="Arial" w:cs="Arial" w:eastAsia="Arial" w:hAnsi="Arial"/>
                <w:sz w:val="18"/>
                <w:szCs w:val="18"/>
                <w:color w:val="auto"/>
              </w:rPr>
              <w:t>Operating Loss</w:t>
            </w:r>
          </w:p>
        </w:tc>
        <w:tc>
          <w:tcPr>
            <w:tcW w:w="420" w:type="dxa"/>
            <w:vAlign w:val="bottom"/>
          </w:tcPr>
          <w:p>
            <w:pPr>
              <w:spacing w:after="0"/>
              <w:rPr>
                <w:sz w:val="19"/>
                <w:szCs w:val="19"/>
                <w:color w:val="auto"/>
              </w:rPr>
            </w:pPr>
          </w:p>
        </w:tc>
        <w:tc>
          <w:tcPr>
            <w:tcW w:w="1720" w:type="dxa"/>
            <w:vAlign w:val="bottom"/>
            <w:gridSpan w:val="2"/>
          </w:tcPr>
          <w:p>
            <w:pPr>
              <w:jc w:val="right"/>
              <w:ind w:right="240"/>
              <w:spacing w:after="0"/>
              <w:rPr>
                <w:sz w:val="20"/>
                <w:szCs w:val="20"/>
                <w:color w:val="auto"/>
              </w:rPr>
            </w:pPr>
            <w:r>
              <w:rPr>
                <w:rFonts w:ascii="Arial" w:cs="Arial" w:eastAsia="Arial" w:hAnsi="Arial"/>
                <w:sz w:val="18"/>
                <w:szCs w:val="18"/>
                <w:color w:val="auto"/>
              </w:rPr>
              <w:t>(36,995,909)</w:t>
            </w:r>
          </w:p>
        </w:tc>
        <w:tc>
          <w:tcPr>
            <w:tcW w:w="400" w:type="dxa"/>
            <w:vAlign w:val="bottom"/>
          </w:tcPr>
          <w:p>
            <w:pPr>
              <w:spacing w:after="0"/>
              <w:rPr>
                <w:sz w:val="19"/>
                <w:szCs w:val="19"/>
                <w:color w:val="auto"/>
              </w:rPr>
            </w:pPr>
          </w:p>
        </w:tc>
        <w:tc>
          <w:tcPr>
            <w:tcW w:w="1640" w:type="dxa"/>
            <w:vAlign w:val="bottom"/>
            <w:gridSpan w:val="2"/>
          </w:tcPr>
          <w:p>
            <w:pPr>
              <w:jc w:val="right"/>
              <w:ind w:right="220"/>
              <w:spacing w:after="0"/>
              <w:rPr>
                <w:sz w:val="20"/>
                <w:szCs w:val="20"/>
                <w:color w:val="auto"/>
              </w:rPr>
            </w:pPr>
            <w:r>
              <w:rPr>
                <w:rFonts w:ascii="Arial" w:cs="Arial" w:eastAsia="Arial" w:hAnsi="Arial"/>
                <w:sz w:val="18"/>
                <w:szCs w:val="18"/>
                <w:color w:val="auto"/>
              </w:rPr>
              <w:t>(81,742,726)</w:t>
            </w:r>
          </w:p>
        </w:tc>
        <w:tc>
          <w:tcPr>
            <w:tcW w:w="420" w:type="dxa"/>
            <w:vAlign w:val="bottom"/>
          </w:tcPr>
          <w:p>
            <w:pPr>
              <w:spacing w:after="0"/>
              <w:rPr>
                <w:sz w:val="19"/>
                <w:szCs w:val="19"/>
                <w:color w:val="auto"/>
              </w:rPr>
            </w:pPr>
          </w:p>
        </w:tc>
        <w:tc>
          <w:tcPr>
            <w:tcW w:w="1460" w:type="dxa"/>
            <w:vAlign w:val="bottom"/>
            <w:gridSpan w:val="2"/>
          </w:tcPr>
          <w:p>
            <w:pPr>
              <w:jc w:val="right"/>
              <w:ind w:right="40"/>
              <w:spacing w:after="0"/>
              <w:rPr>
                <w:sz w:val="20"/>
                <w:szCs w:val="20"/>
                <w:color w:val="auto"/>
              </w:rPr>
            </w:pPr>
            <w:r>
              <w:rPr>
                <w:rFonts w:ascii="Arial" w:cs="Arial" w:eastAsia="Arial" w:hAnsi="Arial"/>
                <w:sz w:val="18"/>
                <w:szCs w:val="18"/>
                <w:color w:val="auto"/>
              </w:rPr>
              <w:t>(95,973,976)</w:t>
            </w:r>
          </w:p>
        </w:tc>
        <w:tc>
          <w:tcPr>
            <w:tcW w:w="580" w:type="dxa"/>
            <w:vAlign w:val="bottom"/>
          </w:tcPr>
          <w:p>
            <w:pPr>
              <w:spacing w:after="0"/>
              <w:rPr>
                <w:sz w:val="19"/>
                <w:szCs w:val="19"/>
                <w:color w:val="auto"/>
              </w:rPr>
            </w:pPr>
          </w:p>
        </w:tc>
      </w:tr>
      <w:tr>
        <w:trPr>
          <w:trHeight w:val="230"/>
        </w:trPr>
        <w:tc>
          <w:tcPr>
            <w:tcW w:w="580" w:type="dxa"/>
            <w:vAlign w:val="bottom"/>
          </w:tcPr>
          <w:p>
            <w:pPr>
              <w:spacing w:after="0"/>
              <w:rPr>
                <w:sz w:val="19"/>
                <w:szCs w:val="19"/>
                <w:color w:val="auto"/>
              </w:rPr>
            </w:pPr>
          </w:p>
        </w:tc>
        <w:tc>
          <w:tcPr>
            <w:tcW w:w="4220" w:type="dxa"/>
            <w:vAlign w:val="bottom"/>
            <w:shd w:val="clear" w:color="auto" w:fill="CFF0FC"/>
          </w:tcPr>
          <w:p>
            <w:pPr>
              <w:spacing w:after="0"/>
              <w:rPr>
                <w:sz w:val="20"/>
                <w:szCs w:val="20"/>
                <w:color w:val="auto"/>
              </w:rPr>
            </w:pPr>
            <w:r>
              <w:rPr>
                <w:rFonts w:ascii="Arial" w:cs="Arial" w:eastAsia="Arial" w:hAnsi="Arial"/>
                <w:sz w:val="18"/>
                <w:szCs w:val="18"/>
                <w:color w:val="auto"/>
              </w:rPr>
              <w:t>Loss from Continuing Operations</w:t>
            </w:r>
          </w:p>
        </w:tc>
        <w:tc>
          <w:tcPr>
            <w:tcW w:w="420" w:type="dxa"/>
            <w:vAlign w:val="bottom"/>
            <w:shd w:val="clear" w:color="auto" w:fill="CFF0FC"/>
          </w:tcPr>
          <w:p>
            <w:pPr>
              <w:spacing w:after="0"/>
              <w:rPr>
                <w:sz w:val="19"/>
                <w:szCs w:val="19"/>
                <w:color w:val="auto"/>
              </w:rPr>
            </w:pPr>
          </w:p>
        </w:tc>
        <w:tc>
          <w:tcPr>
            <w:tcW w:w="172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(34,380,295)</w:t>
            </w:r>
          </w:p>
        </w:tc>
        <w:tc>
          <w:tcPr>
            <w:tcW w:w="400" w:type="dxa"/>
            <w:vAlign w:val="bottom"/>
            <w:shd w:val="clear" w:color="auto" w:fill="CFF0FC"/>
          </w:tcPr>
          <w:p>
            <w:pPr>
              <w:spacing w:after="0"/>
              <w:rPr>
                <w:sz w:val="19"/>
                <w:szCs w:val="19"/>
                <w:color w:val="auto"/>
              </w:rPr>
            </w:pPr>
          </w:p>
        </w:tc>
        <w:tc>
          <w:tcPr>
            <w:tcW w:w="164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(81,723,002)</w:t>
            </w:r>
          </w:p>
        </w:tc>
        <w:tc>
          <w:tcPr>
            <w:tcW w:w="420" w:type="dxa"/>
            <w:vAlign w:val="bottom"/>
            <w:shd w:val="clear" w:color="auto" w:fill="CFF0FC"/>
          </w:tcPr>
          <w:p>
            <w:pPr>
              <w:spacing w:after="0"/>
              <w:rPr>
                <w:sz w:val="19"/>
                <w:szCs w:val="19"/>
                <w:color w:val="auto"/>
              </w:rPr>
            </w:pPr>
          </w:p>
        </w:tc>
        <w:tc>
          <w:tcPr>
            <w:tcW w:w="146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(91,940,882)</w:t>
            </w:r>
          </w:p>
        </w:tc>
        <w:tc>
          <w:tcPr>
            <w:tcW w:w="580" w:type="dxa"/>
            <w:vAlign w:val="bottom"/>
          </w:tcPr>
          <w:p>
            <w:pPr>
              <w:spacing w:after="0"/>
              <w:rPr>
                <w:sz w:val="19"/>
                <w:szCs w:val="19"/>
                <w:color w:val="auto"/>
              </w:rPr>
            </w:pPr>
          </w:p>
        </w:tc>
      </w:tr>
      <w:tr>
        <w:trPr>
          <w:trHeight w:val="432"/>
        </w:trPr>
        <w:tc>
          <w:tcPr>
            <w:tcW w:w="580" w:type="dxa"/>
            <w:vAlign w:val="bottom"/>
          </w:tcPr>
          <w:p>
            <w:pPr>
              <w:spacing w:after="0"/>
              <w:rPr>
                <w:sz w:val="24"/>
                <w:szCs w:val="24"/>
                <w:color w:val="auto"/>
              </w:rPr>
            </w:pPr>
          </w:p>
        </w:tc>
        <w:tc>
          <w:tcPr>
            <w:tcW w:w="42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440" w:type="dxa"/>
            <w:vAlign w:val="bottom"/>
          </w:tcPr>
          <w:p>
            <w:pPr>
              <w:jc w:val="right"/>
              <w:ind w:right="774"/>
              <w:spacing w:after="0"/>
              <w:rPr>
                <w:sz w:val="20"/>
                <w:szCs w:val="20"/>
                <w:color w:val="auto"/>
              </w:rPr>
            </w:pPr>
            <w:r>
              <w:rPr>
                <w:rFonts w:ascii="Arial" w:cs="Arial" w:eastAsia="Arial" w:hAnsi="Arial"/>
                <w:sz w:val="18"/>
                <w:szCs w:val="18"/>
                <w:color w:val="auto"/>
              </w:rPr>
              <w:t>41</w:t>
            </w:r>
          </w:p>
        </w:tc>
        <w:tc>
          <w:tcPr>
            <w:tcW w:w="2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r>
      <w:tr>
        <w:trPr>
          <w:trHeight w:val="115"/>
        </w:trPr>
        <w:tc>
          <w:tcPr>
            <w:tcW w:w="580" w:type="dxa"/>
            <w:vAlign w:val="bottom"/>
            <w:tcBorders>
              <w:bottom w:val="single" w:sz="8" w:color="9A9A9A"/>
            </w:tcBorders>
          </w:tcPr>
          <w:p>
            <w:pPr>
              <w:spacing w:after="0"/>
              <w:rPr>
                <w:sz w:val="10"/>
                <w:szCs w:val="10"/>
                <w:color w:val="auto"/>
              </w:rPr>
            </w:pPr>
          </w:p>
        </w:tc>
        <w:tc>
          <w:tcPr>
            <w:tcW w:w="4220" w:type="dxa"/>
            <w:vAlign w:val="bottom"/>
            <w:tcBorders>
              <w:bottom w:val="single" w:sz="8" w:color="9A9A9A"/>
            </w:tcBorders>
          </w:tcPr>
          <w:p>
            <w:pPr>
              <w:spacing w:after="0"/>
              <w:rPr>
                <w:sz w:val="10"/>
                <w:szCs w:val="10"/>
                <w:color w:val="auto"/>
              </w:rPr>
            </w:pPr>
          </w:p>
        </w:tc>
        <w:tc>
          <w:tcPr>
            <w:tcW w:w="420" w:type="dxa"/>
            <w:vAlign w:val="bottom"/>
            <w:tcBorders>
              <w:bottom w:val="single" w:sz="8" w:color="9A9A9A"/>
            </w:tcBorders>
          </w:tcPr>
          <w:p>
            <w:pPr>
              <w:spacing w:after="0"/>
              <w:rPr>
                <w:sz w:val="10"/>
                <w:szCs w:val="10"/>
                <w:color w:val="auto"/>
              </w:rPr>
            </w:pPr>
          </w:p>
        </w:tc>
        <w:tc>
          <w:tcPr>
            <w:tcW w:w="144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400" w:type="dxa"/>
            <w:vAlign w:val="bottom"/>
            <w:tcBorders>
              <w:bottom w:val="single" w:sz="8" w:color="9A9A9A"/>
            </w:tcBorders>
          </w:tcPr>
          <w:p>
            <w:pPr>
              <w:spacing w:after="0"/>
              <w:rPr>
                <w:sz w:val="10"/>
                <w:szCs w:val="10"/>
                <w:color w:val="auto"/>
              </w:rPr>
            </w:pPr>
          </w:p>
        </w:tc>
        <w:tc>
          <w:tcPr>
            <w:tcW w:w="136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420" w:type="dxa"/>
            <w:vAlign w:val="bottom"/>
            <w:tcBorders>
              <w:bottom w:val="single" w:sz="8" w:color="9A9A9A"/>
            </w:tcBorders>
          </w:tcPr>
          <w:p>
            <w:pPr>
              <w:spacing w:after="0"/>
              <w:rPr>
                <w:sz w:val="10"/>
                <w:szCs w:val="10"/>
                <w:color w:val="auto"/>
              </w:rPr>
            </w:pPr>
          </w:p>
        </w:tc>
        <w:tc>
          <w:tcPr>
            <w:tcW w:w="136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58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233" w:right="219" w:bottom="1440" w:gutter="0" w:footer="0" w:header="0"/>
        </w:sectPr>
      </w:pPr>
    </w:p>
    <w:bookmarkStart w:id="44" w:name="page45"/>
    <w:bookmarkEnd w:id="44"/>
    <w:tbl>
      <w:tblPr>
        <w:tblLayout w:type="fixed"/>
        <w:tblInd w:w="580" w:type="dxa"/>
        <w:tblCellMar>
          <w:top w:w="0" w:type="dxa"/>
          <w:left w:w="0" w:type="dxa"/>
          <w:bottom w:w="0" w:type="dxa"/>
          <w:right w:w="0" w:type="dxa"/>
        </w:tblCellMar>
      </w:tblPr>
      <w:tr>
        <w:trPr>
          <w:trHeight w:val="230"/>
        </w:trPr>
        <w:tc>
          <w:tcPr>
            <w:tcW w:w="3520" w:type="dxa"/>
            <w:vAlign w:val="bottom"/>
          </w:tcPr>
          <w:p>
            <w:pPr>
              <w:spacing w:after="0"/>
              <w:rPr>
                <w:sz w:val="20"/>
                <w:szCs w:val="20"/>
                <w:color w:val="auto"/>
              </w:rPr>
            </w:pPr>
            <w:r>
              <w:rPr>
                <w:rFonts w:ascii="Arial" w:cs="Arial" w:eastAsia="Arial" w:hAnsi="Arial"/>
                <w:sz w:val="18"/>
                <w:szCs w:val="18"/>
                <w:color w:val="auto"/>
              </w:rPr>
              <w:t>Net Loss</w:t>
            </w:r>
          </w:p>
        </w:tc>
        <w:tc>
          <w:tcPr>
            <w:tcW w:w="1220" w:type="dxa"/>
            <w:vAlign w:val="bottom"/>
          </w:tcPr>
          <w:p>
            <w:pPr>
              <w:spacing w:after="0"/>
              <w:rPr>
                <w:sz w:val="20"/>
                <w:szCs w:val="20"/>
                <w:color w:val="auto"/>
              </w:rPr>
            </w:pPr>
          </w:p>
        </w:tc>
        <w:tc>
          <w:tcPr>
            <w:tcW w:w="1500" w:type="dxa"/>
            <w:vAlign w:val="bottom"/>
          </w:tcPr>
          <w:p>
            <w:pPr>
              <w:jc w:val="right"/>
              <w:ind w:right="30"/>
              <w:spacing w:after="0"/>
              <w:rPr>
                <w:sz w:val="20"/>
                <w:szCs w:val="20"/>
                <w:color w:val="auto"/>
              </w:rPr>
            </w:pPr>
            <w:r>
              <w:rPr>
                <w:rFonts w:ascii="Arial" w:cs="Arial" w:eastAsia="Arial" w:hAnsi="Arial"/>
                <w:sz w:val="18"/>
                <w:szCs w:val="18"/>
                <w:color w:val="auto"/>
              </w:rPr>
              <w:t>(34,380,295)</w:t>
            </w:r>
          </w:p>
        </w:tc>
        <w:tc>
          <w:tcPr>
            <w:tcW w:w="600" w:type="dxa"/>
            <w:vAlign w:val="bottom"/>
          </w:tcPr>
          <w:p>
            <w:pPr>
              <w:spacing w:after="0"/>
              <w:rPr>
                <w:sz w:val="20"/>
                <w:szCs w:val="20"/>
                <w:color w:val="auto"/>
              </w:rPr>
            </w:pPr>
          </w:p>
        </w:tc>
        <w:tc>
          <w:tcPr>
            <w:tcW w:w="1460" w:type="dxa"/>
            <w:vAlign w:val="bottom"/>
          </w:tcPr>
          <w:p>
            <w:pPr>
              <w:jc w:val="right"/>
              <w:ind w:right="30"/>
              <w:spacing w:after="0"/>
              <w:rPr>
                <w:sz w:val="20"/>
                <w:szCs w:val="20"/>
                <w:color w:val="auto"/>
              </w:rPr>
            </w:pPr>
            <w:r>
              <w:rPr>
                <w:rFonts w:ascii="Arial" w:cs="Arial" w:eastAsia="Arial" w:hAnsi="Arial"/>
                <w:sz w:val="18"/>
                <w:szCs w:val="18"/>
                <w:color w:val="auto"/>
              </w:rPr>
              <w:t>(81,723,002)</w:t>
            </w:r>
          </w:p>
        </w:tc>
        <w:tc>
          <w:tcPr>
            <w:tcW w:w="60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(91,940,882)</w:t>
            </w:r>
          </w:p>
        </w:tc>
      </w:tr>
      <w:tr>
        <w:trPr>
          <w:trHeight w:val="230"/>
        </w:trPr>
        <w:tc>
          <w:tcPr>
            <w:tcW w:w="3520" w:type="dxa"/>
            <w:vAlign w:val="bottom"/>
            <w:shd w:val="clear" w:color="auto" w:fill="CFF0FC"/>
          </w:tcPr>
          <w:p>
            <w:pPr>
              <w:spacing w:after="0"/>
              <w:rPr>
                <w:sz w:val="20"/>
                <w:szCs w:val="20"/>
                <w:color w:val="auto"/>
              </w:rPr>
            </w:pPr>
            <w:r>
              <w:rPr>
                <w:rFonts w:ascii="Arial" w:cs="Arial" w:eastAsia="Arial" w:hAnsi="Arial"/>
                <w:sz w:val="18"/>
                <w:szCs w:val="18"/>
                <w:color w:val="auto"/>
              </w:rPr>
              <w:t>Earnings per Share (Basic and Diluted)</w:t>
            </w:r>
          </w:p>
        </w:tc>
        <w:tc>
          <w:tcPr>
            <w:tcW w:w="1220" w:type="dxa"/>
            <w:vAlign w:val="bottom"/>
            <w:shd w:val="clear" w:color="auto" w:fill="CFF0FC"/>
          </w:tcPr>
          <w:p>
            <w:pPr>
              <w:jc w:val="right"/>
              <w:ind w:right="350"/>
              <w:spacing w:after="0"/>
              <w:rPr>
                <w:sz w:val="20"/>
                <w:szCs w:val="20"/>
                <w:color w:val="auto"/>
              </w:rPr>
            </w:pPr>
            <w:r>
              <w:rPr>
                <w:rFonts w:ascii="Arial" w:cs="Arial" w:eastAsia="Arial" w:hAnsi="Arial"/>
                <w:sz w:val="18"/>
                <w:szCs w:val="18"/>
                <w:color w:val="auto"/>
              </w:rPr>
              <w:t>$</w:t>
            </w:r>
          </w:p>
        </w:tc>
        <w:tc>
          <w:tcPr>
            <w:tcW w:w="150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(0.47)</w:t>
            </w:r>
          </w:p>
        </w:tc>
        <w:tc>
          <w:tcPr>
            <w:tcW w:w="600" w:type="dxa"/>
            <w:vAlign w:val="bottom"/>
            <w:shd w:val="clear" w:color="auto" w:fill="CFF0FC"/>
          </w:tcPr>
          <w:p>
            <w:pPr>
              <w:jc w:val="right"/>
              <w:ind w:right="310"/>
              <w:spacing w:after="0"/>
              <w:rPr>
                <w:sz w:val="20"/>
                <w:szCs w:val="20"/>
                <w:color w:val="auto"/>
              </w:rPr>
            </w:pPr>
            <w:r>
              <w:rPr>
                <w:rFonts w:ascii="Arial" w:cs="Arial" w:eastAsia="Arial" w:hAnsi="Arial"/>
                <w:sz w:val="18"/>
                <w:szCs w:val="18"/>
                <w:color w:val="auto"/>
              </w:rPr>
              <w:t>$</w:t>
            </w:r>
          </w:p>
        </w:tc>
        <w:tc>
          <w:tcPr>
            <w:tcW w:w="146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(1.34)</w:t>
            </w:r>
          </w:p>
        </w:tc>
        <w:tc>
          <w:tcPr>
            <w:tcW w:w="600" w:type="dxa"/>
            <w:vAlign w:val="bottom"/>
            <w:shd w:val="clear" w:color="auto" w:fill="CFF0FC"/>
          </w:tcPr>
          <w:p>
            <w:pPr>
              <w:jc w:val="right"/>
              <w:ind w:right="310"/>
              <w:spacing w:after="0"/>
              <w:rPr>
                <w:sz w:val="20"/>
                <w:szCs w:val="20"/>
                <w:color w:val="auto"/>
              </w:rPr>
            </w:pPr>
            <w:r>
              <w:rPr>
                <w:rFonts w:ascii="Arial" w:cs="Arial" w:eastAsia="Arial" w:hAnsi="Arial"/>
                <w:sz w:val="18"/>
                <w:szCs w:val="18"/>
                <w:color w:val="auto"/>
              </w:rPr>
              <w:t>$</w:t>
            </w:r>
          </w:p>
        </w:tc>
        <w:tc>
          <w:tcPr>
            <w:tcW w:w="1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(1.60)</w:t>
            </w:r>
          </w:p>
        </w:tc>
      </w:tr>
    </w:tbl>
    <w:p>
      <w:pPr>
        <w:spacing w:after="0" w:line="202" w:lineRule="exact"/>
        <w:rPr>
          <w:sz w:val="20"/>
          <w:szCs w:val="20"/>
          <w:color w:val="auto"/>
        </w:rPr>
      </w:pPr>
    </w:p>
    <w:p>
      <w:pPr>
        <w:ind w:right="160" w:firstLine="518"/>
        <w:spacing w:after="0" w:line="259" w:lineRule="auto"/>
        <w:rPr>
          <w:sz w:val="20"/>
          <w:szCs w:val="20"/>
          <w:color w:val="auto"/>
        </w:rPr>
      </w:pPr>
      <w:r>
        <w:rPr>
          <w:rFonts w:ascii="Arial" w:cs="Arial" w:eastAsia="Arial" w:hAnsi="Arial"/>
          <w:sz w:val="18"/>
          <w:szCs w:val="18"/>
          <w:color w:val="auto"/>
        </w:rPr>
        <w:t>The increase in our Revenue during the year ended September 30, 2017 was driven by the upfront payments received from Amgen that we are recognizing as revenue as performance is completed for the ARO-LPA (AMG 890) and ARO-AMG1 agreements. These payments were also the key driver of the decrease in our Operating Loss, Net Loss and Loss per Share. Research and Development expenses also decreased in fiscal 2017 due to the discontinuation of our previous clinical programs in November 2016.</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 Comparison for 2017 and 2016</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Revenues</w:t>
      </w:r>
    </w:p>
    <w:p>
      <w:pPr>
        <w:spacing w:after="0" w:line="121" w:lineRule="exact"/>
        <w:rPr>
          <w:sz w:val="20"/>
          <w:szCs w:val="20"/>
          <w:color w:val="auto"/>
        </w:rPr>
      </w:pPr>
    </w:p>
    <w:p>
      <w:pPr>
        <w:jc w:val="both"/>
        <w:ind w:right="60" w:firstLine="518"/>
        <w:spacing w:after="0" w:line="264" w:lineRule="auto"/>
        <w:rPr>
          <w:sz w:val="20"/>
          <w:szCs w:val="20"/>
          <w:color w:val="auto"/>
        </w:rPr>
      </w:pPr>
      <w:r>
        <w:rPr>
          <w:rFonts w:ascii="Arial" w:cs="Arial" w:eastAsia="Arial" w:hAnsi="Arial"/>
          <w:sz w:val="18"/>
          <w:szCs w:val="18"/>
          <w:color w:val="auto"/>
        </w:rPr>
        <w:t>Total revenue was $31,407,709 for the year ended September 30, 2017 and $158,333 for the year ended September 30, 2016. Revenue in the current period is primarily related to the upfront payments received from Amgen that we are recognizing as performance is completed for the ARO-LPA (AMG 890) and ARO-AMG1 agreements</w:t>
      </w:r>
    </w:p>
    <w:p>
      <w:pPr>
        <w:spacing w:after="0" w:line="73" w:lineRule="exact"/>
        <w:rPr>
          <w:sz w:val="20"/>
          <w:szCs w:val="20"/>
          <w:color w:val="auto"/>
        </w:rPr>
      </w:pPr>
    </w:p>
    <w:p>
      <w:pPr>
        <w:ind w:firstLine="588"/>
        <w:spacing w:after="0" w:line="287" w:lineRule="auto"/>
        <w:rPr>
          <w:sz w:val="20"/>
          <w:szCs w:val="20"/>
          <w:color w:val="auto"/>
        </w:rPr>
      </w:pPr>
      <w:r>
        <w:rPr>
          <w:rFonts w:ascii="Arial" w:cs="Arial" w:eastAsia="Arial" w:hAnsi="Arial"/>
          <w:sz w:val="16"/>
          <w:szCs w:val="16"/>
          <w:color w:val="auto"/>
        </w:rPr>
        <w:t>Under the terms of the ARO-LPA (AMG 890) Agreement, the Company has granted a worldwide, exclusive license to ARO-LPA (AMG 890) . The collaboration between the Company and Amgen is governed by a joint research committee comprised of an equal number of representatives from each party; however, Amgen has the final decision making authority regarding ARO-LPA (AMG 890) in this committee. The Company is also responsible for assisting Amgen in the oversight of certain development and manufacturing activities, most of which are to be covered at Amgen’s cost. The Company has determined that the significant deliverables under the ARO-LPA (AMG 890) Agreement include the license and the oversight of certain of the development and manufacturing activities. The Company also determined that, pursuant to the accounting guidance governing revenue recognition on multiple element arrangements, the license and collective undelivered activities and services do not have standalone value due to the specialized nature of the activities and services to be provided by the Company. Therefore, the deliverables are not separable and, accordingly, the license and undelivered services are being treated as a single unit of accounting. The Company will recognize revenue on a straight-line basis from November 18, 2016 (the Hart-Scott-Rodino clearance date) through October 31, 2017, which is the date where the significant development and manufacturing related deliverables were completed. The Company received the upfront payment of $30 million due under this agreement in November 2016. The initial $30 million payment was recorded as Deferred Revenue, and $27.3 million of this was amortized into Revenue during the year ended September 30, 2017.</w:t>
      </w:r>
    </w:p>
    <w:p>
      <w:pPr>
        <w:spacing w:after="0" w:line="61" w:lineRule="exact"/>
        <w:rPr>
          <w:sz w:val="20"/>
          <w:szCs w:val="20"/>
          <w:color w:val="auto"/>
        </w:rPr>
      </w:pPr>
    </w:p>
    <w:p>
      <w:pPr>
        <w:ind w:right="20" w:firstLine="588"/>
        <w:spacing w:after="0" w:line="286" w:lineRule="auto"/>
        <w:rPr>
          <w:sz w:val="20"/>
          <w:szCs w:val="20"/>
          <w:color w:val="auto"/>
        </w:rPr>
      </w:pPr>
      <w:r>
        <w:rPr>
          <w:rFonts w:ascii="Arial" w:cs="Arial" w:eastAsia="Arial" w:hAnsi="Arial"/>
          <w:sz w:val="16"/>
          <w:szCs w:val="16"/>
          <w:color w:val="auto"/>
        </w:rPr>
        <w:t>Under the terms of the ARO-AMG1 Agreement, the Company has granted an option to a worldwide, exclusive license to ARO-AMG1, an undisclosed genetically validated cardiovascular target. The collaboration between the Company and Amgen is governed by a joint steering committee comprised of an equal number of representatives from each party. The Company is also responsible for developing, optimizing and manufacturing the candidate through certain preclinical efficacy and toxicology studies to determine whether the candidate the Company has developed meets the required criteria as defined in the agreement (the “Arrowhead Deliverable”). If this is achieved, Amgen will then have the option to an exclusive license for the intellectual property generated through the Company’s development efforts, and will likely assume all development, regulatory and commercialization efforts for the candidate upon the option exercise. The Company has determined that the significant deliverables under the ARO-AMG1 Agreement include the license, the joint research committee and the development and manufacturing activities toward achieving the Arrowhead Deliverable. The Company also determined that, pursuant to the accounting guidance governing revenue recognition on multiple element arrangements, the license and collective undelivered activities and services do not have standalone value due to the specialized nature of the activities and services to be provided by the Company. Therefore, the deliverables are not separable and, accordingly, the license and undelivered services are being treated as a single unit of accounting. The Company will recognize revenue on a straight-line basis from October 1, 2016, through September 30, 2018. The due date for achieving the Arrowhead Deliverable is September 28, 2018. The Company received the upfront payment of $5 million due under this agreement in September 2016. The initial $5 million payment was recorded as Deferred Revenue, and $2.5 million of this was amortized into Revenue during the year ended September 30, 2017.</w:t>
      </w:r>
    </w:p>
    <w:p>
      <w:pPr>
        <w:spacing w:after="0" w:line="64" w:lineRule="exact"/>
        <w:rPr>
          <w:sz w:val="20"/>
          <w:szCs w:val="20"/>
          <w:color w:val="auto"/>
        </w:rPr>
      </w:pPr>
    </w:p>
    <w:p>
      <w:pPr>
        <w:ind w:right="420" w:firstLine="588"/>
        <w:spacing w:after="0" w:line="264" w:lineRule="auto"/>
        <w:rPr>
          <w:sz w:val="20"/>
          <w:szCs w:val="20"/>
          <w:color w:val="auto"/>
        </w:rPr>
      </w:pPr>
      <w:r>
        <w:rPr>
          <w:rFonts w:ascii="Arial" w:cs="Arial" w:eastAsia="Arial" w:hAnsi="Arial"/>
          <w:sz w:val="18"/>
          <w:szCs w:val="18"/>
          <w:color w:val="auto"/>
        </w:rPr>
        <w:t>In January 2017, the Company also entered into a separate services agreement with Amgen to provide certain services related to process development, manufacturing, materials supply, discovery studies, and other consulting services related to ARO-LPA (AMG 890). During the year ended September 30, 2017, work orders under this services agreement generated approximately $1.5 million of Revenue.</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Operating Expenses</w:t>
      </w:r>
    </w:p>
    <w:p>
      <w:pPr>
        <w:spacing w:after="0" w:line="121" w:lineRule="exact"/>
        <w:rPr>
          <w:sz w:val="20"/>
          <w:szCs w:val="20"/>
          <w:color w:val="auto"/>
        </w:rPr>
      </w:pPr>
    </w:p>
    <w:p>
      <w:pPr>
        <w:ind w:right="80" w:firstLine="518"/>
        <w:spacing w:after="0" w:line="264" w:lineRule="auto"/>
        <w:rPr>
          <w:sz w:val="20"/>
          <w:szCs w:val="20"/>
          <w:color w:val="auto"/>
        </w:rPr>
      </w:pPr>
      <w:r>
        <w:rPr>
          <w:rFonts w:ascii="Arial" w:cs="Arial" w:eastAsia="Arial" w:hAnsi="Arial"/>
          <w:sz w:val="18"/>
          <w:szCs w:val="18"/>
          <w:color w:val="auto"/>
        </w:rPr>
        <w:t>The analysis below details the operating expenses and discusses the expenditures of the Company within the major expense categories. Certain reclassifications have been made to prior-period operating expense categories to conform to the current period presentation. For purposes of comparison, the amounts for the years ended September 30, 2017 and 2016 are shown in the tables below.</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139" w:right="259" w:bottom="1440" w:gutter="0" w:footer="0" w:header="0"/>
        </w:sectPr>
      </w:pPr>
    </w:p>
    <w:bookmarkStart w:id="45" w:name="page46"/>
    <w:bookmarkEnd w:id="45"/>
    <w:p>
      <w:pPr>
        <w:ind w:left="260"/>
        <w:spacing w:after="0"/>
        <w:rPr>
          <w:sz w:val="20"/>
          <w:szCs w:val="20"/>
          <w:color w:val="auto"/>
        </w:rPr>
      </w:pPr>
      <w:r>
        <w:rPr>
          <w:rFonts w:ascii="Arial" w:cs="Arial" w:eastAsia="Arial" w:hAnsi="Arial"/>
          <w:sz w:val="18"/>
          <w:szCs w:val="18"/>
          <w:b w:val="1"/>
          <w:bCs w:val="1"/>
          <w:i w:val="1"/>
          <w:iCs w:val="1"/>
          <w:color w:val="auto"/>
        </w:rPr>
        <w:t>Research and Development Expenses</w:t>
      </w:r>
    </w:p>
    <w:p>
      <w:pPr>
        <w:spacing w:after="0" w:line="117" w:lineRule="exact"/>
        <w:rPr>
          <w:sz w:val="20"/>
          <w:szCs w:val="20"/>
          <w:color w:val="auto"/>
        </w:rPr>
      </w:pPr>
    </w:p>
    <w:p>
      <w:pPr>
        <w:ind w:right="300" w:firstLine="518"/>
        <w:spacing w:after="0" w:line="259" w:lineRule="auto"/>
        <w:rPr>
          <w:sz w:val="20"/>
          <w:szCs w:val="20"/>
          <w:color w:val="auto"/>
        </w:rPr>
      </w:pPr>
      <w:r>
        <w:rPr>
          <w:rFonts w:ascii="Arial" w:cs="Arial" w:eastAsia="Arial" w:hAnsi="Arial"/>
          <w:sz w:val="18"/>
          <w:szCs w:val="18"/>
          <w:color w:val="auto"/>
        </w:rPr>
        <w:t>R&amp;D expenses are related to the Company’s on-going research and development efforts, primarily related to program costs, composed primarily of outsourced costs related to the manufacturing of clinical supplies, toxicity/efficacy studies and clinical trial expenses. Internal costs primarily relate to operations at our research and development facility in Madison, Wisconsin, including facility costs and laboratory-related expenses. The following table provides details of research and development expense for the periods indicated:</w:t>
      </w:r>
    </w:p>
    <w:p>
      <w:pPr>
        <w:spacing w:after="0" w:line="187"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(in thousands)</w:t>
      </w:r>
    </w:p>
    <w:p>
      <w:pPr>
        <w:spacing w:after="0" w:line="200" w:lineRule="exact"/>
        <w:rPr>
          <w:sz w:val="20"/>
          <w:szCs w:val="20"/>
          <w:color w:val="auto"/>
        </w:rPr>
      </w:pPr>
    </w:p>
    <w:p>
      <w:pPr>
        <w:spacing w:after="0" w:line="24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0" w:type="dxa"/>
            <w:vAlign w:val="bottom"/>
            <w:gridSpan w:val="3"/>
          </w:tcPr>
          <w:p>
            <w:pPr>
              <w:jc w:val="center"/>
              <w:ind w:right="380"/>
              <w:spacing w:after="0"/>
              <w:rPr>
                <w:sz w:val="20"/>
                <w:szCs w:val="20"/>
                <w:color w:val="auto"/>
              </w:rPr>
            </w:pPr>
            <w:r>
              <w:rPr>
                <w:rFonts w:ascii="Arial" w:cs="Arial" w:eastAsia="Arial" w:hAnsi="Arial"/>
                <w:sz w:val="14"/>
                <w:szCs w:val="14"/>
                <w:b w:val="1"/>
                <w:bCs w:val="1"/>
                <w:color w:val="auto"/>
                <w:w w:val="93"/>
              </w:rPr>
              <w:t>Twelve Months</w:t>
            </w:r>
          </w:p>
        </w:tc>
        <w:tc>
          <w:tcPr>
            <w:tcW w:w="126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w w:val="92"/>
              </w:rPr>
              <w:t>% of Expense</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3"/>
              </w:rPr>
              <w:t>Twelve Months</w:t>
            </w:r>
          </w:p>
        </w:tc>
        <w:tc>
          <w:tcPr>
            <w:tcW w:w="126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w w:val="92"/>
              </w:rPr>
              <w:t>% of Expense</w:t>
            </w:r>
          </w:p>
        </w:tc>
        <w:tc>
          <w:tcPr>
            <w:tcW w:w="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360" w:type="dxa"/>
            <w:vAlign w:val="bottom"/>
            <w:gridSpan w:val="4"/>
            <w:vMerge w:val="restart"/>
          </w:tcPr>
          <w:p>
            <w:pPr>
              <w:jc w:val="right"/>
              <w:ind w:right="160"/>
              <w:spacing w:after="0"/>
              <w:rPr>
                <w:sz w:val="20"/>
                <w:szCs w:val="20"/>
                <w:color w:val="auto"/>
              </w:rPr>
            </w:pPr>
            <w:r>
              <w:rPr>
                <w:rFonts w:ascii="Arial" w:cs="Arial" w:eastAsia="Arial" w:hAnsi="Arial"/>
                <w:sz w:val="14"/>
                <w:szCs w:val="14"/>
                <w:b w:val="1"/>
                <w:bCs w:val="1"/>
                <w:color w:val="auto"/>
                <w:w w:val="89"/>
              </w:rPr>
              <w:t>Increase (Decrease)</w:t>
            </w:r>
          </w:p>
        </w:tc>
        <w:tc>
          <w:tcPr>
            <w:tcW w:w="3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0" w:type="dxa"/>
            <w:vAlign w:val="bottom"/>
            <w:gridSpan w:val="3"/>
          </w:tcPr>
          <w:p>
            <w:pPr>
              <w:jc w:val="center"/>
              <w:ind w:right="400"/>
              <w:spacing w:after="0"/>
              <w:rPr>
                <w:sz w:val="20"/>
                <w:szCs w:val="20"/>
                <w:color w:val="auto"/>
              </w:rPr>
            </w:pPr>
            <w:r>
              <w:rPr>
                <w:rFonts w:ascii="Arial" w:cs="Arial" w:eastAsia="Arial" w:hAnsi="Arial"/>
                <w:sz w:val="14"/>
                <w:szCs w:val="14"/>
                <w:b w:val="1"/>
                <w:bCs w:val="1"/>
                <w:color w:val="auto"/>
                <w:w w:val="93"/>
              </w:rPr>
              <w:t>Ended</w:t>
            </w:r>
          </w:p>
        </w:tc>
        <w:tc>
          <w:tcPr>
            <w:tcW w:w="126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93"/>
              </w:rPr>
              <w:t>Ended</w:t>
            </w:r>
          </w:p>
        </w:tc>
        <w:tc>
          <w:tcPr>
            <w:tcW w:w="126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360" w:type="dxa"/>
            <w:vAlign w:val="bottom"/>
            <w:gridSpan w:val="4"/>
            <w:vMerge w:val="continue"/>
          </w:tcPr>
          <w:p>
            <w:pPr>
              <w:spacing w:after="0"/>
              <w:rPr>
                <w:sz w:val="14"/>
                <w:szCs w:val="14"/>
                <w:color w:val="auto"/>
              </w:rPr>
            </w:pPr>
          </w:p>
        </w:tc>
        <w:tc>
          <w:tcPr>
            <w:tcW w:w="3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3240" w:type="dxa"/>
            <w:vAlign w:val="bottom"/>
            <w:tcBorders>
              <w:bottom w:val="single" w:sz="8" w:color="B6EAFC"/>
            </w:tcBorders>
          </w:tcPr>
          <w:p>
            <w:pPr>
              <w:spacing w:after="0"/>
              <w:rPr>
                <w:sz w:val="14"/>
                <w:szCs w:val="14"/>
                <w:color w:val="auto"/>
              </w:rPr>
            </w:pPr>
          </w:p>
        </w:tc>
        <w:tc>
          <w:tcPr>
            <w:tcW w:w="126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b w:val="1"/>
                <w:bCs w:val="1"/>
                <w:color w:val="auto"/>
                <w:w w:val="93"/>
              </w:rPr>
              <w:t>September 30, 2017</w:t>
            </w:r>
          </w:p>
        </w:tc>
        <w:tc>
          <w:tcPr>
            <w:tcW w:w="120" w:type="dxa"/>
            <w:vAlign w:val="bottom"/>
            <w:tcBorders>
              <w:bottom w:val="single" w:sz="8" w:color="B6EAFC"/>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Category</w:t>
            </w:r>
          </w:p>
        </w:tc>
        <w:tc>
          <w:tcPr>
            <w:tcW w:w="240" w:type="dxa"/>
            <w:vAlign w:val="bottom"/>
            <w:tcBorders>
              <w:bottom w:val="single" w:sz="8" w:color="B6EAFC"/>
            </w:tcBorders>
          </w:tcPr>
          <w:p>
            <w:pPr>
              <w:spacing w:after="0"/>
              <w:rPr>
                <w:sz w:val="14"/>
                <w:szCs w:val="14"/>
                <w:color w:val="auto"/>
              </w:rPr>
            </w:pPr>
          </w:p>
        </w:tc>
        <w:tc>
          <w:tcPr>
            <w:tcW w:w="80" w:type="dxa"/>
            <w:vAlign w:val="bottom"/>
            <w:tcBorders>
              <w:bottom w:val="single" w:sz="8" w:color="B6EAFC"/>
            </w:tcBorders>
          </w:tcPr>
          <w:p>
            <w:pPr>
              <w:spacing w:after="0"/>
              <w:rPr>
                <w:sz w:val="14"/>
                <w:szCs w:val="14"/>
                <w:color w:val="auto"/>
              </w:rPr>
            </w:pPr>
          </w:p>
        </w:tc>
        <w:tc>
          <w:tcPr>
            <w:tcW w:w="126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b w:val="1"/>
                <w:bCs w:val="1"/>
                <w:color w:val="auto"/>
                <w:w w:val="93"/>
              </w:rPr>
              <w:t>September 30, 2016</w:t>
            </w:r>
          </w:p>
        </w:tc>
        <w:tc>
          <w:tcPr>
            <w:tcW w:w="260" w:type="dxa"/>
            <w:vAlign w:val="bottom"/>
            <w:tcBorders>
              <w:bottom w:val="single" w:sz="8" w:color="B6EAFC"/>
            </w:tcBorders>
          </w:tcPr>
          <w:p>
            <w:pPr>
              <w:spacing w:after="0"/>
              <w:rPr>
                <w:sz w:val="14"/>
                <w:szCs w:val="14"/>
                <w:color w:val="auto"/>
              </w:rPr>
            </w:pPr>
          </w:p>
        </w:tc>
        <w:tc>
          <w:tcPr>
            <w:tcW w:w="10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Category</w:t>
            </w:r>
          </w:p>
        </w:tc>
        <w:tc>
          <w:tcPr>
            <w:tcW w:w="240" w:type="dxa"/>
            <w:vAlign w:val="bottom"/>
            <w:tcBorders>
              <w:bottom w:val="single" w:sz="8" w:color="B6EAFC"/>
            </w:tcBorders>
          </w:tcPr>
          <w:p>
            <w:pPr>
              <w:spacing w:after="0"/>
              <w:rPr>
                <w:sz w:val="14"/>
                <w:szCs w:val="14"/>
                <w:color w:val="auto"/>
              </w:rPr>
            </w:pPr>
          </w:p>
        </w:tc>
        <w:tc>
          <w:tcPr>
            <w:tcW w:w="80" w:type="dxa"/>
            <w:vAlign w:val="bottom"/>
            <w:tcBorders>
              <w:bottom w:val="single" w:sz="8" w:color="B6EAFC"/>
            </w:tcBorders>
          </w:tcPr>
          <w:p>
            <w:pPr>
              <w:spacing w:after="0"/>
              <w:rPr>
                <w:sz w:val="14"/>
                <w:szCs w:val="14"/>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480" w:type="dxa"/>
            <w:vAlign w:val="bottom"/>
            <w:tcBorders>
              <w:bottom w:val="single" w:sz="8" w:color="auto"/>
            </w:tcBorders>
          </w:tcPr>
          <w:p>
            <w:pPr>
              <w:spacing w:after="0"/>
              <w:rPr>
                <w:sz w:val="14"/>
                <w:szCs w:val="14"/>
                <w:color w:val="auto"/>
              </w:rPr>
            </w:pPr>
          </w:p>
        </w:tc>
        <w:tc>
          <w:tcPr>
            <w:tcW w:w="100" w:type="dxa"/>
            <w:vAlign w:val="bottom"/>
            <w:tcBorders>
              <w:bottom w:val="single" w:sz="8" w:color="B6EAFC"/>
            </w:tcBorders>
          </w:tcPr>
          <w:p>
            <w:pPr>
              <w:spacing w:after="0"/>
              <w:rPr>
                <w:sz w:val="14"/>
                <w:szCs w:val="14"/>
                <w:color w:val="auto"/>
              </w:rPr>
            </w:pPr>
          </w:p>
        </w:tc>
        <w:tc>
          <w:tcPr>
            <w:tcW w:w="78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4"/>
                <w:szCs w:val="14"/>
                <w:b w:val="1"/>
                <w:bCs w:val="1"/>
                <w:color w:val="auto"/>
              </w:rPr>
              <w:t>%</w:t>
            </w:r>
          </w:p>
        </w:tc>
        <w:tc>
          <w:tcPr>
            <w:tcW w:w="380" w:type="dxa"/>
            <w:vAlign w:val="bottom"/>
            <w:tcBorders>
              <w:bottom w:val="single" w:sz="8" w:color="auto"/>
            </w:tcBorders>
          </w:tcPr>
          <w:p>
            <w:pPr>
              <w:spacing w:after="0"/>
              <w:rPr>
                <w:sz w:val="14"/>
                <w:szCs w:val="14"/>
                <w:color w:val="auto"/>
              </w:rPr>
            </w:pPr>
          </w:p>
        </w:tc>
        <w:tc>
          <w:tcPr>
            <w:tcW w:w="180" w:type="dxa"/>
            <w:vAlign w:val="bottom"/>
            <w:tcBorders>
              <w:bottom w:val="single" w:sz="8" w:color="B6EAFC"/>
            </w:tcBorders>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3240" w:type="dxa"/>
            <w:vAlign w:val="bottom"/>
            <w:shd w:val="clear" w:color="auto" w:fill="B6EAFC"/>
          </w:tcPr>
          <w:p>
            <w:pPr>
              <w:spacing w:after="0"/>
              <w:rPr>
                <w:sz w:val="20"/>
                <w:szCs w:val="20"/>
                <w:color w:val="auto"/>
              </w:rPr>
            </w:pPr>
            <w:r>
              <w:rPr>
                <w:rFonts w:ascii="Arial" w:cs="Arial" w:eastAsia="Arial" w:hAnsi="Arial"/>
                <w:sz w:val="18"/>
                <w:szCs w:val="18"/>
                <w:color w:val="auto"/>
              </w:rPr>
              <w:t>Laboratory supplies &amp; services</w:t>
            </w:r>
          </w:p>
        </w:tc>
        <w:tc>
          <w:tcPr>
            <w:tcW w:w="120" w:type="dxa"/>
            <w:vAlign w:val="bottom"/>
            <w:shd w:val="clear" w:color="auto" w:fill="B6EAFC"/>
          </w:tcPr>
          <w:p>
            <w:pPr>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B6EAFC"/>
          </w:tcPr>
          <w:p>
            <w:pPr>
              <w:jc w:val="right"/>
              <w:spacing w:after="0"/>
              <w:rPr>
                <w:sz w:val="20"/>
                <w:szCs w:val="20"/>
                <w:color w:val="auto"/>
              </w:rPr>
            </w:pPr>
            <w:r>
              <w:rPr>
                <w:rFonts w:ascii="Arial" w:cs="Arial" w:eastAsia="Arial" w:hAnsi="Arial"/>
                <w:sz w:val="18"/>
                <w:szCs w:val="18"/>
                <w:color w:val="auto"/>
              </w:rPr>
              <w:t>5,303</w:t>
            </w:r>
          </w:p>
        </w:tc>
        <w:tc>
          <w:tcPr>
            <w:tcW w:w="120" w:type="dxa"/>
            <w:vAlign w:val="bottom"/>
            <w:shd w:val="clear" w:color="auto" w:fill="B6EAFC"/>
          </w:tcPr>
          <w:p>
            <w:pPr>
              <w:spacing w:after="0"/>
              <w:rPr>
                <w:sz w:val="19"/>
                <w:szCs w:val="19"/>
                <w:color w:val="auto"/>
              </w:rPr>
            </w:pPr>
          </w:p>
        </w:tc>
        <w:tc>
          <w:tcPr>
            <w:tcW w:w="140" w:type="dxa"/>
            <w:vAlign w:val="bottom"/>
            <w:shd w:val="clear" w:color="auto" w:fill="B6EAFC"/>
          </w:tcPr>
          <w:p>
            <w:pPr>
              <w:spacing w:after="0"/>
              <w:rPr>
                <w:sz w:val="19"/>
                <w:szCs w:val="19"/>
                <w:color w:val="auto"/>
              </w:rPr>
            </w:pPr>
          </w:p>
        </w:tc>
        <w:tc>
          <w:tcPr>
            <w:tcW w:w="1260" w:type="dxa"/>
            <w:vAlign w:val="bottom"/>
            <w:gridSpan w:val="2"/>
            <w:shd w:val="clear" w:color="auto" w:fill="B6EAFC"/>
          </w:tcPr>
          <w:p>
            <w:pPr>
              <w:jc w:val="right"/>
              <w:ind w:right="100"/>
              <w:spacing w:after="0"/>
              <w:rPr>
                <w:sz w:val="20"/>
                <w:szCs w:val="20"/>
                <w:color w:val="auto"/>
              </w:rPr>
            </w:pPr>
            <w:r>
              <w:rPr>
                <w:rFonts w:ascii="Arial" w:cs="Arial" w:eastAsia="Arial" w:hAnsi="Arial"/>
                <w:sz w:val="18"/>
                <w:szCs w:val="18"/>
                <w:color w:val="auto"/>
              </w:rPr>
              <w:t>17%</w:t>
            </w:r>
          </w:p>
        </w:tc>
        <w:tc>
          <w:tcPr>
            <w:tcW w:w="80" w:type="dxa"/>
            <w:vAlign w:val="bottom"/>
            <w:shd w:val="clear" w:color="auto" w:fill="B6EAFC"/>
          </w:tcPr>
          <w:p>
            <w:pPr>
              <w:spacing w:after="0"/>
              <w:rPr>
                <w:sz w:val="19"/>
                <w:szCs w:val="19"/>
                <w:color w:val="auto"/>
              </w:rPr>
            </w:pPr>
          </w:p>
        </w:tc>
        <w:tc>
          <w:tcPr>
            <w:tcW w:w="120" w:type="dxa"/>
            <w:vAlign w:val="bottom"/>
            <w:shd w:val="clear" w:color="auto" w:fill="B6EAFC"/>
          </w:tcPr>
          <w:p>
            <w:pPr>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B6EAFC"/>
          </w:tcPr>
          <w:p>
            <w:pPr>
              <w:jc w:val="right"/>
              <w:spacing w:after="0"/>
              <w:rPr>
                <w:sz w:val="20"/>
                <w:szCs w:val="20"/>
                <w:color w:val="auto"/>
              </w:rPr>
            </w:pPr>
            <w:r>
              <w:rPr>
                <w:rFonts w:ascii="Arial" w:cs="Arial" w:eastAsia="Arial" w:hAnsi="Arial"/>
                <w:sz w:val="18"/>
                <w:szCs w:val="18"/>
                <w:color w:val="auto"/>
              </w:rPr>
              <w:t>2,706</w:t>
            </w:r>
          </w:p>
        </w:tc>
        <w:tc>
          <w:tcPr>
            <w:tcW w:w="260" w:type="dxa"/>
            <w:vAlign w:val="bottom"/>
            <w:shd w:val="clear" w:color="auto" w:fill="B6EAFC"/>
          </w:tcPr>
          <w:p>
            <w:pPr>
              <w:spacing w:after="0"/>
              <w:rPr>
                <w:sz w:val="19"/>
                <w:szCs w:val="19"/>
                <w:color w:val="auto"/>
              </w:rPr>
            </w:pPr>
          </w:p>
        </w:tc>
        <w:tc>
          <w:tcPr>
            <w:tcW w:w="1260" w:type="dxa"/>
            <w:vAlign w:val="bottom"/>
            <w:gridSpan w:val="2"/>
            <w:shd w:val="clear" w:color="auto" w:fill="B6EAFC"/>
          </w:tcPr>
          <w:p>
            <w:pPr>
              <w:jc w:val="right"/>
              <w:ind w:right="100"/>
              <w:spacing w:after="0"/>
              <w:rPr>
                <w:sz w:val="20"/>
                <w:szCs w:val="20"/>
                <w:color w:val="auto"/>
              </w:rPr>
            </w:pPr>
            <w:r>
              <w:rPr>
                <w:rFonts w:ascii="Arial" w:cs="Arial" w:eastAsia="Arial" w:hAnsi="Arial"/>
                <w:sz w:val="18"/>
                <w:szCs w:val="18"/>
                <w:color w:val="auto"/>
              </w:rPr>
              <w:t>7%</w:t>
            </w:r>
          </w:p>
        </w:tc>
        <w:tc>
          <w:tcPr>
            <w:tcW w:w="80" w:type="dxa"/>
            <w:vAlign w:val="bottom"/>
            <w:shd w:val="clear" w:color="auto" w:fill="B6EAFC"/>
          </w:tcPr>
          <w:p>
            <w:pPr>
              <w:spacing w:after="0"/>
              <w:rPr>
                <w:sz w:val="19"/>
                <w:szCs w:val="19"/>
                <w:color w:val="auto"/>
              </w:rPr>
            </w:pPr>
          </w:p>
        </w:tc>
        <w:tc>
          <w:tcPr>
            <w:tcW w:w="540" w:type="dxa"/>
            <w:vAlign w:val="bottom"/>
            <w:shd w:val="clear" w:color="auto" w:fill="B6EAFC"/>
          </w:tcPr>
          <w:p>
            <w:pPr>
              <w:jc w:val="right"/>
              <w:ind w:right="356"/>
              <w:spacing w:after="0"/>
              <w:rPr>
                <w:sz w:val="20"/>
                <w:szCs w:val="20"/>
                <w:color w:val="auto"/>
              </w:rPr>
            </w:pPr>
            <w:r>
              <w:rPr>
                <w:rFonts w:ascii="Arial" w:cs="Arial" w:eastAsia="Arial" w:hAnsi="Arial"/>
                <w:sz w:val="18"/>
                <w:szCs w:val="18"/>
                <w:color w:val="auto"/>
                <w:w w:val="79"/>
              </w:rPr>
              <w:t>$</w:t>
            </w:r>
          </w:p>
        </w:tc>
        <w:tc>
          <w:tcPr>
            <w:tcW w:w="480" w:type="dxa"/>
            <w:vAlign w:val="bottom"/>
            <w:shd w:val="clear" w:color="auto" w:fill="B6EAFC"/>
          </w:tcPr>
          <w:p>
            <w:pPr>
              <w:jc w:val="right"/>
              <w:spacing w:after="0"/>
              <w:rPr>
                <w:sz w:val="20"/>
                <w:szCs w:val="20"/>
                <w:color w:val="auto"/>
              </w:rPr>
            </w:pPr>
            <w:r>
              <w:rPr>
                <w:rFonts w:ascii="Arial" w:cs="Arial" w:eastAsia="Arial" w:hAnsi="Arial"/>
                <w:sz w:val="18"/>
                <w:szCs w:val="18"/>
                <w:color w:val="auto"/>
                <w:w w:val="97"/>
              </w:rPr>
              <w:t>2,597</w:t>
            </w:r>
          </w:p>
        </w:tc>
        <w:tc>
          <w:tcPr>
            <w:tcW w:w="100" w:type="dxa"/>
            <w:vAlign w:val="bottom"/>
            <w:shd w:val="clear" w:color="auto" w:fill="B6EAFC"/>
          </w:tcPr>
          <w:p>
            <w:pPr>
              <w:spacing w:after="0"/>
              <w:rPr>
                <w:sz w:val="19"/>
                <w:szCs w:val="19"/>
                <w:color w:val="auto"/>
              </w:rPr>
            </w:pPr>
          </w:p>
        </w:tc>
        <w:tc>
          <w:tcPr>
            <w:tcW w:w="160" w:type="dxa"/>
            <w:vAlign w:val="bottom"/>
            <w:shd w:val="clear" w:color="auto" w:fill="B6EAFC"/>
          </w:tcPr>
          <w:p>
            <w:pPr>
              <w:spacing w:after="0"/>
              <w:rPr>
                <w:sz w:val="19"/>
                <w:szCs w:val="19"/>
                <w:color w:val="auto"/>
              </w:rPr>
            </w:pPr>
          </w:p>
        </w:tc>
        <w:tc>
          <w:tcPr>
            <w:tcW w:w="620" w:type="dxa"/>
            <w:vAlign w:val="bottom"/>
            <w:shd w:val="clear" w:color="auto" w:fill="B6EAFC"/>
          </w:tcPr>
          <w:p>
            <w:pPr>
              <w:spacing w:after="0"/>
              <w:rPr>
                <w:sz w:val="19"/>
                <w:szCs w:val="19"/>
                <w:color w:val="auto"/>
              </w:rPr>
            </w:pPr>
          </w:p>
        </w:tc>
        <w:tc>
          <w:tcPr>
            <w:tcW w:w="560" w:type="dxa"/>
            <w:vAlign w:val="bottom"/>
            <w:gridSpan w:val="2"/>
            <w:shd w:val="clear" w:color="auto" w:fill="B6EAFC"/>
          </w:tcPr>
          <w:p>
            <w:pPr>
              <w:jc w:val="right"/>
              <w:ind w:right="20"/>
              <w:spacing w:after="0"/>
              <w:rPr>
                <w:sz w:val="20"/>
                <w:szCs w:val="20"/>
                <w:color w:val="auto"/>
              </w:rPr>
            </w:pPr>
            <w:r>
              <w:rPr>
                <w:rFonts w:ascii="Arial" w:cs="Arial" w:eastAsia="Arial" w:hAnsi="Arial"/>
                <w:sz w:val="18"/>
                <w:szCs w:val="18"/>
                <w:color w:val="auto"/>
              </w:rPr>
              <w:t>96%</w:t>
            </w:r>
          </w:p>
        </w:tc>
        <w:tc>
          <w:tcPr>
            <w:tcW w:w="0" w:type="dxa"/>
            <w:vAlign w:val="bottom"/>
          </w:tcPr>
          <w:p>
            <w:pPr>
              <w:spacing w:after="0"/>
              <w:rPr>
                <w:sz w:val="1"/>
                <w:szCs w:val="1"/>
                <w:color w:val="auto"/>
              </w:rPr>
            </w:pPr>
          </w:p>
        </w:tc>
      </w:tr>
      <w:tr>
        <w:trPr>
          <w:trHeight w:val="230"/>
        </w:trPr>
        <w:tc>
          <w:tcPr>
            <w:tcW w:w="3240" w:type="dxa"/>
            <w:vAlign w:val="bottom"/>
          </w:tcPr>
          <w:p>
            <w:pPr>
              <w:spacing w:after="0"/>
              <w:rPr>
                <w:sz w:val="20"/>
                <w:szCs w:val="20"/>
                <w:color w:val="auto"/>
              </w:rPr>
            </w:pPr>
            <w:r>
              <w:rPr>
                <w:rFonts w:ascii="Arial" w:cs="Arial" w:eastAsia="Arial" w:hAnsi="Arial"/>
                <w:sz w:val="18"/>
                <w:szCs w:val="18"/>
                <w:color w:val="auto"/>
              </w:rPr>
              <w:t>In vivo studies</w:t>
            </w:r>
          </w:p>
        </w:tc>
        <w:tc>
          <w:tcPr>
            <w:tcW w:w="1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2,410</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8%</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1,611</w:t>
            </w:r>
          </w:p>
        </w:tc>
        <w:tc>
          <w:tcPr>
            <w:tcW w:w="260" w:type="dxa"/>
            <w:vAlign w:val="bottom"/>
          </w:tcPr>
          <w:p>
            <w:pPr>
              <w:spacing w:after="0"/>
              <w:rPr>
                <w:sz w:val="19"/>
                <w:szCs w:val="19"/>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4%</w:t>
            </w:r>
          </w:p>
        </w:tc>
        <w:tc>
          <w:tcPr>
            <w:tcW w:w="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799</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60" w:type="dxa"/>
            <w:vAlign w:val="bottom"/>
            <w:gridSpan w:val="2"/>
          </w:tcPr>
          <w:p>
            <w:pPr>
              <w:jc w:val="right"/>
              <w:ind w:right="20"/>
              <w:spacing w:after="0"/>
              <w:rPr>
                <w:sz w:val="20"/>
                <w:szCs w:val="20"/>
                <w:color w:val="auto"/>
              </w:rPr>
            </w:pPr>
            <w:r>
              <w:rPr>
                <w:rFonts w:ascii="Arial" w:cs="Arial" w:eastAsia="Arial" w:hAnsi="Arial"/>
                <w:sz w:val="18"/>
                <w:szCs w:val="18"/>
                <w:color w:val="auto"/>
              </w:rPr>
              <w:t>50%</w:t>
            </w:r>
          </w:p>
        </w:tc>
        <w:tc>
          <w:tcPr>
            <w:tcW w:w="0" w:type="dxa"/>
            <w:vAlign w:val="bottom"/>
          </w:tcPr>
          <w:p>
            <w:pPr>
              <w:spacing w:after="0"/>
              <w:rPr>
                <w:sz w:val="1"/>
                <w:szCs w:val="1"/>
                <w:color w:val="auto"/>
              </w:rPr>
            </w:pPr>
          </w:p>
        </w:tc>
      </w:tr>
      <w:tr>
        <w:trPr>
          <w:trHeight w:val="230"/>
        </w:trPr>
        <w:tc>
          <w:tcPr>
            <w:tcW w:w="3240" w:type="dxa"/>
            <w:vAlign w:val="bottom"/>
            <w:shd w:val="clear" w:color="auto" w:fill="B6EAFC"/>
          </w:tcPr>
          <w:p>
            <w:pPr>
              <w:spacing w:after="0"/>
              <w:rPr>
                <w:sz w:val="20"/>
                <w:szCs w:val="20"/>
                <w:color w:val="auto"/>
              </w:rPr>
            </w:pPr>
            <w:r>
              <w:rPr>
                <w:rFonts w:ascii="Arial" w:cs="Arial" w:eastAsia="Arial" w:hAnsi="Arial"/>
                <w:sz w:val="18"/>
                <w:szCs w:val="18"/>
                <w:color w:val="auto"/>
              </w:rPr>
              <w:t>Outside labs &amp; contract services</w:t>
            </w:r>
          </w:p>
        </w:tc>
        <w:tc>
          <w:tcPr>
            <w:tcW w:w="120" w:type="dxa"/>
            <w:vAlign w:val="bottom"/>
            <w:shd w:val="clear" w:color="auto" w:fill="B6EAFC"/>
          </w:tcPr>
          <w:p>
            <w:pPr>
              <w:spacing w:after="0"/>
              <w:rPr>
                <w:sz w:val="19"/>
                <w:szCs w:val="19"/>
                <w:color w:val="auto"/>
              </w:rPr>
            </w:pPr>
          </w:p>
        </w:tc>
        <w:tc>
          <w:tcPr>
            <w:tcW w:w="1140" w:type="dxa"/>
            <w:vAlign w:val="bottom"/>
            <w:shd w:val="clear" w:color="auto" w:fill="B6EAFC"/>
          </w:tcPr>
          <w:p>
            <w:pPr>
              <w:jc w:val="right"/>
              <w:spacing w:after="0"/>
              <w:rPr>
                <w:sz w:val="20"/>
                <w:szCs w:val="20"/>
                <w:color w:val="auto"/>
              </w:rPr>
            </w:pPr>
            <w:r>
              <w:rPr>
                <w:rFonts w:ascii="Arial" w:cs="Arial" w:eastAsia="Arial" w:hAnsi="Arial"/>
                <w:sz w:val="18"/>
                <w:szCs w:val="18"/>
                <w:color w:val="auto"/>
              </w:rPr>
              <w:t>495</w:t>
            </w:r>
          </w:p>
        </w:tc>
        <w:tc>
          <w:tcPr>
            <w:tcW w:w="120" w:type="dxa"/>
            <w:vAlign w:val="bottom"/>
            <w:shd w:val="clear" w:color="auto" w:fill="B6EAFC"/>
          </w:tcPr>
          <w:p>
            <w:pPr>
              <w:spacing w:after="0"/>
              <w:rPr>
                <w:sz w:val="19"/>
                <w:szCs w:val="19"/>
                <w:color w:val="auto"/>
              </w:rPr>
            </w:pPr>
          </w:p>
        </w:tc>
        <w:tc>
          <w:tcPr>
            <w:tcW w:w="140" w:type="dxa"/>
            <w:vAlign w:val="bottom"/>
            <w:shd w:val="clear" w:color="auto" w:fill="B6EAFC"/>
          </w:tcPr>
          <w:p>
            <w:pPr>
              <w:spacing w:after="0"/>
              <w:rPr>
                <w:sz w:val="19"/>
                <w:szCs w:val="19"/>
                <w:color w:val="auto"/>
              </w:rPr>
            </w:pPr>
          </w:p>
        </w:tc>
        <w:tc>
          <w:tcPr>
            <w:tcW w:w="1260" w:type="dxa"/>
            <w:vAlign w:val="bottom"/>
            <w:gridSpan w:val="2"/>
            <w:shd w:val="clear" w:color="auto" w:fill="B6EAFC"/>
          </w:tcPr>
          <w:p>
            <w:pPr>
              <w:jc w:val="right"/>
              <w:ind w:right="100"/>
              <w:spacing w:after="0"/>
              <w:rPr>
                <w:sz w:val="20"/>
                <w:szCs w:val="20"/>
                <w:color w:val="auto"/>
              </w:rPr>
            </w:pPr>
            <w:r>
              <w:rPr>
                <w:rFonts w:ascii="Arial" w:cs="Arial" w:eastAsia="Arial" w:hAnsi="Arial"/>
                <w:sz w:val="18"/>
                <w:szCs w:val="18"/>
                <w:color w:val="auto"/>
              </w:rPr>
              <w:t>2%</w:t>
            </w:r>
          </w:p>
        </w:tc>
        <w:tc>
          <w:tcPr>
            <w:tcW w:w="80" w:type="dxa"/>
            <w:vAlign w:val="bottom"/>
            <w:shd w:val="clear" w:color="auto" w:fill="B6EAFC"/>
          </w:tcPr>
          <w:p>
            <w:pPr>
              <w:spacing w:after="0"/>
              <w:rPr>
                <w:sz w:val="19"/>
                <w:szCs w:val="19"/>
                <w:color w:val="auto"/>
              </w:rPr>
            </w:pPr>
          </w:p>
        </w:tc>
        <w:tc>
          <w:tcPr>
            <w:tcW w:w="120" w:type="dxa"/>
            <w:vAlign w:val="bottom"/>
            <w:shd w:val="clear" w:color="auto" w:fill="B6EAFC"/>
          </w:tcPr>
          <w:p>
            <w:pPr>
              <w:spacing w:after="0"/>
              <w:rPr>
                <w:sz w:val="19"/>
                <w:szCs w:val="19"/>
                <w:color w:val="auto"/>
              </w:rPr>
            </w:pPr>
          </w:p>
        </w:tc>
        <w:tc>
          <w:tcPr>
            <w:tcW w:w="1140" w:type="dxa"/>
            <w:vAlign w:val="bottom"/>
            <w:shd w:val="clear" w:color="auto" w:fill="B6EAFC"/>
          </w:tcPr>
          <w:p>
            <w:pPr>
              <w:jc w:val="right"/>
              <w:spacing w:after="0"/>
              <w:rPr>
                <w:sz w:val="20"/>
                <w:szCs w:val="20"/>
                <w:color w:val="auto"/>
              </w:rPr>
            </w:pPr>
            <w:r>
              <w:rPr>
                <w:rFonts w:ascii="Arial" w:cs="Arial" w:eastAsia="Arial" w:hAnsi="Arial"/>
                <w:sz w:val="18"/>
                <w:szCs w:val="18"/>
                <w:color w:val="auto"/>
              </w:rPr>
              <w:t>155</w:t>
            </w:r>
          </w:p>
        </w:tc>
        <w:tc>
          <w:tcPr>
            <w:tcW w:w="260" w:type="dxa"/>
            <w:vAlign w:val="bottom"/>
            <w:shd w:val="clear" w:color="auto" w:fill="B6EAFC"/>
          </w:tcPr>
          <w:p>
            <w:pPr>
              <w:spacing w:after="0"/>
              <w:rPr>
                <w:sz w:val="19"/>
                <w:szCs w:val="19"/>
                <w:color w:val="auto"/>
              </w:rPr>
            </w:pPr>
          </w:p>
        </w:tc>
        <w:tc>
          <w:tcPr>
            <w:tcW w:w="1260" w:type="dxa"/>
            <w:vAlign w:val="bottom"/>
            <w:gridSpan w:val="2"/>
            <w:shd w:val="clear" w:color="auto" w:fill="B6EAFC"/>
          </w:tcPr>
          <w:p>
            <w:pPr>
              <w:jc w:val="right"/>
              <w:ind w:right="100"/>
              <w:spacing w:after="0"/>
              <w:rPr>
                <w:sz w:val="20"/>
                <w:szCs w:val="20"/>
                <w:color w:val="auto"/>
              </w:rPr>
            </w:pPr>
            <w:r>
              <w:rPr>
                <w:rFonts w:ascii="Arial" w:cs="Arial" w:eastAsia="Arial" w:hAnsi="Arial"/>
                <w:sz w:val="18"/>
                <w:szCs w:val="18"/>
                <w:color w:val="auto"/>
              </w:rPr>
              <w:t>0%</w:t>
            </w:r>
          </w:p>
        </w:tc>
        <w:tc>
          <w:tcPr>
            <w:tcW w:w="80" w:type="dxa"/>
            <w:vAlign w:val="bottom"/>
            <w:shd w:val="clear" w:color="auto" w:fill="B6EAFC"/>
          </w:tcPr>
          <w:p>
            <w:pPr>
              <w:spacing w:after="0"/>
              <w:rPr>
                <w:sz w:val="19"/>
                <w:szCs w:val="19"/>
                <w:color w:val="auto"/>
              </w:rPr>
            </w:pPr>
          </w:p>
        </w:tc>
        <w:tc>
          <w:tcPr>
            <w:tcW w:w="540" w:type="dxa"/>
            <w:vAlign w:val="bottom"/>
            <w:shd w:val="clear" w:color="auto" w:fill="B6EAFC"/>
          </w:tcPr>
          <w:p>
            <w:pPr>
              <w:spacing w:after="0"/>
              <w:rPr>
                <w:sz w:val="19"/>
                <w:szCs w:val="19"/>
                <w:color w:val="auto"/>
              </w:rPr>
            </w:pPr>
          </w:p>
        </w:tc>
        <w:tc>
          <w:tcPr>
            <w:tcW w:w="480" w:type="dxa"/>
            <w:vAlign w:val="bottom"/>
            <w:shd w:val="clear" w:color="auto" w:fill="B6EAFC"/>
          </w:tcPr>
          <w:p>
            <w:pPr>
              <w:jc w:val="right"/>
              <w:spacing w:after="0"/>
              <w:rPr>
                <w:sz w:val="20"/>
                <w:szCs w:val="20"/>
                <w:color w:val="auto"/>
              </w:rPr>
            </w:pPr>
            <w:r>
              <w:rPr>
                <w:rFonts w:ascii="Arial" w:cs="Arial" w:eastAsia="Arial" w:hAnsi="Arial"/>
                <w:sz w:val="18"/>
                <w:szCs w:val="18"/>
                <w:color w:val="auto"/>
              </w:rPr>
              <w:t>340</w:t>
            </w:r>
          </w:p>
        </w:tc>
        <w:tc>
          <w:tcPr>
            <w:tcW w:w="100" w:type="dxa"/>
            <w:vAlign w:val="bottom"/>
            <w:shd w:val="clear" w:color="auto" w:fill="B6EAFC"/>
          </w:tcPr>
          <w:p>
            <w:pPr>
              <w:spacing w:after="0"/>
              <w:rPr>
                <w:sz w:val="19"/>
                <w:szCs w:val="19"/>
                <w:color w:val="auto"/>
              </w:rPr>
            </w:pPr>
          </w:p>
        </w:tc>
        <w:tc>
          <w:tcPr>
            <w:tcW w:w="160" w:type="dxa"/>
            <w:vAlign w:val="bottom"/>
            <w:shd w:val="clear" w:color="auto" w:fill="B6EAFC"/>
          </w:tcPr>
          <w:p>
            <w:pPr>
              <w:spacing w:after="0"/>
              <w:rPr>
                <w:sz w:val="19"/>
                <w:szCs w:val="19"/>
                <w:color w:val="auto"/>
              </w:rPr>
            </w:pPr>
          </w:p>
        </w:tc>
        <w:tc>
          <w:tcPr>
            <w:tcW w:w="620" w:type="dxa"/>
            <w:vAlign w:val="bottom"/>
            <w:shd w:val="clear" w:color="auto" w:fill="B6EAFC"/>
          </w:tcPr>
          <w:p>
            <w:pPr>
              <w:spacing w:after="0"/>
              <w:rPr>
                <w:sz w:val="19"/>
                <w:szCs w:val="19"/>
                <w:color w:val="auto"/>
              </w:rPr>
            </w:pPr>
          </w:p>
        </w:tc>
        <w:tc>
          <w:tcPr>
            <w:tcW w:w="560" w:type="dxa"/>
            <w:vAlign w:val="bottom"/>
            <w:gridSpan w:val="2"/>
            <w:shd w:val="clear" w:color="auto" w:fill="B6EAFC"/>
          </w:tcPr>
          <w:p>
            <w:pPr>
              <w:jc w:val="right"/>
              <w:ind w:right="20"/>
              <w:spacing w:after="0"/>
              <w:rPr>
                <w:sz w:val="20"/>
                <w:szCs w:val="20"/>
                <w:color w:val="auto"/>
              </w:rPr>
            </w:pPr>
            <w:r>
              <w:rPr>
                <w:rFonts w:ascii="Arial" w:cs="Arial" w:eastAsia="Arial" w:hAnsi="Arial"/>
                <w:sz w:val="18"/>
                <w:szCs w:val="18"/>
                <w:color w:val="auto"/>
              </w:rPr>
              <w:t>219%</w:t>
            </w:r>
          </w:p>
        </w:tc>
        <w:tc>
          <w:tcPr>
            <w:tcW w:w="0" w:type="dxa"/>
            <w:vAlign w:val="bottom"/>
          </w:tcPr>
          <w:p>
            <w:pPr>
              <w:spacing w:after="0"/>
              <w:rPr>
                <w:sz w:val="1"/>
                <w:szCs w:val="1"/>
                <w:color w:val="auto"/>
              </w:rPr>
            </w:pPr>
          </w:p>
        </w:tc>
      </w:tr>
      <w:tr>
        <w:trPr>
          <w:trHeight w:val="230"/>
        </w:trPr>
        <w:tc>
          <w:tcPr>
            <w:tcW w:w="3240" w:type="dxa"/>
            <w:vAlign w:val="bottom"/>
          </w:tcPr>
          <w:p>
            <w:pPr>
              <w:spacing w:after="0"/>
              <w:rPr>
                <w:sz w:val="20"/>
                <w:szCs w:val="20"/>
                <w:color w:val="auto"/>
              </w:rPr>
            </w:pPr>
            <w:r>
              <w:rPr>
                <w:rFonts w:ascii="Arial" w:cs="Arial" w:eastAsia="Arial" w:hAnsi="Arial"/>
                <w:sz w:val="18"/>
                <w:szCs w:val="18"/>
                <w:color w:val="auto"/>
              </w:rPr>
              <w:t>Toxicity/efficacy studies</w:t>
            </w:r>
          </w:p>
        </w:tc>
        <w:tc>
          <w:tcPr>
            <w:tcW w:w="1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1,768</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6%</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7,766</w:t>
            </w:r>
          </w:p>
        </w:tc>
        <w:tc>
          <w:tcPr>
            <w:tcW w:w="260" w:type="dxa"/>
            <w:vAlign w:val="bottom"/>
          </w:tcPr>
          <w:p>
            <w:pPr>
              <w:spacing w:after="0"/>
              <w:rPr>
                <w:sz w:val="19"/>
                <w:szCs w:val="19"/>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19%</w:t>
            </w:r>
          </w:p>
        </w:tc>
        <w:tc>
          <w:tcPr>
            <w:tcW w:w="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580" w:type="dxa"/>
            <w:vAlign w:val="bottom"/>
            <w:gridSpan w:val="2"/>
          </w:tcPr>
          <w:p>
            <w:pPr>
              <w:jc w:val="right"/>
              <w:ind w:right="40"/>
              <w:spacing w:after="0"/>
              <w:rPr>
                <w:sz w:val="20"/>
                <w:szCs w:val="20"/>
                <w:color w:val="auto"/>
              </w:rPr>
            </w:pPr>
            <w:r>
              <w:rPr>
                <w:rFonts w:ascii="Arial" w:cs="Arial" w:eastAsia="Arial" w:hAnsi="Arial"/>
                <w:sz w:val="18"/>
                <w:szCs w:val="18"/>
                <w:color w:val="auto"/>
                <w:w w:val="91"/>
              </w:rPr>
              <w:t>(5,998)</w:t>
            </w:r>
          </w:p>
        </w:tc>
        <w:tc>
          <w:tcPr>
            <w:tcW w:w="1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60" w:type="dxa"/>
            <w:vAlign w:val="bottom"/>
            <w:gridSpan w:val="2"/>
          </w:tcPr>
          <w:p>
            <w:pPr>
              <w:jc w:val="right"/>
              <w:ind w:right="20"/>
              <w:spacing w:after="0"/>
              <w:rPr>
                <w:sz w:val="20"/>
                <w:szCs w:val="20"/>
                <w:color w:val="auto"/>
              </w:rPr>
            </w:pPr>
            <w:r>
              <w:rPr>
                <w:rFonts w:ascii="Arial" w:cs="Arial" w:eastAsia="Arial" w:hAnsi="Arial"/>
                <w:sz w:val="18"/>
                <w:szCs w:val="18"/>
                <w:color w:val="auto"/>
              </w:rPr>
              <w:t>-77%</w:t>
            </w:r>
          </w:p>
        </w:tc>
        <w:tc>
          <w:tcPr>
            <w:tcW w:w="0" w:type="dxa"/>
            <w:vAlign w:val="bottom"/>
          </w:tcPr>
          <w:p>
            <w:pPr>
              <w:spacing w:after="0"/>
              <w:rPr>
                <w:sz w:val="1"/>
                <w:szCs w:val="1"/>
                <w:color w:val="auto"/>
              </w:rPr>
            </w:pPr>
          </w:p>
        </w:tc>
      </w:tr>
      <w:tr>
        <w:trPr>
          <w:trHeight w:val="230"/>
        </w:trPr>
        <w:tc>
          <w:tcPr>
            <w:tcW w:w="3240" w:type="dxa"/>
            <w:vAlign w:val="bottom"/>
            <w:shd w:val="clear" w:color="auto" w:fill="B6EAFC"/>
          </w:tcPr>
          <w:p>
            <w:pPr>
              <w:spacing w:after="0"/>
              <w:rPr>
                <w:sz w:val="20"/>
                <w:szCs w:val="20"/>
                <w:color w:val="auto"/>
              </w:rPr>
            </w:pPr>
            <w:r>
              <w:rPr>
                <w:rFonts w:ascii="Arial" w:cs="Arial" w:eastAsia="Arial" w:hAnsi="Arial"/>
                <w:sz w:val="18"/>
                <w:szCs w:val="18"/>
                <w:color w:val="auto"/>
              </w:rPr>
              <w:t>Drug manufacturing</w:t>
            </w:r>
          </w:p>
        </w:tc>
        <w:tc>
          <w:tcPr>
            <w:tcW w:w="120" w:type="dxa"/>
            <w:vAlign w:val="bottom"/>
            <w:shd w:val="clear" w:color="auto" w:fill="B6EAFC"/>
          </w:tcPr>
          <w:p>
            <w:pPr>
              <w:spacing w:after="0"/>
              <w:rPr>
                <w:sz w:val="19"/>
                <w:szCs w:val="19"/>
                <w:color w:val="auto"/>
              </w:rPr>
            </w:pPr>
          </w:p>
        </w:tc>
        <w:tc>
          <w:tcPr>
            <w:tcW w:w="1140" w:type="dxa"/>
            <w:vAlign w:val="bottom"/>
            <w:shd w:val="clear" w:color="auto" w:fill="B6EAFC"/>
          </w:tcPr>
          <w:p>
            <w:pPr>
              <w:jc w:val="right"/>
              <w:spacing w:after="0"/>
              <w:rPr>
                <w:sz w:val="20"/>
                <w:szCs w:val="20"/>
                <w:color w:val="auto"/>
              </w:rPr>
            </w:pPr>
            <w:r>
              <w:rPr>
                <w:rFonts w:ascii="Arial" w:cs="Arial" w:eastAsia="Arial" w:hAnsi="Arial"/>
                <w:sz w:val="18"/>
                <w:szCs w:val="18"/>
                <w:color w:val="auto"/>
              </w:rPr>
              <w:t>9,812</w:t>
            </w:r>
          </w:p>
        </w:tc>
        <w:tc>
          <w:tcPr>
            <w:tcW w:w="120" w:type="dxa"/>
            <w:vAlign w:val="bottom"/>
            <w:shd w:val="clear" w:color="auto" w:fill="B6EAFC"/>
          </w:tcPr>
          <w:p>
            <w:pPr>
              <w:spacing w:after="0"/>
              <w:rPr>
                <w:sz w:val="19"/>
                <w:szCs w:val="19"/>
                <w:color w:val="auto"/>
              </w:rPr>
            </w:pPr>
          </w:p>
        </w:tc>
        <w:tc>
          <w:tcPr>
            <w:tcW w:w="140" w:type="dxa"/>
            <w:vAlign w:val="bottom"/>
            <w:shd w:val="clear" w:color="auto" w:fill="B6EAFC"/>
          </w:tcPr>
          <w:p>
            <w:pPr>
              <w:spacing w:after="0"/>
              <w:rPr>
                <w:sz w:val="19"/>
                <w:szCs w:val="19"/>
                <w:color w:val="auto"/>
              </w:rPr>
            </w:pPr>
          </w:p>
        </w:tc>
        <w:tc>
          <w:tcPr>
            <w:tcW w:w="1260" w:type="dxa"/>
            <w:vAlign w:val="bottom"/>
            <w:gridSpan w:val="2"/>
            <w:shd w:val="clear" w:color="auto" w:fill="B6EAFC"/>
          </w:tcPr>
          <w:p>
            <w:pPr>
              <w:jc w:val="right"/>
              <w:ind w:right="100"/>
              <w:spacing w:after="0"/>
              <w:rPr>
                <w:sz w:val="20"/>
                <w:szCs w:val="20"/>
                <w:color w:val="auto"/>
              </w:rPr>
            </w:pPr>
            <w:r>
              <w:rPr>
                <w:rFonts w:ascii="Arial" w:cs="Arial" w:eastAsia="Arial" w:hAnsi="Arial"/>
                <w:sz w:val="18"/>
                <w:szCs w:val="18"/>
                <w:color w:val="auto"/>
              </w:rPr>
              <w:t>31%</w:t>
            </w:r>
          </w:p>
        </w:tc>
        <w:tc>
          <w:tcPr>
            <w:tcW w:w="80" w:type="dxa"/>
            <w:vAlign w:val="bottom"/>
            <w:shd w:val="clear" w:color="auto" w:fill="B6EAFC"/>
          </w:tcPr>
          <w:p>
            <w:pPr>
              <w:spacing w:after="0"/>
              <w:rPr>
                <w:sz w:val="19"/>
                <w:szCs w:val="19"/>
                <w:color w:val="auto"/>
              </w:rPr>
            </w:pPr>
          </w:p>
        </w:tc>
        <w:tc>
          <w:tcPr>
            <w:tcW w:w="120" w:type="dxa"/>
            <w:vAlign w:val="bottom"/>
            <w:shd w:val="clear" w:color="auto" w:fill="B6EAFC"/>
          </w:tcPr>
          <w:p>
            <w:pPr>
              <w:spacing w:after="0"/>
              <w:rPr>
                <w:sz w:val="19"/>
                <w:szCs w:val="19"/>
                <w:color w:val="auto"/>
              </w:rPr>
            </w:pPr>
          </w:p>
        </w:tc>
        <w:tc>
          <w:tcPr>
            <w:tcW w:w="1140" w:type="dxa"/>
            <w:vAlign w:val="bottom"/>
            <w:shd w:val="clear" w:color="auto" w:fill="B6EAFC"/>
          </w:tcPr>
          <w:p>
            <w:pPr>
              <w:jc w:val="right"/>
              <w:spacing w:after="0"/>
              <w:rPr>
                <w:sz w:val="20"/>
                <w:szCs w:val="20"/>
                <w:color w:val="auto"/>
              </w:rPr>
            </w:pPr>
            <w:r>
              <w:rPr>
                <w:rFonts w:ascii="Arial" w:cs="Arial" w:eastAsia="Arial" w:hAnsi="Arial"/>
                <w:sz w:val="18"/>
                <w:szCs w:val="18"/>
                <w:color w:val="auto"/>
              </w:rPr>
              <w:t>9,855</w:t>
            </w:r>
          </w:p>
        </w:tc>
        <w:tc>
          <w:tcPr>
            <w:tcW w:w="260" w:type="dxa"/>
            <w:vAlign w:val="bottom"/>
            <w:shd w:val="clear" w:color="auto" w:fill="B6EAFC"/>
          </w:tcPr>
          <w:p>
            <w:pPr>
              <w:spacing w:after="0"/>
              <w:rPr>
                <w:sz w:val="19"/>
                <w:szCs w:val="19"/>
                <w:color w:val="auto"/>
              </w:rPr>
            </w:pPr>
          </w:p>
        </w:tc>
        <w:tc>
          <w:tcPr>
            <w:tcW w:w="1260" w:type="dxa"/>
            <w:vAlign w:val="bottom"/>
            <w:gridSpan w:val="2"/>
            <w:shd w:val="clear" w:color="auto" w:fill="B6EAFC"/>
          </w:tcPr>
          <w:p>
            <w:pPr>
              <w:jc w:val="right"/>
              <w:ind w:right="100"/>
              <w:spacing w:after="0"/>
              <w:rPr>
                <w:sz w:val="20"/>
                <w:szCs w:val="20"/>
                <w:color w:val="auto"/>
              </w:rPr>
            </w:pPr>
            <w:r>
              <w:rPr>
                <w:rFonts w:ascii="Arial" w:cs="Arial" w:eastAsia="Arial" w:hAnsi="Arial"/>
                <w:sz w:val="18"/>
                <w:szCs w:val="18"/>
                <w:color w:val="auto"/>
              </w:rPr>
              <w:t>24%</w:t>
            </w:r>
          </w:p>
        </w:tc>
        <w:tc>
          <w:tcPr>
            <w:tcW w:w="80" w:type="dxa"/>
            <w:vAlign w:val="bottom"/>
            <w:shd w:val="clear" w:color="auto" w:fill="B6EAFC"/>
          </w:tcPr>
          <w:p>
            <w:pPr>
              <w:spacing w:after="0"/>
              <w:rPr>
                <w:sz w:val="19"/>
                <w:szCs w:val="19"/>
                <w:color w:val="auto"/>
              </w:rPr>
            </w:pPr>
          </w:p>
        </w:tc>
        <w:tc>
          <w:tcPr>
            <w:tcW w:w="540" w:type="dxa"/>
            <w:vAlign w:val="bottom"/>
            <w:shd w:val="clear" w:color="auto" w:fill="B6EAFC"/>
          </w:tcPr>
          <w:p>
            <w:pPr>
              <w:spacing w:after="0"/>
              <w:rPr>
                <w:sz w:val="19"/>
                <w:szCs w:val="19"/>
                <w:color w:val="auto"/>
              </w:rPr>
            </w:pPr>
          </w:p>
        </w:tc>
        <w:tc>
          <w:tcPr>
            <w:tcW w:w="580" w:type="dxa"/>
            <w:vAlign w:val="bottom"/>
            <w:gridSpan w:val="2"/>
            <w:shd w:val="clear" w:color="auto" w:fill="B6EAFC"/>
          </w:tcPr>
          <w:p>
            <w:pPr>
              <w:jc w:val="right"/>
              <w:ind w:right="40"/>
              <w:spacing w:after="0"/>
              <w:rPr>
                <w:sz w:val="20"/>
                <w:szCs w:val="20"/>
                <w:color w:val="auto"/>
              </w:rPr>
            </w:pPr>
            <w:r>
              <w:rPr>
                <w:rFonts w:ascii="Arial" w:cs="Arial" w:eastAsia="Arial" w:hAnsi="Arial"/>
                <w:sz w:val="18"/>
                <w:szCs w:val="18"/>
                <w:color w:val="auto"/>
              </w:rPr>
              <w:t>(43)</w:t>
            </w:r>
          </w:p>
        </w:tc>
        <w:tc>
          <w:tcPr>
            <w:tcW w:w="160" w:type="dxa"/>
            <w:vAlign w:val="bottom"/>
            <w:shd w:val="clear" w:color="auto" w:fill="B6EAFC"/>
          </w:tcPr>
          <w:p>
            <w:pPr>
              <w:spacing w:after="0"/>
              <w:rPr>
                <w:sz w:val="19"/>
                <w:szCs w:val="19"/>
                <w:color w:val="auto"/>
              </w:rPr>
            </w:pPr>
          </w:p>
        </w:tc>
        <w:tc>
          <w:tcPr>
            <w:tcW w:w="620" w:type="dxa"/>
            <w:vAlign w:val="bottom"/>
            <w:shd w:val="clear" w:color="auto" w:fill="B6EAFC"/>
          </w:tcPr>
          <w:p>
            <w:pPr>
              <w:spacing w:after="0"/>
              <w:rPr>
                <w:sz w:val="19"/>
                <w:szCs w:val="19"/>
                <w:color w:val="auto"/>
              </w:rPr>
            </w:pPr>
          </w:p>
        </w:tc>
        <w:tc>
          <w:tcPr>
            <w:tcW w:w="560" w:type="dxa"/>
            <w:vAlign w:val="bottom"/>
            <w:gridSpan w:val="2"/>
            <w:shd w:val="clear" w:color="auto" w:fill="B6EAFC"/>
          </w:tcPr>
          <w:p>
            <w:pPr>
              <w:jc w:val="right"/>
              <w:ind w:right="2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30"/>
        </w:trPr>
        <w:tc>
          <w:tcPr>
            <w:tcW w:w="3240" w:type="dxa"/>
            <w:vAlign w:val="bottom"/>
          </w:tcPr>
          <w:p>
            <w:pPr>
              <w:spacing w:after="0"/>
              <w:rPr>
                <w:sz w:val="20"/>
                <w:szCs w:val="20"/>
                <w:color w:val="auto"/>
              </w:rPr>
            </w:pPr>
            <w:r>
              <w:rPr>
                <w:rFonts w:ascii="Arial" w:cs="Arial" w:eastAsia="Arial" w:hAnsi="Arial"/>
                <w:sz w:val="18"/>
                <w:szCs w:val="18"/>
                <w:color w:val="auto"/>
              </w:rPr>
              <w:t>Clinical trials</w:t>
            </w:r>
          </w:p>
        </w:tc>
        <w:tc>
          <w:tcPr>
            <w:tcW w:w="1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9,258</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29%</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14,800</w:t>
            </w:r>
          </w:p>
        </w:tc>
        <w:tc>
          <w:tcPr>
            <w:tcW w:w="260" w:type="dxa"/>
            <w:vAlign w:val="bottom"/>
          </w:tcPr>
          <w:p>
            <w:pPr>
              <w:spacing w:after="0"/>
              <w:rPr>
                <w:sz w:val="19"/>
                <w:szCs w:val="19"/>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36%</w:t>
            </w:r>
          </w:p>
        </w:tc>
        <w:tc>
          <w:tcPr>
            <w:tcW w:w="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580" w:type="dxa"/>
            <w:vAlign w:val="bottom"/>
            <w:gridSpan w:val="2"/>
          </w:tcPr>
          <w:p>
            <w:pPr>
              <w:jc w:val="right"/>
              <w:ind w:right="40"/>
              <w:spacing w:after="0"/>
              <w:rPr>
                <w:sz w:val="20"/>
                <w:szCs w:val="20"/>
                <w:color w:val="auto"/>
              </w:rPr>
            </w:pPr>
            <w:r>
              <w:rPr>
                <w:rFonts w:ascii="Arial" w:cs="Arial" w:eastAsia="Arial" w:hAnsi="Arial"/>
                <w:sz w:val="18"/>
                <w:szCs w:val="18"/>
                <w:color w:val="auto"/>
                <w:w w:val="91"/>
              </w:rPr>
              <w:t>(5,542)</w:t>
            </w:r>
          </w:p>
        </w:tc>
        <w:tc>
          <w:tcPr>
            <w:tcW w:w="1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60" w:type="dxa"/>
            <w:vAlign w:val="bottom"/>
            <w:gridSpan w:val="2"/>
          </w:tcPr>
          <w:p>
            <w:pPr>
              <w:jc w:val="right"/>
              <w:ind w:right="20"/>
              <w:spacing w:after="0"/>
              <w:rPr>
                <w:sz w:val="20"/>
                <w:szCs w:val="20"/>
                <w:color w:val="auto"/>
              </w:rPr>
            </w:pPr>
            <w:r>
              <w:rPr>
                <w:rFonts w:ascii="Arial" w:cs="Arial" w:eastAsia="Arial" w:hAnsi="Arial"/>
                <w:sz w:val="18"/>
                <w:szCs w:val="18"/>
                <w:color w:val="auto"/>
              </w:rPr>
              <w:t>-37%</w:t>
            </w:r>
          </w:p>
        </w:tc>
        <w:tc>
          <w:tcPr>
            <w:tcW w:w="0" w:type="dxa"/>
            <w:vAlign w:val="bottom"/>
          </w:tcPr>
          <w:p>
            <w:pPr>
              <w:spacing w:after="0"/>
              <w:rPr>
                <w:sz w:val="1"/>
                <w:szCs w:val="1"/>
                <w:color w:val="auto"/>
              </w:rPr>
            </w:pPr>
          </w:p>
        </w:tc>
      </w:tr>
      <w:tr>
        <w:trPr>
          <w:trHeight w:val="230"/>
        </w:trPr>
        <w:tc>
          <w:tcPr>
            <w:tcW w:w="3240" w:type="dxa"/>
            <w:vAlign w:val="bottom"/>
            <w:shd w:val="clear" w:color="auto" w:fill="B6EAFC"/>
          </w:tcPr>
          <w:p>
            <w:pPr>
              <w:spacing w:after="0"/>
              <w:rPr>
                <w:sz w:val="20"/>
                <w:szCs w:val="20"/>
                <w:color w:val="auto"/>
              </w:rPr>
            </w:pPr>
            <w:r>
              <w:rPr>
                <w:rFonts w:ascii="Arial" w:cs="Arial" w:eastAsia="Arial" w:hAnsi="Arial"/>
                <w:sz w:val="18"/>
                <w:szCs w:val="18"/>
                <w:color w:val="auto"/>
              </w:rPr>
              <w:t>License, royalty &amp; milestones</w:t>
            </w:r>
          </w:p>
        </w:tc>
        <w:tc>
          <w:tcPr>
            <w:tcW w:w="120" w:type="dxa"/>
            <w:vAlign w:val="bottom"/>
            <w:shd w:val="clear" w:color="auto" w:fill="B6EAFC"/>
          </w:tcPr>
          <w:p>
            <w:pPr>
              <w:spacing w:after="0"/>
              <w:rPr>
                <w:sz w:val="19"/>
                <w:szCs w:val="19"/>
                <w:color w:val="auto"/>
              </w:rPr>
            </w:pPr>
          </w:p>
        </w:tc>
        <w:tc>
          <w:tcPr>
            <w:tcW w:w="1140" w:type="dxa"/>
            <w:vAlign w:val="bottom"/>
            <w:shd w:val="clear" w:color="auto" w:fill="B6EAFC"/>
          </w:tcPr>
          <w:p>
            <w:pPr>
              <w:jc w:val="right"/>
              <w:spacing w:after="0"/>
              <w:rPr>
                <w:sz w:val="20"/>
                <w:szCs w:val="20"/>
                <w:color w:val="auto"/>
              </w:rPr>
            </w:pPr>
            <w:r>
              <w:rPr>
                <w:rFonts w:ascii="Arial" w:cs="Arial" w:eastAsia="Arial" w:hAnsi="Arial"/>
                <w:sz w:val="18"/>
                <w:szCs w:val="18"/>
                <w:color w:val="auto"/>
              </w:rPr>
              <w:t>2</w:t>
            </w:r>
          </w:p>
        </w:tc>
        <w:tc>
          <w:tcPr>
            <w:tcW w:w="120" w:type="dxa"/>
            <w:vAlign w:val="bottom"/>
            <w:shd w:val="clear" w:color="auto" w:fill="B6EAFC"/>
          </w:tcPr>
          <w:p>
            <w:pPr>
              <w:spacing w:after="0"/>
              <w:rPr>
                <w:sz w:val="19"/>
                <w:szCs w:val="19"/>
                <w:color w:val="auto"/>
              </w:rPr>
            </w:pPr>
          </w:p>
        </w:tc>
        <w:tc>
          <w:tcPr>
            <w:tcW w:w="140" w:type="dxa"/>
            <w:vAlign w:val="bottom"/>
            <w:shd w:val="clear" w:color="auto" w:fill="B6EAFC"/>
          </w:tcPr>
          <w:p>
            <w:pPr>
              <w:spacing w:after="0"/>
              <w:rPr>
                <w:sz w:val="19"/>
                <w:szCs w:val="19"/>
                <w:color w:val="auto"/>
              </w:rPr>
            </w:pPr>
          </w:p>
        </w:tc>
        <w:tc>
          <w:tcPr>
            <w:tcW w:w="1260" w:type="dxa"/>
            <w:vAlign w:val="bottom"/>
            <w:gridSpan w:val="2"/>
            <w:shd w:val="clear" w:color="auto" w:fill="B6EAFC"/>
          </w:tcPr>
          <w:p>
            <w:pPr>
              <w:jc w:val="right"/>
              <w:ind w:right="100"/>
              <w:spacing w:after="0"/>
              <w:rPr>
                <w:sz w:val="20"/>
                <w:szCs w:val="20"/>
                <w:color w:val="auto"/>
              </w:rPr>
            </w:pPr>
            <w:r>
              <w:rPr>
                <w:rFonts w:ascii="Arial" w:cs="Arial" w:eastAsia="Arial" w:hAnsi="Arial"/>
                <w:sz w:val="18"/>
                <w:szCs w:val="18"/>
                <w:color w:val="auto"/>
              </w:rPr>
              <w:t>0%</w:t>
            </w:r>
          </w:p>
        </w:tc>
        <w:tc>
          <w:tcPr>
            <w:tcW w:w="80" w:type="dxa"/>
            <w:vAlign w:val="bottom"/>
            <w:shd w:val="clear" w:color="auto" w:fill="B6EAFC"/>
          </w:tcPr>
          <w:p>
            <w:pPr>
              <w:spacing w:after="0"/>
              <w:rPr>
                <w:sz w:val="19"/>
                <w:szCs w:val="19"/>
                <w:color w:val="auto"/>
              </w:rPr>
            </w:pPr>
          </w:p>
        </w:tc>
        <w:tc>
          <w:tcPr>
            <w:tcW w:w="120" w:type="dxa"/>
            <w:vAlign w:val="bottom"/>
            <w:shd w:val="clear" w:color="auto" w:fill="B6EAFC"/>
          </w:tcPr>
          <w:p>
            <w:pPr>
              <w:spacing w:after="0"/>
              <w:rPr>
                <w:sz w:val="19"/>
                <w:szCs w:val="19"/>
                <w:color w:val="auto"/>
              </w:rPr>
            </w:pPr>
          </w:p>
        </w:tc>
        <w:tc>
          <w:tcPr>
            <w:tcW w:w="1140" w:type="dxa"/>
            <w:vAlign w:val="bottom"/>
            <w:shd w:val="clear" w:color="auto" w:fill="B6EAFC"/>
          </w:tcPr>
          <w:p>
            <w:pPr>
              <w:jc w:val="right"/>
              <w:spacing w:after="0"/>
              <w:rPr>
                <w:sz w:val="20"/>
                <w:szCs w:val="20"/>
                <w:color w:val="auto"/>
              </w:rPr>
            </w:pPr>
            <w:r>
              <w:rPr>
                <w:rFonts w:ascii="Arial" w:cs="Arial" w:eastAsia="Arial" w:hAnsi="Arial"/>
                <w:sz w:val="18"/>
                <w:szCs w:val="18"/>
                <w:color w:val="auto"/>
              </w:rPr>
              <w:t>3,054</w:t>
            </w:r>
          </w:p>
        </w:tc>
        <w:tc>
          <w:tcPr>
            <w:tcW w:w="260" w:type="dxa"/>
            <w:vAlign w:val="bottom"/>
            <w:shd w:val="clear" w:color="auto" w:fill="B6EAFC"/>
          </w:tcPr>
          <w:p>
            <w:pPr>
              <w:spacing w:after="0"/>
              <w:rPr>
                <w:sz w:val="19"/>
                <w:szCs w:val="19"/>
                <w:color w:val="auto"/>
              </w:rPr>
            </w:pPr>
          </w:p>
        </w:tc>
        <w:tc>
          <w:tcPr>
            <w:tcW w:w="1260" w:type="dxa"/>
            <w:vAlign w:val="bottom"/>
            <w:gridSpan w:val="2"/>
            <w:shd w:val="clear" w:color="auto" w:fill="B6EAFC"/>
          </w:tcPr>
          <w:p>
            <w:pPr>
              <w:jc w:val="right"/>
              <w:ind w:right="100"/>
              <w:spacing w:after="0"/>
              <w:rPr>
                <w:sz w:val="20"/>
                <w:szCs w:val="20"/>
                <w:color w:val="auto"/>
              </w:rPr>
            </w:pPr>
            <w:r>
              <w:rPr>
                <w:rFonts w:ascii="Arial" w:cs="Arial" w:eastAsia="Arial" w:hAnsi="Arial"/>
                <w:sz w:val="18"/>
                <w:szCs w:val="18"/>
                <w:color w:val="auto"/>
              </w:rPr>
              <w:t>7%</w:t>
            </w:r>
          </w:p>
        </w:tc>
        <w:tc>
          <w:tcPr>
            <w:tcW w:w="80" w:type="dxa"/>
            <w:vAlign w:val="bottom"/>
            <w:shd w:val="clear" w:color="auto" w:fill="B6EAFC"/>
          </w:tcPr>
          <w:p>
            <w:pPr>
              <w:spacing w:after="0"/>
              <w:rPr>
                <w:sz w:val="19"/>
                <w:szCs w:val="19"/>
                <w:color w:val="auto"/>
              </w:rPr>
            </w:pPr>
          </w:p>
        </w:tc>
        <w:tc>
          <w:tcPr>
            <w:tcW w:w="540" w:type="dxa"/>
            <w:vAlign w:val="bottom"/>
            <w:shd w:val="clear" w:color="auto" w:fill="B6EAFC"/>
          </w:tcPr>
          <w:p>
            <w:pPr>
              <w:spacing w:after="0"/>
              <w:rPr>
                <w:sz w:val="19"/>
                <w:szCs w:val="19"/>
                <w:color w:val="auto"/>
              </w:rPr>
            </w:pPr>
          </w:p>
        </w:tc>
        <w:tc>
          <w:tcPr>
            <w:tcW w:w="580" w:type="dxa"/>
            <w:vAlign w:val="bottom"/>
            <w:gridSpan w:val="2"/>
            <w:shd w:val="clear" w:color="auto" w:fill="B6EAFC"/>
          </w:tcPr>
          <w:p>
            <w:pPr>
              <w:jc w:val="right"/>
              <w:ind w:right="40"/>
              <w:spacing w:after="0"/>
              <w:rPr>
                <w:sz w:val="20"/>
                <w:szCs w:val="20"/>
                <w:color w:val="auto"/>
              </w:rPr>
            </w:pPr>
            <w:r>
              <w:rPr>
                <w:rFonts w:ascii="Arial" w:cs="Arial" w:eastAsia="Arial" w:hAnsi="Arial"/>
                <w:sz w:val="18"/>
                <w:szCs w:val="18"/>
                <w:color w:val="auto"/>
                <w:w w:val="91"/>
              </w:rPr>
              <w:t>(3,052)</w:t>
            </w:r>
          </w:p>
        </w:tc>
        <w:tc>
          <w:tcPr>
            <w:tcW w:w="160" w:type="dxa"/>
            <w:vAlign w:val="bottom"/>
            <w:shd w:val="clear" w:color="auto" w:fill="B6EAFC"/>
          </w:tcPr>
          <w:p>
            <w:pPr>
              <w:spacing w:after="0"/>
              <w:rPr>
                <w:sz w:val="19"/>
                <w:szCs w:val="19"/>
                <w:color w:val="auto"/>
              </w:rPr>
            </w:pPr>
          </w:p>
        </w:tc>
        <w:tc>
          <w:tcPr>
            <w:tcW w:w="620" w:type="dxa"/>
            <w:vAlign w:val="bottom"/>
            <w:shd w:val="clear" w:color="auto" w:fill="B6EAFC"/>
          </w:tcPr>
          <w:p>
            <w:pPr>
              <w:spacing w:after="0"/>
              <w:rPr>
                <w:sz w:val="19"/>
                <w:szCs w:val="19"/>
                <w:color w:val="auto"/>
              </w:rPr>
            </w:pPr>
          </w:p>
        </w:tc>
        <w:tc>
          <w:tcPr>
            <w:tcW w:w="560" w:type="dxa"/>
            <w:vAlign w:val="bottom"/>
            <w:gridSpan w:val="2"/>
            <w:shd w:val="clear" w:color="auto" w:fill="B6EAFC"/>
          </w:tcPr>
          <w:p>
            <w:pPr>
              <w:jc w:val="right"/>
              <w:ind w:right="20"/>
              <w:spacing w:after="0"/>
              <w:rPr>
                <w:sz w:val="20"/>
                <w:szCs w:val="20"/>
                <w:color w:val="auto"/>
              </w:rPr>
            </w:pPr>
            <w:r>
              <w:rPr>
                <w:rFonts w:ascii="Arial" w:cs="Arial" w:eastAsia="Arial" w:hAnsi="Arial"/>
                <w:sz w:val="18"/>
                <w:szCs w:val="18"/>
                <w:color w:val="auto"/>
                <w:w w:val="99"/>
              </w:rPr>
              <w:t>-100%</w:t>
            </w:r>
          </w:p>
        </w:tc>
        <w:tc>
          <w:tcPr>
            <w:tcW w:w="0" w:type="dxa"/>
            <w:vAlign w:val="bottom"/>
          </w:tcPr>
          <w:p>
            <w:pPr>
              <w:spacing w:after="0"/>
              <w:rPr>
                <w:sz w:val="1"/>
                <w:szCs w:val="1"/>
                <w:color w:val="auto"/>
              </w:rPr>
            </w:pPr>
          </w:p>
        </w:tc>
      </w:tr>
      <w:tr>
        <w:trPr>
          <w:trHeight w:val="230"/>
        </w:trPr>
        <w:tc>
          <w:tcPr>
            <w:tcW w:w="3240" w:type="dxa"/>
            <w:vAlign w:val="bottom"/>
          </w:tcPr>
          <w:p>
            <w:pPr>
              <w:spacing w:after="0"/>
              <w:rPr>
                <w:sz w:val="20"/>
                <w:szCs w:val="20"/>
                <w:color w:val="auto"/>
              </w:rPr>
            </w:pPr>
            <w:r>
              <w:rPr>
                <w:rFonts w:ascii="Arial" w:cs="Arial" w:eastAsia="Arial" w:hAnsi="Arial"/>
                <w:sz w:val="18"/>
                <w:szCs w:val="18"/>
                <w:color w:val="auto"/>
              </w:rPr>
              <w:t>Facilities and related</w:t>
            </w:r>
          </w:p>
        </w:tc>
        <w:tc>
          <w:tcPr>
            <w:tcW w:w="1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2,337</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7%</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1,315</w:t>
            </w:r>
          </w:p>
        </w:tc>
        <w:tc>
          <w:tcPr>
            <w:tcW w:w="260" w:type="dxa"/>
            <w:vAlign w:val="bottom"/>
          </w:tcPr>
          <w:p>
            <w:pPr>
              <w:spacing w:after="0"/>
              <w:rPr>
                <w:sz w:val="19"/>
                <w:szCs w:val="19"/>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3%</w:t>
            </w:r>
          </w:p>
        </w:tc>
        <w:tc>
          <w:tcPr>
            <w:tcW w:w="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w w:val="97"/>
              </w:rPr>
              <w:t>1,022</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60" w:type="dxa"/>
            <w:vAlign w:val="bottom"/>
            <w:gridSpan w:val="2"/>
          </w:tcPr>
          <w:p>
            <w:pPr>
              <w:jc w:val="right"/>
              <w:ind w:right="20"/>
              <w:spacing w:after="0"/>
              <w:rPr>
                <w:sz w:val="20"/>
                <w:szCs w:val="20"/>
                <w:color w:val="auto"/>
              </w:rPr>
            </w:pPr>
            <w:r>
              <w:rPr>
                <w:rFonts w:ascii="Arial" w:cs="Arial" w:eastAsia="Arial" w:hAnsi="Arial"/>
                <w:sz w:val="18"/>
                <w:szCs w:val="18"/>
                <w:color w:val="auto"/>
              </w:rPr>
              <w:t>78%</w:t>
            </w:r>
          </w:p>
        </w:tc>
        <w:tc>
          <w:tcPr>
            <w:tcW w:w="0" w:type="dxa"/>
            <w:vAlign w:val="bottom"/>
          </w:tcPr>
          <w:p>
            <w:pPr>
              <w:spacing w:after="0"/>
              <w:rPr>
                <w:sz w:val="1"/>
                <w:szCs w:val="1"/>
                <w:color w:val="auto"/>
              </w:rPr>
            </w:pPr>
          </w:p>
        </w:tc>
      </w:tr>
      <w:tr>
        <w:trPr>
          <w:trHeight w:val="230"/>
        </w:trPr>
        <w:tc>
          <w:tcPr>
            <w:tcW w:w="3240" w:type="dxa"/>
            <w:vAlign w:val="bottom"/>
            <w:shd w:val="clear" w:color="auto" w:fill="B6EAFC"/>
          </w:tcPr>
          <w:p>
            <w:pPr>
              <w:spacing w:after="0"/>
              <w:rPr>
                <w:sz w:val="20"/>
                <w:szCs w:val="20"/>
                <w:color w:val="auto"/>
              </w:rPr>
            </w:pPr>
            <w:r>
              <w:rPr>
                <w:rFonts w:ascii="Arial" w:cs="Arial" w:eastAsia="Arial" w:hAnsi="Arial"/>
                <w:sz w:val="18"/>
                <w:szCs w:val="18"/>
                <w:color w:val="auto"/>
              </w:rPr>
              <w:t>Other research expenses</w:t>
            </w:r>
          </w:p>
        </w:tc>
        <w:tc>
          <w:tcPr>
            <w:tcW w:w="120" w:type="dxa"/>
            <w:vAlign w:val="bottom"/>
            <w:shd w:val="clear" w:color="auto" w:fill="B6EAFC"/>
          </w:tcPr>
          <w:p>
            <w:pPr>
              <w:spacing w:after="0"/>
              <w:rPr>
                <w:sz w:val="19"/>
                <w:szCs w:val="19"/>
                <w:color w:val="auto"/>
              </w:rPr>
            </w:pPr>
          </w:p>
        </w:tc>
        <w:tc>
          <w:tcPr>
            <w:tcW w:w="1140" w:type="dxa"/>
            <w:vAlign w:val="bottom"/>
            <w:shd w:val="clear" w:color="auto" w:fill="B6EAFC"/>
          </w:tcPr>
          <w:p>
            <w:pPr>
              <w:jc w:val="right"/>
              <w:spacing w:after="0"/>
              <w:rPr>
                <w:sz w:val="20"/>
                <w:szCs w:val="20"/>
                <w:color w:val="auto"/>
              </w:rPr>
            </w:pPr>
            <w:r>
              <w:rPr>
                <w:rFonts w:ascii="Arial" w:cs="Arial" w:eastAsia="Arial" w:hAnsi="Arial"/>
                <w:sz w:val="18"/>
                <w:szCs w:val="18"/>
                <w:color w:val="auto"/>
              </w:rPr>
              <w:t>305</w:t>
            </w:r>
          </w:p>
        </w:tc>
        <w:tc>
          <w:tcPr>
            <w:tcW w:w="120" w:type="dxa"/>
            <w:vAlign w:val="bottom"/>
            <w:shd w:val="clear" w:color="auto" w:fill="B6EAFC"/>
          </w:tcPr>
          <w:p>
            <w:pPr>
              <w:spacing w:after="0"/>
              <w:rPr>
                <w:sz w:val="19"/>
                <w:szCs w:val="19"/>
                <w:color w:val="auto"/>
              </w:rPr>
            </w:pPr>
          </w:p>
        </w:tc>
        <w:tc>
          <w:tcPr>
            <w:tcW w:w="140" w:type="dxa"/>
            <w:vAlign w:val="bottom"/>
            <w:shd w:val="clear" w:color="auto" w:fill="B6EAFC"/>
          </w:tcPr>
          <w:p>
            <w:pPr>
              <w:spacing w:after="0"/>
              <w:rPr>
                <w:sz w:val="19"/>
                <w:szCs w:val="19"/>
                <w:color w:val="auto"/>
              </w:rPr>
            </w:pPr>
          </w:p>
        </w:tc>
        <w:tc>
          <w:tcPr>
            <w:tcW w:w="1260" w:type="dxa"/>
            <w:vAlign w:val="bottom"/>
            <w:gridSpan w:val="2"/>
            <w:shd w:val="clear" w:color="auto" w:fill="B6EAFC"/>
          </w:tcPr>
          <w:p>
            <w:pPr>
              <w:jc w:val="right"/>
              <w:ind w:right="100"/>
              <w:spacing w:after="0"/>
              <w:rPr>
                <w:sz w:val="20"/>
                <w:szCs w:val="20"/>
                <w:color w:val="auto"/>
              </w:rPr>
            </w:pPr>
            <w:r>
              <w:rPr>
                <w:rFonts w:ascii="Arial" w:cs="Arial" w:eastAsia="Arial" w:hAnsi="Arial"/>
                <w:sz w:val="18"/>
                <w:szCs w:val="18"/>
                <w:color w:val="auto"/>
              </w:rPr>
              <w:t>1%</w:t>
            </w:r>
          </w:p>
        </w:tc>
        <w:tc>
          <w:tcPr>
            <w:tcW w:w="80" w:type="dxa"/>
            <w:vAlign w:val="bottom"/>
            <w:shd w:val="clear" w:color="auto" w:fill="B6EAFC"/>
          </w:tcPr>
          <w:p>
            <w:pPr>
              <w:spacing w:after="0"/>
              <w:rPr>
                <w:sz w:val="19"/>
                <w:szCs w:val="19"/>
                <w:color w:val="auto"/>
              </w:rPr>
            </w:pPr>
          </w:p>
        </w:tc>
        <w:tc>
          <w:tcPr>
            <w:tcW w:w="120" w:type="dxa"/>
            <w:vAlign w:val="bottom"/>
            <w:shd w:val="clear" w:color="auto" w:fill="B6EAFC"/>
          </w:tcPr>
          <w:p>
            <w:pPr>
              <w:spacing w:after="0"/>
              <w:rPr>
                <w:sz w:val="19"/>
                <w:szCs w:val="19"/>
                <w:color w:val="auto"/>
              </w:rPr>
            </w:pPr>
          </w:p>
        </w:tc>
        <w:tc>
          <w:tcPr>
            <w:tcW w:w="1140" w:type="dxa"/>
            <w:vAlign w:val="bottom"/>
            <w:shd w:val="clear" w:color="auto" w:fill="B6EAFC"/>
          </w:tcPr>
          <w:p>
            <w:pPr>
              <w:jc w:val="right"/>
              <w:spacing w:after="0"/>
              <w:rPr>
                <w:sz w:val="20"/>
                <w:szCs w:val="20"/>
                <w:color w:val="auto"/>
              </w:rPr>
            </w:pPr>
            <w:r>
              <w:rPr>
                <w:rFonts w:ascii="Arial" w:cs="Arial" w:eastAsia="Arial" w:hAnsi="Arial"/>
                <w:sz w:val="18"/>
                <w:szCs w:val="18"/>
                <w:color w:val="auto"/>
              </w:rPr>
              <w:t>192</w:t>
            </w:r>
          </w:p>
        </w:tc>
        <w:tc>
          <w:tcPr>
            <w:tcW w:w="260" w:type="dxa"/>
            <w:vAlign w:val="bottom"/>
            <w:shd w:val="clear" w:color="auto" w:fill="B6EAFC"/>
          </w:tcPr>
          <w:p>
            <w:pPr>
              <w:spacing w:after="0"/>
              <w:rPr>
                <w:sz w:val="19"/>
                <w:szCs w:val="19"/>
                <w:color w:val="auto"/>
              </w:rPr>
            </w:pPr>
          </w:p>
        </w:tc>
        <w:tc>
          <w:tcPr>
            <w:tcW w:w="1260" w:type="dxa"/>
            <w:vAlign w:val="bottom"/>
            <w:gridSpan w:val="2"/>
            <w:shd w:val="clear" w:color="auto" w:fill="B6EAFC"/>
          </w:tcPr>
          <w:p>
            <w:pPr>
              <w:jc w:val="right"/>
              <w:ind w:right="100"/>
              <w:spacing w:after="0"/>
              <w:rPr>
                <w:sz w:val="20"/>
                <w:szCs w:val="20"/>
                <w:color w:val="auto"/>
              </w:rPr>
            </w:pPr>
            <w:r>
              <w:rPr>
                <w:rFonts w:ascii="Arial" w:cs="Arial" w:eastAsia="Arial" w:hAnsi="Arial"/>
                <w:sz w:val="18"/>
                <w:szCs w:val="18"/>
                <w:color w:val="auto"/>
              </w:rPr>
              <w:t>1%</w:t>
            </w:r>
          </w:p>
        </w:tc>
        <w:tc>
          <w:tcPr>
            <w:tcW w:w="80" w:type="dxa"/>
            <w:vAlign w:val="bottom"/>
            <w:shd w:val="clear" w:color="auto" w:fill="B6EAFC"/>
          </w:tcPr>
          <w:p>
            <w:pPr>
              <w:spacing w:after="0"/>
              <w:rPr>
                <w:sz w:val="19"/>
                <w:szCs w:val="19"/>
                <w:color w:val="auto"/>
              </w:rPr>
            </w:pPr>
          </w:p>
        </w:tc>
        <w:tc>
          <w:tcPr>
            <w:tcW w:w="540" w:type="dxa"/>
            <w:vAlign w:val="bottom"/>
            <w:shd w:val="clear" w:color="auto" w:fill="B6EAFC"/>
          </w:tcPr>
          <w:p>
            <w:pPr>
              <w:spacing w:after="0"/>
              <w:rPr>
                <w:sz w:val="19"/>
                <w:szCs w:val="19"/>
                <w:color w:val="auto"/>
              </w:rPr>
            </w:pPr>
          </w:p>
        </w:tc>
        <w:tc>
          <w:tcPr>
            <w:tcW w:w="480" w:type="dxa"/>
            <w:vAlign w:val="bottom"/>
            <w:shd w:val="clear" w:color="auto" w:fill="B6EAFC"/>
          </w:tcPr>
          <w:p>
            <w:pPr>
              <w:jc w:val="right"/>
              <w:spacing w:after="0"/>
              <w:rPr>
                <w:sz w:val="20"/>
                <w:szCs w:val="20"/>
                <w:color w:val="auto"/>
              </w:rPr>
            </w:pPr>
            <w:r>
              <w:rPr>
                <w:rFonts w:ascii="Arial" w:cs="Arial" w:eastAsia="Arial" w:hAnsi="Arial"/>
                <w:sz w:val="18"/>
                <w:szCs w:val="18"/>
                <w:color w:val="auto"/>
              </w:rPr>
              <w:t>113</w:t>
            </w:r>
          </w:p>
        </w:tc>
        <w:tc>
          <w:tcPr>
            <w:tcW w:w="100" w:type="dxa"/>
            <w:vAlign w:val="bottom"/>
            <w:shd w:val="clear" w:color="auto" w:fill="B6EAFC"/>
          </w:tcPr>
          <w:p>
            <w:pPr>
              <w:spacing w:after="0"/>
              <w:rPr>
                <w:sz w:val="19"/>
                <w:szCs w:val="19"/>
                <w:color w:val="auto"/>
              </w:rPr>
            </w:pPr>
          </w:p>
        </w:tc>
        <w:tc>
          <w:tcPr>
            <w:tcW w:w="160" w:type="dxa"/>
            <w:vAlign w:val="bottom"/>
            <w:shd w:val="clear" w:color="auto" w:fill="B6EAFC"/>
          </w:tcPr>
          <w:p>
            <w:pPr>
              <w:spacing w:after="0"/>
              <w:rPr>
                <w:sz w:val="19"/>
                <w:szCs w:val="19"/>
                <w:color w:val="auto"/>
              </w:rPr>
            </w:pPr>
          </w:p>
        </w:tc>
        <w:tc>
          <w:tcPr>
            <w:tcW w:w="620" w:type="dxa"/>
            <w:vAlign w:val="bottom"/>
            <w:shd w:val="clear" w:color="auto" w:fill="B6EAFC"/>
          </w:tcPr>
          <w:p>
            <w:pPr>
              <w:spacing w:after="0"/>
              <w:rPr>
                <w:sz w:val="19"/>
                <w:szCs w:val="19"/>
                <w:color w:val="auto"/>
              </w:rPr>
            </w:pPr>
          </w:p>
        </w:tc>
        <w:tc>
          <w:tcPr>
            <w:tcW w:w="560" w:type="dxa"/>
            <w:vAlign w:val="bottom"/>
            <w:gridSpan w:val="2"/>
            <w:shd w:val="clear" w:color="auto" w:fill="B6EAFC"/>
          </w:tcPr>
          <w:p>
            <w:pPr>
              <w:jc w:val="right"/>
              <w:ind w:right="20"/>
              <w:spacing w:after="0"/>
              <w:rPr>
                <w:sz w:val="20"/>
                <w:szCs w:val="20"/>
                <w:color w:val="auto"/>
              </w:rPr>
            </w:pPr>
            <w:r>
              <w:rPr>
                <w:rFonts w:ascii="Arial" w:cs="Arial" w:eastAsia="Arial" w:hAnsi="Arial"/>
                <w:sz w:val="18"/>
                <w:szCs w:val="18"/>
                <w:color w:val="auto"/>
              </w:rPr>
              <w:t>59%</w:t>
            </w:r>
          </w:p>
        </w:tc>
        <w:tc>
          <w:tcPr>
            <w:tcW w:w="0" w:type="dxa"/>
            <w:vAlign w:val="bottom"/>
          </w:tcPr>
          <w:p>
            <w:pPr>
              <w:spacing w:after="0"/>
              <w:rPr>
                <w:sz w:val="1"/>
                <w:szCs w:val="1"/>
                <w:color w:val="auto"/>
              </w:rPr>
            </w:pPr>
          </w:p>
        </w:tc>
      </w:tr>
      <w:tr>
        <w:trPr>
          <w:trHeight w:val="20"/>
        </w:trPr>
        <w:tc>
          <w:tcPr>
            <w:tcW w:w="3240" w:type="dxa"/>
            <w:vAlign w:val="bottom"/>
            <w:vMerge w:val="restart"/>
          </w:tcPr>
          <w:p>
            <w:pPr>
              <w:spacing w:after="0"/>
              <w:rPr>
                <w:sz w:val="20"/>
                <w:szCs w:val="20"/>
                <w:color w:val="auto"/>
              </w:rPr>
            </w:pPr>
            <w:r>
              <w:rPr>
                <w:rFonts w:ascii="Arial" w:cs="Arial" w:eastAsia="Arial" w:hAnsi="Arial"/>
                <w:sz w:val="18"/>
                <w:szCs w:val="18"/>
                <w:color w:val="auto"/>
              </w:rPr>
              <w:t>Total</w:t>
            </w:r>
          </w:p>
        </w:tc>
        <w:tc>
          <w:tcPr>
            <w:tcW w:w="12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vMerge w:val="restart"/>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vMerge w:val="restart"/>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160" w:type="dxa"/>
            <w:vAlign w:val="bottom"/>
            <w:vMerge w:val="restart"/>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3240" w:type="dxa"/>
            <w:vAlign w:val="bottom"/>
            <w:vMerge w:val="continue"/>
          </w:tcPr>
          <w:p>
            <w:pPr>
              <w:spacing w:after="0"/>
              <w:rPr>
                <w:sz w:val="19"/>
                <w:szCs w:val="19"/>
                <w:color w:val="auto"/>
              </w:rPr>
            </w:pP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31,690</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100%</w:t>
            </w:r>
          </w:p>
        </w:tc>
        <w:tc>
          <w:tcPr>
            <w:tcW w:w="80" w:type="dxa"/>
            <w:vAlign w:val="bottom"/>
            <w:vMerge w:val="continue"/>
          </w:tcPr>
          <w:p>
            <w:pPr>
              <w:spacing w:after="0"/>
              <w:rPr>
                <w:sz w:val="19"/>
                <w:szCs w:val="19"/>
                <w:color w:val="auto"/>
              </w:rPr>
            </w:pP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41,454</w:t>
            </w:r>
          </w:p>
        </w:tc>
        <w:tc>
          <w:tcPr>
            <w:tcW w:w="260" w:type="dxa"/>
            <w:vAlign w:val="bottom"/>
          </w:tcPr>
          <w:p>
            <w:pPr>
              <w:spacing w:after="0"/>
              <w:rPr>
                <w:sz w:val="19"/>
                <w:szCs w:val="19"/>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100%</w:t>
            </w:r>
          </w:p>
        </w:tc>
        <w:tc>
          <w:tcPr>
            <w:tcW w:w="80" w:type="dxa"/>
            <w:vAlign w:val="bottom"/>
            <w:vMerge w:val="continue"/>
          </w:tcPr>
          <w:p>
            <w:pPr>
              <w:spacing w:after="0"/>
              <w:rPr>
                <w:sz w:val="19"/>
                <w:szCs w:val="19"/>
                <w:color w:val="auto"/>
              </w:rPr>
            </w:pPr>
          </w:p>
        </w:tc>
        <w:tc>
          <w:tcPr>
            <w:tcW w:w="540" w:type="dxa"/>
            <w:vAlign w:val="bottom"/>
          </w:tcPr>
          <w:p>
            <w:pPr>
              <w:jc w:val="right"/>
              <w:ind w:right="356"/>
              <w:spacing w:after="0"/>
              <w:rPr>
                <w:sz w:val="20"/>
                <w:szCs w:val="20"/>
                <w:color w:val="auto"/>
              </w:rPr>
            </w:pPr>
            <w:r>
              <w:rPr>
                <w:rFonts w:ascii="Arial" w:cs="Arial" w:eastAsia="Arial" w:hAnsi="Arial"/>
                <w:sz w:val="18"/>
                <w:szCs w:val="18"/>
                <w:color w:val="auto"/>
                <w:w w:val="79"/>
              </w:rPr>
              <w:t>$</w:t>
            </w:r>
          </w:p>
        </w:tc>
        <w:tc>
          <w:tcPr>
            <w:tcW w:w="480" w:type="dxa"/>
            <w:vAlign w:val="bottom"/>
          </w:tcPr>
          <w:p>
            <w:pPr>
              <w:jc w:val="right"/>
              <w:spacing w:after="0"/>
              <w:rPr>
                <w:sz w:val="20"/>
                <w:szCs w:val="20"/>
                <w:color w:val="auto"/>
              </w:rPr>
            </w:pPr>
            <w:r>
              <w:rPr>
                <w:rFonts w:ascii="Arial" w:cs="Arial" w:eastAsia="Arial" w:hAnsi="Arial"/>
                <w:sz w:val="18"/>
                <w:szCs w:val="18"/>
                <w:color w:val="auto"/>
                <w:w w:val="80"/>
              </w:rPr>
              <w:t>(9,764)</w:t>
            </w:r>
          </w:p>
        </w:tc>
        <w:tc>
          <w:tcPr>
            <w:tcW w:w="100" w:type="dxa"/>
            <w:vAlign w:val="bottom"/>
            <w:vMerge w:val="continue"/>
          </w:tcPr>
          <w:p>
            <w:pPr>
              <w:spacing w:after="0"/>
              <w:rPr>
                <w:sz w:val="19"/>
                <w:szCs w:val="19"/>
                <w:color w:val="auto"/>
              </w:rPr>
            </w:pPr>
          </w:p>
        </w:tc>
        <w:tc>
          <w:tcPr>
            <w:tcW w:w="160" w:type="dxa"/>
            <w:vAlign w:val="bottom"/>
            <w:vMerge w:val="continue"/>
          </w:tcPr>
          <w:p>
            <w:pPr>
              <w:spacing w:after="0"/>
              <w:rPr>
                <w:sz w:val="19"/>
                <w:szCs w:val="19"/>
                <w:color w:val="auto"/>
              </w:rPr>
            </w:pPr>
          </w:p>
        </w:tc>
        <w:tc>
          <w:tcPr>
            <w:tcW w:w="620" w:type="dxa"/>
            <w:vAlign w:val="bottom"/>
          </w:tcPr>
          <w:p>
            <w:pPr>
              <w:spacing w:after="0"/>
              <w:rPr>
                <w:sz w:val="19"/>
                <w:szCs w:val="19"/>
                <w:color w:val="auto"/>
              </w:rPr>
            </w:pPr>
          </w:p>
        </w:tc>
        <w:tc>
          <w:tcPr>
            <w:tcW w:w="560" w:type="dxa"/>
            <w:vAlign w:val="bottom"/>
            <w:gridSpan w:val="2"/>
          </w:tcPr>
          <w:p>
            <w:pPr>
              <w:jc w:val="right"/>
              <w:ind w:right="20"/>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0"/>
        </w:trPr>
        <w:tc>
          <w:tcPr>
            <w:tcW w:w="32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ind w:right="160" w:firstLine="518"/>
        <w:spacing w:after="0" w:line="286" w:lineRule="auto"/>
        <w:rPr>
          <w:sz w:val="20"/>
          <w:szCs w:val="20"/>
          <w:color w:val="auto"/>
        </w:rPr>
      </w:pPr>
      <w:r>
        <w:rPr>
          <w:rFonts w:ascii="Arial" w:cs="Arial" w:eastAsia="Arial" w:hAnsi="Arial"/>
          <w:sz w:val="17"/>
          <w:szCs w:val="17"/>
          <w:color w:val="auto"/>
        </w:rPr>
        <w:t>Laboratory supplies and services expense increased $2,597,000 from $2,706,000 during the year ended September 30, 2016 to $5,303,000 during the current period. The increase in laboratory supplies and services is a result of additional supply purchases necessary to support the expansion of the Company’s preclinical pipeline as well as the development of the subcutaneous versions of its new drug candidates.</w:t>
      </w:r>
    </w:p>
    <w:p>
      <w:pPr>
        <w:spacing w:after="0" w:line="166" w:lineRule="exact"/>
        <w:rPr>
          <w:sz w:val="20"/>
          <w:szCs w:val="20"/>
          <w:color w:val="auto"/>
        </w:rPr>
      </w:pPr>
    </w:p>
    <w:p>
      <w:pPr>
        <w:ind w:right="20" w:firstLine="518"/>
        <w:spacing w:after="0" w:line="259" w:lineRule="auto"/>
        <w:rPr>
          <w:sz w:val="20"/>
          <w:szCs w:val="20"/>
          <w:color w:val="auto"/>
        </w:rPr>
      </w:pPr>
      <w:r>
        <w:rPr>
          <w:rFonts w:ascii="Arial" w:cs="Arial" w:eastAsia="Arial" w:hAnsi="Arial"/>
          <w:sz w:val="18"/>
          <w:szCs w:val="18"/>
          <w:color w:val="auto"/>
        </w:rPr>
        <w:t>In vivo studies expense increased $799,000 from $1,611,000 during the year ended September 30, 2016 to 2,410,000 during the current period. In vivo expense can vary depending on the stage of preclinical candidates, the nature and amount of testing required and the cost variation of different in vivo testing models. The increase in in vivo studies in the current period is a result of additional discovery studies being conducted for the Company’s subcutaneous candidates.</w:t>
      </w:r>
    </w:p>
    <w:p>
      <w:pPr>
        <w:spacing w:after="0" w:line="187" w:lineRule="exact"/>
        <w:rPr>
          <w:sz w:val="20"/>
          <w:szCs w:val="20"/>
          <w:color w:val="auto"/>
        </w:rPr>
      </w:pPr>
    </w:p>
    <w:p>
      <w:pPr>
        <w:ind w:right="480" w:firstLine="518"/>
        <w:spacing w:after="0" w:line="264" w:lineRule="auto"/>
        <w:rPr>
          <w:sz w:val="20"/>
          <w:szCs w:val="20"/>
          <w:color w:val="auto"/>
        </w:rPr>
      </w:pPr>
      <w:r>
        <w:rPr>
          <w:rFonts w:ascii="Arial" w:cs="Arial" w:eastAsia="Arial" w:hAnsi="Arial"/>
          <w:sz w:val="18"/>
          <w:szCs w:val="18"/>
          <w:color w:val="auto"/>
        </w:rPr>
        <w:t>Outside labs and contract services expense increased $340,000 from $155,000 during the year ended September 30, 2016 to $495,000 during the current period. The increase in outside labs and contract services in the current period is a result of additional discovery work being conducted for the Company’s subcutaneous candidates.</w:t>
      </w:r>
    </w:p>
    <w:p>
      <w:pPr>
        <w:spacing w:after="0" w:line="181" w:lineRule="exact"/>
        <w:rPr>
          <w:sz w:val="20"/>
          <w:szCs w:val="20"/>
          <w:color w:val="auto"/>
        </w:rPr>
      </w:pPr>
    </w:p>
    <w:p>
      <w:pPr>
        <w:ind w:right="160" w:firstLine="518"/>
        <w:spacing w:after="0" w:line="279" w:lineRule="auto"/>
        <w:rPr>
          <w:sz w:val="20"/>
          <w:szCs w:val="20"/>
          <w:color w:val="auto"/>
        </w:rPr>
      </w:pPr>
      <w:r>
        <w:rPr>
          <w:rFonts w:ascii="Arial" w:cs="Arial" w:eastAsia="Arial" w:hAnsi="Arial"/>
          <w:sz w:val="17"/>
          <w:szCs w:val="17"/>
          <w:color w:val="auto"/>
        </w:rPr>
        <w:t>Toxicity/efficacy studies expense decreased $5,998,000 from $7,766,000 during the year ended September 30, 2016 to $1,768,000 during the current period. This category includes IND-enabling toxicology studies as well as post-IND toxicology studies, such as long-term toxicology studies, and other efficacy studies. The decrease primarily relates to toxicology studies related to one of our discontinued drug candidates, ARC-521. We anticipate this expense to increase as we prepare to enter clinical trials with our new subcutaneous drug candidates.</w:t>
      </w:r>
    </w:p>
    <w:p>
      <w:pPr>
        <w:spacing w:after="0" w:line="171" w:lineRule="exact"/>
        <w:rPr>
          <w:sz w:val="20"/>
          <w:szCs w:val="20"/>
          <w:color w:val="auto"/>
        </w:rPr>
      </w:pPr>
    </w:p>
    <w:p>
      <w:pPr>
        <w:ind w:right="220" w:firstLine="518"/>
        <w:spacing w:after="0" w:line="312" w:lineRule="auto"/>
        <w:rPr>
          <w:sz w:val="20"/>
          <w:szCs w:val="20"/>
          <w:color w:val="auto"/>
        </w:rPr>
      </w:pPr>
      <w:r>
        <w:rPr>
          <w:rFonts w:ascii="Arial" w:cs="Arial" w:eastAsia="Arial" w:hAnsi="Arial"/>
          <w:sz w:val="16"/>
          <w:szCs w:val="16"/>
          <w:color w:val="auto"/>
        </w:rPr>
        <w:t>Drug manufacturing expense was relatively consistent at $9,855,000 during the year ended September 30, 2016 to $9,812,000 during the current period. The current period expense relates to campaigns for our ARO-HBV and ARO-AAT programs, and the previous period related to campaigns for our previous generation candidates. We anticipate this expense to increase as we prepare to enter clinical trials with our new subcutaneous drug candidates.</w:t>
      </w:r>
    </w:p>
    <w:p>
      <w:pPr>
        <w:spacing w:after="0" w:line="147" w:lineRule="exact"/>
        <w:rPr>
          <w:sz w:val="20"/>
          <w:szCs w:val="20"/>
          <w:color w:val="auto"/>
        </w:rPr>
      </w:pPr>
    </w:p>
    <w:p>
      <w:pPr>
        <w:ind w:left="520"/>
        <w:spacing w:after="0"/>
        <w:rPr>
          <w:sz w:val="20"/>
          <w:szCs w:val="20"/>
          <w:color w:val="auto"/>
        </w:rPr>
      </w:pPr>
      <w:r>
        <w:rPr>
          <w:rFonts w:ascii="Arial" w:cs="Arial" w:eastAsia="Arial" w:hAnsi="Arial"/>
          <w:sz w:val="17"/>
          <w:szCs w:val="17"/>
          <w:color w:val="auto"/>
        </w:rPr>
        <w:t>Clinical trials expense decreased $5,542,000 from $14,800,000 during the year ended September 30, 2016 to $9,258,000 during the current</w:t>
      </w:r>
    </w:p>
    <w:p>
      <w:pPr>
        <w:spacing w:after="0" w:line="35" w:lineRule="exact"/>
        <w:rPr>
          <w:sz w:val="20"/>
          <w:szCs w:val="20"/>
          <w:color w:val="auto"/>
        </w:rPr>
      </w:pPr>
    </w:p>
    <w:p>
      <w:pPr>
        <w:ind w:right="100"/>
        <w:spacing w:after="0" w:line="261" w:lineRule="auto"/>
        <w:rPr>
          <w:sz w:val="20"/>
          <w:szCs w:val="20"/>
          <w:color w:val="auto"/>
        </w:rPr>
      </w:pPr>
      <w:r>
        <w:rPr>
          <w:rFonts w:ascii="Arial" w:cs="Arial" w:eastAsia="Arial" w:hAnsi="Arial"/>
          <w:sz w:val="18"/>
          <w:szCs w:val="18"/>
          <w:color w:val="auto"/>
        </w:rPr>
        <w:t>period. The decrease is primarily due to the discontinuation of our previous clinical candidates, and the close out of those studies. We anticipate this expense to increase as we prepare to enter clinical trials with our new subcutaneous drug candidates.</w:t>
      </w:r>
    </w:p>
    <w:p>
      <w:pPr>
        <w:spacing w:after="0" w:line="184" w:lineRule="exact"/>
        <w:rPr>
          <w:sz w:val="20"/>
          <w:szCs w:val="20"/>
          <w:color w:val="auto"/>
        </w:rPr>
      </w:pPr>
    </w:p>
    <w:p>
      <w:pPr>
        <w:ind w:right="420" w:firstLine="518"/>
        <w:spacing w:after="0" w:line="259" w:lineRule="auto"/>
        <w:rPr>
          <w:sz w:val="20"/>
          <w:szCs w:val="20"/>
          <w:color w:val="auto"/>
        </w:rPr>
      </w:pPr>
      <w:r>
        <w:rPr>
          <w:rFonts w:ascii="Arial" w:cs="Arial" w:eastAsia="Arial" w:hAnsi="Arial"/>
          <w:sz w:val="18"/>
          <w:szCs w:val="18"/>
          <w:color w:val="auto"/>
        </w:rPr>
        <w:t>License, royalty and milestones expense decreased $3,052,000 from $3,054,000 during the year ended September 30, 2016 to $2,000 during the current period. This category can include milestone payments which can vary from period to period depending on the nature of our various license agreements and the timing of reaching various development milestones requiring payment. We reached milestones related to our clinical candidates that required a $3 million accrual in fiscal 2016.</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449" w:right="239" w:bottom="1440" w:gutter="0" w:footer="0" w:header="0"/>
        </w:sectPr>
      </w:pPr>
    </w:p>
    <w:bookmarkStart w:id="46" w:name="page47"/>
    <w:bookmarkEnd w:id="46"/>
    <w:p>
      <w:pPr>
        <w:ind w:right="380" w:firstLine="518"/>
        <w:spacing w:after="0" w:line="342" w:lineRule="auto"/>
        <w:rPr>
          <w:sz w:val="20"/>
          <w:szCs w:val="20"/>
          <w:color w:val="auto"/>
        </w:rPr>
      </w:pPr>
      <w:r>
        <w:rPr>
          <w:rFonts w:ascii="Arial" w:cs="Arial" w:eastAsia="Arial" w:hAnsi="Arial"/>
          <w:sz w:val="16"/>
          <w:szCs w:val="16"/>
          <w:color w:val="auto"/>
        </w:rPr>
        <w:t>Facilities expense increased $1,022,000 from $1,315,000 during the year ended September 30, 2016 to $2,337,000 during the current period. The increase relates to increased rental costs for our lease for a larger facility in Madison, Wisconsin, which we began occupying in October 2016.</w:t>
      </w:r>
    </w:p>
    <w:p>
      <w:pPr>
        <w:spacing w:after="0" w:line="124" w:lineRule="exact"/>
        <w:rPr>
          <w:sz w:val="20"/>
          <w:szCs w:val="20"/>
          <w:color w:val="auto"/>
        </w:rPr>
      </w:pPr>
    </w:p>
    <w:p>
      <w:pPr>
        <w:ind w:right="400" w:firstLine="518"/>
        <w:spacing w:after="0" w:line="308" w:lineRule="auto"/>
        <w:rPr>
          <w:sz w:val="20"/>
          <w:szCs w:val="20"/>
          <w:color w:val="auto"/>
        </w:rPr>
      </w:pPr>
      <w:r>
        <w:rPr>
          <w:rFonts w:ascii="Arial" w:cs="Arial" w:eastAsia="Arial" w:hAnsi="Arial"/>
          <w:sz w:val="17"/>
          <w:szCs w:val="17"/>
          <w:color w:val="auto"/>
        </w:rPr>
        <w:t>Other research expense increased $113,000 from $192,000 during the year ended September 30, 2016 to $305,000 during the current period. The increase primarily relates to additional miscellaneous supplies purchased to support efforts at our larger facility in Madison, Wisconsin.</w:t>
      </w:r>
    </w:p>
    <w:p>
      <w:pPr>
        <w:spacing w:after="0" w:line="255"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Salary and Payroll-Related Expenses</w:t>
      </w:r>
    </w:p>
    <w:p>
      <w:pPr>
        <w:spacing w:after="0" w:line="117" w:lineRule="exact"/>
        <w:rPr>
          <w:sz w:val="20"/>
          <w:szCs w:val="20"/>
          <w:color w:val="auto"/>
        </w:rPr>
      </w:pPr>
    </w:p>
    <w:p>
      <w:pPr>
        <w:ind w:right="100" w:firstLine="518"/>
        <w:spacing w:after="0" w:line="279" w:lineRule="auto"/>
        <w:rPr>
          <w:sz w:val="20"/>
          <w:szCs w:val="20"/>
          <w:color w:val="auto"/>
        </w:rPr>
      </w:pPr>
      <w:r>
        <w:rPr>
          <w:rFonts w:ascii="Arial" w:cs="Arial" w:eastAsia="Arial" w:hAnsi="Arial"/>
          <w:sz w:val="17"/>
          <w:szCs w:val="17"/>
          <w:color w:val="auto"/>
        </w:rPr>
        <w:t>The Company employs scientific, technical and administrative staff at its corporate offices and its research facilities. Salaries and payroll-related expense consists of salaries, bonuses, payroll taxes and related benefits. Salary and payroll-related expenses include two major categories, based on the primary activities of each employee: general and administrative (G&amp;A) compensation expense and research and development (R&amp;D) compensation expense. The following table provides detail of salary and payroll-related expenses for the periods indicated:</w:t>
      </w:r>
    </w:p>
    <w:p>
      <w:pPr>
        <w:spacing w:after="0" w:line="171"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(in thousands)</w:t>
      </w:r>
    </w:p>
    <w:p>
      <w:pPr>
        <w:spacing w:after="0" w:line="325"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22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620" w:type="dxa"/>
            <w:vAlign w:val="bottom"/>
            <w:gridSpan w:val="3"/>
          </w:tcPr>
          <w:p>
            <w:pPr>
              <w:jc w:val="center"/>
              <w:ind w:right="280"/>
              <w:spacing w:after="0"/>
              <w:rPr>
                <w:sz w:val="20"/>
                <w:szCs w:val="20"/>
                <w:color w:val="auto"/>
              </w:rPr>
            </w:pPr>
            <w:r>
              <w:rPr>
                <w:rFonts w:ascii="Arial" w:cs="Arial" w:eastAsia="Arial" w:hAnsi="Arial"/>
                <w:sz w:val="14"/>
                <w:szCs w:val="14"/>
                <w:b w:val="1"/>
                <w:bCs w:val="1"/>
                <w:color w:val="auto"/>
                <w:w w:val="92"/>
              </w:rPr>
              <w:t>Twelve months</w:t>
            </w:r>
          </w:p>
        </w:tc>
        <w:tc>
          <w:tcPr>
            <w:tcW w:w="860" w:type="dxa"/>
            <w:vAlign w:val="bottom"/>
          </w:tcPr>
          <w:p>
            <w:pPr>
              <w:jc w:val="center"/>
              <w:ind w:left="168"/>
              <w:spacing w:after="0"/>
              <w:rPr>
                <w:sz w:val="20"/>
                <w:szCs w:val="20"/>
                <w:color w:val="auto"/>
              </w:rPr>
            </w:pPr>
            <w:r>
              <w:rPr>
                <w:rFonts w:ascii="Arial" w:cs="Arial" w:eastAsia="Arial" w:hAnsi="Arial"/>
                <w:sz w:val="14"/>
                <w:szCs w:val="14"/>
                <w:b w:val="1"/>
                <w:bCs w:val="1"/>
                <w:color w:val="auto"/>
              </w:rPr>
              <w:t>% of</w:t>
            </w:r>
          </w:p>
        </w:tc>
        <w:tc>
          <w:tcPr>
            <w:tcW w:w="2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2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90"/>
              </w:rPr>
              <w:t>Twelve months</w:t>
            </w:r>
          </w:p>
        </w:tc>
        <w:tc>
          <w:tcPr>
            <w:tcW w:w="138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rPr>
              <w:t>% of</w:t>
            </w:r>
          </w:p>
        </w:tc>
        <w:tc>
          <w:tcPr>
            <w:tcW w:w="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2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80" w:type="dxa"/>
            <w:vAlign w:val="bottom"/>
          </w:tcPr>
          <w:p>
            <w:pPr>
              <w:jc w:val="center"/>
              <w:ind w:left="367"/>
              <w:spacing w:after="0"/>
              <w:rPr>
                <w:sz w:val="20"/>
                <w:szCs w:val="20"/>
                <w:color w:val="auto"/>
              </w:rPr>
            </w:pPr>
            <w:r>
              <w:rPr>
                <w:rFonts w:ascii="Arial" w:cs="Arial" w:eastAsia="Arial" w:hAnsi="Arial"/>
                <w:sz w:val="14"/>
                <w:szCs w:val="14"/>
                <w:b w:val="1"/>
                <w:bCs w:val="1"/>
                <w:color w:val="auto"/>
                <w:w w:val="93"/>
              </w:rPr>
              <w:t>Ended</w:t>
            </w:r>
          </w:p>
        </w:tc>
        <w:tc>
          <w:tcPr>
            <w:tcW w:w="4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60" w:type="dxa"/>
            <w:vAlign w:val="bottom"/>
          </w:tcPr>
          <w:p>
            <w:pPr>
              <w:jc w:val="center"/>
              <w:ind w:left="188"/>
              <w:spacing w:after="0"/>
              <w:rPr>
                <w:sz w:val="20"/>
                <w:szCs w:val="20"/>
                <w:color w:val="auto"/>
              </w:rPr>
            </w:pPr>
            <w:r>
              <w:rPr>
                <w:rFonts w:ascii="Arial" w:cs="Arial" w:eastAsia="Arial" w:hAnsi="Arial"/>
                <w:sz w:val="14"/>
                <w:szCs w:val="14"/>
                <w:b w:val="1"/>
                <w:bCs w:val="1"/>
                <w:color w:val="auto"/>
                <w:w w:val="90"/>
              </w:rPr>
              <w:t>Expense</w:t>
            </w: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93"/>
              </w:rPr>
              <w:t>Ended</w:t>
            </w:r>
          </w:p>
        </w:tc>
        <w:tc>
          <w:tcPr>
            <w:tcW w:w="138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0"/>
              </w:rPr>
              <w:t>Expense</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580" w:type="dxa"/>
            <w:vAlign w:val="bottom"/>
            <w:gridSpan w:val="3"/>
          </w:tcPr>
          <w:p>
            <w:pPr>
              <w:ind w:left="360"/>
              <w:spacing w:after="0"/>
              <w:rPr>
                <w:sz w:val="20"/>
                <w:szCs w:val="20"/>
                <w:color w:val="auto"/>
              </w:rPr>
            </w:pPr>
            <w:r>
              <w:rPr>
                <w:rFonts w:ascii="Arial" w:cs="Arial" w:eastAsia="Arial" w:hAnsi="Arial"/>
                <w:sz w:val="14"/>
                <w:szCs w:val="14"/>
                <w:b w:val="1"/>
                <w:bCs w:val="1"/>
                <w:color w:val="auto"/>
                <w:w w:val="90"/>
              </w:rPr>
              <w:t>Increase (Decrease)</w:t>
            </w:r>
          </w:p>
        </w:tc>
        <w:tc>
          <w:tcPr>
            <w:tcW w:w="6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8"/>
        </w:trPr>
        <w:tc>
          <w:tcPr>
            <w:tcW w:w="2260" w:type="dxa"/>
            <w:vAlign w:val="bottom"/>
            <w:tcBorders>
              <w:bottom w:val="single" w:sz="8" w:color="B6EAFC"/>
            </w:tcBorders>
          </w:tcPr>
          <w:p>
            <w:pPr>
              <w:spacing w:after="0"/>
              <w:rPr>
                <w:sz w:val="16"/>
                <w:szCs w:val="16"/>
                <w:color w:val="auto"/>
              </w:rPr>
            </w:pPr>
          </w:p>
        </w:tc>
        <w:tc>
          <w:tcPr>
            <w:tcW w:w="360" w:type="dxa"/>
            <w:vAlign w:val="bottom"/>
            <w:tcBorders>
              <w:bottom w:val="single" w:sz="8" w:color="B6EAFC"/>
            </w:tcBorders>
          </w:tcPr>
          <w:p>
            <w:pPr>
              <w:spacing w:after="0"/>
              <w:rPr>
                <w:sz w:val="16"/>
                <w:szCs w:val="16"/>
                <w:color w:val="auto"/>
              </w:rPr>
            </w:pPr>
          </w:p>
        </w:tc>
        <w:tc>
          <w:tcPr>
            <w:tcW w:w="134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93"/>
              </w:rPr>
              <w:t>September 30, 2017</w:t>
            </w:r>
          </w:p>
        </w:tc>
        <w:tc>
          <w:tcPr>
            <w:tcW w:w="280" w:type="dxa"/>
            <w:vAlign w:val="bottom"/>
            <w:tcBorders>
              <w:bottom w:val="single" w:sz="8" w:color="B6EAFC"/>
            </w:tcBorders>
          </w:tcPr>
          <w:p>
            <w:pPr>
              <w:spacing w:after="0"/>
              <w:rPr>
                <w:sz w:val="16"/>
                <w:szCs w:val="16"/>
                <w:color w:val="auto"/>
              </w:rPr>
            </w:pPr>
          </w:p>
        </w:tc>
        <w:tc>
          <w:tcPr>
            <w:tcW w:w="860" w:type="dxa"/>
            <w:vAlign w:val="bottom"/>
            <w:tcBorders>
              <w:bottom w:val="single" w:sz="8" w:color="auto"/>
            </w:tcBorders>
          </w:tcPr>
          <w:p>
            <w:pPr>
              <w:jc w:val="center"/>
              <w:ind w:left="188"/>
              <w:spacing w:after="0"/>
              <w:rPr>
                <w:sz w:val="20"/>
                <w:szCs w:val="20"/>
                <w:color w:val="auto"/>
              </w:rPr>
            </w:pPr>
            <w:r>
              <w:rPr>
                <w:rFonts w:ascii="Arial" w:cs="Arial" w:eastAsia="Arial" w:hAnsi="Arial"/>
                <w:sz w:val="14"/>
                <w:szCs w:val="14"/>
                <w:b w:val="1"/>
                <w:bCs w:val="1"/>
                <w:color w:val="auto"/>
                <w:w w:val="92"/>
              </w:rPr>
              <w:t>Category</w:t>
            </w:r>
          </w:p>
        </w:tc>
        <w:tc>
          <w:tcPr>
            <w:tcW w:w="260" w:type="dxa"/>
            <w:vAlign w:val="bottom"/>
            <w:tcBorders>
              <w:bottom w:val="single" w:sz="8" w:color="auto"/>
            </w:tcBorders>
          </w:tcPr>
          <w:p>
            <w:pPr>
              <w:spacing w:after="0"/>
              <w:rPr>
                <w:sz w:val="16"/>
                <w:szCs w:val="16"/>
                <w:color w:val="auto"/>
              </w:rPr>
            </w:pPr>
          </w:p>
        </w:tc>
        <w:tc>
          <w:tcPr>
            <w:tcW w:w="240" w:type="dxa"/>
            <w:vAlign w:val="bottom"/>
            <w:tcBorders>
              <w:bottom w:val="single" w:sz="8" w:color="B6EAFC"/>
            </w:tcBorders>
          </w:tcPr>
          <w:p>
            <w:pPr>
              <w:spacing w:after="0"/>
              <w:rPr>
                <w:sz w:val="16"/>
                <w:szCs w:val="16"/>
                <w:color w:val="auto"/>
              </w:rPr>
            </w:pPr>
          </w:p>
        </w:tc>
        <w:tc>
          <w:tcPr>
            <w:tcW w:w="80" w:type="dxa"/>
            <w:vAlign w:val="bottom"/>
            <w:tcBorders>
              <w:bottom w:val="single" w:sz="8" w:color="B6EAFC"/>
            </w:tcBorders>
          </w:tcPr>
          <w:p>
            <w:pPr>
              <w:spacing w:after="0"/>
              <w:rPr>
                <w:sz w:val="16"/>
                <w:szCs w:val="16"/>
                <w:color w:val="auto"/>
              </w:rPr>
            </w:pPr>
          </w:p>
        </w:tc>
        <w:tc>
          <w:tcPr>
            <w:tcW w:w="130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91"/>
              </w:rPr>
              <w:t>September 30, 2016</w:t>
            </w:r>
          </w:p>
        </w:tc>
        <w:tc>
          <w:tcPr>
            <w:tcW w:w="260" w:type="dxa"/>
            <w:vAlign w:val="bottom"/>
            <w:tcBorders>
              <w:bottom w:val="single" w:sz="8" w:color="B6EAFC"/>
            </w:tcBorders>
          </w:tcPr>
          <w:p>
            <w:pPr>
              <w:spacing w:after="0"/>
              <w:rPr>
                <w:sz w:val="16"/>
                <w:szCs w:val="16"/>
                <w:color w:val="auto"/>
              </w:rPr>
            </w:pPr>
          </w:p>
        </w:tc>
        <w:tc>
          <w:tcPr>
            <w:tcW w:w="11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Category</w:t>
            </w:r>
          </w:p>
        </w:tc>
        <w:tc>
          <w:tcPr>
            <w:tcW w:w="220" w:type="dxa"/>
            <w:vAlign w:val="bottom"/>
            <w:tcBorders>
              <w:bottom w:val="single" w:sz="8" w:color="B6EAFC"/>
            </w:tcBorders>
          </w:tcPr>
          <w:p>
            <w:pPr>
              <w:spacing w:after="0"/>
              <w:rPr>
                <w:sz w:val="16"/>
                <w:szCs w:val="16"/>
                <w:color w:val="auto"/>
              </w:rPr>
            </w:pPr>
          </w:p>
        </w:tc>
        <w:tc>
          <w:tcPr>
            <w:tcW w:w="80" w:type="dxa"/>
            <w:vAlign w:val="bottom"/>
            <w:tcBorders>
              <w:bottom w:val="single" w:sz="8" w:color="B6EAFC"/>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ind w:right="483"/>
              <w:spacing w:after="0"/>
              <w:rPr>
                <w:sz w:val="20"/>
                <w:szCs w:val="20"/>
                <w:color w:val="auto"/>
              </w:rPr>
            </w:pPr>
            <w:r>
              <w:rPr>
                <w:rFonts w:ascii="Arial" w:cs="Arial" w:eastAsia="Arial" w:hAnsi="Arial"/>
                <w:sz w:val="14"/>
                <w:szCs w:val="14"/>
                <w:b w:val="1"/>
                <w:bCs w:val="1"/>
                <w:color w:val="auto"/>
              </w:rPr>
              <w:t>$</w:t>
            </w:r>
          </w:p>
        </w:tc>
        <w:tc>
          <w:tcPr>
            <w:tcW w:w="260" w:type="dxa"/>
            <w:vAlign w:val="bottom"/>
            <w:tcBorders>
              <w:bottom w:val="single" w:sz="8" w:color="B6EAFC"/>
            </w:tcBorders>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jc w:val="right"/>
              <w:ind w:right="441"/>
              <w:spacing w:after="0"/>
              <w:rPr>
                <w:sz w:val="20"/>
                <w:szCs w:val="20"/>
                <w:color w:val="auto"/>
              </w:rPr>
            </w:pPr>
            <w:r>
              <w:rPr>
                <w:rFonts w:ascii="Arial" w:cs="Arial" w:eastAsia="Arial" w:hAnsi="Arial"/>
                <w:sz w:val="14"/>
                <w:szCs w:val="14"/>
                <w:b w:val="1"/>
                <w:bCs w:val="1"/>
                <w:color w:val="auto"/>
              </w:rPr>
              <w:t>%</w:t>
            </w:r>
          </w:p>
        </w:tc>
        <w:tc>
          <w:tcPr>
            <w:tcW w:w="140" w:type="dxa"/>
            <w:vAlign w:val="bottom"/>
            <w:tcBorders>
              <w:bottom w:val="single" w:sz="8" w:color="B6EAFC"/>
            </w:tcBorders>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2260" w:type="dxa"/>
            <w:vAlign w:val="bottom"/>
            <w:shd w:val="clear" w:color="auto" w:fill="B6EAFC"/>
          </w:tcPr>
          <w:p>
            <w:pPr>
              <w:spacing w:after="0"/>
              <w:rPr>
                <w:sz w:val="20"/>
                <w:szCs w:val="20"/>
                <w:color w:val="auto"/>
              </w:rPr>
            </w:pPr>
            <w:r>
              <w:rPr>
                <w:rFonts w:ascii="Arial" w:cs="Arial" w:eastAsia="Arial" w:hAnsi="Arial"/>
                <w:sz w:val="16"/>
                <w:szCs w:val="16"/>
                <w:color w:val="auto"/>
              </w:rPr>
              <w:t>R&amp;D - compensation-related</w:t>
            </w:r>
          </w:p>
        </w:tc>
        <w:tc>
          <w:tcPr>
            <w:tcW w:w="1240" w:type="dxa"/>
            <w:vAlign w:val="bottom"/>
            <w:gridSpan w:val="2"/>
            <w:shd w:val="clear" w:color="auto" w:fill="B6EAFC"/>
          </w:tcPr>
          <w:p>
            <w:pPr>
              <w:jc w:val="right"/>
              <w:ind w:right="727"/>
              <w:spacing w:after="0"/>
              <w:rPr>
                <w:sz w:val="20"/>
                <w:szCs w:val="20"/>
                <w:color w:val="auto"/>
              </w:rPr>
            </w:pPr>
            <w:r>
              <w:rPr>
                <w:rFonts w:ascii="Arial" w:cs="Arial" w:eastAsia="Arial" w:hAnsi="Arial"/>
                <w:sz w:val="16"/>
                <w:szCs w:val="16"/>
                <w:color w:val="auto"/>
              </w:rPr>
              <w:t>$</w:t>
            </w:r>
          </w:p>
        </w:tc>
        <w:tc>
          <w:tcPr>
            <w:tcW w:w="460" w:type="dxa"/>
            <w:vAlign w:val="bottom"/>
            <w:shd w:val="clear" w:color="auto" w:fill="B6EAFC"/>
          </w:tcPr>
          <w:p>
            <w:pPr>
              <w:jc w:val="right"/>
              <w:spacing w:after="0"/>
              <w:rPr>
                <w:sz w:val="20"/>
                <w:szCs w:val="20"/>
                <w:color w:val="auto"/>
              </w:rPr>
            </w:pPr>
            <w:r>
              <w:rPr>
                <w:rFonts w:ascii="Arial" w:cs="Arial" w:eastAsia="Arial" w:hAnsi="Arial"/>
                <w:sz w:val="16"/>
                <w:szCs w:val="16"/>
                <w:color w:val="auto"/>
                <w:w w:val="89"/>
              </w:rPr>
              <w:t>11,722</w:t>
            </w:r>
          </w:p>
        </w:tc>
        <w:tc>
          <w:tcPr>
            <w:tcW w:w="280" w:type="dxa"/>
            <w:vAlign w:val="bottom"/>
            <w:shd w:val="clear" w:color="auto" w:fill="B6EAFC"/>
          </w:tcPr>
          <w:p>
            <w:pPr>
              <w:spacing w:after="0"/>
              <w:rPr>
                <w:sz w:val="18"/>
                <w:szCs w:val="18"/>
                <w:color w:val="auto"/>
              </w:rPr>
            </w:pPr>
          </w:p>
        </w:tc>
        <w:tc>
          <w:tcPr>
            <w:tcW w:w="860" w:type="dxa"/>
            <w:vAlign w:val="bottom"/>
            <w:shd w:val="clear" w:color="auto" w:fill="B6EAFC"/>
          </w:tcPr>
          <w:p>
            <w:pPr>
              <w:spacing w:after="0"/>
              <w:rPr>
                <w:sz w:val="18"/>
                <w:szCs w:val="18"/>
                <w:color w:val="auto"/>
              </w:rPr>
            </w:pPr>
          </w:p>
        </w:tc>
        <w:tc>
          <w:tcPr>
            <w:tcW w:w="500" w:type="dxa"/>
            <w:vAlign w:val="bottom"/>
            <w:gridSpan w:val="2"/>
            <w:shd w:val="clear" w:color="auto" w:fill="B6EAFC"/>
          </w:tcPr>
          <w:p>
            <w:pPr>
              <w:jc w:val="right"/>
              <w:ind w:right="100"/>
              <w:spacing w:after="0"/>
              <w:rPr>
                <w:sz w:val="20"/>
                <w:szCs w:val="20"/>
                <w:color w:val="auto"/>
              </w:rPr>
            </w:pPr>
            <w:r>
              <w:rPr>
                <w:rFonts w:ascii="Arial" w:cs="Arial" w:eastAsia="Arial" w:hAnsi="Arial"/>
                <w:sz w:val="16"/>
                <w:szCs w:val="16"/>
                <w:color w:val="auto"/>
              </w:rPr>
              <w:t>68%</w:t>
            </w:r>
          </w:p>
        </w:tc>
        <w:tc>
          <w:tcPr>
            <w:tcW w:w="220" w:type="dxa"/>
            <w:vAlign w:val="bottom"/>
            <w:gridSpan w:val="2"/>
            <w:shd w:val="clear" w:color="auto" w:fill="B6EAFC"/>
          </w:tcPr>
          <w:p>
            <w:pPr>
              <w:jc w:val="right"/>
              <w:spacing w:after="0"/>
              <w:rPr>
                <w:sz w:val="20"/>
                <w:szCs w:val="20"/>
                <w:color w:val="auto"/>
              </w:rPr>
            </w:pPr>
            <w:r>
              <w:rPr>
                <w:rFonts w:ascii="Arial" w:cs="Arial" w:eastAsia="Arial" w:hAnsi="Arial"/>
                <w:sz w:val="16"/>
                <w:szCs w:val="16"/>
                <w:color w:val="auto"/>
              </w:rPr>
              <w:t>$</w:t>
            </w:r>
          </w:p>
        </w:tc>
        <w:tc>
          <w:tcPr>
            <w:tcW w:w="1160" w:type="dxa"/>
            <w:vAlign w:val="bottom"/>
            <w:shd w:val="clear" w:color="auto" w:fill="B6EAFC"/>
          </w:tcPr>
          <w:p>
            <w:pPr>
              <w:jc w:val="right"/>
              <w:spacing w:after="0"/>
              <w:rPr>
                <w:sz w:val="20"/>
                <w:szCs w:val="20"/>
                <w:color w:val="auto"/>
              </w:rPr>
            </w:pPr>
            <w:r>
              <w:rPr>
                <w:rFonts w:ascii="Arial" w:cs="Arial" w:eastAsia="Arial" w:hAnsi="Arial"/>
                <w:sz w:val="16"/>
                <w:szCs w:val="16"/>
                <w:color w:val="auto"/>
              </w:rPr>
              <w:t>13,883</w:t>
            </w:r>
          </w:p>
        </w:tc>
        <w:tc>
          <w:tcPr>
            <w:tcW w:w="260" w:type="dxa"/>
            <w:vAlign w:val="bottom"/>
            <w:shd w:val="clear" w:color="auto" w:fill="B6EAFC"/>
          </w:tcPr>
          <w:p>
            <w:pPr>
              <w:spacing w:after="0"/>
              <w:rPr>
                <w:sz w:val="18"/>
                <w:szCs w:val="18"/>
                <w:color w:val="auto"/>
              </w:rPr>
            </w:pPr>
          </w:p>
        </w:tc>
        <w:tc>
          <w:tcPr>
            <w:tcW w:w="1380" w:type="dxa"/>
            <w:vAlign w:val="bottom"/>
            <w:gridSpan w:val="2"/>
            <w:shd w:val="clear" w:color="auto" w:fill="B6EAFC"/>
          </w:tcPr>
          <w:p>
            <w:pPr>
              <w:jc w:val="right"/>
              <w:ind w:right="100"/>
              <w:spacing w:after="0"/>
              <w:rPr>
                <w:sz w:val="20"/>
                <w:szCs w:val="20"/>
                <w:color w:val="auto"/>
              </w:rPr>
            </w:pPr>
            <w:r>
              <w:rPr>
                <w:rFonts w:ascii="Arial" w:cs="Arial" w:eastAsia="Arial" w:hAnsi="Arial"/>
                <w:sz w:val="16"/>
                <w:szCs w:val="16"/>
                <w:color w:val="auto"/>
              </w:rPr>
              <w:t>71%</w:t>
            </w:r>
          </w:p>
        </w:tc>
        <w:tc>
          <w:tcPr>
            <w:tcW w:w="400" w:type="dxa"/>
            <w:vAlign w:val="bottom"/>
            <w:gridSpan w:val="2"/>
            <w:shd w:val="clear" w:color="auto" w:fill="B6EAFC"/>
          </w:tcPr>
          <w:p>
            <w:pPr>
              <w:jc w:val="right"/>
              <w:ind w:right="240"/>
              <w:spacing w:after="0"/>
              <w:rPr>
                <w:sz w:val="20"/>
                <w:szCs w:val="20"/>
                <w:color w:val="auto"/>
              </w:rPr>
            </w:pPr>
            <w:r>
              <w:rPr>
                <w:rFonts w:ascii="Arial" w:cs="Arial" w:eastAsia="Arial" w:hAnsi="Arial"/>
                <w:sz w:val="16"/>
                <w:szCs w:val="16"/>
                <w:color w:val="auto"/>
              </w:rPr>
              <w:t>$</w:t>
            </w:r>
          </w:p>
        </w:tc>
        <w:tc>
          <w:tcPr>
            <w:tcW w:w="1100" w:type="dxa"/>
            <w:vAlign w:val="bottom"/>
            <w:gridSpan w:val="2"/>
            <w:shd w:val="clear" w:color="auto" w:fill="B6EAFC"/>
          </w:tcPr>
          <w:p>
            <w:pPr>
              <w:jc w:val="right"/>
              <w:ind w:right="220"/>
              <w:spacing w:after="0"/>
              <w:rPr>
                <w:sz w:val="20"/>
                <w:szCs w:val="20"/>
                <w:color w:val="auto"/>
              </w:rPr>
            </w:pPr>
            <w:r>
              <w:rPr>
                <w:rFonts w:ascii="Arial" w:cs="Arial" w:eastAsia="Arial" w:hAnsi="Arial"/>
                <w:sz w:val="16"/>
                <w:szCs w:val="16"/>
                <w:color w:val="auto"/>
              </w:rPr>
              <w:t>(2,161)</w:t>
            </w:r>
          </w:p>
        </w:tc>
        <w:tc>
          <w:tcPr>
            <w:tcW w:w="480" w:type="dxa"/>
            <w:vAlign w:val="bottom"/>
            <w:shd w:val="clear" w:color="auto" w:fill="B6EAFC"/>
          </w:tcPr>
          <w:p>
            <w:pPr>
              <w:spacing w:after="0"/>
              <w:rPr>
                <w:sz w:val="18"/>
                <w:szCs w:val="18"/>
                <w:color w:val="auto"/>
              </w:rPr>
            </w:pPr>
          </w:p>
        </w:tc>
        <w:tc>
          <w:tcPr>
            <w:tcW w:w="820" w:type="dxa"/>
            <w:vAlign w:val="bottom"/>
            <w:gridSpan w:val="2"/>
            <w:shd w:val="clear" w:color="auto" w:fill="B6EAFC"/>
          </w:tcPr>
          <w:p>
            <w:pPr>
              <w:jc w:val="right"/>
              <w:ind w:right="20"/>
              <w:spacing w:after="0"/>
              <w:rPr>
                <w:sz w:val="20"/>
                <w:szCs w:val="20"/>
                <w:color w:val="auto"/>
              </w:rPr>
            </w:pPr>
            <w:r>
              <w:rPr>
                <w:rFonts w:ascii="Arial" w:cs="Arial" w:eastAsia="Arial" w:hAnsi="Arial"/>
                <w:sz w:val="16"/>
                <w:szCs w:val="16"/>
                <w:color w:val="auto"/>
              </w:rPr>
              <w:t>-16%</w:t>
            </w:r>
          </w:p>
        </w:tc>
        <w:tc>
          <w:tcPr>
            <w:tcW w:w="0" w:type="dxa"/>
            <w:vAlign w:val="bottom"/>
          </w:tcPr>
          <w:p>
            <w:pPr>
              <w:spacing w:after="0"/>
              <w:rPr>
                <w:sz w:val="1"/>
                <w:szCs w:val="1"/>
                <w:color w:val="auto"/>
              </w:rPr>
            </w:pPr>
          </w:p>
        </w:tc>
      </w:tr>
      <w:tr>
        <w:trPr>
          <w:trHeight w:val="213"/>
        </w:trPr>
        <w:tc>
          <w:tcPr>
            <w:tcW w:w="2260" w:type="dxa"/>
            <w:vAlign w:val="bottom"/>
          </w:tcPr>
          <w:p>
            <w:pPr>
              <w:spacing w:after="0"/>
              <w:rPr>
                <w:sz w:val="20"/>
                <w:szCs w:val="20"/>
                <w:color w:val="auto"/>
              </w:rPr>
            </w:pPr>
            <w:r>
              <w:rPr>
                <w:rFonts w:ascii="Arial" w:cs="Arial" w:eastAsia="Arial" w:hAnsi="Arial"/>
                <w:sz w:val="16"/>
                <w:szCs w:val="16"/>
                <w:color w:val="auto"/>
              </w:rPr>
              <w:t>G&amp;A - compensation-related</w:t>
            </w:r>
          </w:p>
        </w:tc>
        <w:tc>
          <w:tcPr>
            <w:tcW w:w="3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6"/>
                <w:szCs w:val="16"/>
                <w:color w:val="auto"/>
              </w:rPr>
              <w:t>5,571</w:t>
            </w:r>
          </w:p>
        </w:tc>
        <w:tc>
          <w:tcPr>
            <w:tcW w:w="2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500" w:type="dxa"/>
            <w:vAlign w:val="bottom"/>
            <w:gridSpan w:val="2"/>
          </w:tcPr>
          <w:p>
            <w:pPr>
              <w:jc w:val="right"/>
              <w:ind w:right="100"/>
              <w:spacing w:after="0"/>
              <w:rPr>
                <w:sz w:val="20"/>
                <w:szCs w:val="20"/>
                <w:color w:val="auto"/>
              </w:rPr>
            </w:pPr>
            <w:r>
              <w:rPr>
                <w:rFonts w:ascii="Arial" w:cs="Arial" w:eastAsia="Arial" w:hAnsi="Arial"/>
                <w:sz w:val="16"/>
                <w:szCs w:val="16"/>
                <w:color w:val="auto"/>
              </w:rPr>
              <w:t>32%</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5,579</w:t>
            </w:r>
          </w:p>
        </w:tc>
        <w:tc>
          <w:tcPr>
            <w:tcW w:w="260" w:type="dxa"/>
            <w:vAlign w:val="bottom"/>
          </w:tcPr>
          <w:p>
            <w:pPr>
              <w:spacing w:after="0"/>
              <w:rPr>
                <w:sz w:val="18"/>
                <w:szCs w:val="18"/>
                <w:color w:val="auto"/>
              </w:rPr>
            </w:pPr>
          </w:p>
        </w:tc>
        <w:tc>
          <w:tcPr>
            <w:tcW w:w="1380" w:type="dxa"/>
            <w:vAlign w:val="bottom"/>
            <w:gridSpan w:val="2"/>
          </w:tcPr>
          <w:p>
            <w:pPr>
              <w:jc w:val="right"/>
              <w:ind w:right="100"/>
              <w:spacing w:after="0"/>
              <w:rPr>
                <w:sz w:val="20"/>
                <w:szCs w:val="20"/>
                <w:color w:val="auto"/>
              </w:rPr>
            </w:pPr>
            <w:r>
              <w:rPr>
                <w:rFonts w:ascii="Arial" w:cs="Arial" w:eastAsia="Arial" w:hAnsi="Arial"/>
                <w:sz w:val="16"/>
                <w:szCs w:val="16"/>
                <w:color w:val="auto"/>
              </w:rPr>
              <w:t>29%</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6"/>
                <w:szCs w:val="16"/>
                <w:color w:val="auto"/>
              </w:rPr>
              <w:t>(8)</w:t>
            </w:r>
          </w:p>
        </w:tc>
        <w:tc>
          <w:tcPr>
            <w:tcW w:w="480" w:type="dxa"/>
            <w:vAlign w:val="bottom"/>
          </w:tcPr>
          <w:p>
            <w:pPr>
              <w:spacing w:after="0"/>
              <w:rPr>
                <w:sz w:val="18"/>
                <w:szCs w:val="18"/>
                <w:color w:val="auto"/>
              </w:rPr>
            </w:pPr>
          </w:p>
        </w:tc>
        <w:tc>
          <w:tcPr>
            <w:tcW w:w="820" w:type="dxa"/>
            <w:vAlign w:val="bottom"/>
            <w:gridSpan w:val="2"/>
          </w:tcPr>
          <w:p>
            <w:pPr>
              <w:jc w:val="right"/>
              <w:ind w:right="20"/>
              <w:spacing w:after="0"/>
              <w:rPr>
                <w:sz w:val="20"/>
                <w:szCs w:val="20"/>
                <w:color w:val="auto"/>
              </w:rPr>
            </w:pPr>
            <w:r>
              <w:rPr>
                <w:rFonts w:ascii="Arial" w:cs="Arial" w:eastAsia="Arial" w:hAnsi="Arial"/>
                <w:sz w:val="16"/>
                <w:szCs w:val="16"/>
                <w:color w:val="auto"/>
              </w:rPr>
              <w:t>0%</w:t>
            </w:r>
          </w:p>
        </w:tc>
        <w:tc>
          <w:tcPr>
            <w:tcW w:w="0" w:type="dxa"/>
            <w:vAlign w:val="bottom"/>
          </w:tcPr>
          <w:p>
            <w:pPr>
              <w:spacing w:after="0"/>
              <w:rPr>
                <w:sz w:val="1"/>
                <w:szCs w:val="1"/>
                <w:color w:val="auto"/>
              </w:rPr>
            </w:pPr>
          </w:p>
        </w:tc>
      </w:tr>
      <w:tr>
        <w:trPr>
          <w:trHeight w:val="20"/>
        </w:trPr>
        <w:tc>
          <w:tcPr>
            <w:tcW w:w="2260" w:type="dxa"/>
            <w:vAlign w:val="bottom"/>
            <w:vMerge w:val="restart"/>
            <w:shd w:val="clear" w:color="auto" w:fill="B6EAFC"/>
          </w:tcPr>
          <w:p>
            <w:pPr>
              <w:spacing w:after="0"/>
              <w:rPr>
                <w:sz w:val="20"/>
                <w:szCs w:val="20"/>
                <w:color w:val="auto"/>
              </w:rPr>
            </w:pPr>
            <w:r>
              <w:rPr>
                <w:rFonts w:ascii="Arial" w:cs="Arial" w:eastAsia="Arial" w:hAnsi="Arial"/>
                <w:sz w:val="16"/>
                <w:szCs w:val="16"/>
                <w:color w:val="auto"/>
              </w:rPr>
              <w:t>Total</w:t>
            </w:r>
          </w:p>
        </w:tc>
        <w:tc>
          <w:tcPr>
            <w:tcW w:w="360" w:type="dxa"/>
            <w:vAlign w:val="bottom"/>
            <w:shd w:val="clear" w:color="auto" w:fill="B6EAFC"/>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80" w:type="dxa"/>
            <w:vAlign w:val="bottom"/>
            <w:shd w:val="clear" w:color="auto" w:fill="B6EAFC"/>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240" w:type="dxa"/>
            <w:vAlign w:val="bottom"/>
            <w:shd w:val="clear" w:color="auto" w:fill="B6EAFC"/>
          </w:tcPr>
          <w:p>
            <w:pPr>
              <w:spacing w:after="0" w:line="20" w:lineRule="exact"/>
              <w:rPr>
                <w:sz w:val="1"/>
                <w:szCs w:val="1"/>
                <w:color w:val="auto"/>
              </w:rPr>
            </w:pPr>
          </w:p>
        </w:tc>
        <w:tc>
          <w:tcPr>
            <w:tcW w:w="80" w:type="dxa"/>
            <w:vAlign w:val="bottom"/>
            <w:shd w:val="clear" w:color="auto" w:fill="B6EA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260" w:type="dxa"/>
            <w:vAlign w:val="bottom"/>
            <w:shd w:val="clear" w:color="auto" w:fill="B6EAFC"/>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220" w:type="dxa"/>
            <w:vAlign w:val="bottom"/>
            <w:shd w:val="clear" w:color="auto" w:fill="B6EAFC"/>
          </w:tcPr>
          <w:p>
            <w:pPr>
              <w:spacing w:after="0" w:line="20" w:lineRule="exact"/>
              <w:rPr>
                <w:sz w:val="1"/>
                <w:szCs w:val="1"/>
                <w:color w:val="auto"/>
              </w:rPr>
            </w:pPr>
          </w:p>
        </w:tc>
        <w:tc>
          <w:tcPr>
            <w:tcW w:w="80" w:type="dxa"/>
            <w:vAlign w:val="bottom"/>
            <w:shd w:val="clear" w:color="auto" w:fill="B6EAFC"/>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60" w:type="dxa"/>
            <w:vAlign w:val="bottom"/>
            <w:shd w:val="clear" w:color="auto" w:fill="B6EAFC"/>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40" w:type="dxa"/>
            <w:vAlign w:val="bottom"/>
            <w:shd w:val="clear" w:color="auto" w:fill="B6EA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260" w:type="dxa"/>
            <w:vAlign w:val="bottom"/>
            <w:vMerge w:val="continue"/>
            <w:shd w:val="clear" w:color="auto" w:fill="B6EAFC"/>
          </w:tcPr>
          <w:p>
            <w:pPr>
              <w:spacing w:after="0"/>
              <w:rPr>
                <w:sz w:val="18"/>
                <w:szCs w:val="18"/>
                <w:color w:val="auto"/>
              </w:rPr>
            </w:pPr>
          </w:p>
        </w:tc>
        <w:tc>
          <w:tcPr>
            <w:tcW w:w="360" w:type="dxa"/>
            <w:vAlign w:val="bottom"/>
            <w:shd w:val="clear" w:color="auto" w:fill="B6EAFC"/>
          </w:tcPr>
          <w:p>
            <w:pPr>
              <w:spacing w:after="0"/>
              <w:rPr>
                <w:sz w:val="18"/>
                <w:szCs w:val="18"/>
                <w:color w:val="auto"/>
              </w:rPr>
            </w:pPr>
          </w:p>
        </w:tc>
        <w:tc>
          <w:tcPr>
            <w:tcW w:w="880" w:type="dxa"/>
            <w:vAlign w:val="bottom"/>
            <w:shd w:val="clear" w:color="auto" w:fill="B6EAFC"/>
          </w:tcPr>
          <w:p>
            <w:pPr>
              <w:jc w:val="right"/>
              <w:ind w:right="727"/>
              <w:spacing w:after="0"/>
              <w:rPr>
                <w:sz w:val="20"/>
                <w:szCs w:val="20"/>
                <w:color w:val="auto"/>
              </w:rPr>
            </w:pPr>
            <w:r>
              <w:rPr>
                <w:rFonts w:ascii="Arial" w:cs="Arial" w:eastAsia="Arial" w:hAnsi="Arial"/>
                <w:sz w:val="15"/>
                <w:szCs w:val="15"/>
                <w:color w:val="auto"/>
                <w:w w:val="71"/>
              </w:rPr>
              <w:t>$</w:t>
            </w:r>
          </w:p>
        </w:tc>
        <w:tc>
          <w:tcPr>
            <w:tcW w:w="460" w:type="dxa"/>
            <w:vAlign w:val="bottom"/>
            <w:shd w:val="clear" w:color="auto" w:fill="B6EAFC"/>
          </w:tcPr>
          <w:p>
            <w:pPr>
              <w:jc w:val="right"/>
              <w:spacing w:after="0"/>
              <w:rPr>
                <w:sz w:val="20"/>
                <w:szCs w:val="20"/>
                <w:color w:val="auto"/>
              </w:rPr>
            </w:pPr>
            <w:r>
              <w:rPr>
                <w:rFonts w:ascii="Arial" w:cs="Arial" w:eastAsia="Arial" w:hAnsi="Arial"/>
                <w:sz w:val="16"/>
                <w:szCs w:val="16"/>
                <w:color w:val="auto"/>
                <w:w w:val="89"/>
              </w:rPr>
              <w:t>17,293</w:t>
            </w:r>
          </w:p>
        </w:tc>
        <w:tc>
          <w:tcPr>
            <w:tcW w:w="280" w:type="dxa"/>
            <w:vAlign w:val="bottom"/>
            <w:shd w:val="clear" w:color="auto" w:fill="B6EAFC"/>
          </w:tcPr>
          <w:p>
            <w:pPr>
              <w:spacing w:after="0"/>
              <w:rPr>
                <w:sz w:val="18"/>
                <w:szCs w:val="18"/>
                <w:color w:val="auto"/>
              </w:rPr>
            </w:pPr>
          </w:p>
        </w:tc>
        <w:tc>
          <w:tcPr>
            <w:tcW w:w="860" w:type="dxa"/>
            <w:vAlign w:val="bottom"/>
            <w:shd w:val="clear" w:color="auto" w:fill="B6EAFC"/>
          </w:tcPr>
          <w:p>
            <w:pPr>
              <w:spacing w:after="0"/>
              <w:rPr>
                <w:sz w:val="18"/>
                <w:szCs w:val="18"/>
                <w:color w:val="auto"/>
              </w:rPr>
            </w:pPr>
          </w:p>
        </w:tc>
        <w:tc>
          <w:tcPr>
            <w:tcW w:w="500" w:type="dxa"/>
            <w:vAlign w:val="bottom"/>
            <w:gridSpan w:val="2"/>
            <w:shd w:val="clear" w:color="auto" w:fill="B6EAFC"/>
          </w:tcPr>
          <w:p>
            <w:pPr>
              <w:jc w:val="right"/>
              <w:ind w:right="100"/>
              <w:spacing w:after="0"/>
              <w:rPr>
                <w:sz w:val="20"/>
                <w:szCs w:val="20"/>
                <w:color w:val="auto"/>
              </w:rPr>
            </w:pPr>
            <w:r>
              <w:rPr>
                <w:rFonts w:ascii="Arial" w:cs="Arial" w:eastAsia="Arial" w:hAnsi="Arial"/>
                <w:sz w:val="16"/>
                <w:szCs w:val="16"/>
                <w:color w:val="auto"/>
                <w:w w:val="92"/>
              </w:rPr>
              <w:t>100%</w:t>
            </w:r>
          </w:p>
        </w:tc>
        <w:tc>
          <w:tcPr>
            <w:tcW w:w="220" w:type="dxa"/>
            <w:vAlign w:val="bottom"/>
            <w:gridSpan w:val="2"/>
            <w:shd w:val="clear" w:color="auto" w:fill="B6EAFC"/>
          </w:tcPr>
          <w:p>
            <w:pPr>
              <w:jc w:val="right"/>
              <w:spacing w:after="0"/>
              <w:rPr>
                <w:sz w:val="20"/>
                <w:szCs w:val="20"/>
                <w:color w:val="auto"/>
              </w:rPr>
            </w:pPr>
            <w:r>
              <w:rPr>
                <w:rFonts w:ascii="Arial" w:cs="Arial" w:eastAsia="Arial" w:hAnsi="Arial"/>
                <w:sz w:val="16"/>
                <w:szCs w:val="16"/>
                <w:color w:val="auto"/>
              </w:rPr>
              <w:t>$</w:t>
            </w:r>
          </w:p>
        </w:tc>
        <w:tc>
          <w:tcPr>
            <w:tcW w:w="1160" w:type="dxa"/>
            <w:vAlign w:val="bottom"/>
            <w:shd w:val="clear" w:color="auto" w:fill="B6EAFC"/>
          </w:tcPr>
          <w:p>
            <w:pPr>
              <w:jc w:val="right"/>
              <w:spacing w:after="0"/>
              <w:rPr>
                <w:sz w:val="20"/>
                <w:szCs w:val="20"/>
                <w:color w:val="auto"/>
              </w:rPr>
            </w:pPr>
            <w:r>
              <w:rPr>
                <w:rFonts w:ascii="Arial" w:cs="Arial" w:eastAsia="Arial" w:hAnsi="Arial"/>
                <w:sz w:val="16"/>
                <w:szCs w:val="16"/>
                <w:color w:val="auto"/>
              </w:rPr>
              <w:t>19,462</w:t>
            </w:r>
          </w:p>
        </w:tc>
        <w:tc>
          <w:tcPr>
            <w:tcW w:w="260" w:type="dxa"/>
            <w:vAlign w:val="bottom"/>
            <w:shd w:val="clear" w:color="auto" w:fill="B6EAFC"/>
          </w:tcPr>
          <w:p>
            <w:pPr>
              <w:spacing w:after="0"/>
              <w:rPr>
                <w:sz w:val="18"/>
                <w:szCs w:val="18"/>
                <w:color w:val="auto"/>
              </w:rPr>
            </w:pPr>
          </w:p>
        </w:tc>
        <w:tc>
          <w:tcPr>
            <w:tcW w:w="1380" w:type="dxa"/>
            <w:vAlign w:val="bottom"/>
            <w:gridSpan w:val="2"/>
            <w:shd w:val="clear" w:color="auto" w:fill="B6EAFC"/>
          </w:tcPr>
          <w:p>
            <w:pPr>
              <w:jc w:val="right"/>
              <w:ind w:right="100"/>
              <w:spacing w:after="0"/>
              <w:rPr>
                <w:sz w:val="20"/>
                <w:szCs w:val="20"/>
                <w:color w:val="auto"/>
              </w:rPr>
            </w:pPr>
            <w:r>
              <w:rPr>
                <w:rFonts w:ascii="Arial" w:cs="Arial" w:eastAsia="Arial" w:hAnsi="Arial"/>
                <w:sz w:val="16"/>
                <w:szCs w:val="16"/>
                <w:color w:val="auto"/>
              </w:rPr>
              <w:t>100%</w:t>
            </w:r>
          </w:p>
        </w:tc>
        <w:tc>
          <w:tcPr>
            <w:tcW w:w="400" w:type="dxa"/>
            <w:vAlign w:val="bottom"/>
            <w:gridSpan w:val="2"/>
            <w:shd w:val="clear" w:color="auto" w:fill="B6EAFC"/>
          </w:tcPr>
          <w:p>
            <w:pPr>
              <w:jc w:val="right"/>
              <w:ind w:right="240"/>
              <w:spacing w:after="0"/>
              <w:rPr>
                <w:sz w:val="20"/>
                <w:szCs w:val="20"/>
                <w:color w:val="auto"/>
              </w:rPr>
            </w:pPr>
            <w:r>
              <w:rPr>
                <w:rFonts w:ascii="Arial" w:cs="Arial" w:eastAsia="Arial" w:hAnsi="Arial"/>
                <w:sz w:val="16"/>
                <w:szCs w:val="16"/>
                <w:color w:val="auto"/>
              </w:rPr>
              <w:t>$</w:t>
            </w:r>
          </w:p>
        </w:tc>
        <w:tc>
          <w:tcPr>
            <w:tcW w:w="1100" w:type="dxa"/>
            <w:vAlign w:val="bottom"/>
            <w:gridSpan w:val="2"/>
            <w:shd w:val="clear" w:color="auto" w:fill="B6EAFC"/>
          </w:tcPr>
          <w:p>
            <w:pPr>
              <w:jc w:val="right"/>
              <w:ind w:right="220"/>
              <w:spacing w:after="0"/>
              <w:rPr>
                <w:sz w:val="20"/>
                <w:szCs w:val="20"/>
                <w:color w:val="auto"/>
              </w:rPr>
            </w:pPr>
            <w:r>
              <w:rPr>
                <w:rFonts w:ascii="Arial" w:cs="Arial" w:eastAsia="Arial" w:hAnsi="Arial"/>
                <w:sz w:val="16"/>
                <w:szCs w:val="16"/>
                <w:color w:val="auto"/>
              </w:rPr>
              <w:t>(2,169)</w:t>
            </w:r>
          </w:p>
        </w:tc>
        <w:tc>
          <w:tcPr>
            <w:tcW w:w="480" w:type="dxa"/>
            <w:vAlign w:val="bottom"/>
            <w:shd w:val="clear" w:color="auto" w:fill="B6EAFC"/>
          </w:tcPr>
          <w:p>
            <w:pPr>
              <w:spacing w:after="0"/>
              <w:rPr>
                <w:sz w:val="18"/>
                <w:szCs w:val="18"/>
                <w:color w:val="auto"/>
              </w:rPr>
            </w:pPr>
          </w:p>
        </w:tc>
        <w:tc>
          <w:tcPr>
            <w:tcW w:w="820" w:type="dxa"/>
            <w:vAlign w:val="bottom"/>
            <w:gridSpan w:val="2"/>
            <w:shd w:val="clear" w:color="auto" w:fill="B6EAFC"/>
          </w:tcPr>
          <w:p>
            <w:pPr>
              <w:jc w:val="right"/>
              <w:ind w:right="20"/>
              <w:spacing w:after="0"/>
              <w:rPr>
                <w:sz w:val="20"/>
                <w:szCs w:val="20"/>
                <w:color w:val="auto"/>
              </w:rPr>
            </w:pPr>
            <w:r>
              <w:rPr>
                <w:rFonts w:ascii="Arial" w:cs="Arial" w:eastAsia="Arial" w:hAnsi="Arial"/>
                <w:sz w:val="16"/>
                <w:szCs w:val="16"/>
                <w:color w:val="auto"/>
              </w:rPr>
              <w:t>-11%</w:t>
            </w:r>
          </w:p>
        </w:tc>
        <w:tc>
          <w:tcPr>
            <w:tcW w:w="0" w:type="dxa"/>
            <w:vAlign w:val="bottom"/>
          </w:tcPr>
          <w:p>
            <w:pPr>
              <w:spacing w:after="0"/>
              <w:rPr>
                <w:sz w:val="1"/>
                <w:szCs w:val="1"/>
                <w:color w:val="auto"/>
              </w:rPr>
            </w:pPr>
          </w:p>
        </w:tc>
      </w:tr>
      <w:tr>
        <w:trPr>
          <w:trHeight w:val="20"/>
        </w:trPr>
        <w:tc>
          <w:tcPr>
            <w:tcW w:w="22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45" w:lineRule="exact"/>
        <w:rPr>
          <w:sz w:val="20"/>
          <w:szCs w:val="20"/>
          <w:color w:val="auto"/>
        </w:rPr>
      </w:pPr>
    </w:p>
    <w:p>
      <w:pPr>
        <w:jc w:val="both"/>
        <w:ind w:right="320" w:firstLine="518"/>
        <w:spacing w:after="0" w:line="342" w:lineRule="auto"/>
        <w:rPr>
          <w:sz w:val="20"/>
          <w:szCs w:val="20"/>
          <w:color w:val="auto"/>
        </w:rPr>
      </w:pPr>
      <w:r>
        <w:rPr>
          <w:rFonts w:ascii="Arial" w:cs="Arial" w:eastAsia="Arial" w:hAnsi="Arial"/>
          <w:sz w:val="16"/>
          <w:szCs w:val="16"/>
          <w:color w:val="auto"/>
        </w:rPr>
        <w:t>R&amp;D compensation expense decreased $2,161,000 from $13,883,000 during the year ended September 30, 2016 to $11,722,000 during the current period. The decrease is primarily due to the reduction in force in November 2016 associated with the discontinuation of our previous clinical candidates.</w:t>
      </w:r>
    </w:p>
    <w:p>
      <w:pPr>
        <w:spacing w:after="0" w:line="124" w:lineRule="exact"/>
        <w:rPr>
          <w:sz w:val="20"/>
          <w:szCs w:val="20"/>
          <w:color w:val="auto"/>
        </w:rPr>
      </w:pPr>
    </w:p>
    <w:p>
      <w:pPr>
        <w:ind w:left="520"/>
        <w:spacing w:after="0"/>
        <w:rPr>
          <w:sz w:val="20"/>
          <w:szCs w:val="20"/>
          <w:color w:val="auto"/>
        </w:rPr>
      </w:pPr>
      <w:r>
        <w:rPr>
          <w:rFonts w:ascii="Arial" w:cs="Arial" w:eastAsia="Arial" w:hAnsi="Arial"/>
          <w:sz w:val="17"/>
          <w:szCs w:val="17"/>
          <w:color w:val="auto"/>
        </w:rPr>
        <w:t>G&amp;A compensation expense was consistent at $5,579,000 during the year ended September 30, 2016 to $5,571,000 during the current period.</w:t>
      </w:r>
    </w:p>
    <w:p>
      <w:pPr>
        <w:spacing w:after="0" w:line="237"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General &amp; Administrative Expenses</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following table provides details of our general and administrative expenses for the periods indicated:</w:t>
      </w:r>
    </w:p>
    <w:p>
      <w:pPr>
        <w:spacing w:after="0" w:line="225"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(in thousands)</w:t>
      </w:r>
    </w:p>
    <w:p>
      <w:pPr>
        <w:spacing w:after="0" w:line="200" w:lineRule="exact"/>
        <w:rPr>
          <w:sz w:val="20"/>
          <w:szCs w:val="20"/>
          <w:color w:val="auto"/>
        </w:rPr>
      </w:pPr>
    </w:p>
    <w:p>
      <w:pPr>
        <w:spacing w:after="0" w:line="27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3"/>
              </w:rPr>
              <w:t>Twelve Months</w:t>
            </w:r>
          </w:p>
        </w:tc>
        <w:tc>
          <w:tcPr>
            <w:tcW w:w="1300" w:type="dxa"/>
            <w:vAlign w:val="bottom"/>
            <w:gridSpan w:val="2"/>
            <w:vMerge w:val="restart"/>
          </w:tcPr>
          <w:p>
            <w:pPr>
              <w:jc w:val="center"/>
              <w:ind w:right="340"/>
              <w:spacing w:after="0"/>
              <w:rPr>
                <w:sz w:val="20"/>
                <w:szCs w:val="20"/>
                <w:color w:val="auto"/>
              </w:rPr>
            </w:pPr>
            <w:r>
              <w:rPr>
                <w:rFonts w:ascii="Arial" w:cs="Arial" w:eastAsia="Arial" w:hAnsi="Arial"/>
                <w:sz w:val="14"/>
                <w:szCs w:val="14"/>
                <w:b w:val="1"/>
                <w:bCs w:val="1"/>
                <w:color w:val="auto"/>
                <w:w w:val="92"/>
              </w:rPr>
              <w:t>% of Expense</w:t>
            </w:r>
          </w:p>
        </w:tc>
        <w:tc>
          <w:tcPr>
            <w:tcW w:w="140" w:type="dxa"/>
            <w:vAlign w:val="bottom"/>
          </w:tcPr>
          <w:p>
            <w:pPr>
              <w:spacing w:after="0"/>
              <w:rPr>
                <w:sz w:val="14"/>
                <w:szCs w:val="14"/>
                <w:color w:val="auto"/>
              </w:rPr>
            </w:pPr>
          </w:p>
        </w:tc>
        <w:tc>
          <w:tcPr>
            <w:tcW w:w="140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3"/>
              </w:rPr>
              <w:t>Twelve Months</w:t>
            </w:r>
          </w:p>
        </w:tc>
        <w:tc>
          <w:tcPr>
            <w:tcW w:w="1320" w:type="dxa"/>
            <w:vAlign w:val="bottom"/>
            <w:gridSpan w:val="2"/>
            <w:vMerge w:val="restart"/>
          </w:tcPr>
          <w:p>
            <w:pPr>
              <w:jc w:val="center"/>
              <w:ind w:right="360"/>
              <w:spacing w:after="0"/>
              <w:rPr>
                <w:sz w:val="20"/>
                <w:szCs w:val="20"/>
                <w:color w:val="auto"/>
              </w:rPr>
            </w:pPr>
            <w:r>
              <w:rPr>
                <w:rFonts w:ascii="Arial" w:cs="Arial" w:eastAsia="Arial" w:hAnsi="Arial"/>
                <w:sz w:val="14"/>
                <w:szCs w:val="14"/>
                <w:b w:val="1"/>
                <w:bCs w:val="1"/>
                <w:color w:val="auto"/>
                <w:w w:val="92"/>
              </w:rPr>
              <w:t>% of Expense</w:t>
            </w:r>
          </w:p>
        </w:tc>
        <w:tc>
          <w:tcPr>
            <w:tcW w:w="540" w:type="dxa"/>
            <w:vAlign w:val="bottom"/>
          </w:tcPr>
          <w:p>
            <w:pPr>
              <w:spacing w:after="0"/>
              <w:rPr>
                <w:sz w:val="14"/>
                <w:szCs w:val="14"/>
                <w:color w:val="auto"/>
              </w:rPr>
            </w:pPr>
          </w:p>
        </w:tc>
        <w:tc>
          <w:tcPr>
            <w:tcW w:w="1400" w:type="dxa"/>
            <w:vAlign w:val="bottom"/>
            <w:gridSpan w:val="3"/>
            <w:vMerge w:val="restart"/>
          </w:tcPr>
          <w:p>
            <w:pPr>
              <w:jc w:val="right"/>
              <w:ind w:right="148"/>
              <w:spacing w:after="0"/>
              <w:rPr>
                <w:sz w:val="20"/>
                <w:szCs w:val="20"/>
                <w:color w:val="auto"/>
              </w:rPr>
            </w:pPr>
            <w:r>
              <w:rPr>
                <w:rFonts w:ascii="Arial" w:cs="Arial" w:eastAsia="Arial" w:hAnsi="Arial"/>
                <w:sz w:val="14"/>
                <w:szCs w:val="14"/>
                <w:b w:val="1"/>
                <w:bCs w:val="1"/>
                <w:color w:val="auto"/>
                <w:w w:val="87"/>
              </w:rPr>
              <w:t>Increase (Decrease)</w:t>
            </w:r>
          </w:p>
        </w:tc>
        <w:tc>
          <w:tcPr>
            <w:tcW w:w="3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3"/>
              </w:rPr>
              <w:t>Ended</w:t>
            </w:r>
          </w:p>
        </w:tc>
        <w:tc>
          <w:tcPr>
            <w:tcW w:w="130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140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93"/>
              </w:rPr>
              <w:t>Ended</w:t>
            </w:r>
          </w:p>
        </w:tc>
        <w:tc>
          <w:tcPr>
            <w:tcW w:w="1320" w:type="dxa"/>
            <w:vAlign w:val="bottom"/>
            <w:gridSpan w:val="2"/>
            <w:vMerge w:val="continue"/>
          </w:tcPr>
          <w:p>
            <w:pPr>
              <w:spacing w:after="0"/>
              <w:rPr>
                <w:sz w:val="14"/>
                <w:szCs w:val="14"/>
                <w:color w:val="auto"/>
              </w:rPr>
            </w:pPr>
          </w:p>
        </w:tc>
        <w:tc>
          <w:tcPr>
            <w:tcW w:w="540" w:type="dxa"/>
            <w:vAlign w:val="bottom"/>
          </w:tcPr>
          <w:p>
            <w:pPr>
              <w:spacing w:after="0"/>
              <w:rPr>
                <w:sz w:val="14"/>
                <w:szCs w:val="14"/>
                <w:color w:val="auto"/>
              </w:rPr>
            </w:pPr>
          </w:p>
        </w:tc>
        <w:tc>
          <w:tcPr>
            <w:tcW w:w="1400" w:type="dxa"/>
            <w:vAlign w:val="bottom"/>
            <w:gridSpan w:val="3"/>
            <w:vMerge w:val="continue"/>
          </w:tcPr>
          <w:p>
            <w:pPr>
              <w:spacing w:after="0"/>
              <w:rPr>
                <w:sz w:val="14"/>
                <w:szCs w:val="14"/>
                <w:color w:val="auto"/>
              </w:rPr>
            </w:pPr>
          </w:p>
        </w:tc>
        <w:tc>
          <w:tcPr>
            <w:tcW w:w="3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3240" w:type="dxa"/>
            <w:vAlign w:val="bottom"/>
            <w:tcBorders>
              <w:bottom w:val="single" w:sz="8" w:color="B6EAFC"/>
            </w:tcBorders>
          </w:tcPr>
          <w:p>
            <w:pPr>
              <w:spacing w:after="0"/>
              <w:rPr>
                <w:sz w:val="14"/>
                <w:szCs w:val="14"/>
                <w:color w:val="auto"/>
              </w:rPr>
            </w:pPr>
          </w:p>
        </w:tc>
        <w:tc>
          <w:tcPr>
            <w:tcW w:w="130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93"/>
              </w:rPr>
              <w:t>September 30, 2017</w:t>
            </w:r>
          </w:p>
        </w:tc>
        <w:tc>
          <w:tcPr>
            <w:tcW w:w="240" w:type="dxa"/>
            <w:vAlign w:val="bottom"/>
            <w:tcBorders>
              <w:bottom w:val="single" w:sz="8" w:color="B6EAFC"/>
            </w:tcBorders>
          </w:tcPr>
          <w:p>
            <w:pPr>
              <w:spacing w:after="0"/>
              <w:rPr>
                <w:sz w:val="14"/>
                <w:szCs w:val="14"/>
                <w:color w:val="auto"/>
              </w:rPr>
            </w:pPr>
          </w:p>
        </w:tc>
        <w:tc>
          <w:tcPr>
            <w:tcW w:w="9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Category</w:t>
            </w:r>
          </w:p>
        </w:tc>
        <w:tc>
          <w:tcPr>
            <w:tcW w:w="320" w:type="dxa"/>
            <w:vAlign w:val="bottom"/>
            <w:tcBorders>
              <w:bottom w:val="single" w:sz="8" w:color="B6EAFC"/>
            </w:tcBorders>
          </w:tcPr>
          <w:p>
            <w:pPr>
              <w:spacing w:after="0"/>
              <w:rPr>
                <w:sz w:val="14"/>
                <w:szCs w:val="14"/>
                <w:color w:val="auto"/>
              </w:rPr>
            </w:pPr>
          </w:p>
        </w:tc>
        <w:tc>
          <w:tcPr>
            <w:tcW w:w="130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91"/>
              </w:rPr>
              <w:t>September 30, 2016</w:t>
            </w:r>
          </w:p>
        </w:tc>
        <w:tc>
          <w:tcPr>
            <w:tcW w:w="240" w:type="dxa"/>
            <w:vAlign w:val="bottom"/>
            <w:tcBorders>
              <w:bottom w:val="single" w:sz="8" w:color="B6EAFC"/>
            </w:tcBorders>
          </w:tcPr>
          <w:p>
            <w:pPr>
              <w:spacing w:after="0"/>
              <w:rPr>
                <w:sz w:val="14"/>
                <w:szCs w:val="14"/>
                <w:color w:val="auto"/>
              </w:rPr>
            </w:pPr>
          </w:p>
        </w:tc>
        <w:tc>
          <w:tcPr>
            <w:tcW w:w="10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Category</w:t>
            </w:r>
          </w:p>
        </w:tc>
        <w:tc>
          <w:tcPr>
            <w:tcW w:w="320" w:type="dxa"/>
            <w:vAlign w:val="bottom"/>
            <w:tcBorders>
              <w:bottom w:val="single" w:sz="8" w:color="B6EAFC"/>
            </w:tcBorders>
          </w:tcPr>
          <w:p>
            <w:pPr>
              <w:spacing w:after="0"/>
              <w:rPr>
                <w:sz w:val="14"/>
                <w:szCs w:val="14"/>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460" w:type="dxa"/>
            <w:vAlign w:val="bottom"/>
            <w:tcBorders>
              <w:bottom w:val="single" w:sz="8" w:color="auto"/>
            </w:tcBorders>
          </w:tcPr>
          <w:p>
            <w:pPr>
              <w:spacing w:after="0"/>
              <w:rPr>
                <w:sz w:val="14"/>
                <w:szCs w:val="14"/>
                <w:color w:val="auto"/>
              </w:rPr>
            </w:pPr>
          </w:p>
        </w:tc>
        <w:tc>
          <w:tcPr>
            <w:tcW w:w="240" w:type="dxa"/>
            <w:vAlign w:val="bottom"/>
            <w:tcBorders>
              <w:bottom w:val="single" w:sz="8" w:color="B6EAFC"/>
            </w:tcBorders>
          </w:tcPr>
          <w:p>
            <w:pPr>
              <w:spacing w:after="0"/>
              <w:rPr>
                <w:sz w:val="14"/>
                <w:szCs w:val="14"/>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340" w:type="dxa"/>
            <w:vAlign w:val="bottom"/>
            <w:tcBorders>
              <w:bottom w:val="single" w:sz="8" w:color="auto"/>
            </w:tcBorders>
          </w:tcPr>
          <w:p>
            <w:pPr>
              <w:spacing w:after="0"/>
              <w:rPr>
                <w:sz w:val="14"/>
                <w:szCs w:val="14"/>
                <w:color w:val="auto"/>
              </w:rPr>
            </w:pPr>
          </w:p>
        </w:tc>
        <w:tc>
          <w:tcPr>
            <w:tcW w:w="200" w:type="dxa"/>
            <w:vAlign w:val="bottom"/>
            <w:tcBorders>
              <w:bottom w:val="single" w:sz="8" w:color="B6EAFC"/>
            </w:tcBorders>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3240" w:type="dxa"/>
            <w:vAlign w:val="bottom"/>
            <w:shd w:val="clear" w:color="auto" w:fill="B6EAFC"/>
          </w:tcPr>
          <w:p>
            <w:pPr>
              <w:spacing w:after="0"/>
              <w:rPr>
                <w:sz w:val="20"/>
                <w:szCs w:val="20"/>
                <w:color w:val="auto"/>
              </w:rPr>
            </w:pPr>
            <w:r>
              <w:rPr>
                <w:rFonts w:ascii="Arial" w:cs="Arial" w:eastAsia="Arial" w:hAnsi="Arial"/>
                <w:sz w:val="18"/>
                <w:szCs w:val="18"/>
                <w:color w:val="auto"/>
              </w:rPr>
              <w:t>Professional/outside services</w:t>
            </w:r>
          </w:p>
        </w:tc>
        <w:tc>
          <w:tcPr>
            <w:tcW w:w="140" w:type="dxa"/>
            <w:vAlign w:val="bottom"/>
            <w:shd w:val="clear" w:color="auto" w:fill="B6EAFC"/>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B6EAFC"/>
          </w:tcPr>
          <w:p>
            <w:pPr>
              <w:jc w:val="right"/>
              <w:spacing w:after="0"/>
              <w:rPr>
                <w:sz w:val="20"/>
                <w:szCs w:val="20"/>
                <w:color w:val="auto"/>
              </w:rPr>
            </w:pPr>
            <w:r>
              <w:rPr>
                <w:rFonts w:ascii="Arial" w:cs="Arial" w:eastAsia="Arial" w:hAnsi="Arial"/>
                <w:sz w:val="18"/>
                <w:szCs w:val="18"/>
                <w:color w:val="auto"/>
              </w:rPr>
              <w:t>2,915</w:t>
            </w:r>
          </w:p>
        </w:tc>
        <w:tc>
          <w:tcPr>
            <w:tcW w:w="240" w:type="dxa"/>
            <w:vAlign w:val="bottom"/>
            <w:shd w:val="clear" w:color="auto" w:fill="B6EAFC"/>
          </w:tcPr>
          <w:p>
            <w:pPr>
              <w:spacing w:after="0"/>
              <w:rPr>
                <w:sz w:val="19"/>
                <w:szCs w:val="19"/>
                <w:color w:val="auto"/>
              </w:rPr>
            </w:pPr>
          </w:p>
        </w:tc>
        <w:tc>
          <w:tcPr>
            <w:tcW w:w="1300" w:type="dxa"/>
            <w:vAlign w:val="bottom"/>
            <w:gridSpan w:val="2"/>
            <w:shd w:val="clear" w:color="auto" w:fill="B6EAFC"/>
          </w:tcPr>
          <w:p>
            <w:pPr>
              <w:jc w:val="right"/>
              <w:ind w:right="160"/>
              <w:spacing w:after="0"/>
              <w:rPr>
                <w:sz w:val="20"/>
                <w:szCs w:val="20"/>
                <w:color w:val="auto"/>
              </w:rPr>
            </w:pPr>
            <w:r>
              <w:rPr>
                <w:rFonts w:ascii="Arial" w:cs="Arial" w:eastAsia="Arial" w:hAnsi="Arial"/>
                <w:sz w:val="18"/>
                <w:szCs w:val="18"/>
                <w:color w:val="auto"/>
              </w:rPr>
              <w:t>43%</w:t>
            </w:r>
          </w:p>
        </w:tc>
        <w:tc>
          <w:tcPr>
            <w:tcW w:w="140" w:type="dxa"/>
            <w:vAlign w:val="bottom"/>
            <w:shd w:val="clear" w:color="auto" w:fill="B6EAFC"/>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B6EAFC"/>
          </w:tcPr>
          <w:p>
            <w:pPr>
              <w:jc w:val="right"/>
              <w:spacing w:after="0"/>
              <w:rPr>
                <w:sz w:val="20"/>
                <w:szCs w:val="20"/>
                <w:color w:val="auto"/>
              </w:rPr>
            </w:pPr>
            <w:r>
              <w:rPr>
                <w:rFonts w:ascii="Arial" w:cs="Arial" w:eastAsia="Arial" w:hAnsi="Arial"/>
                <w:sz w:val="18"/>
                <w:szCs w:val="18"/>
                <w:color w:val="auto"/>
              </w:rPr>
              <w:t>4,201</w:t>
            </w:r>
          </w:p>
        </w:tc>
        <w:tc>
          <w:tcPr>
            <w:tcW w:w="240" w:type="dxa"/>
            <w:vAlign w:val="bottom"/>
            <w:shd w:val="clear" w:color="auto" w:fill="B6EAFC"/>
          </w:tcPr>
          <w:p>
            <w:pPr>
              <w:spacing w:after="0"/>
              <w:rPr>
                <w:sz w:val="19"/>
                <w:szCs w:val="19"/>
                <w:color w:val="auto"/>
              </w:rPr>
            </w:pPr>
          </w:p>
        </w:tc>
        <w:tc>
          <w:tcPr>
            <w:tcW w:w="1320" w:type="dxa"/>
            <w:vAlign w:val="bottom"/>
            <w:gridSpan w:val="2"/>
            <w:shd w:val="clear" w:color="auto" w:fill="B6EAFC"/>
          </w:tcPr>
          <w:p>
            <w:pPr>
              <w:jc w:val="right"/>
              <w:ind w:right="180"/>
              <w:spacing w:after="0"/>
              <w:rPr>
                <w:sz w:val="20"/>
                <w:szCs w:val="20"/>
                <w:color w:val="auto"/>
              </w:rPr>
            </w:pPr>
            <w:r>
              <w:rPr>
                <w:rFonts w:ascii="Arial" w:cs="Arial" w:eastAsia="Arial" w:hAnsi="Arial"/>
                <w:sz w:val="18"/>
                <w:szCs w:val="18"/>
                <w:color w:val="auto"/>
              </w:rPr>
              <w:t>42%</w:t>
            </w:r>
          </w:p>
        </w:tc>
        <w:tc>
          <w:tcPr>
            <w:tcW w:w="540" w:type="dxa"/>
            <w:vAlign w:val="bottom"/>
            <w:shd w:val="clear" w:color="auto" w:fill="B6EAFC"/>
          </w:tcPr>
          <w:p>
            <w:pPr>
              <w:jc w:val="right"/>
              <w:ind w:right="386"/>
              <w:spacing w:after="0"/>
              <w:rPr>
                <w:sz w:val="20"/>
                <w:szCs w:val="20"/>
                <w:color w:val="auto"/>
              </w:rPr>
            </w:pPr>
            <w:r>
              <w:rPr>
                <w:rFonts w:ascii="Arial" w:cs="Arial" w:eastAsia="Arial" w:hAnsi="Arial"/>
                <w:sz w:val="15"/>
                <w:szCs w:val="15"/>
                <w:color w:val="auto"/>
                <w:w w:val="71"/>
              </w:rPr>
              <w:t>$</w:t>
            </w:r>
          </w:p>
        </w:tc>
        <w:tc>
          <w:tcPr>
            <w:tcW w:w="460" w:type="dxa"/>
            <w:vAlign w:val="bottom"/>
            <w:shd w:val="clear" w:color="auto" w:fill="B6EAFC"/>
          </w:tcPr>
          <w:p>
            <w:pPr>
              <w:jc w:val="right"/>
              <w:spacing w:after="0"/>
              <w:rPr>
                <w:sz w:val="20"/>
                <w:szCs w:val="20"/>
                <w:color w:val="auto"/>
              </w:rPr>
            </w:pPr>
            <w:r>
              <w:rPr>
                <w:rFonts w:ascii="Arial" w:cs="Arial" w:eastAsia="Arial" w:hAnsi="Arial"/>
                <w:sz w:val="18"/>
                <w:szCs w:val="18"/>
                <w:color w:val="auto"/>
                <w:w w:val="77"/>
              </w:rPr>
              <w:t>(1,286)</w:t>
            </w:r>
          </w:p>
        </w:tc>
        <w:tc>
          <w:tcPr>
            <w:tcW w:w="240" w:type="dxa"/>
            <w:vAlign w:val="bottom"/>
            <w:shd w:val="clear" w:color="auto" w:fill="B6EAFC"/>
          </w:tcPr>
          <w:p>
            <w:pPr>
              <w:spacing w:after="0"/>
              <w:rPr>
                <w:sz w:val="19"/>
                <w:szCs w:val="19"/>
                <w:color w:val="auto"/>
              </w:rPr>
            </w:pPr>
          </w:p>
        </w:tc>
        <w:tc>
          <w:tcPr>
            <w:tcW w:w="700" w:type="dxa"/>
            <w:vAlign w:val="bottom"/>
            <w:shd w:val="clear" w:color="auto" w:fill="B6EAFC"/>
          </w:tcPr>
          <w:p>
            <w:pPr>
              <w:spacing w:after="0"/>
              <w:rPr>
                <w:sz w:val="19"/>
                <w:szCs w:val="19"/>
                <w:color w:val="auto"/>
              </w:rPr>
            </w:pPr>
          </w:p>
        </w:tc>
        <w:tc>
          <w:tcPr>
            <w:tcW w:w="540" w:type="dxa"/>
            <w:vAlign w:val="bottom"/>
            <w:gridSpan w:val="2"/>
            <w:shd w:val="clear" w:color="auto" w:fill="B6EAFC"/>
          </w:tcPr>
          <w:p>
            <w:pPr>
              <w:jc w:val="right"/>
              <w:ind w:right="60"/>
              <w:spacing w:after="0"/>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230"/>
        </w:trPr>
        <w:tc>
          <w:tcPr>
            <w:tcW w:w="3240" w:type="dxa"/>
            <w:vAlign w:val="bottom"/>
          </w:tcPr>
          <w:p>
            <w:pPr>
              <w:spacing w:after="0"/>
              <w:rPr>
                <w:sz w:val="20"/>
                <w:szCs w:val="20"/>
                <w:color w:val="auto"/>
              </w:rPr>
            </w:pPr>
            <w:r>
              <w:rPr>
                <w:rFonts w:ascii="Arial" w:cs="Arial" w:eastAsia="Arial" w:hAnsi="Arial"/>
                <w:sz w:val="18"/>
                <w:szCs w:val="18"/>
                <w:color w:val="auto"/>
              </w:rPr>
              <w:t>Patent expense</w:t>
            </w:r>
          </w:p>
        </w:tc>
        <w:tc>
          <w:tcPr>
            <w:tcW w:w="1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1,154</w:t>
            </w:r>
          </w:p>
        </w:tc>
        <w:tc>
          <w:tcPr>
            <w:tcW w:w="240" w:type="dxa"/>
            <w:vAlign w:val="bottom"/>
          </w:tcPr>
          <w:p>
            <w:pPr>
              <w:spacing w:after="0"/>
              <w:rPr>
                <w:sz w:val="19"/>
                <w:szCs w:val="19"/>
                <w:color w:val="auto"/>
              </w:rPr>
            </w:pPr>
          </w:p>
        </w:tc>
        <w:tc>
          <w:tcPr>
            <w:tcW w:w="1300" w:type="dxa"/>
            <w:vAlign w:val="bottom"/>
            <w:gridSpan w:val="2"/>
          </w:tcPr>
          <w:p>
            <w:pPr>
              <w:jc w:val="right"/>
              <w:ind w:right="160"/>
              <w:spacing w:after="0"/>
              <w:rPr>
                <w:sz w:val="20"/>
                <w:szCs w:val="20"/>
                <w:color w:val="auto"/>
              </w:rPr>
            </w:pPr>
            <w:r>
              <w:rPr>
                <w:rFonts w:ascii="Arial" w:cs="Arial" w:eastAsia="Arial" w:hAnsi="Arial"/>
                <w:sz w:val="18"/>
                <w:szCs w:val="18"/>
                <w:color w:val="auto"/>
              </w:rPr>
              <w:t>17%</w:t>
            </w:r>
          </w:p>
        </w:tc>
        <w:tc>
          <w:tcPr>
            <w:tcW w:w="1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1,529</w:t>
            </w:r>
          </w:p>
        </w:tc>
        <w:tc>
          <w:tcPr>
            <w:tcW w:w="240" w:type="dxa"/>
            <w:vAlign w:val="bottom"/>
          </w:tcPr>
          <w:p>
            <w:pPr>
              <w:spacing w:after="0"/>
              <w:rPr>
                <w:sz w:val="19"/>
                <w:szCs w:val="19"/>
                <w:color w:val="auto"/>
              </w:rPr>
            </w:pPr>
          </w:p>
        </w:tc>
        <w:tc>
          <w:tcPr>
            <w:tcW w:w="1320" w:type="dxa"/>
            <w:vAlign w:val="bottom"/>
            <w:gridSpan w:val="2"/>
          </w:tcPr>
          <w:p>
            <w:pPr>
              <w:jc w:val="right"/>
              <w:ind w:right="180"/>
              <w:spacing w:after="0"/>
              <w:rPr>
                <w:sz w:val="20"/>
                <w:szCs w:val="20"/>
                <w:color w:val="auto"/>
              </w:rPr>
            </w:pPr>
            <w:r>
              <w:rPr>
                <w:rFonts w:ascii="Arial" w:cs="Arial" w:eastAsia="Arial" w:hAnsi="Arial"/>
                <w:sz w:val="18"/>
                <w:szCs w:val="18"/>
                <w:color w:val="auto"/>
              </w:rPr>
              <w:t>15%</w:t>
            </w:r>
          </w:p>
        </w:tc>
        <w:tc>
          <w:tcPr>
            <w:tcW w:w="540" w:type="dxa"/>
            <w:vAlign w:val="bottom"/>
          </w:tcPr>
          <w:p>
            <w:pPr>
              <w:spacing w:after="0"/>
              <w:rPr>
                <w:sz w:val="19"/>
                <w:szCs w:val="19"/>
                <w:color w:val="auto"/>
              </w:rPr>
            </w:pPr>
          </w:p>
        </w:tc>
        <w:tc>
          <w:tcPr>
            <w:tcW w:w="700" w:type="dxa"/>
            <w:vAlign w:val="bottom"/>
            <w:gridSpan w:val="2"/>
          </w:tcPr>
          <w:p>
            <w:pPr>
              <w:jc w:val="right"/>
              <w:ind w:right="180"/>
              <w:spacing w:after="0"/>
              <w:rPr>
                <w:sz w:val="20"/>
                <w:szCs w:val="20"/>
                <w:color w:val="auto"/>
              </w:rPr>
            </w:pPr>
            <w:r>
              <w:rPr>
                <w:rFonts w:ascii="Arial" w:cs="Arial" w:eastAsia="Arial" w:hAnsi="Arial"/>
                <w:sz w:val="18"/>
                <w:szCs w:val="18"/>
                <w:color w:val="auto"/>
              </w:rPr>
              <w:t>(375)</w:t>
            </w:r>
          </w:p>
        </w:tc>
        <w:tc>
          <w:tcPr>
            <w:tcW w:w="700" w:type="dxa"/>
            <w:vAlign w:val="bottom"/>
          </w:tcPr>
          <w:p>
            <w:pPr>
              <w:spacing w:after="0"/>
              <w:rPr>
                <w:sz w:val="19"/>
                <w:szCs w:val="19"/>
                <w:color w:val="auto"/>
              </w:rPr>
            </w:pPr>
          </w:p>
        </w:tc>
        <w:tc>
          <w:tcPr>
            <w:tcW w:w="540" w:type="dxa"/>
            <w:vAlign w:val="bottom"/>
            <w:gridSpan w:val="2"/>
          </w:tcPr>
          <w:p>
            <w:pPr>
              <w:jc w:val="right"/>
              <w:ind w:right="60"/>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30"/>
        </w:trPr>
        <w:tc>
          <w:tcPr>
            <w:tcW w:w="3240" w:type="dxa"/>
            <w:vAlign w:val="bottom"/>
            <w:shd w:val="clear" w:color="auto" w:fill="B6EAFC"/>
          </w:tcPr>
          <w:p>
            <w:pPr>
              <w:spacing w:after="0"/>
              <w:rPr>
                <w:sz w:val="20"/>
                <w:szCs w:val="20"/>
                <w:color w:val="auto"/>
              </w:rPr>
            </w:pPr>
            <w:r>
              <w:rPr>
                <w:rFonts w:ascii="Arial" w:cs="Arial" w:eastAsia="Arial" w:hAnsi="Arial"/>
                <w:sz w:val="18"/>
                <w:szCs w:val="18"/>
                <w:color w:val="auto"/>
              </w:rPr>
              <w:t>Facilities and related</w:t>
            </w:r>
          </w:p>
        </w:tc>
        <w:tc>
          <w:tcPr>
            <w:tcW w:w="140" w:type="dxa"/>
            <w:vAlign w:val="bottom"/>
            <w:shd w:val="clear" w:color="auto" w:fill="B6EAFC"/>
          </w:tcPr>
          <w:p>
            <w:pPr>
              <w:spacing w:after="0"/>
              <w:rPr>
                <w:sz w:val="19"/>
                <w:szCs w:val="19"/>
                <w:color w:val="auto"/>
              </w:rPr>
            </w:pPr>
          </w:p>
        </w:tc>
        <w:tc>
          <w:tcPr>
            <w:tcW w:w="1160" w:type="dxa"/>
            <w:vAlign w:val="bottom"/>
            <w:shd w:val="clear" w:color="auto" w:fill="B6EAFC"/>
          </w:tcPr>
          <w:p>
            <w:pPr>
              <w:jc w:val="right"/>
              <w:spacing w:after="0"/>
              <w:rPr>
                <w:sz w:val="20"/>
                <w:szCs w:val="20"/>
                <w:color w:val="auto"/>
              </w:rPr>
            </w:pPr>
            <w:r>
              <w:rPr>
                <w:rFonts w:ascii="Arial" w:cs="Arial" w:eastAsia="Arial" w:hAnsi="Arial"/>
                <w:sz w:val="18"/>
                <w:szCs w:val="18"/>
                <w:color w:val="auto"/>
              </w:rPr>
              <w:t>327</w:t>
            </w:r>
          </w:p>
        </w:tc>
        <w:tc>
          <w:tcPr>
            <w:tcW w:w="240" w:type="dxa"/>
            <w:vAlign w:val="bottom"/>
            <w:shd w:val="clear" w:color="auto" w:fill="B6EAFC"/>
          </w:tcPr>
          <w:p>
            <w:pPr>
              <w:spacing w:after="0"/>
              <w:rPr>
                <w:sz w:val="19"/>
                <w:szCs w:val="19"/>
                <w:color w:val="auto"/>
              </w:rPr>
            </w:pPr>
          </w:p>
        </w:tc>
        <w:tc>
          <w:tcPr>
            <w:tcW w:w="1300" w:type="dxa"/>
            <w:vAlign w:val="bottom"/>
            <w:gridSpan w:val="2"/>
            <w:shd w:val="clear" w:color="auto" w:fill="B6EAFC"/>
          </w:tcPr>
          <w:p>
            <w:pPr>
              <w:jc w:val="right"/>
              <w:ind w:right="160"/>
              <w:spacing w:after="0"/>
              <w:rPr>
                <w:sz w:val="20"/>
                <w:szCs w:val="20"/>
                <w:color w:val="auto"/>
              </w:rPr>
            </w:pPr>
            <w:r>
              <w:rPr>
                <w:rFonts w:ascii="Arial" w:cs="Arial" w:eastAsia="Arial" w:hAnsi="Arial"/>
                <w:sz w:val="18"/>
                <w:szCs w:val="18"/>
                <w:color w:val="auto"/>
              </w:rPr>
              <w:t>5%</w:t>
            </w:r>
          </w:p>
        </w:tc>
        <w:tc>
          <w:tcPr>
            <w:tcW w:w="140" w:type="dxa"/>
            <w:vAlign w:val="bottom"/>
            <w:shd w:val="clear" w:color="auto" w:fill="B6EAFC"/>
          </w:tcPr>
          <w:p>
            <w:pPr>
              <w:spacing w:after="0"/>
              <w:rPr>
                <w:sz w:val="19"/>
                <w:szCs w:val="19"/>
                <w:color w:val="auto"/>
              </w:rPr>
            </w:pPr>
          </w:p>
        </w:tc>
        <w:tc>
          <w:tcPr>
            <w:tcW w:w="1160" w:type="dxa"/>
            <w:vAlign w:val="bottom"/>
            <w:shd w:val="clear" w:color="auto" w:fill="B6EAFC"/>
          </w:tcPr>
          <w:p>
            <w:pPr>
              <w:jc w:val="right"/>
              <w:spacing w:after="0"/>
              <w:rPr>
                <w:sz w:val="20"/>
                <w:szCs w:val="20"/>
                <w:color w:val="auto"/>
              </w:rPr>
            </w:pPr>
            <w:r>
              <w:rPr>
                <w:rFonts w:ascii="Arial" w:cs="Arial" w:eastAsia="Arial" w:hAnsi="Arial"/>
                <w:sz w:val="18"/>
                <w:szCs w:val="18"/>
                <w:color w:val="auto"/>
              </w:rPr>
              <w:t>320</w:t>
            </w:r>
          </w:p>
        </w:tc>
        <w:tc>
          <w:tcPr>
            <w:tcW w:w="240" w:type="dxa"/>
            <w:vAlign w:val="bottom"/>
            <w:shd w:val="clear" w:color="auto" w:fill="B6EAFC"/>
          </w:tcPr>
          <w:p>
            <w:pPr>
              <w:spacing w:after="0"/>
              <w:rPr>
                <w:sz w:val="19"/>
                <w:szCs w:val="19"/>
                <w:color w:val="auto"/>
              </w:rPr>
            </w:pPr>
          </w:p>
        </w:tc>
        <w:tc>
          <w:tcPr>
            <w:tcW w:w="1320" w:type="dxa"/>
            <w:vAlign w:val="bottom"/>
            <w:gridSpan w:val="2"/>
            <w:shd w:val="clear" w:color="auto" w:fill="B6EAFC"/>
          </w:tcPr>
          <w:p>
            <w:pPr>
              <w:jc w:val="right"/>
              <w:ind w:right="180"/>
              <w:spacing w:after="0"/>
              <w:rPr>
                <w:sz w:val="20"/>
                <w:szCs w:val="20"/>
                <w:color w:val="auto"/>
              </w:rPr>
            </w:pPr>
            <w:r>
              <w:rPr>
                <w:rFonts w:ascii="Arial" w:cs="Arial" w:eastAsia="Arial" w:hAnsi="Arial"/>
                <w:sz w:val="18"/>
                <w:szCs w:val="18"/>
                <w:color w:val="auto"/>
              </w:rPr>
              <w:t>3%</w:t>
            </w:r>
          </w:p>
        </w:tc>
        <w:tc>
          <w:tcPr>
            <w:tcW w:w="540" w:type="dxa"/>
            <w:vAlign w:val="bottom"/>
            <w:shd w:val="clear" w:color="auto" w:fill="B6EAFC"/>
          </w:tcPr>
          <w:p>
            <w:pPr>
              <w:spacing w:after="0"/>
              <w:rPr>
                <w:sz w:val="19"/>
                <w:szCs w:val="19"/>
                <w:color w:val="auto"/>
              </w:rPr>
            </w:pPr>
          </w:p>
        </w:tc>
        <w:tc>
          <w:tcPr>
            <w:tcW w:w="460" w:type="dxa"/>
            <w:vAlign w:val="bottom"/>
            <w:shd w:val="clear" w:color="auto" w:fill="B6EAFC"/>
          </w:tcPr>
          <w:p>
            <w:pPr>
              <w:jc w:val="right"/>
              <w:spacing w:after="0"/>
              <w:rPr>
                <w:sz w:val="20"/>
                <w:szCs w:val="20"/>
                <w:color w:val="auto"/>
              </w:rPr>
            </w:pPr>
            <w:r>
              <w:rPr>
                <w:rFonts w:ascii="Arial" w:cs="Arial" w:eastAsia="Arial" w:hAnsi="Arial"/>
                <w:sz w:val="18"/>
                <w:szCs w:val="18"/>
                <w:color w:val="auto"/>
              </w:rPr>
              <w:t>7</w:t>
            </w:r>
          </w:p>
        </w:tc>
        <w:tc>
          <w:tcPr>
            <w:tcW w:w="240" w:type="dxa"/>
            <w:vAlign w:val="bottom"/>
            <w:shd w:val="clear" w:color="auto" w:fill="B6EAFC"/>
          </w:tcPr>
          <w:p>
            <w:pPr>
              <w:spacing w:after="0"/>
              <w:rPr>
                <w:sz w:val="19"/>
                <w:szCs w:val="19"/>
                <w:color w:val="auto"/>
              </w:rPr>
            </w:pPr>
          </w:p>
        </w:tc>
        <w:tc>
          <w:tcPr>
            <w:tcW w:w="700" w:type="dxa"/>
            <w:vAlign w:val="bottom"/>
            <w:shd w:val="clear" w:color="auto" w:fill="B6EAFC"/>
          </w:tcPr>
          <w:p>
            <w:pPr>
              <w:spacing w:after="0"/>
              <w:rPr>
                <w:sz w:val="19"/>
                <w:szCs w:val="19"/>
                <w:color w:val="auto"/>
              </w:rPr>
            </w:pPr>
          </w:p>
        </w:tc>
        <w:tc>
          <w:tcPr>
            <w:tcW w:w="540" w:type="dxa"/>
            <w:vAlign w:val="bottom"/>
            <w:gridSpan w:val="2"/>
            <w:shd w:val="clear" w:color="auto" w:fill="B6EAFC"/>
          </w:tcPr>
          <w:p>
            <w:pPr>
              <w:jc w:val="right"/>
              <w:ind w:right="6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30"/>
        </w:trPr>
        <w:tc>
          <w:tcPr>
            <w:tcW w:w="3240" w:type="dxa"/>
            <w:vAlign w:val="bottom"/>
          </w:tcPr>
          <w:p>
            <w:pPr>
              <w:spacing w:after="0"/>
              <w:rPr>
                <w:sz w:val="20"/>
                <w:szCs w:val="20"/>
                <w:color w:val="auto"/>
              </w:rPr>
            </w:pPr>
            <w:r>
              <w:rPr>
                <w:rFonts w:ascii="Arial" w:cs="Arial" w:eastAsia="Arial" w:hAnsi="Arial"/>
                <w:sz w:val="18"/>
                <w:szCs w:val="18"/>
                <w:color w:val="auto"/>
              </w:rPr>
              <w:t>Travel</w:t>
            </w:r>
          </w:p>
        </w:tc>
        <w:tc>
          <w:tcPr>
            <w:tcW w:w="1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713</w:t>
            </w:r>
          </w:p>
        </w:tc>
        <w:tc>
          <w:tcPr>
            <w:tcW w:w="240" w:type="dxa"/>
            <w:vAlign w:val="bottom"/>
          </w:tcPr>
          <w:p>
            <w:pPr>
              <w:spacing w:after="0"/>
              <w:rPr>
                <w:sz w:val="19"/>
                <w:szCs w:val="19"/>
                <w:color w:val="auto"/>
              </w:rPr>
            </w:pPr>
          </w:p>
        </w:tc>
        <w:tc>
          <w:tcPr>
            <w:tcW w:w="1300" w:type="dxa"/>
            <w:vAlign w:val="bottom"/>
            <w:gridSpan w:val="2"/>
          </w:tcPr>
          <w:p>
            <w:pPr>
              <w:jc w:val="right"/>
              <w:ind w:right="160"/>
              <w:spacing w:after="0"/>
              <w:rPr>
                <w:sz w:val="20"/>
                <w:szCs w:val="20"/>
                <w:color w:val="auto"/>
              </w:rPr>
            </w:pPr>
            <w:r>
              <w:rPr>
                <w:rFonts w:ascii="Arial" w:cs="Arial" w:eastAsia="Arial" w:hAnsi="Arial"/>
                <w:sz w:val="18"/>
                <w:szCs w:val="18"/>
                <w:color w:val="auto"/>
              </w:rPr>
              <w:t>10%</w:t>
            </w:r>
          </w:p>
        </w:tc>
        <w:tc>
          <w:tcPr>
            <w:tcW w:w="1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864</w:t>
            </w:r>
          </w:p>
        </w:tc>
        <w:tc>
          <w:tcPr>
            <w:tcW w:w="240" w:type="dxa"/>
            <w:vAlign w:val="bottom"/>
          </w:tcPr>
          <w:p>
            <w:pPr>
              <w:spacing w:after="0"/>
              <w:rPr>
                <w:sz w:val="19"/>
                <w:szCs w:val="19"/>
                <w:color w:val="auto"/>
              </w:rPr>
            </w:pPr>
          </w:p>
        </w:tc>
        <w:tc>
          <w:tcPr>
            <w:tcW w:w="1320" w:type="dxa"/>
            <w:vAlign w:val="bottom"/>
            <w:gridSpan w:val="2"/>
          </w:tcPr>
          <w:p>
            <w:pPr>
              <w:jc w:val="right"/>
              <w:ind w:right="180"/>
              <w:spacing w:after="0"/>
              <w:rPr>
                <w:sz w:val="20"/>
                <w:szCs w:val="20"/>
                <w:color w:val="auto"/>
              </w:rPr>
            </w:pPr>
            <w:r>
              <w:rPr>
                <w:rFonts w:ascii="Arial" w:cs="Arial" w:eastAsia="Arial" w:hAnsi="Arial"/>
                <w:sz w:val="18"/>
                <w:szCs w:val="18"/>
                <w:color w:val="auto"/>
              </w:rPr>
              <w:t>9%</w:t>
            </w:r>
          </w:p>
        </w:tc>
        <w:tc>
          <w:tcPr>
            <w:tcW w:w="540" w:type="dxa"/>
            <w:vAlign w:val="bottom"/>
          </w:tcPr>
          <w:p>
            <w:pPr>
              <w:spacing w:after="0"/>
              <w:rPr>
                <w:sz w:val="19"/>
                <w:szCs w:val="19"/>
                <w:color w:val="auto"/>
              </w:rPr>
            </w:pPr>
          </w:p>
        </w:tc>
        <w:tc>
          <w:tcPr>
            <w:tcW w:w="700" w:type="dxa"/>
            <w:vAlign w:val="bottom"/>
            <w:gridSpan w:val="2"/>
          </w:tcPr>
          <w:p>
            <w:pPr>
              <w:jc w:val="right"/>
              <w:ind w:right="180"/>
              <w:spacing w:after="0"/>
              <w:rPr>
                <w:sz w:val="20"/>
                <w:szCs w:val="20"/>
                <w:color w:val="auto"/>
              </w:rPr>
            </w:pPr>
            <w:r>
              <w:rPr>
                <w:rFonts w:ascii="Arial" w:cs="Arial" w:eastAsia="Arial" w:hAnsi="Arial"/>
                <w:sz w:val="18"/>
                <w:szCs w:val="18"/>
                <w:color w:val="auto"/>
              </w:rPr>
              <w:t>(151)</w:t>
            </w:r>
          </w:p>
        </w:tc>
        <w:tc>
          <w:tcPr>
            <w:tcW w:w="700" w:type="dxa"/>
            <w:vAlign w:val="bottom"/>
          </w:tcPr>
          <w:p>
            <w:pPr>
              <w:spacing w:after="0"/>
              <w:rPr>
                <w:sz w:val="19"/>
                <w:szCs w:val="19"/>
                <w:color w:val="auto"/>
              </w:rPr>
            </w:pPr>
          </w:p>
        </w:tc>
        <w:tc>
          <w:tcPr>
            <w:tcW w:w="540" w:type="dxa"/>
            <w:vAlign w:val="bottom"/>
            <w:gridSpan w:val="2"/>
          </w:tcPr>
          <w:p>
            <w:pPr>
              <w:jc w:val="right"/>
              <w:ind w:right="60"/>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30"/>
        </w:trPr>
        <w:tc>
          <w:tcPr>
            <w:tcW w:w="3240" w:type="dxa"/>
            <w:vAlign w:val="bottom"/>
            <w:shd w:val="clear" w:color="auto" w:fill="B6EAFC"/>
          </w:tcPr>
          <w:p>
            <w:pPr>
              <w:spacing w:after="0"/>
              <w:rPr>
                <w:sz w:val="20"/>
                <w:szCs w:val="20"/>
                <w:color w:val="auto"/>
              </w:rPr>
            </w:pPr>
            <w:r>
              <w:rPr>
                <w:rFonts w:ascii="Arial" w:cs="Arial" w:eastAsia="Arial" w:hAnsi="Arial"/>
                <w:sz w:val="18"/>
                <w:szCs w:val="18"/>
                <w:color w:val="auto"/>
              </w:rPr>
              <w:t>Business insurance</w:t>
            </w:r>
          </w:p>
        </w:tc>
        <w:tc>
          <w:tcPr>
            <w:tcW w:w="140" w:type="dxa"/>
            <w:vAlign w:val="bottom"/>
            <w:shd w:val="clear" w:color="auto" w:fill="B6EAFC"/>
          </w:tcPr>
          <w:p>
            <w:pPr>
              <w:spacing w:after="0"/>
              <w:rPr>
                <w:sz w:val="19"/>
                <w:szCs w:val="19"/>
                <w:color w:val="auto"/>
              </w:rPr>
            </w:pPr>
          </w:p>
        </w:tc>
        <w:tc>
          <w:tcPr>
            <w:tcW w:w="1160" w:type="dxa"/>
            <w:vAlign w:val="bottom"/>
            <w:shd w:val="clear" w:color="auto" w:fill="B6EAFC"/>
          </w:tcPr>
          <w:p>
            <w:pPr>
              <w:jc w:val="right"/>
              <w:spacing w:after="0"/>
              <w:rPr>
                <w:sz w:val="20"/>
                <w:szCs w:val="20"/>
                <w:color w:val="auto"/>
              </w:rPr>
            </w:pPr>
            <w:r>
              <w:rPr>
                <w:rFonts w:ascii="Arial" w:cs="Arial" w:eastAsia="Arial" w:hAnsi="Arial"/>
                <w:sz w:val="18"/>
                <w:szCs w:val="18"/>
                <w:color w:val="auto"/>
              </w:rPr>
              <w:t>591</w:t>
            </w:r>
          </w:p>
        </w:tc>
        <w:tc>
          <w:tcPr>
            <w:tcW w:w="240" w:type="dxa"/>
            <w:vAlign w:val="bottom"/>
            <w:shd w:val="clear" w:color="auto" w:fill="B6EAFC"/>
          </w:tcPr>
          <w:p>
            <w:pPr>
              <w:spacing w:after="0"/>
              <w:rPr>
                <w:sz w:val="19"/>
                <w:szCs w:val="19"/>
                <w:color w:val="auto"/>
              </w:rPr>
            </w:pPr>
          </w:p>
        </w:tc>
        <w:tc>
          <w:tcPr>
            <w:tcW w:w="1300" w:type="dxa"/>
            <w:vAlign w:val="bottom"/>
            <w:gridSpan w:val="2"/>
            <w:shd w:val="clear" w:color="auto" w:fill="B6EAFC"/>
          </w:tcPr>
          <w:p>
            <w:pPr>
              <w:jc w:val="right"/>
              <w:ind w:right="160"/>
              <w:spacing w:after="0"/>
              <w:rPr>
                <w:sz w:val="20"/>
                <w:szCs w:val="20"/>
                <w:color w:val="auto"/>
              </w:rPr>
            </w:pPr>
            <w:r>
              <w:rPr>
                <w:rFonts w:ascii="Arial" w:cs="Arial" w:eastAsia="Arial" w:hAnsi="Arial"/>
                <w:sz w:val="18"/>
                <w:szCs w:val="18"/>
                <w:color w:val="auto"/>
              </w:rPr>
              <w:t>9%</w:t>
            </w:r>
          </w:p>
        </w:tc>
        <w:tc>
          <w:tcPr>
            <w:tcW w:w="140" w:type="dxa"/>
            <w:vAlign w:val="bottom"/>
            <w:shd w:val="clear" w:color="auto" w:fill="B6EAFC"/>
          </w:tcPr>
          <w:p>
            <w:pPr>
              <w:spacing w:after="0"/>
              <w:rPr>
                <w:sz w:val="19"/>
                <w:szCs w:val="19"/>
                <w:color w:val="auto"/>
              </w:rPr>
            </w:pPr>
          </w:p>
        </w:tc>
        <w:tc>
          <w:tcPr>
            <w:tcW w:w="1160" w:type="dxa"/>
            <w:vAlign w:val="bottom"/>
            <w:shd w:val="clear" w:color="auto" w:fill="B6EAFC"/>
          </w:tcPr>
          <w:p>
            <w:pPr>
              <w:jc w:val="right"/>
              <w:spacing w:after="0"/>
              <w:rPr>
                <w:sz w:val="20"/>
                <w:szCs w:val="20"/>
                <w:color w:val="auto"/>
              </w:rPr>
            </w:pPr>
            <w:r>
              <w:rPr>
                <w:rFonts w:ascii="Arial" w:cs="Arial" w:eastAsia="Arial" w:hAnsi="Arial"/>
                <w:sz w:val="18"/>
                <w:szCs w:val="18"/>
                <w:color w:val="auto"/>
              </w:rPr>
              <w:t>632</w:t>
            </w:r>
          </w:p>
        </w:tc>
        <w:tc>
          <w:tcPr>
            <w:tcW w:w="240" w:type="dxa"/>
            <w:vAlign w:val="bottom"/>
            <w:shd w:val="clear" w:color="auto" w:fill="B6EAFC"/>
          </w:tcPr>
          <w:p>
            <w:pPr>
              <w:spacing w:after="0"/>
              <w:rPr>
                <w:sz w:val="19"/>
                <w:szCs w:val="19"/>
                <w:color w:val="auto"/>
              </w:rPr>
            </w:pPr>
          </w:p>
        </w:tc>
        <w:tc>
          <w:tcPr>
            <w:tcW w:w="1320" w:type="dxa"/>
            <w:vAlign w:val="bottom"/>
            <w:gridSpan w:val="2"/>
            <w:shd w:val="clear" w:color="auto" w:fill="B6EAFC"/>
          </w:tcPr>
          <w:p>
            <w:pPr>
              <w:jc w:val="right"/>
              <w:ind w:right="180"/>
              <w:spacing w:after="0"/>
              <w:rPr>
                <w:sz w:val="20"/>
                <w:szCs w:val="20"/>
                <w:color w:val="auto"/>
              </w:rPr>
            </w:pPr>
            <w:r>
              <w:rPr>
                <w:rFonts w:ascii="Arial" w:cs="Arial" w:eastAsia="Arial" w:hAnsi="Arial"/>
                <w:sz w:val="18"/>
                <w:szCs w:val="18"/>
                <w:color w:val="auto"/>
              </w:rPr>
              <w:t>6%</w:t>
            </w:r>
          </w:p>
        </w:tc>
        <w:tc>
          <w:tcPr>
            <w:tcW w:w="540" w:type="dxa"/>
            <w:vAlign w:val="bottom"/>
            <w:shd w:val="clear" w:color="auto" w:fill="B6EAFC"/>
          </w:tcPr>
          <w:p>
            <w:pPr>
              <w:spacing w:after="0"/>
              <w:rPr>
                <w:sz w:val="19"/>
                <w:szCs w:val="19"/>
                <w:color w:val="auto"/>
              </w:rPr>
            </w:pPr>
          </w:p>
        </w:tc>
        <w:tc>
          <w:tcPr>
            <w:tcW w:w="700" w:type="dxa"/>
            <w:vAlign w:val="bottom"/>
            <w:gridSpan w:val="2"/>
            <w:shd w:val="clear" w:color="auto" w:fill="B6EAFC"/>
          </w:tcPr>
          <w:p>
            <w:pPr>
              <w:jc w:val="right"/>
              <w:ind w:right="180"/>
              <w:spacing w:after="0"/>
              <w:rPr>
                <w:sz w:val="20"/>
                <w:szCs w:val="20"/>
                <w:color w:val="auto"/>
              </w:rPr>
            </w:pPr>
            <w:r>
              <w:rPr>
                <w:rFonts w:ascii="Arial" w:cs="Arial" w:eastAsia="Arial" w:hAnsi="Arial"/>
                <w:sz w:val="18"/>
                <w:szCs w:val="18"/>
                <w:color w:val="auto"/>
              </w:rPr>
              <w:t>(41)</w:t>
            </w:r>
          </w:p>
        </w:tc>
        <w:tc>
          <w:tcPr>
            <w:tcW w:w="700" w:type="dxa"/>
            <w:vAlign w:val="bottom"/>
            <w:shd w:val="clear" w:color="auto" w:fill="B6EAFC"/>
          </w:tcPr>
          <w:p>
            <w:pPr>
              <w:spacing w:after="0"/>
              <w:rPr>
                <w:sz w:val="19"/>
                <w:szCs w:val="19"/>
                <w:color w:val="auto"/>
              </w:rPr>
            </w:pPr>
          </w:p>
        </w:tc>
        <w:tc>
          <w:tcPr>
            <w:tcW w:w="540" w:type="dxa"/>
            <w:vAlign w:val="bottom"/>
            <w:gridSpan w:val="2"/>
            <w:shd w:val="clear" w:color="auto" w:fill="B6EAFC"/>
          </w:tcPr>
          <w:p>
            <w:pPr>
              <w:jc w:val="right"/>
              <w:ind w:right="60"/>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30"/>
        </w:trPr>
        <w:tc>
          <w:tcPr>
            <w:tcW w:w="3240" w:type="dxa"/>
            <w:vAlign w:val="bottom"/>
          </w:tcPr>
          <w:p>
            <w:pPr>
              <w:spacing w:after="0"/>
              <w:rPr>
                <w:sz w:val="20"/>
                <w:szCs w:val="20"/>
                <w:color w:val="auto"/>
              </w:rPr>
            </w:pPr>
            <w:r>
              <w:rPr>
                <w:rFonts w:ascii="Arial" w:cs="Arial" w:eastAsia="Arial" w:hAnsi="Arial"/>
                <w:sz w:val="18"/>
                <w:szCs w:val="18"/>
                <w:color w:val="auto"/>
              </w:rPr>
              <w:t>Communication and Technology</w:t>
            </w:r>
          </w:p>
        </w:tc>
        <w:tc>
          <w:tcPr>
            <w:tcW w:w="1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426</w:t>
            </w:r>
          </w:p>
        </w:tc>
        <w:tc>
          <w:tcPr>
            <w:tcW w:w="240" w:type="dxa"/>
            <w:vAlign w:val="bottom"/>
          </w:tcPr>
          <w:p>
            <w:pPr>
              <w:spacing w:after="0"/>
              <w:rPr>
                <w:sz w:val="19"/>
                <w:szCs w:val="19"/>
                <w:color w:val="auto"/>
              </w:rPr>
            </w:pPr>
          </w:p>
        </w:tc>
        <w:tc>
          <w:tcPr>
            <w:tcW w:w="1300" w:type="dxa"/>
            <w:vAlign w:val="bottom"/>
            <w:gridSpan w:val="2"/>
          </w:tcPr>
          <w:p>
            <w:pPr>
              <w:jc w:val="right"/>
              <w:ind w:right="160"/>
              <w:spacing w:after="0"/>
              <w:rPr>
                <w:sz w:val="20"/>
                <w:szCs w:val="20"/>
                <w:color w:val="auto"/>
              </w:rPr>
            </w:pPr>
            <w:r>
              <w:rPr>
                <w:rFonts w:ascii="Arial" w:cs="Arial" w:eastAsia="Arial" w:hAnsi="Arial"/>
                <w:sz w:val="18"/>
                <w:szCs w:val="18"/>
                <w:color w:val="auto"/>
              </w:rPr>
              <w:t>6%</w:t>
            </w:r>
          </w:p>
        </w:tc>
        <w:tc>
          <w:tcPr>
            <w:tcW w:w="1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686</w:t>
            </w:r>
          </w:p>
        </w:tc>
        <w:tc>
          <w:tcPr>
            <w:tcW w:w="240" w:type="dxa"/>
            <w:vAlign w:val="bottom"/>
          </w:tcPr>
          <w:p>
            <w:pPr>
              <w:spacing w:after="0"/>
              <w:rPr>
                <w:sz w:val="19"/>
                <w:szCs w:val="19"/>
                <w:color w:val="auto"/>
              </w:rPr>
            </w:pPr>
          </w:p>
        </w:tc>
        <w:tc>
          <w:tcPr>
            <w:tcW w:w="1320" w:type="dxa"/>
            <w:vAlign w:val="bottom"/>
            <w:gridSpan w:val="2"/>
          </w:tcPr>
          <w:p>
            <w:pPr>
              <w:jc w:val="right"/>
              <w:ind w:right="180"/>
              <w:spacing w:after="0"/>
              <w:rPr>
                <w:sz w:val="20"/>
                <w:szCs w:val="20"/>
                <w:color w:val="auto"/>
              </w:rPr>
            </w:pPr>
            <w:r>
              <w:rPr>
                <w:rFonts w:ascii="Arial" w:cs="Arial" w:eastAsia="Arial" w:hAnsi="Arial"/>
                <w:sz w:val="18"/>
                <w:szCs w:val="18"/>
                <w:color w:val="auto"/>
              </w:rPr>
              <w:t>7%</w:t>
            </w:r>
          </w:p>
        </w:tc>
        <w:tc>
          <w:tcPr>
            <w:tcW w:w="540" w:type="dxa"/>
            <w:vAlign w:val="bottom"/>
          </w:tcPr>
          <w:p>
            <w:pPr>
              <w:spacing w:after="0"/>
              <w:rPr>
                <w:sz w:val="19"/>
                <w:szCs w:val="19"/>
                <w:color w:val="auto"/>
              </w:rPr>
            </w:pPr>
          </w:p>
        </w:tc>
        <w:tc>
          <w:tcPr>
            <w:tcW w:w="700" w:type="dxa"/>
            <w:vAlign w:val="bottom"/>
            <w:gridSpan w:val="2"/>
          </w:tcPr>
          <w:p>
            <w:pPr>
              <w:jc w:val="right"/>
              <w:ind w:right="180"/>
              <w:spacing w:after="0"/>
              <w:rPr>
                <w:sz w:val="20"/>
                <w:szCs w:val="20"/>
                <w:color w:val="auto"/>
              </w:rPr>
            </w:pPr>
            <w:r>
              <w:rPr>
                <w:rFonts w:ascii="Arial" w:cs="Arial" w:eastAsia="Arial" w:hAnsi="Arial"/>
                <w:sz w:val="18"/>
                <w:szCs w:val="18"/>
                <w:color w:val="auto"/>
              </w:rPr>
              <w:t>(260)</w:t>
            </w:r>
          </w:p>
        </w:tc>
        <w:tc>
          <w:tcPr>
            <w:tcW w:w="700" w:type="dxa"/>
            <w:vAlign w:val="bottom"/>
          </w:tcPr>
          <w:p>
            <w:pPr>
              <w:spacing w:after="0"/>
              <w:rPr>
                <w:sz w:val="19"/>
                <w:szCs w:val="19"/>
                <w:color w:val="auto"/>
              </w:rPr>
            </w:pPr>
          </w:p>
        </w:tc>
        <w:tc>
          <w:tcPr>
            <w:tcW w:w="540" w:type="dxa"/>
            <w:vAlign w:val="bottom"/>
            <w:gridSpan w:val="2"/>
          </w:tcPr>
          <w:p>
            <w:pPr>
              <w:jc w:val="right"/>
              <w:ind w:right="60"/>
              <w:spacing w:after="0"/>
              <w:rPr>
                <w:sz w:val="20"/>
                <w:szCs w:val="20"/>
                <w:color w:val="auto"/>
              </w:rPr>
            </w:pPr>
            <w:r>
              <w:rPr>
                <w:rFonts w:ascii="Arial" w:cs="Arial" w:eastAsia="Arial" w:hAnsi="Arial"/>
                <w:sz w:val="18"/>
                <w:szCs w:val="18"/>
                <w:color w:val="auto"/>
              </w:rPr>
              <w:t>-38%</w:t>
            </w:r>
          </w:p>
        </w:tc>
        <w:tc>
          <w:tcPr>
            <w:tcW w:w="0" w:type="dxa"/>
            <w:vAlign w:val="bottom"/>
          </w:tcPr>
          <w:p>
            <w:pPr>
              <w:spacing w:after="0"/>
              <w:rPr>
                <w:sz w:val="1"/>
                <w:szCs w:val="1"/>
                <w:color w:val="auto"/>
              </w:rPr>
            </w:pPr>
          </w:p>
        </w:tc>
      </w:tr>
      <w:tr>
        <w:trPr>
          <w:trHeight w:val="230"/>
        </w:trPr>
        <w:tc>
          <w:tcPr>
            <w:tcW w:w="3240" w:type="dxa"/>
            <w:vAlign w:val="bottom"/>
            <w:shd w:val="clear" w:color="auto" w:fill="B6EAFC"/>
          </w:tcPr>
          <w:p>
            <w:pPr>
              <w:spacing w:after="0"/>
              <w:rPr>
                <w:sz w:val="20"/>
                <w:szCs w:val="20"/>
                <w:color w:val="auto"/>
              </w:rPr>
            </w:pPr>
            <w:r>
              <w:rPr>
                <w:rFonts w:ascii="Arial" w:cs="Arial" w:eastAsia="Arial" w:hAnsi="Arial"/>
                <w:sz w:val="18"/>
                <w:szCs w:val="18"/>
                <w:color w:val="auto"/>
              </w:rPr>
              <w:t>Office expenses</w:t>
            </w:r>
          </w:p>
        </w:tc>
        <w:tc>
          <w:tcPr>
            <w:tcW w:w="140" w:type="dxa"/>
            <w:vAlign w:val="bottom"/>
            <w:shd w:val="clear" w:color="auto" w:fill="B6EAFC"/>
          </w:tcPr>
          <w:p>
            <w:pPr>
              <w:spacing w:after="0"/>
              <w:rPr>
                <w:sz w:val="19"/>
                <w:szCs w:val="19"/>
                <w:color w:val="auto"/>
              </w:rPr>
            </w:pPr>
          </w:p>
        </w:tc>
        <w:tc>
          <w:tcPr>
            <w:tcW w:w="1160" w:type="dxa"/>
            <w:vAlign w:val="bottom"/>
            <w:shd w:val="clear" w:color="auto" w:fill="B6EAFC"/>
          </w:tcPr>
          <w:p>
            <w:pPr>
              <w:jc w:val="right"/>
              <w:spacing w:after="0"/>
              <w:rPr>
                <w:sz w:val="20"/>
                <w:szCs w:val="20"/>
                <w:color w:val="auto"/>
              </w:rPr>
            </w:pPr>
            <w:r>
              <w:rPr>
                <w:rFonts w:ascii="Arial" w:cs="Arial" w:eastAsia="Arial" w:hAnsi="Arial"/>
                <w:sz w:val="18"/>
                <w:szCs w:val="18"/>
                <w:color w:val="auto"/>
              </w:rPr>
              <w:t>563</w:t>
            </w:r>
          </w:p>
        </w:tc>
        <w:tc>
          <w:tcPr>
            <w:tcW w:w="240" w:type="dxa"/>
            <w:vAlign w:val="bottom"/>
            <w:shd w:val="clear" w:color="auto" w:fill="B6EAFC"/>
          </w:tcPr>
          <w:p>
            <w:pPr>
              <w:spacing w:after="0"/>
              <w:rPr>
                <w:sz w:val="19"/>
                <w:szCs w:val="19"/>
                <w:color w:val="auto"/>
              </w:rPr>
            </w:pPr>
          </w:p>
        </w:tc>
        <w:tc>
          <w:tcPr>
            <w:tcW w:w="1300" w:type="dxa"/>
            <w:vAlign w:val="bottom"/>
            <w:gridSpan w:val="2"/>
            <w:shd w:val="clear" w:color="auto" w:fill="B6EAFC"/>
          </w:tcPr>
          <w:p>
            <w:pPr>
              <w:jc w:val="right"/>
              <w:ind w:right="160"/>
              <w:spacing w:after="0"/>
              <w:rPr>
                <w:sz w:val="20"/>
                <w:szCs w:val="20"/>
                <w:color w:val="auto"/>
              </w:rPr>
            </w:pPr>
            <w:r>
              <w:rPr>
                <w:rFonts w:ascii="Arial" w:cs="Arial" w:eastAsia="Arial" w:hAnsi="Arial"/>
                <w:sz w:val="18"/>
                <w:szCs w:val="18"/>
                <w:color w:val="auto"/>
              </w:rPr>
              <w:t>8%</w:t>
            </w:r>
          </w:p>
        </w:tc>
        <w:tc>
          <w:tcPr>
            <w:tcW w:w="140" w:type="dxa"/>
            <w:vAlign w:val="bottom"/>
            <w:shd w:val="clear" w:color="auto" w:fill="B6EAFC"/>
          </w:tcPr>
          <w:p>
            <w:pPr>
              <w:spacing w:after="0"/>
              <w:rPr>
                <w:sz w:val="19"/>
                <w:szCs w:val="19"/>
                <w:color w:val="auto"/>
              </w:rPr>
            </w:pPr>
          </w:p>
        </w:tc>
        <w:tc>
          <w:tcPr>
            <w:tcW w:w="1160" w:type="dxa"/>
            <w:vAlign w:val="bottom"/>
            <w:shd w:val="clear" w:color="auto" w:fill="B6EAFC"/>
          </w:tcPr>
          <w:p>
            <w:pPr>
              <w:jc w:val="right"/>
              <w:spacing w:after="0"/>
              <w:rPr>
                <w:sz w:val="20"/>
                <w:szCs w:val="20"/>
                <w:color w:val="auto"/>
              </w:rPr>
            </w:pPr>
            <w:r>
              <w:rPr>
                <w:rFonts w:ascii="Arial" w:cs="Arial" w:eastAsia="Arial" w:hAnsi="Arial"/>
                <w:sz w:val="18"/>
                <w:szCs w:val="18"/>
                <w:color w:val="auto"/>
              </w:rPr>
              <w:t>303</w:t>
            </w:r>
          </w:p>
        </w:tc>
        <w:tc>
          <w:tcPr>
            <w:tcW w:w="240" w:type="dxa"/>
            <w:vAlign w:val="bottom"/>
            <w:shd w:val="clear" w:color="auto" w:fill="B6EAFC"/>
          </w:tcPr>
          <w:p>
            <w:pPr>
              <w:spacing w:after="0"/>
              <w:rPr>
                <w:sz w:val="19"/>
                <w:szCs w:val="19"/>
                <w:color w:val="auto"/>
              </w:rPr>
            </w:pPr>
          </w:p>
        </w:tc>
        <w:tc>
          <w:tcPr>
            <w:tcW w:w="1320" w:type="dxa"/>
            <w:vAlign w:val="bottom"/>
            <w:gridSpan w:val="2"/>
            <w:shd w:val="clear" w:color="auto" w:fill="B6EAFC"/>
          </w:tcPr>
          <w:p>
            <w:pPr>
              <w:jc w:val="right"/>
              <w:ind w:right="180"/>
              <w:spacing w:after="0"/>
              <w:rPr>
                <w:sz w:val="20"/>
                <w:szCs w:val="20"/>
                <w:color w:val="auto"/>
              </w:rPr>
            </w:pPr>
            <w:r>
              <w:rPr>
                <w:rFonts w:ascii="Arial" w:cs="Arial" w:eastAsia="Arial" w:hAnsi="Arial"/>
                <w:sz w:val="18"/>
                <w:szCs w:val="18"/>
                <w:color w:val="auto"/>
              </w:rPr>
              <w:t>3%</w:t>
            </w:r>
          </w:p>
        </w:tc>
        <w:tc>
          <w:tcPr>
            <w:tcW w:w="540" w:type="dxa"/>
            <w:vAlign w:val="bottom"/>
            <w:shd w:val="clear" w:color="auto" w:fill="B6EAFC"/>
          </w:tcPr>
          <w:p>
            <w:pPr>
              <w:spacing w:after="0"/>
              <w:rPr>
                <w:sz w:val="19"/>
                <w:szCs w:val="19"/>
                <w:color w:val="auto"/>
              </w:rPr>
            </w:pPr>
          </w:p>
        </w:tc>
        <w:tc>
          <w:tcPr>
            <w:tcW w:w="460" w:type="dxa"/>
            <w:vAlign w:val="bottom"/>
            <w:shd w:val="clear" w:color="auto" w:fill="B6EAFC"/>
          </w:tcPr>
          <w:p>
            <w:pPr>
              <w:jc w:val="right"/>
              <w:spacing w:after="0"/>
              <w:rPr>
                <w:sz w:val="20"/>
                <w:szCs w:val="20"/>
                <w:color w:val="auto"/>
              </w:rPr>
            </w:pPr>
            <w:r>
              <w:rPr>
                <w:rFonts w:ascii="Arial" w:cs="Arial" w:eastAsia="Arial" w:hAnsi="Arial"/>
                <w:sz w:val="18"/>
                <w:szCs w:val="18"/>
                <w:color w:val="auto"/>
              </w:rPr>
              <w:t>260</w:t>
            </w:r>
          </w:p>
        </w:tc>
        <w:tc>
          <w:tcPr>
            <w:tcW w:w="240" w:type="dxa"/>
            <w:vAlign w:val="bottom"/>
            <w:shd w:val="clear" w:color="auto" w:fill="B6EAFC"/>
          </w:tcPr>
          <w:p>
            <w:pPr>
              <w:spacing w:after="0"/>
              <w:rPr>
                <w:sz w:val="19"/>
                <w:szCs w:val="19"/>
                <w:color w:val="auto"/>
              </w:rPr>
            </w:pPr>
          </w:p>
        </w:tc>
        <w:tc>
          <w:tcPr>
            <w:tcW w:w="700" w:type="dxa"/>
            <w:vAlign w:val="bottom"/>
            <w:shd w:val="clear" w:color="auto" w:fill="B6EAFC"/>
          </w:tcPr>
          <w:p>
            <w:pPr>
              <w:spacing w:after="0"/>
              <w:rPr>
                <w:sz w:val="19"/>
                <w:szCs w:val="19"/>
                <w:color w:val="auto"/>
              </w:rPr>
            </w:pPr>
          </w:p>
        </w:tc>
        <w:tc>
          <w:tcPr>
            <w:tcW w:w="540" w:type="dxa"/>
            <w:vAlign w:val="bottom"/>
            <w:gridSpan w:val="2"/>
            <w:shd w:val="clear" w:color="auto" w:fill="B6EAFC"/>
          </w:tcPr>
          <w:p>
            <w:pPr>
              <w:jc w:val="right"/>
              <w:ind w:right="60"/>
              <w:spacing w:after="0"/>
              <w:rPr>
                <w:sz w:val="20"/>
                <w:szCs w:val="20"/>
                <w:color w:val="auto"/>
              </w:rPr>
            </w:pPr>
            <w:r>
              <w:rPr>
                <w:rFonts w:ascii="Arial" w:cs="Arial" w:eastAsia="Arial" w:hAnsi="Arial"/>
                <w:sz w:val="18"/>
                <w:szCs w:val="18"/>
                <w:color w:val="auto"/>
              </w:rPr>
              <w:t>86%</w:t>
            </w:r>
          </w:p>
        </w:tc>
        <w:tc>
          <w:tcPr>
            <w:tcW w:w="0" w:type="dxa"/>
            <w:vAlign w:val="bottom"/>
          </w:tcPr>
          <w:p>
            <w:pPr>
              <w:spacing w:after="0"/>
              <w:rPr>
                <w:sz w:val="1"/>
                <w:szCs w:val="1"/>
                <w:color w:val="auto"/>
              </w:rPr>
            </w:pPr>
          </w:p>
        </w:tc>
      </w:tr>
      <w:tr>
        <w:trPr>
          <w:trHeight w:val="230"/>
        </w:trPr>
        <w:tc>
          <w:tcPr>
            <w:tcW w:w="3240" w:type="dxa"/>
            <w:vAlign w:val="bottom"/>
          </w:tcPr>
          <w:p>
            <w:pPr>
              <w:spacing w:after="0"/>
              <w:rPr>
                <w:sz w:val="20"/>
                <w:szCs w:val="20"/>
                <w:color w:val="auto"/>
              </w:rPr>
            </w:pPr>
            <w:r>
              <w:rPr>
                <w:rFonts w:ascii="Arial" w:cs="Arial" w:eastAsia="Arial" w:hAnsi="Arial"/>
                <w:sz w:val="18"/>
                <w:szCs w:val="18"/>
                <w:color w:val="auto"/>
              </w:rPr>
              <w:t>Other</w:t>
            </w:r>
          </w:p>
        </w:tc>
        <w:tc>
          <w:tcPr>
            <w:tcW w:w="1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149</w:t>
            </w:r>
          </w:p>
        </w:tc>
        <w:tc>
          <w:tcPr>
            <w:tcW w:w="240" w:type="dxa"/>
            <w:vAlign w:val="bottom"/>
          </w:tcPr>
          <w:p>
            <w:pPr>
              <w:spacing w:after="0"/>
              <w:rPr>
                <w:sz w:val="19"/>
                <w:szCs w:val="19"/>
                <w:color w:val="auto"/>
              </w:rPr>
            </w:pPr>
          </w:p>
        </w:tc>
        <w:tc>
          <w:tcPr>
            <w:tcW w:w="1300" w:type="dxa"/>
            <w:vAlign w:val="bottom"/>
            <w:gridSpan w:val="2"/>
          </w:tcPr>
          <w:p>
            <w:pPr>
              <w:jc w:val="right"/>
              <w:ind w:right="160"/>
              <w:spacing w:after="0"/>
              <w:rPr>
                <w:sz w:val="20"/>
                <w:szCs w:val="20"/>
                <w:color w:val="auto"/>
              </w:rPr>
            </w:pPr>
            <w:r>
              <w:rPr>
                <w:rFonts w:ascii="Arial" w:cs="Arial" w:eastAsia="Arial" w:hAnsi="Arial"/>
                <w:sz w:val="18"/>
                <w:szCs w:val="18"/>
                <w:color w:val="auto"/>
              </w:rPr>
              <w:t>2%</w:t>
            </w:r>
          </w:p>
        </w:tc>
        <w:tc>
          <w:tcPr>
            <w:tcW w:w="1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1,406</w:t>
            </w:r>
          </w:p>
        </w:tc>
        <w:tc>
          <w:tcPr>
            <w:tcW w:w="240" w:type="dxa"/>
            <w:vAlign w:val="bottom"/>
          </w:tcPr>
          <w:p>
            <w:pPr>
              <w:spacing w:after="0"/>
              <w:rPr>
                <w:sz w:val="19"/>
                <w:szCs w:val="19"/>
                <w:color w:val="auto"/>
              </w:rPr>
            </w:pPr>
          </w:p>
        </w:tc>
        <w:tc>
          <w:tcPr>
            <w:tcW w:w="1320" w:type="dxa"/>
            <w:vAlign w:val="bottom"/>
            <w:gridSpan w:val="2"/>
          </w:tcPr>
          <w:p>
            <w:pPr>
              <w:jc w:val="right"/>
              <w:ind w:right="180"/>
              <w:spacing w:after="0"/>
              <w:rPr>
                <w:sz w:val="20"/>
                <w:szCs w:val="20"/>
                <w:color w:val="auto"/>
              </w:rPr>
            </w:pPr>
            <w:r>
              <w:rPr>
                <w:rFonts w:ascii="Arial" w:cs="Arial" w:eastAsia="Arial" w:hAnsi="Arial"/>
                <w:sz w:val="18"/>
                <w:szCs w:val="18"/>
                <w:color w:val="auto"/>
              </w:rPr>
              <w:t>14%</w:t>
            </w:r>
          </w:p>
        </w:tc>
        <w:tc>
          <w:tcPr>
            <w:tcW w:w="540" w:type="dxa"/>
            <w:vAlign w:val="bottom"/>
          </w:tcPr>
          <w:p>
            <w:pPr>
              <w:spacing w:after="0"/>
              <w:rPr>
                <w:sz w:val="19"/>
                <w:szCs w:val="19"/>
                <w:color w:val="auto"/>
              </w:rPr>
            </w:pPr>
          </w:p>
        </w:tc>
        <w:tc>
          <w:tcPr>
            <w:tcW w:w="700" w:type="dxa"/>
            <w:vAlign w:val="bottom"/>
            <w:gridSpan w:val="2"/>
          </w:tcPr>
          <w:p>
            <w:pPr>
              <w:jc w:val="right"/>
              <w:ind w:right="180"/>
              <w:spacing w:after="0"/>
              <w:rPr>
                <w:sz w:val="20"/>
                <w:szCs w:val="20"/>
                <w:color w:val="auto"/>
              </w:rPr>
            </w:pPr>
            <w:r>
              <w:rPr>
                <w:rFonts w:ascii="Arial" w:cs="Arial" w:eastAsia="Arial" w:hAnsi="Arial"/>
                <w:sz w:val="18"/>
                <w:szCs w:val="18"/>
                <w:color w:val="auto"/>
                <w:w w:val="87"/>
              </w:rPr>
              <w:t>(1,257)</w:t>
            </w:r>
          </w:p>
        </w:tc>
        <w:tc>
          <w:tcPr>
            <w:tcW w:w="700" w:type="dxa"/>
            <w:vAlign w:val="bottom"/>
          </w:tcPr>
          <w:p>
            <w:pPr>
              <w:spacing w:after="0"/>
              <w:rPr>
                <w:sz w:val="19"/>
                <w:szCs w:val="19"/>
                <w:color w:val="auto"/>
              </w:rPr>
            </w:pPr>
          </w:p>
        </w:tc>
        <w:tc>
          <w:tcPr>
            <w:tcW w:w="540" w:type="dxa"/>
            <w:vAlign w:val="bottom"/>
            <w:gridSpan w:val="2"/>
          </w:tcPr>
          <w:p>
            <w:pPr>
              <w:jc w:val="right"/>
              <w:ind w:right="60"/>
              <w:spacing w:after="0"/>
              <w:rPr>
                <w:sz w:val="20"/>
                <w:szCs w:val="20"/>
                <w:color w:val="auto"/>
              </w:rPr>
            </w:pPr>
            <w:r>
              <w:rPr>
                <w:rFonts w:ascii="Arial" w:cs="Arial" w:eastAsia="Arial" w:hAnsi="Arial"/>
                <w:sz w:val="18"/>
                <w:szCs w:val="18"/>
                <w:color w:val="auto"/>
              </w:rPr>
              <w:t>-89%</w:t>
            </w:r>
          </w:p>
        </w:tc>
        <w:tc>
          <w:tcPr>
            <w:tcW w:w="0" w:type="dxa"/>
            <w:vAlign w:val="bottom"/>
          </w:tcPr>
          <w:p>
            <w:pPr>
              <w:spacing w:after="0"/>
              <w:rPr>
                <w:sz w:val="1"/>
                <w:szCs w:val="1"/>
                <w:color w:val="auto"/>
              </w:rPr>
            </w:pPr>
          </w:p>
        </w:tc>
      </w:tr>
      <w:tr>
        <w:trPr>
          <w:trHeight w:val="20"/>
        </w:trPr>
        <w:tc>
          <w:tcPr>
            <w:tcW w:w="3240" w:type="dxa"/>
            <w:vAlign w:val="bottom"/>
            <w:vMerge w:val="restart"/>
            <w:shd w:val="clear" w:color="auto" w:fill="B6EAFC"/>
          </w:tcPr>
          <w:p>
            <w:pPr>
              <w:spacing w:after="0"/>
              <w:rPr>
                <w:sz w:val="20"/>
                <w:szCs w:val="20"/>
                <w:color w:val="auto"/>
              </w:rPr>
            </w:pPr>
            <w:r>
              <w:rPr>
                <w:rFonts w:ascii="Arial" w:cs="Arial" w:eastAsia="Arial" w:hAnsi="Arial"/>
                <w:sz w:val="18"/>
                <w:szCs w:val="18"/>
                <w:color w:val="auto"/>
              </w:rPr>
              <w:t>Total</w:t>
            </w:r>
          </w:p>
        </w:tc>
        <w:tc>
          <w:tcPr>
            <w:tcW w:w="14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240" w:type="dxa"/>
            <w:vAlign w:val="bottom"/>
            <w:shd w:val="clear" w:color="auto" w:fill="B6EAFC"/>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320" w:type="dxa"/>
            <w:vAlign w:val="bottom"/>
            <w:shd w:val="clear" w:color="auto" w:fill="B6EA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240" w:type="dxa"/>
            <w:vAlign w:val="bottom"/>
            <w:shd w:val="clear" w:color="auto" w:fill="B6EAFC"/>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320" w:type="dxa"/>
            <w:vAlign w:val="bottom"/>
            <w:shd w:val="clear" w:color="auto" w:fill="B6EAFC"/>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40" w:type="dxa"/>
            <w:vAlign w:val="bottom"/>
            <w:vMerge w:val="restart"/>
            <w:shd w:val="clear" w:color="auto" w:fill="B6EAFC"/>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200" w:type="dxa"/>
            <w:vAlign w:val="bottom"/>
            <w:shd w:val="clear" w:color="auto" w:fill="B6EA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3240" w:type="dxa"/>
            <w:vAlign w:val="bottom"/>
            <w:vMerge w:val="continue"/>
            <w:shd w:val="clear" w:color="auto" w:fill="B6EAFC"/>
          </w:tcPr>
          <w:p>
            <w:pPr>
              <w:spacing w:after="0"/>
              <w:rPr>
                <w:sz w:val="19"/>
                <w:szCs w:val="19"/>
                <w:color w:val="auto"/>
              </w:rPr>
            </w:pPr>
          </w:p>
        </w:tc>
        <w:tc>
          <w:tcPr>
            <w:tcW w:w="140" w:type="dxa"/>
            <w:vAlign w:val="bottom"/>
            <w:shd w:val="clear" w:color="auto" w:fill="B6EAFC"/>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B6EAFC"/>
          </w:tcPr>
          <w:p>
            <w:pPr>
              <w:jc w:val="right"/>
              <w:spacing w:after="0"/>
              <w:rPr>
                <w:sz w:val="20"/>
                <w:szCs w:val="20"/>
                <w:color w:val="auto"/>
              </w:rPr>
            </w:pPr>
            <w:r>
              <w:rPr>
                <w:rFonts w:ascii="Arial" w:cs="Arial" w:eastAsia="Arial" w:hAnsi="Arial"/>
                <w:sz w:val="18"/>
                <w:szCs w:val="18"/>
                <w:color w:val="auto"/>
              </w:rPr>
              <w:t>6,838</w:t>
            </w:r>
          </w:p>
        </w:tc>
        <w:tc>
          <w:tcPr>
            <w:tcW w:w="240" w:type="dxa"/>
            <w:vAlign w:val="bottom"/>
            <w:shd w:val="clear" w:color="auto" w:fill="B6EAFC"/>
          </w:tcPr>
          <w:p>
            <w:pPr>
              <w:spacing w:after="0"/>
              <w:rPr>
                <w:sz w:val="19"/>
                <w:szCs w:val="19"/>
                <w:color w:val="auto"/>
              </w:rPr>
            </w:pPr>
          </w:p>
        </w:tc>
        <w:tc>
          <w:tcPr>
            <w:tcW w:w="1300" w:type="dxa"/>
            <w:vAlign w:val="bottom"/>
            <w:gridSpan w:val="2"/>
            <w:shd w:val="clear" w:color="auto" w:fill="B6EAFC"/>
          </w:tcPr>
          <w:p>
            <w:pPr>
              <w:jc w:val="right"/>
              <w:ind w:right="160"/>
              <w:spacing w:after="0"/>
              <w:rPr>
                <w:sz w:val="20"/>
                <w:szCs w:val="20"/>
                <w:color w:val="auto"/>
              </w:rPr>
            </w:pPr>
            <w:r>
              <w:rPr>
                <w:rFonts w:ascii="Arial" w:cs="Arial" w:eastAsia="Arial" w:hAnsi="Arial"/>
                <w:sz w:val="18"/>
                <w:szCs w:val="18"/>
                <w:color w:val="auto"/>
              </w:rPr>
              <w:t>100%</w:t>
            </w:r>
          </w:p>
        </w:tc>
        <w:tc>
          <w:tcPr>
            <w:tcW w:w="140" w:type="dxa"/>
            <w:vAlign w:val="bottom"/>
            <w:shd w:val="clear" w:color="auto" w:fill="B6EAFC"/>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B6EAFC"/>
          </w:tcPr>
          <w:p>
            <w:pPr>
              <w:jc w:val="right"/>
              <w:spacing w:after="0"/>
              <w:rPr>
                <w:sz w:val="20"/>
                <w:szCs w:val="20"/>
                <w:color w:val="auto"/>
              </w:rPr>
            </w:pPr>
            <w:r>
              <w:rPr>
                <w:rFonts w:ascii="Arial" w:cs="Arial" w:eastAsia="Arial" w:hAnsi="Arial"/>
                <w:sz w:val="18"/>
                <w:szCs w:val="18"/>
                <w:color w:val="auto"/>
              </w:rPr>
              <w:t>9,941</w:t>
            </w:r>
          </w:p>
        </w:tc>
        <w:tc>
          <w:tcPr>
            <w:tcW w:w="240" w:type="dxa"/>
            <w:vAlign w:val="bottom"/>
            <w:shd w:val="clear" w:color="auto" w:fill="B6EAFC"/>
          </w:tcPr>
          <w:p>
            <w:pPr>
              <w:spacing w:after="0"/>
              <w:rPr>
                <w:sz w:val="19"/>
                <w:szCs w:val="19"/>
                <w:color w:val="auto"/>
              </w:rPr>
            </w:pPr>
          </w:p>
        </w:tc>
        <w:tc>
          <w:tcPr>
            <w:tcW w:w="1320" w:type="dxa"/>
            <w:vAlign w:val="bottom"/>
            <w:gridSpan w:val="2"/>
            <w:shd w:val="clear" w:color="auto" w:fill="B6EAFC"/>
          </w:tcPr>
          <w:p>
            <w:pPr>
              <w:jc w:val="right"/>
              <w:ind w:right="180"/>
              <w:spacing w:after="0"/>
              <w:rPr>
                <w:sz w:val="20"/>
                <w:szCs w:val="20"/>
                <w:color w:val="auto"/>
              </w:rPr>
            </w:pPr>
            <w:r>
              <w:rPr>
                <w:rFonts w:ascii="Arial" w:cs="Arial" w:eastAsia="Arial" w:hAnsi="Arial"/>
                <w:sz w:val="18"/>
                <w:szCs w:val="18"/>
                <w:color w:val="auto"/>
              </w:rPr>
              <w:t>100%</w:t>
            </w:r>
          </w:p>
        </w:tc>
        <w:tc>
          <w:tcPr>
            <w:tcW w:w="540" w:type="dxa"/>
            <w:vAlign w:val="bottom"/>
            <w:shd w:val="clear" w:color="auto" w:fill="B6EAFC"/>
          </w:tcPr>
          <w:p>
            <w:pPr>
              <w:jc w:val="right"/>
              <w:ind w:right="386"/>
              <w:spacing w:after="0"/>
              <w:rPr>
                <w:sz w:val="20"/>
                <w:szCs w:val="20"/>
                <w:color w:val="auto"/>
              </w:rPr>
            </w:pPr>
            <w:r>
              <w:rPr>
                <w:rFonts w:ascii="Arial" w:cs="Arial" w:eastAsia="Arial" w:hAnsi="Arial"/>
                <w:sz w:val="15"/>
                <w:szCs w:val="15"/>
                <w:color w:val="auto"/>
                <w:w w:val="71"/>
              </w:rPr>
              <w:t>$</w:t>
            </w:r>
          </w:p>
        </w:tc>
        <w:tc>
          <w:tcPr>
            <w:tcW w:w="460" w:type="dxa"/>
            <w:vAlign w:val="bottom"/>
            <w:shd w:val="clear" w:color="auto" w:fill="B6EAFC"/>
          </w:tcPr>
          <w:p>
            <w:pPr>
              <w:jc w:val="right"/>
              <w:spacing w:after="0"/>
              <w:rPr>
                <w:sz w:val="20"/>
                <w:szCs w:val="20"/>
                <w:color w:val="auto"/>
              </w:rPr>
            </w:pPr>
            <w:r>
              <w:rPr>
                <w:rFonts w:ascii="Arial" w:cs="Arial" w:eastAsia="Arial" w:hAnsi="Arial"/>
                <w:sz w:val="18"/>
                <w:szCs w:val="18"/>
                <w:color w:val="auto"/>
                <w:w w:val="77"/>
              </w:rPr>
              <w:t>(3,103)</w:t>
            </w:r>
          </w:p>
        </w:tc>
        <w:tc>
          <w:tcPr>
            <w:tcW w:w="240" w:type="dxa"/>
            <w:vAlign w:val="bottom"/>
            <w:vMerge w:val="continue"/>
            <w:shd w:val="clear" w:color="auto" w:fill="B6EAFC"/>
          </w:tcPr>
          <w:p>
            <w:pPr>
              <w:spacing w:after="0"/>
              <w:rPr>
                <w:sz w:val="19"/>
                <w:szCs w:val="19"/>
                <w:color w:val="auto"/>
              </w:rPr>
            </w:pPr>
          </w:p>
        </w:tc>
        <w:tc>
          <w:tcPr>
            <w:tcW w:w="700" w:type="dxa"/>
            <w:vAlign w:val="bottom"/>
            <w:shd w:val="clear" w:color="auto" w:fill="B6EAFC"/>
          </w:tcPr>
          <w:p>
            <w:pPr>
              <w:spacing w:after="0"/>
              <w:rPr>
                <w:sz w:val="19"/>
                <w:szCs w:val="19"/>
                <w:color w:val="auto"/>
              </w:rPr>
            </w:pPr>
          </w:p>
        </w:tc>
        <w:tc>
          <w:tcPr>
            <w:tcW w:w="540" w:type="dxa"/>
            <w:vAlign w:val="bottom"/>
            <w:gridSpan w:val="2"/>
            <w:shd w:val="clear" w:color="auto" w:fill="B6EAFC"/>
          </w:tcPr>
          <w:p>
            <w:pPr>
              <w:jc w:val="right"/>
              <w:ind w:right="60"/>
              <w:spacing w:after="0"/>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20"/>
        </w:trPr>
        <w:tc>
          <w:tcPr>
            <w:tcW w:w="32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ind w:right="160" w:firstLine="518"/>
        <w:spacing w:after="0" w:line="259" w:lineRule="auto"/>
        <w:rPr>
          <w:sz w:val="20"/>
          <w:szCs w:val="20"/>
          <w:color w:val="auto"/>
        </w:rPr>
      </w:pPr>
      <w:r>
        <w:rPr>
          <w:rFonts w:ascii="Arial" w:cs="Arial" w:eastAsia="Arial" w:hAnsi="Arial"/>
          <w:sz w:val="18"/>
          <w:szCs w:val="18"/>
          <w:color w:val="auto"/>
        </w:rPr>
        <w:t>Professional/outside services include legal, accounting, consulting and other outside services retained by the Company. All periods include normally recurring legal and audit expenses related to SEC compliance and other corporate matters. Professional/outside services expense decreased $1,286,000 from $4,201,000 during the year ended September 30, 2016 to $2,915,000 during the current period. The decrease primarily related to higher legal fees in the previous periods related to litigation cases.</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47" w:name="page48"/>
    <w:bookmarkEnd w:id="47"/>
    <w:p>
      <w:pPr>
        <w:ind w:right="200" w:firstLine="518"/>
        <w:spacing w:after="0" w:line="279" w:lineRule="auto"/>
        <w:rPr>
          <w:sz w:val="20"/>
          <w:szCs w:val="20"/>
          <w:color w:val="auto"/>
        </w:rPr>
      </w:pPr>
      <w:r>
        <w:rPr>
          <w:rFonts w:ascii="Arial" w:cs="Arial" w:eastAsia="Arial" w:hAnsi="Arial"/>
          <w:sz w:val="17"/>
          <w:szCs w:val="17"/>
          <w:color w:val="auto"/>
        </w:rPr>
        <w:t>Patent expense decreased $375,000 from $1,529,000 during the year ended September 30, 2016 to $1,154,000 during the current period. The Company continues to invest in patent protection for its product candidates and other RNAi technology through patent filings in numerous countries. The Company expects to extend and maintain protection for its current portfolios, as appropriate, and file new patent applications as technologies are developed and improved. Expenses can vary from period to period as patents proceed through their prosecution life cycle.</w:t>
      </w:r>
    </w:p>
    <w:p>
      <w:pPr>
        <w:spacing w:after="0" w:line="171" w:lineRule="exact"/>
        <w:rPr>
          <w:sz w:val="20"/>
          <w:szCs w:val="20"/>
          <w:color w:val="auto"/>
        </w:rPr>
      </w:pPr>
    </w:p>
    <w:p>
      <w:pPr>
        <w:ind w:firstLine="518"/>
        <w:spacing w:after="0" w:line="277" w:lineRule="auto"/>
        <w:rPr>
          <w:sz w:val="20"/>
          <w:szCs w:val="20"/>
          <w:color w:val="auto"/>
        </w:rPr>
      </w:pPr>
      <w:r>
        <w:rPr>
          <w:rFonts w:ascii="Arial" w:cs="Arial" w:eastAsia="Arial" w:hAnsi="Arial"/>
          <w:sz w:val="18"/>
          <w:szCs w:val="18"/>
          <w:color w:val="auto"/>
        </w:rPr>
        <w:t>Facilities-related expense was consistent at $320,000 during the year ended September 30, 2016 and $327,000 in the current period. Facilities expense represents the expense associated with our corporate headquarters in Pasadena.</w:t>
      </w:r>
    </w:p>
    <w:p>
      <w:pPr>
        <w:spacing w:after="0" w:line="170" w:lineRule="exact"/>
        <w:rPr>
          <w:sz w:val="20"/>
          <w:szCs w:val="20"/>
          <w:color w:val="auto"/>
        </w:rPr>
      </w:pPr>
    </w:p>
    <w:p>
      <w:pPr>
        <w:jc w:val="both"/>
        <w:ind w:right="40" w:firstLine="518"/>
        <w:spacing w:after="0" w:line="264" w:lineRule="auto"/>
        <w:rPr>
          <w:sz w:val="20"/>
          <w:szCs w:val="20"/>
          <w:color w:val="auto"/>
        </w:rPr>
      </w:pPr>
      <w:r>
        <w:rPr>
          <w:rFonts w:ascii="Arial" w:cs="Arial" w:eastAsia="Arial" w:hAnsi="Arial"/>
          <w:sz w:val="18"/>
          <w:szCs w:val="18"/>
          <w:color w:val="auto"/>
        </w:rPr>
        <w:t>Travel expense decreased $151,000 from $864,000 during the year ended September 30, 2016 to $713,000 during the current period. Travel expense decreased due to the discontinuation of our clinical trials in November 2016 and a reduction in R&amp;D headcount. We anticipate this expense to increase in the near term as our next generation candidates approach the clinic.</w:t>
      </w:r>
    </w:p>
    <w:p>
      <w:pPr>
        <w:spacing w:after="0" w:line="181" w:lineRule="exact"/>
        <w:rPr>
          <w:sz w:val="20"/>
          <w:szCs w:val="20"/>
          <w:color w:val="auto"/>
        </w:rPr>
      </w:pPr>
    </w:p>
    <w:p>
      <w:pPr>
        <w:ind w:left="520"/>
        <w:spacing w:after="0"/>
        <w:rPr>
          <w:sz w:val="20"/>
          <w:szCs w:val="20"/>
          <w:color w:val="auto"/>
        </w:rPr>
      </w:pPr>
      <w:r>
        <w:rPr>
          <w:rFonts w:ascii="Arial" w:cs="Arial" w:eastAsia="Arial" w:hAnsi="Arial"/>
          <w:sz w:val="17"/>
          <w:szCs w:val="17"/>
          <w:color w:val="auto"/>
        </w:rPr>
        <w:t>Business insurance expense decreased $41,000 from $632,000 during the year ended September 30, 2016 to $591,000 during the current</w:t>
      </w:r>
    </w:p>
    <w:p>
      <w:pPr>
        <w:spacing w:after="0" w:line="35" w:lineRule="exact"/>
        <w:rPr>
          <w:sz w:val="20"/>
          <w:szCs w:val="20"/>
          <w:color w:val="auto"/>
        </w:rPr>
      </w:pPr>
    </w:p>
    <w:p>
      <w:pPr>
        <w:ind w:right="180"/>
        <w:spacing w:after="0" w:line="261" w:lineRule="auto"/>
        <w:rPr>
          <w:sz w:val="20"/>
          <w:szCs w:val="20"/>
          <w:color w:val="auto"/>
        </w:rPr>
      </w:pPr>
      <w:r>
        <w:rPr>
          <w:rFonts w:ascii="Arial" w:cs="Arial" w:eastAsia="Arial" w:hAnsi="Arial"/>
          <w:sz w:val="18"/>
          <w:szCs w:val="18"/>
          <w:color w:val="auto"/>
        </w:rPr>
        <w:t>period. Business insurance costs consist of directors and officers insurance, property insurance, corporate liability insurance, as well as insurance related to our previous clinical programs.</w:t>
      </w:r>
    </w:p>
    <w:p>
      <w:pPr>
        <w:spacing w:after="0" w:line="184" w:lineRule="exact"/>
        <w:rPr>
          <w:sz w:val="20"/>
          <w:szCs w:val="20"/>
          <w:color w:val="auto"/>
        </w:rPr>
      </w:pPr>
    </w:p>
    <w:p>
      <w:pPr>
        <w:jc w:val="both"/>
        <w:ind w:right="520" w:firstLine="518"/>
        <w:spacing w:after="0" w:line="264" w:lineRule="auto"/>
        <w:rPr>
          <w:sz w:val="20"/>
          <w:szCs w:val="20"/>
          <w:color w:val="auto"/>
        </w:rPr>
      </w:pPr>
      <w:r>
        <w:rPr>
          <w:rFonts w:ascii="Arial" w:cs="Arial" w:eastAsia="Arial" w:hAnsi="Arial"/>
          <w:sz w:val="18"/>
          <w:szCs w:val="18"/>
          <w:color w:val="auto"/>
        </w:rPr>
        <w:t>Communication and technology expense decreased $260,000 from $686,000 during the year ended September 30, 2016 to $426,000 during the current period. This category includes costs associated with the Company’s IT infrastructure. The decrease was primarily due to several IT consulting projects completed during fiscal 2016.</w:t>
      </w:r>
    </w:p>
    <w:p>
      <w:pPr>
        <w:spacing w:after="0" w:line="181" w:lineRule="exact"/>
        <w:rPr>
          <w:sz w:val="20"/>
          <w:szCs w:val="20"/>
          <w:color w:val="auto"/>
        </w:rPr>
      </w:pPr>
    </w:p>
    <w:p>
      <w:pPr>
        <w:ind w:right="160" w:firstLine="518"/>
        <w:spacing w:after="0" w:line="259" w:lineRule="auto"/>
        <w:rPr>
          <w:sz w:val="20"/>
          <w:szCs w:val="20"/>
          <w:color w:val="auto"/>
        </w:rPr>
      </w:pPr>
      <w:r>
        <w:rPr>
          <w:rFonts w:ascii="Arial" w:cs="Arial" w:eastAsia="Arial" w:hAnsi="Arial"/>
          <w:sz w:val="18"/>
          <w:szCs w:val="18"/>
          <w:color w:val="auto"/>
        </w:rPr>
        <w:t>Office expense increased $260,000 from $303,000 during the year ended September 30, 2016 to $563,000 during the current period. These expenses relate to conferences/training, office supplies, miscellaneous administrative expenses, and expenses related to office expansions at our R&amp;D facility in Madison, Wisconsin and our corporate headquarters in Pasadena, California. The increase is primarily related to moving expenses for the Company’s move to its new facility in Madison, Wisconsin.</w:t>
      </w:r>
    </w:p>
    <w:p>
      <w:pPr>
        <w:spacing w:after="0" w:line="187" w:lineRule="exact"/>
        <w:rPr>
          <w:sz w:val="20"/>
          <w:szCs w:val="20"/>
          <w:color w:val="auto"/>
        </w:rPr>
      </w:pPr>
    </w:p>
    <w:p>
      <w:pPr>
        <w:ind w:right="60" w:firstLine="518"/>
        <w:spacing w:after="0" w:line="264" w:lineRule="auto"/>
        <w:rPr>
          <w:sz w:val="20"/>
          <w:szCs w:val="20"/>
          <w:color w:val="auto"/>
        </w:rPr>
      </w:pPr>
      <w:r>
        <w:rPr>
          <w:rFonts w:ascii="Arial" w:cs="Arial" w:eastAsia="Arial" w:hAnsi="Arial"/>
          <w:sz w:val="18"/>
          <w:szCs w:val="18"/>
          <w:color w:val="auto"/>
        </w:rPr>
        <w:t>Other expense decreased $1,257,000 from $1,406,000 during the year ended September 30, 2016 to $149,000 during the current period. This category consists primarily of conference attendance fees, franchise and property tax expenses and marketing expenses. The decrease in other expense relates to litigation in the fiscal 2016 periods that was settled.</w:t>
      </w:r>
    </w:p>
    <w:p>
      <w:pPr>
        <w:spacing w:after="0" w:line="181"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Stock-based compensation expense</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6"/>
          <w:szCs w:val="16"/>
          <w:color w:val="auto"/>
        </w:rPr>
        <w:t>Stock-based compensation expense, a noncash expense, decreased $3,704,221 from $11,595,816 during the year ended September 30, 2016 to</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$7,891,595 during the current period. Stock-based compensation expense is based upon the valuation of stock options and restricted stock units granted to</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employees, directors, and certain consultants. Many variables affect the amount expensed, including the Company’s stock price on the date of the grant, as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well as other assumptions. The decrease in the expense in each period is primarily related to the decrease in the Company’s stock price, which is a key input</w:t>
      </w:r>
    </w:p>
    <w:p>
      <w:pPr>
        <w:spacing w:after="0" w:line="45" w:lineRule="exact"/>
        <w:rPr>
          <w:sz w:val="20"/>
          <w:szCs w:val="20"/>
          <w:color w:val="auto"/>
        </w:rPr>
      </w:pPr>
    </w:p>
    <w:p>
      <w:pPr>
        <w:spacing w:after="0"/>
        <w:rPr>
          <w:sz w:val="20"/>
          <w:szCs w:val="20"/>
          <w:color w:val="auto"/>
        </w:rPr>
      </w:pPr>
      <w:r>
        <w:rPr>
          <w:rFonts w:ascii="Arial" w:cs="Arial" w:eastAsia="Arial" w:hAnsi="Arial"/>
          <w:sz w:val="18"/>
          <w:szCs w:val="18"/>
          <w:color w:val="auto"/>
        </w:rPr>
        <w:t>in deriving the valuations of the awards.</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Depreciation and amortization expense</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6"/>
          <w:szCs w:val="16"/>
          <w:color w:val="auto"/>
        </w:rPr>
        <w:t>Depreciation and amortization expense, a noncash expense, increased $1,430,095 from $3,260,045 during the year ended September 30, 2016 to</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color w:val="auto"/>
        </w:rPr>
        <w:t>$4,690,440 during the current period. The majority of depreciation and amortization expense relates to depreciation on lab equipment. In addition, the</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Company records depreciation on leasehold improvements at its Madison, Wisconsin research facility and its Pasadena, California corporate</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headquarters. The increase in depreciation and amortization expense is primarily due to the depreciation on leasehold improvements at the Company’s new</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Madison, Wisconsin research facility in the current period.</w:t>
      </w:r>
    </w:p>
    <w:p>
      <w:pPr>
        <w:spacing w:after="0" w:line="319"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Impairment expense</w:t>
      </w:r>
    </w:p>
    <w:p>
      <w:pPr>
        <w:spacing w:after="0" w:line="117" w:lineRule="exact"/>
        <w:rPr>
          <w:sz w:val="20"/>
          <w:szCs w:val="20"/>
          <w:color w:val="auto"/>
        </w:rPr>
      </w:pPr>
    </w:p>
    <w:p>
      <w:pPr>
        <w:ind w:right="40" w:firstLine="588"/>
        <w:spacing w:after="0" w:line="291" w:lineRule="auto"/>
        <w:rPr>
          <w:sz w:val="20"/>
          <w:szCs w:val="20"/>
          <w:color w:val="auto"/>
        </w:rPr>
      </w:pPr>
      <w:r>
        <w:rPr>
          <w:rFonts w:ascii="Arial" w:cs="Arial" w:eastAsia="Arial" w:hAnsi="Arial"/>
          <w:sz w:val="16"/>
          <w:szCs w:val="16"/>
          <w:color w:val="auto"/>
        </w:rPr>
        <w:t>Impairment expense, a noncash expense, was $2,050,817 during the year ended September 30, 2016 and $0 during the current period. During the previous period, the Company recognized an impairment expense of $1.1 million related to leasehold improvements at its previous research facility in Madison, Wisconsin. This amount represented the entire net book value remaining for the leasehold improvements associated with the previous facility, and was recognized during the year ended September 30, 2016 as the Company moved into a larger research facility. During the previous period, the Company also recognized a $0.9 million impairment expense related to acquired in-process research and development assets that were acquired in the acquisition of the Roche RNAi business. In November 2016, the Company announced the discontinuation of its clinical trial efforts for ARC-520, ARC-AAT and ARC-521. Given this development, the Company assessed the fair value of this indefinite-lived intangible asset to be $0 at September 30, 2016.</w:t>
      </w:r>
    </w:p>
    <w:p>
      <w:pPr>
        <w:spacing w:after="0" w:line="275"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Contingent Consideration – Fair Value Adjustments</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341" w:right="259" w:bottom="1440" w:gutter="0" w:footer="0" w:header="0"/>
        </w:sectPr>
      </w:pPr>
    </w:p>
    <w:bookmarkStart w:id="48" w:name="page49"/>
    <w:bookmarkEnd w:id="48"/>
    <w:p>
      <w:pPr>
        <w:ind w:left="600"/>
        <w:spacing w:after="0"/>
        <w:rPr>
          <w:sz w:val="20"/>
          <w:szCs w:val="20"/>
          <w:color w:val="auto"/>
        </w:rPr>
      </w:pPr>
      <w:r>
        <w:rPr>
          <w:rFonts w:ascii="Arial" w:cs="Arial" w:eastAsia="Arial" w:hAnsi="Arial"/>
          <w:sz w:val="17"/>
          <w:szCs w:val="17"/>
          <w:color w:val="auto"/>
        </w:rPr>
        <w:t>Contingent Consideration – Fair Value Adjustments was ($5,862,464) during the year ended September 30, 2016 and $0 during the current</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period. Contingent consideration resulting from the acquisition of Roche’s RNAi business is calculated by modeling research and development activities for</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clinical candidates, forecasting timelines to market, and using “peak sales” estimate modeling, cash flows and potential milestone and royalty payments. The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modeling assumes certain success rates and discount factors related to riskiness of projects and the time value of money to calculate a net present value of</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future consideration payments to Roche. Each reporting period, the Company re-evaluates its contingent consideration, and if material, makes adjustments to</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the recorded liability. In November 2016, the Company announced the discontinuation of its clinical trial efforts for ARC-520, ARC-AAT and ARC-</w:t>
      </w:r>
    </w:p>
    <w:p>
      <w:pPr>
        <w:spacing w:after="0" w:line="21" w:lineRule="exact"/>
        <w:rPr>
          <w:sz w:val="20"/>
          <w:szCs w:val="20"/>
          <w:color w:val="auto"/>
        </w:rPr>
      </w:pPr>
    </w:p>
    <w:p>
      <w:pPr>
        <w:ind w:right="180" w:firstLine="8"/>
        <w:spacing w:after="0" w:line="261" w:lineRule="auto"/>
        <w:tabs>
          <w:tab w:leader="none" w:pos="405" w:val="left"/>
        </w:tabs>
        <w:numPr>
          <w:ilvl w:val="0"/>
          <w:numId w:val="29"/>
        </w:numPr>
        <w:rPr>
          <w:rFonts w:ascii="Arial" w:cs="Arial" w:eastAsia="Arial" w:hAnsi="Arial"/>
          <w:sz w:val="18"/>
          <w:szCs w:val="18"/>
          <w:color w:val="auto"/>
        </w:rPr>
      </w:pPr>
      <w:r>
        <w:rPr>
          <w:rFonts w:ascii="Arial" w:cs="Arial" w:eastAsia="Arial" w:hAnsi="Arial"/>
          <w:sz w:val="18"/>
          <w:szCs w:val="18"/>
          <w:color w:val="auto"/>
        </w:rPr>
        <w:t>Given this development, the Company assessed the fair value of its contingent consideration obligation to be $0 at September 30, 2016 and September 30, 2017.</w:t>
      </w:r>
    </w:p>
    <w:p>
      <w:pPr>
        <w:spacing w:after="0" w:line="292"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Other Income / Expense</w:t>
      </w:r>
    </w:p>
    <w:p>
      <w:pPr>
        <w:spacing w:after="0" w:line="117" w:lineRule="exact"/>
        <w:rPr>
          <w:sz w:val="20"/>
          <w:szCs w:val="20"/>
          <w:color w:val="auto"/>
        </w:rPr>
      </w:pPr>
    </w:p>
    <w:p>
      <w:pPr>
        <w:ind w:right="20" w:firstLine="518"/>
        <w:spacing w:after="0" w:line="255" w:lineRule="auto"/>
        <w:rPr>
          <w:sz w:val="20"/>
          <w:szCs w:val="20"/>
          <w:color w:val="auto"/>
        </w:rPr>
      </w:pPr>
      <w:r>
        <w:rPr>
          <w:rFonts w:ascii="Arial" w:cs="Arial" w:eastAsia="Arial" w:hAnsi="Arial"/>
          <w:sz w:val="18"/>
          <w:szCs w:val="18"/>
          <w:color w:val="auto"/>
        </w:rPr>
        <w:t>Other income / expense was income of $22,124 during the year ended September 30, 2016 as compared to income of $2,618,014 during the current period. The largest component of other income / expense in the current period was $1.3 million in other income due to an insurance settlement related to one of the Company’s recent litigation cases. The settlement amount was received in fiscal 2017. The other significant component of other income / expense is related to the change in the value of derivative liabilities related to certain warrants with a price adjustment feature, which requires derivative accounting. The change in value of derivative liabilities was an expense of approximately $0.3 million in 2016 and an income of approximately $0.9 million in the current period. The fluctuations in each period were primarily driven by changes in the Company’s stock price, which had a corresponding impact on the valuation of the underlying warrant liability.</w:t>
      </w:r>
    </w:p>
    <w:p>
      <w:pPr>
        <w:spacing w:after="0" w:line="2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 Comparison for 2016 and 2015</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Revenues</w:t>
      </w:r>
    </w:p>
    <w:p>
      <w:pPr>
        <w:spacing w:after="0" w:line="121" w:lineRule="exact"/>
        <w:rPr>
          <w:sz w:val="20"/>
          <w:szCs w:val="20"/>
          <w:color w:val="auto"/>
        </w:rPr>
      </w:pPr>
    </w:p>
    <w:p>
      <w:pPr>
        <w:ind w:right="340" w:firstLine="518"/>
        <w:spacing w:after="0" w:line="264" w:lineRule="auto"/>
        <w:rPr>
          <w:sz w:val="20"/>
          <w:szCs w:val="20"/>
          <w:color w:val="auto"/>
        </w:rPr>
      </w:pPr>
      <w:r>
        <w:rPr>
          <w:rFonts w:ascii="Arial" w:cs="Arial" w:eastAsia="Arial" w:hAnsi="Arial"/>
          <w:sz w:val="18"/>
          <w:szCs w:val="18"/>
          <w:color w:val="auto"/>
        </w:rPr>
        <w:t>Total revenue was $158,333 for the year ended September 30, 2016 and $382,000 for the year ended September 30, 2015. Revenue during these periods is primarily related to licensed technology. In addition, the Company had collaboration revenue of $160,000 during the year ended September 30, 2015.</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Operating Expenses</w:t>
      </w:r>
    </w:p>
    <w:p>
      <w:pPr>
        <w:spacing w:after="0" w:line="121" w:lineRule="exact"/>
        <w:rPr>
          <w:sz w:val="20"/>
          <w:szCs w:val="20"/>
          <w:color w:val="auto"/>
        </w:rPr>
      </w:pPr>
    </w:p>
    <w:p>
      <w:pPr>
        <w:ind w:right="120" w:firstLine="518"/>
        <w:spacing w:after="0" w:line="264" w:lineRule="auto"/>
        <w:rPr>
          <w:sz w:val="20"/>
          <w:szCs w:val="20"/>
          <w:color w:val="auto"/>
        </w:rPr>
      </w:pPr>
      <w:r>
        <w:rPr>
          <w:rFonts w:ascii="Arial" w:cs="Arial" w:eastAsia="Arial" w:hAnsi="Arial"/>
          <w:sz w:val="18"/>
          <w:szCs w:val="18"/>
          <w:color w:val="auto"/>
        </w:rPr>
        <w:t>The analysis below details the operating expenses and discusses the expenditures of the Company within the major expense categories. Certain reclassifications have been made to prior-period operating expense categories to conform to the current period presentation. For purposes of comparison, the amounts for the years ended September 30, 2016 and 2015 are shown in the tables below.</w:t>
      </w:r>
    </w:p>
    <w:p>
      <w:pPr>
        <w:spacing w:after="0" w:line="289"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Research and Development Expenses</w:t>
      </w:r>
    </w:p>
    <w:p>
      <w:pPr>
        <w:spacing w:after="0" w:line="117" w:lineRule="exact"/>
        <w:rPr>
          <w:sz w:val="20"/>
          <w:szCs w:val="20"/>
          <w:color w:val="auto"/>
        </w:rPr>
      </w:pPr>
    </w:p>
    <w:p>
      <w:pPr>
        <w:ind w:right="320" w:firstLine="518"/>
        <w:spacing w:after="0" w:line="259" w:lineRule="auto"/>
        <w:rPr>
          <w:sz w:val="20"/>
          <w:szCs w:val="20"/>
          <w:color w:val="auto"/>
        </w:rPr>
      </w:pPr>
      <w:r>
        <w:rPr>
          <w:rFonts w:ascii="Arial" w:cs="Arial" w:eastAsia="Arial" w:hAnsi="Arial"/>
          <w:sz w:val="18"/>
          <w:szCs w:val="18"/>
          <w:color w:val="auto"/>
        </w:rPr>
        <w:t>R&amp;D expenses are related to the Company’s on-going research and development efforts, primarily related to program costs, composed primarily of outsourced costs related to the manufacturing of clinical supplies, toxicity/efficacy studies and clinical trial expenses. Internal costs primarily relate to operations at our research and development facility in Madison, Wisconsin, including facility costs and laboratory-related expenses. The following table provides details of research and development expense for the periods indicated:</w:t>
      </w:r>
    </w:p>
    <w:p>
      <w:pPr>
        <w:spacing w:after="0" w:line="187"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(in thousands)</w:t>
      </w:r>
    </w:p>
    <w:p>
      <w:pPr>
        <w:spacing w:after="0" w:line="200" w:lineRule="exact"/>
        <w:rPr>
          <w:sz w:val="20"/>
          <w:szCs w:val="20"/>
          <w:color w:val="auto"/>
        </w:rPr>
      </w:pPr>
    </w:p>
    <w:p>
      <w:pPr>
        <w:spacing w:after="0" w:line="24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40" w:type="dxa"/>
            <w:vAlign w:val="bottom"/>
            <w:gridSpan w:val="3"/>
          </w:tcPr>
          <w:p>
            <w:pPr>
              <w:jc w:val="center"/>
              <w:ind w:right="420"/>
              <w:spacing w:after="0"/>
              <w:rPr>
                <w:sz w:val="20"/>
                <w:szCs w:val="20"/>
                <w:color w:val="auto"/>
              </w:rPr>
            </w:pPr>
            <w:r>
              <w:rPr>
                <w:rFonts w:ascii="Arial" w:cs="Arial" w:eastAsia="Arial" w:hAnsi="Arial"/>
                <w:sz w:val="14"/>
                <w:szCs w:val="14"/>
                <w:b w:val="1"/>
                <w:bCs w:val="1"/>
                <w:color w:val="auto"/>
                <w:w w:val="93"/>
              </w:rPr>
              <w:t>Twelve Months</w:t>
            </w:r>
          </w:p>
        </w:tc>
        <w:tc>
          <w:tcPr>
            <w:tcW w:w="1360" w:type="dxa"/>
            <w:vAlign w:val="bottom"/>
            <w:gridSpan w:val="2"/>
            <w:vMerge w:val="restart"/>
          </w:tcPr>
          <w:p>
            <w:pPr>
              <w:jc w:val="center"/>
              <w:ind w:right="360"/>
              <w:spacing w:after="0"/>
              <w:rPr>
                <w:sz w:val="20"/>
                <w:szCs w:val="20"/>
                <w:color w:val="auto"/>
              </w:rPr>
            </w:pPr>
            <w:r>
              <w:rPr>
                <w:rFonts w:ascii="Arial" w:cs="Arial" w:eastAsia="Arial" w:hAnsi="Arial"/>
                <w:sz w:val="14"/>
                <w:szCs w:val="14"/>
                <w:b w:val="1"/>
                <w:bCs w:val="1"/>
                <w:color w:val="auto"/>
                <w:w w:val="92"/>
              </w:rPr>
              <w:t>% of Expense</w:t>
            </w:r>
          </w:p>
        </w:tc>
        <w:tc>
          <w:tcPr>
            <w:tcW w:w="120" w:type="dxa"/>
            <w:vAlign w:val="bottom"/>
          </w:tcPr>
          <w:p>
            <w:pPr>
              <w:spacing w:after="0"/>
              <w:rPr>
                <w:sz w:val="14"/>
                <w:szCs w:val="14"/>
                <w:color w:val="auto"/>
              </w:rPr>
            </w:pPr>
          </w:p>
        </w:tc>
        <w:tc>
          <w:tcPr>
            <w:tcW w:w="140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3"/>
              </w:rPr>
              <w:t>Twelve Months</w:t>
            </w:r>
          </w:p>
        </w:tc>
        <w:tc>
          <w:tcPr>
            <w:tcW w:w="1300" w:type="dxa"/>
            <w:vAlign w:val="bottom"/>
            <w:gridSpan w:val="2"/>
            <w:vMerge w:val="restart"/>
          </w:tcPr>
          <w:p>
            <w:pPr>
              <w:jc w:val="center"/>
              <w:ind w:right="340"/>
              <w:spacing w:after="0"/>
              <w:rPr>
                <w:sz w:val="20"/>
                <w:szCs w:val="20"/>
                <w:color w:val="auto"/>
              </w:rPr>
            </w:pPr>
            <w:r>
              <w:rPr>
                <w:rFonts w:ascii="Arial" w:cs="Arial" w:eastAsia="Arial" w:hAnsi="Arial"/>
                <w:sz w:val="14"/>
                <w:szCs w:val="14"/>
                <w:b w:val="1"/>
                <w:bCs w:val="1"/>
                <w:color w:val="auto"/>
                <w:w w:val="92"/>
              </w:rPr>
              <w:t>% of Expense</w:t>
            </w:r>
          </w:p>
        </w:tc>
        <w:tc>
          <w:tcPr>
            <w:tcW w:w="260" w:type="dxa"/>
            <w:vAlign w:val="bottom"/>
          </w:tcPr>
          <w:p>
            <w:pPr>
              <w:spacing w:after="0"/>
              <w:rPr>
                <w:sz w:val="14"/>
                <w:szCs w:val="14"/>
                <w:color w:val="auto"/>
              </w:rPr>
            </w:pPr>
          </w:p>
        </w:tc>
        <w:tc>
          <w:tcPr>
            <w:tcW w:w="2160" w:type="dxa"/>
            <w:vAlign w:val="bottom"/>
            <w:gridSpan w:val="5"/>
            <w:vMerge w:val="restart"/>
          </w:tcPr>
          <w:p>
            <w:pPr>
              <w:jc w:val="right"/>
              <w:ind w:right="720"/>
              <w:spacing w:after="0"/>
              <w:rPr>
                <w:sz w:val="20"/>
                <w:szCs w:val="20"/>
                <w:color w:val="auto"/>
              </w:rPr>
            </w:pPr>
            <w:r>
              <w:rPr>
                <w:rFonts w:ascii="Arial" w:cs="Arial" w:eastAsia="Arial" w:hAnsi="Arial"/>
                <w:sz w:val="14"/>
                <w:szCs w:val="14"/>
                <w:b w:val="1"/>
                <w:bCs w:val="1"/>
                <w:color w:val="auto"/>
              </w:rPr>
              <w:t>Increase (Decrease)</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40" w:type="dxa"/>
            <w:vAlign w:val="bottom"/>
            <w:gridSpan w:val="3"/>
          </w:tcPr>
          <w:p>
            <w:pPr>
              <w:jc w:val="center"/>
              <w:ind w:right="400"/>
              <w:spacing w:after="0"/>
              <w:rPr>
                <w:sz w:val="20"/>
                <w:szCs w:val="20"/>
                <w:color w:val="auto"/>
              </w:rPr>
            </w:pPr>
            <w:r>
              <w:rPr>
                <w:rFonts w:ascii="Arial" w:cs="Arial" w:eastAsia="Arial" w:hAnsi="Arial"/>
                <w:sz w:val="14"/>
                <w:szCs w:val="14"/>
                <w:b w:val="1"/>
                <w:bCs w:val="1"/>
                <w:color w:val="auto"/>
                <w:w w:val="93"/>
              </w:rPr>
              <w:t>Ended</w:t>
            </w:r>
          </w:p>
        </w:tc>
        <w:tc>
          <w:tcPr>
            <w:tcW w:w="136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140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3"/>
              </w:rPr>
              <w:t>Ended</w:t>
            </w:r>
          </w:p>
        </w:tc>
        <w:tc>
          <w:tcPr>
            <w:tcW w:w="1300" w:type="dxa"/>
            <w:vAlign w:val="bottom"/>
            <w:gridSpan w:val="2"/>
            <w:vMerge w:val="continue"/>
          </w:tcPr>
          <w:p>
            <w:pPr>
              <w:spacing w:after="0"/>
              <w:rPr>
                <w:sz w:val="14"/>
                <w:szCs w:val="14"/>
                <w:color w:val="auto"/>
              </w:rPr>
            </w:pPr>
          </w:p>
        </w:tc>
        <w:tc>
          <w:tcPr>
            <w:tcW w:w="260" w:type="dxa"/>
            <w:vAlign w:val="bottom"/>
          </w:tcPr>
          <w:p>
            <w:pPr>
              <w:spacing w:after="0"/>
              <w:rPr>
                <w:sz w:val="14"/>
                <w:szCs w:val="14"/>
                <w:color w:val="auto"/>
              </w:rPr>
            </w:pPr>
          </w:p>
        </w:tc>
        <w:tc>
          <w:tcPr>
            <w:tcW w:w="2160" w:type="dxa"/>
            <w:vAlign w:val="bottom"/>
            <w:gridSpan w:val="5"/>
            <w:vMerge w:val="continue"/>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3240" w:type="dxa"/>
            <w:vAlign w:val="bottom"/>
            <w:tcBorders>
              <w:bottom w:val="single" w:sz="8" w:color="B6EAFC"/>
            </w:tcBorders>
          </w:tcPr>
          <w:p>
            <w:pPr>
              <w:spacing w:after="0"/>
              <w:rPr>
                <w:sz w:val="14"/>
                <w:szCs w:val="14"/>
                <w:color w:val="auto"/>
              </w:rPr>
            </w:pPr>
          </w:p>
        </w:tc>
        <w:tc>
          <w:tcPr>
            <w:tcW w:w="132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91"/>
              </w:rPr>
              <w:t>September 30, 2016</w:t>
            </w:r>
          </w:p>
        </w:tc>
        <w:tc>
          <w:tcPr>
            <w:tcW w:w="100" w:type="dxa"/>
            <w:vAlign w:val="bottom"/>
            <w:tcBorders>
              <w:bottom w:val="single" w:sz="8" w:color="B6EAFC"/>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Category</w:t>
            </w:r>
          </w:p>
        </w:tc>
        <w:tc>
          <w:tcPr>
            <w:tcW w:w="360" w:type="dxa"/>
            <w:vAlign w:val="bottom"/>
            <w:tcBorders>
              <w:bottom w:val="single" w:sz="8" w:color="B6EAFC"/>
            </w:tcBorders>
          </w:tcPr>
          <w:p>
            <w:pPr>
              <w:spacing w:after="0"/>
              <w:rPr>
                <w:sz w:val="14"/>
                <w:szCs w:val="14"/>
                <w:color w:val="auto"/>
              </w:rPr>
            </w:pPr>
          </w:p>
        </w:tc>
        <w:tc>
          <w:tcPr>
            <w:tcW w:w="128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91"/>
              </w:rPr>
              <w:t>September 30, 2015</w:t>
            </w:r>
          </w:p>
        </w:tc>
        <w:tc>
          <w:tcPr>
            <w:tcW w:w="240" w:type="dxa"/>
            <w:vAlign w:val="bottom"/>
            <w:tcBorders>
              <w:bottom w:val="single" w:sz="8" w:color="B6EAFC"/>
            </w:tcBorders>
          </w:tcPr>
          <w:p>
            <w:pPr>
              <w:spacing w:after="0"/>
              <w:rPr>
                <w:sz w:val="14"/>
                <w:szCs w:val="14"/>
                <w:color w:val="auto"/>
              </w:rPr>
            </w:pPr>
          </w:p>
        </w:tc>
        <w:tc>
          <w:tcPr>
            <w:tcW w:w="9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Category</w:t>
            </w:r>
          </w:p>
        </w:tc>
        <w:tc>
          <w:tcPr>
            <w:tcW w:w="320" w:type="dxa"/>
            <w:vAlign w:val="bottom"/>
            <w:tcBorders>
              <w:bottom w:val="single" w:sz="8" w:color="B6EAFC"/>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ind w:right="373"/>
              <w:spacing w:after="0"/>
              <w:rPr>
                <w:sz w:val="20"/>
                <w:szCs w:val="20"/>
                <w:color w:val="auto"/>
              </w:rPr>
            </w:pPr>
            <w:r>
              <w:rPr>
                <w:rFonts w:ascii="Arial" w:cs="Arial" w:eastAsia="Arial" w:hAnsi="Arial"/>
                <w:sz w:val="14"/>
                <w:szCs w:val="14"/>
                <w:b w:val="1"/>
                <w:bCs w:val="1"/>
                <w:color w:val="auto"/>
              </w:rPr>
              <w:t>$</w:t>
            </w:r>
          </w:p>
        </w:tc>
        <w:tc>
          <w:tcPr>
            <w:tcW w:w="100" w:type="dxa"/>
            <w:vAlign w:val="bottom"/>
            <w:tcBorders>
              <w:bottom w:val="single" w:sz="8" w:color="B6EAFC"/>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right"/>
              <w:ind w:right="312"/>
              <w:spacing w:after="0"/>
              <w:rPr>
                <w:sz w:val="20"/>
                <w:szCs w:val="20"/>
                <w:color w:val="auto"/>
              </w:rPr>
            </w:pPr>
            <w:r>
              <w:rPr>
                <w:rFonts w:ascii="Arial" w:cs="Arial" w:eastAsia="Arial" w:hAnsi="Arial"/>
                <w:sz w:val="14"/>
                <w:szCs w:val="14"/>
                <w:b w:val="1"/>
                <w:bCs w:val="1"/>
                <w:color w:val="auto"/>
              </w:rPr>
              <w:t>%</w:t>
            </w:r>
          </w:p>
        </w:tc>
        <w:tc>
          <w:tcPr>
            <w:tcW w:w="180" w:type="dxa"/>
            <w:vAlign w:val="bottom"/>
            <w:tcBorders>
              <w:bottom w:val="single" w:sz="8" w:color="B6EAFC"/>
            </w:tcBorders>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3240" w:type="dxa"/>
            <w:vAlign w:val="bottom"/>
            <w:shd w:val="clear" w:color="auto" w:fill="B6EAFC"/>
          </w:tcPr>
          <w:p>
            <w:pPr>
              <w:spacing w:after="0"/>
              <w:rPr>
                <w:sz w:val="20"/>
                <w:szCs w:val="20"/>
                <w:color w:val="auto"/>
              </w:rPr>
            </w:pPr>
            <w:r>
              <w:rPr>
                <w:rFonts w:ascii="Arial" w:cs="Arial" w:eastAsia="Arial" w:hAnsi="Arial"/>
                <w:sz w:val="18"/>
                <w:szCs w:val="18"/>
                <w:color w:val="auto"/>
              </w:rPr>
              <w:t>Laboratory supplies &amp; services</w:t>
            </w:r>
          </w:p>
        </w:tc>
        <w:tc>
          <w:tcPr>
            <w:tcW w:w="140" w:type="dxa"/>
            <w:vAlign w:val="bottom"/>
            <w:shd w:val="clear" w:color="auto" w:fill="B6EAFC"/>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shd w:val="clear" w:color="auto" w:fill="B6EAFC"/>
          </w:tcPr>
          <w:p>
            <w:pPr>
              <w:jc w:val="right"/>
              <w:spacing w:after="0"/>
              <w:rPr>
                <w:sz w:val="20"/>
                <w:szCs w:val="20"/>
                <w:color w:val="auto"/>
              </w:rPr>
            </w:pPr>
            <w:r>
              <w:rPr>
                <w:rFonts w:ascii="Arial" w:cs="Arial" w:eastAsia="Arial" w:hAnsi="Arial"/>
                <w:sz w:val="18"/>
                <w:szCs w:val="18"/>
                <w:color w:val="auto"/>
              </w:rPr>
              <w:t>2,706</w:t>
            </w:r>
          </w:p>
        </w:tc>
        <w:tc>
          <w:tcPr>
            <w:tcW w:w="100" w:type="dxa"/>
            <w:vAlign w:val="bottom"/>
            <w:shd w:val="clear" w:color="auto" w:fill="B6EAFC"/>
          </w:tcPr>
          <w:p>
            <w:pPr>
              <w:spacing w:after="0"/>
              <w:rPr>
                <w:sz w:val="19"/>
                <w:szCs w:val="19"/>
                <w:color w:val="auto"/>
              </w:rPr>
            </w:pPr>
          </w:p>
        </w:tc>
        <w:tc>
          <w:tcPr>
            <w:tcW w:w="160" w:type="dxa"/>
            <w:vAlign w:val="bottom"/>
            <w:shd w:val="clear" w:color="auto" w:fill="B6EAFC"/>
          </w:tcPr>
          <w:p>
            <w:pPr>
              <w:spacing w:after="0"/>
              <w:rPr>
                <w:sz w:val="19"/>
                <w:szCs w:val="19"/>
                <w:color w:val="auto"/>
              </w:rPr>
            </w:pPr>
          </w:p>
        </w:tc>
        <w:tc>
          <w:tcPr>
            <w:tcW w:w="1360" w:type="dxa"/>
            <w:vAlign w:val="bottom"/>
            <w:gridSpan w:val="2"/>
            <w:shd w:val="clear" w:color="auto" w:fill="B6EAFC"/>
          </w:tcPr>
          <w:p>
            <w:pPr>
              <w:jc w:val="right"/>
              <w:ind w:right="200"/>
              <w:spacing w:after="0"/>
              <w:rPr>
                <w:sz w:val="20"/>
                <w:szCs w:val="20"/>
                <w:color w:val="auto"/>
              </w:rPr>
            </w:pPr>
            <w:r>
              <w:rPr>
                <w:rFonts w:ascii="Arial" w:cs="Arial" w:eastAsia="Arial" w:hAnsi="Arial"/>
                <w:sz w:val="18"/>
                <w:szCs w:val="18"/>
                <w:color w:val="auto"/>
              </w:rPr>
              <w:t>7%</w:t>
            </w:r>
          </w:p>
        </w:tc>
        <w:tc>
          <w:tcPr>
            <w:tcW w:w="120" w:type="dxa"/>
            <w:vAlign w:val="bottom"/>
            <w:shd w:val="clear" w:color="auto" w:fill="B6EAFC"/>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B6EAFC"/>
          </w:tcPr>
          <w:p>
            <w:pPr>
              <w:jc w:val="right"/>
              <w:spacing w:after="0"/>
              <w:rPr>
                <w:sz w:val="20"/>
                <w:szCs w:val="20"/>
                <w:color w:val="auto"/>
              </w:rPr>
            </w:pPr>
            <w:r>
              <w:rPr>
                <w:rFonts w:ascii="Arial" w:cs="Arial" w:eastAsia="Arial" w:hAnsi="Arial"/>
                <w:sz w:val="18"/>
                <w:szCs w:val="18"/>
                <w:color w:val="auto"/>
              </w:rPr>
              <w:t>2,531</w:t>
            </w:r>
          </w:p>
        </w:tc>
        <w:tc>
          <w:tcPr>
            <w:tcW w:w="240" w:type="dxa"/>
            <w:vAlign w:val="bottom"/>
            <w:shd w:val="clear" w:color="auto" w:fill="B6EAFC"/>
          </w:tcPr>
          <w:p>
            <w:pPr>
              <w:spacing w:after="0"/>
              <w:rPr>
                <w:sz w:val="19"/>
                <w:szCs w:val="19"/>
                <w:color w:val="auto"/>
              </w:rPr>
            </w:pPr>
          </w:p>
        </w:tc>
        <w:tc>
          <w:tcPr>
            <w:tcW w:w="1300" w:type="dxa"/>
            <w:vAlign w:val="bottom"/>
            <w:gridSpan w:val="2"/>
            <w:shd w:val="clear" w:color="auto" w:fill="B6EAFC"/>
          </w:tcPr>
          <w:p>
            <w:pPr>
              <w:jc w:val="right"/>
              <w:ind w:right="180"/>
              <w:spacing w:after="0"/>
              <w:rPr>
                <w:sz w:val="20"/>
                <w:szCs w:val="20"/>
                <w:color w:val="auto"/>
              </w:rPr>
            </w:pPr>
            <w:r>
              <w:rPr>
                <w:rFonts w:ascii="Arial" w:cs="Arial" w:eastAsia="Arial" w:hAnsi="Arial"/>
                <w:sz w:val="18"/>
                <w:szCs w:val="18"/>
                <w:color w:val="auto"/>
              </w:rPr>
              <w:t>5%</w:t>
            </w:r>
          </w:p>
        </w:tc>
        <w:tc>
          <w:tcPr>
            <w:tcW w:w="260" w:type="dxa"/>
            <w:vAlign w:val="bottom"/>
            <w:shd w:val="clear" w:color="auto" w:fill="B6EAFC"/>
          </w:tcPr>
          <w:p>
            <w:pPr>
              <w:jc w:val="right"/>
              <w:ind w:right="70"/>
              <w:spacing w:after="0"/>
              <w:rPr>
                <w:sz w:val="20"/>
                <w:szCs w:val="20"/>
                <w:color w:val="auto"/>
              </w:rPr>
            </w:pPr>
            <w:r>
              <w:rPr>
                <w:rFonts w:ascii="Arial" w:cs="Arial" w:eastAsia="Arial" w:hAnsi="Arial"/>
                <w:sz w:val="18"/>
                <w:szCs w:val="18"/>
                <w:color w:val="auto"/>
                <w:w w:val="79"/>
              </w:rPr>
              <w:t>$</w:t>
            </w:r>
          </w:p>
        </w:tc>
        <w:tc>
          <w:tcPr>
            <w:tcW w:w="740" w:type="dxa"/>
            <w:vAlign w:val="bottom"/>
            <w:shd w:val="clear" w:color="auto" w:fill="B6EAFC"/>
          </w:tcPr>
          <w:p>
            <w:pPr>
              <w:jc w:val="right"/>
              <w:spacing w:after="0"/>
              <w:rPr>
                <w:sz w:val="20"/>
                <w:szCs w:val="20"/>
                <w:color w:val="auto"/>
              </w:rPr>
            </w:pPr>
            <w:r>
              <w:rPr>
                <w:rFonts w:ascii="Arial" w:cs="Arial" w:eastAsia="Arial" w:hAnsi="Arial"/>
                <w:sz w:val="18"/>
                <w:szCs w:val="18"/>
                <w:color w:val="auto"/>
              </w:rPr>
              <w:t>175</w:t>
            </w:r>
          </w:p>
        </w:tc>
        <w:tc>
          <w:tcPr>
            <w:tcW w:w="100" w:type="dxa"/>
            <w:vAlign w:val="bottom"/>
            <w:shd w:val="clear" w:color="auto" w:fill="B6EAFC"/>
          </w:tcPr>
          <w:p>
            <w:pPr>
              <w:spacing w:after="0"/>
              <w:rPr>
                <w:sz w:val="19"/>
                <w:szCs w:val="19"/>
                <w:color w:val="auto"/>
              </w:rPr>
            </w:pPr>
          </w:p>
        </w:tc>
        <w:tc>
          <w:tcPr>
            <w:tcW w:w="140" w:type="dxa"/>
            <w:vAlign w:val="bottom"/>
            <w:shd w:val="clear" w:color="auto" w:fill="B6EAFC"/>
          </w:tcPr>
          <w:p>
            <w:pPr>
              <w:spacing w:after="0"/>
              <w:rPr>
                <w:sz w:val="19"/>
                <w:szCs w:val="19"/>
                <w:color w:val="auto"/>
              </w:rPr>
            </w:pPr>
          </w:p>
        </w:tc>
        <w:tc>
          <w:tcPr>
            <w:tcW w:w="1180" w:type="dxa"/>
            <w:vAlign w:val="bottom"/>
            <w:gridSpan w:val="2"/>
            <w:shd w:val="clear" w:color="auto" w:fill="B6EAFC"/>
          </w:tcPr>
          <w:p>
            <w:pPr>
              <w:jc w:val="right"/>
              <w:ind w:right="40"/>
              <w:spacing w:after="0"/>
              <w:rPr>
                <w:sz w:val="20"/>
                <w:szCs w:val="20"/>
                <w:color w:val="auto"/>
              </w:rPr>
            </w:pPr>
            <w:r>
              <w:rPr>
                <w:rFonts w:ascii="Arial" w:cs="Arial" w:eastAsia="Arial" w:hAnsi="Arial"/>
                <w:sz w:val="18"/>
                <w:szCs w:val="18"/>
                <w:color w:val="auto"/>
              </w:rPr>
              <w:t>7%</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240" w:type="dxa"/>
            <w:vAlign w:val="bottom"/>
          </w:tcPr>
          <w:p>
            <w:pPr>
              <w:spacing w:after="0"/>
              <w:rPr>
                <w:sz w:val="20"/>
                <w:szCs w:val="20"/>
                <w:color w:val="auto"/>
              </w:rPr>
            </w:pPr>
            <w:r>
              <w:rPr>
                <w:rFonts w:ascii="Arial" w:cs="Arial" w:eastAsia="Arial" w:hAnsi="Arial"/>
                <w:sz w:val="18"/>
                <w:szCs w:val="18"/>
                <w:color w:val="auto"/>
              </w:rPr>
              <w:t>In vivo studies</w:t>
            </w:r>
          </w:p>
        </w:tc>
        <w:tc>
          <w:tcPr>
            <w:tcW w:w="1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1,611</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60" w:type="dxa"/>
            <w:vAlign w:val="bottom"/>
            <w:gridSpan w:val="2"/>
          </w:tcPr>
          <w:p>
            <w:pPr>
              <w:jc w:val="right"/>
              <w:ind w:right="200"/>
              <w:spacing w:after="0"/>
              <w:rPr>
                <w:sz w:val="20"/>
                <w:szCs w:val="20"/>
                <w:color w:val="auto"/>
              </w:rPr>
            </w:pPr>
            <w:r>
              <w:rPr>
                <w:rFonts w:ascii="Arial" w:cs="Arial" w:eastAsia="Arial" w:hAnsi="Arial"/>
                <w:sz w:val="18"/>
                <w:szCs w:val="18"/>
                <w:color w:val="auto"/>
              </w:rPr>
              <w:t>4%</w:t>
            </w:r>
          </w:p>
        </w:tc>
        <w:tc>
          <w:tcPr>
            <w:tcW w:w="1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556</w:t>
            </w:r>
          </w:p>
        </w:tc>
        <w:tc>
          <w:tcPr>
            <w:tcW w:w="240" w:type="dxa"/>
            <w:vAlign w:val="bottom"/>
          </w:tcPr>
          <w:p>
            <w:pPr>
              <w:spacing w:after="0"/>
              <w:rPr>
                <w:sz w:val="19"/>
                <w:szCs w:val="19"/>
                <w:color w:val="auto"/>
              </w:rPr>
            </w:pPr>
          </w:p>
        </w:tc>
        <w:tc>
          <w:tcPr>
            <w:tcW w:w="1300" w:type="dxa"/>
            <w:vAlign w:val="bottom"/>
            <w:gridSpan w:val="2"/>
          </w:tcPr>
          <w:p>
            <w:pPr>
              <w:jc w:val="right"/>
              <w:ind w:right="180"/>
              <w:spacing w:after="0"/>
              <w:rPr>
                <w:sz w:val="20"/>
                <w:szCs w:val="20"/>
                <w:color w:val="auto"/>
              </w:rPr>
            </w:pPr>
            <w:r>
              <w:rPr>
                <w:rFonts w:ascii="Arial" w:cs="Arial" w:eastAsia="Arial" w:hAnsi="Arial"/>
                <w:sz w:val="18"/>
                <w:szCs w:val="18"/>
                <w:color w:val="auto"/>
              </w:rPr>
              <w:t>1%</w:t>
            </w:r>
          </w:p>
        </w:tc>
        <w:tc>
          <w:tcPr>
            <w:tcW w:w="26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1,055</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80" w:type="dxa"/>
            <w:vAlign w:val="bottom"/>
            <w:gridSpan w:val="2"/>
          </w:tcPr>
          <w:p>
            <w:pPr>
              <w:jc w:val="right"/>
              <w:ind w:right="40"/>
              <w:spacing w:after="0"/>
              <w:rPr>
                <w:sz w:val="20"/>
                <w:szCs w:val="20"/>
                <w:color w:val="auto"/>
              </w:rPr>
            </w:pPr>
            <w:r>
              <w:rPr>
                <w:rFonts w:ascii="Arial" w:cs="Arial" w:eastAsia="Arial" w:hAnsi="Arial"/>
                <w:sz w:val="18"/>
                <w:szCs w:val="18"/>
                <w:color w:val="auto"/>
              </w:rPr>
              <w:t>190%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240" w:type="dxa"/>
            <w:vAlign w:val="bottom"/>
            <w:shd w:val="clear" w:color="auto" w:fill="B6EAFC"/>
          </w:tcPr>
          <w:p>
            <w:pPr>
              <w:spacing w:after="0"/>
              <w:rPr>
                <w:sz w:val="20"/>
                <w:szCs w:val="20"/>
                <w:color w:val="auto"/>
              </w:rPr>
            </w:pPr>
            <w:r>
              <w:rPr>
                <w:rFonts w:ascii="Arial" w:cs="Arial" w:eastAsia="Arial" w:hAnsi="Arial"/>
                <w:sz w:val="18"/>
                <w:szCs w:val="18"/>
                <w:color w:val="auto"/>
              </w:rPr>
              <w:t>Outside labs &amp; contract services</w:t>
            </w:r>
          </w:p>
        </w:tc>
        <w:tc>
          <w:tcPr>
            <w:tcW w:w="140" w:type="dxa"/>
            <w:vAlign w:val="bottom"/>
            <w:shd w:val="clear" w:color="auto" w:fill="B6EAFC"/>
          </w:tcPr>
          <w:p>
            <w:pPr>
              <w:spacing w:after="0"/>
              <w:rPr>
                <w:sz w:val="19"/>
                <w:szCs w:val="19"/>
                <w:color w:val="auto"/>
              </w:rPr>
            </w:pPr>
          </w:p>
        </w:tc>
        <w:tc>
          <w:tcPr>
            <w:tcW w:w="1180" w:type="dxa"/>
            <w:vAlign w:val="bottom"/>
            <w:shd w:val="clear" w:color="auto" w:fill="B6EAFC"/>
          </w:tcPr>
          <w:p>
            <w:pPr>
              <w:jc w:val="right"/>
              <w:spacing w:after="0"/>
              <w:rPr>
                <w:sz w:val="20"/>
                <w:szCs w:val="20"/>
                <w:color w:val="auto"/>
              </w:rPr>
            </w:pPr>
            <w:r>
              <w:rPr>
                <w:rFonts w:ascii="Arial" w:cs="Arial" w:eastAsia="Arial" w:hAnsi="Arial"/>
                <w:sz w:val="18"/>
                <w:szCs w:val="18"/>
                <w:color w:val="auto"/>
              </w:rPr>
              <w:t>155</w:t>
            </w:r>
          </w:p>
        </w:tc>
        <w:tc>
          <w:tcPr>
            <w:tcW w:w="100" w:type="dxa"/>
            <w:vAlign w:val="bottom"/>
            <w:shd w:val="clear" w:color="auto" w:fill="B6EAFC"/>
          </w:tcPr>
          <w:p>
            <w:pPr>
              <w:spacing w:after="0"/>
              <w:rPr>
                <w:sz w:val="19"/>
                <w:szCs w:val="19"/>
                <w:color w:val="auto"/>
              </w:rPr>
            </w:pPr>
          </w:p>
        </w:tc>
        <w:tc>
          <w:tcPr>
            <w:tcW w:w="160" w:type="dxa"/>
            <w:vAlign w:val="bottom"/>
            <w:shd w:val="clear" w:color="auto" w:fill="B6EAFC"/>
          </w:tcPr>
          <w:p>
            <w:pPr>
              <w:spacing w:after="0"/>
              <w:rPr>
                <w:sz w:val="19"/>
                <w:szCs w:val="19"/>
                <w:color w:val="auto"/>
              </w:rPr>
            </w:pPr>
          </w:p>
        </w:tc>
        <w:tc>
          <w:tcPr>
            <w:tcW w:w="1360" w:type="dxa"/>
            <w:vAlign w:val="bottom"/>
            <w:gridSpan w:val="2"/>
            <w:shd w:val="clear" w:color="auto" w:fill="B6EAFC"/>
          </w:tcPr>
          <w:p>
            <w:pPr>
              <w:jc w:val="right"/>
              <w:ind w:right="200"/>
              <w:spacing w:after="0"/>
              <w:rPr>
                <w:sz w:val="20"/>
                <w:szCs w:val="20"/>
                <w:color w:val="auto"/>
              </w:rPr>
            </w:pPr>
            <w:r>
              <w:rPr>
                <w:rFonts w:ascii="Arial" w:cs="Arial" w:eastAsia="Arial" w:hAnsi="Arial"/>
                <w:sz w:val="18"/>
                <w:szCs w:val="18"/>
                <w:color w:val="auto"/>
              </w:rPr>
              <w:t>0%</w:t>
            </w:r>
          </w:p>
        </w:tc>
        <w:tc>
          <w:tcPr>
            <w:tcW w:w="120" w:type="dxa"/>
            <w:vAlign w:val="bottom"/>
            <w:shd w:val="clear" w:color="auto" w:fill="B6EAFC"/>
          </w:tcPr>
          <w:p>
            <w:pPr>
              <w:spacing w:after="0"/>
              <w:rPr>
                <w:sz w:val="19"/>
                <w:szCs w:val="19"/>
                <w:color w:val="auto"/>
              </w:rPr>
            </w:pPr>
          </w:p>
        </w:tc>
        <w:tc>
          <w:tcPr>
            <w:tcW w:w="1160" w:type="dxa"/>
            <w:vAlign w:val="bottom"/>
            <w:shd w:val="clear" w:color="auto" w:fill="B6EAFC"/>
          </w:tcPr>
          <w:p>
            <w:pPr>
              <w:jc w:val="right"/>
              <w:spacing w:after="0"/>
              <w:rPr>
                <w:sz w:val="20"/>
                <w:szCs w:val="20"/>
                <w:color w:val="auto"/>
              </w:rPr>
            </w:pPr>
            <w:r>
              <w:rPr>
                <w:rFonts w:ascii="Arial" w:cs="Arial" w:eastAsia="Arial" w:hAnsi="Arial"/>
                <w:sz w:val="18"/>
                <w:szCs w:val="18"/>
                <w:color w:val="auto"/>
              </w:rPr>
              <w:t>489</w:t>
            </w:r>
          </w:p>
        </w:tc>
        <w:tc>
          <w:tcPr>
            <w:tcW w:w="240" w:type="dxa"/>
            <w:vAlign w:val="bottom"/>
            <w:shd w:val="clear" w:color="auto" w:fill="B6EAFC"/>
          </w:tcPr>
          <w:p>
            <w:pPr>
              <w:spacing w:after="0"/>
              <w:rPr>
                <w:sz w:val="19"/>
                <w:szCs w:val="19"/>
                <w:color w:val="auto"/>
              </w:rPr>
            </w:pPr>
          </w:p>
        </w:tc>
        <w:tc>
          <w:tcPr>
            <w:tcW w:w="1300" w:type="dxa"/>
            <w:vAlign w:val="bottom"/>
            <w:gridSpan w:val="2"/>
            <w:shd w:val="clear" w:color="auto" w:fill="B6EAFC"/>
          </w:tcPr>
          <w:p>
            <w:pPr>
              <w:jc w:val="right"/>
              <w:ind w:right="180"/>
              <w:spacing w:after="0"/>
              <w:rPr>
                <w:sz w:val="20"/>
                <w:szCs w:val="20"/>
                <w:color w:val="auto"/>
              </w:rPr>
            </w:pPr>
            <w:r>
              <w:rPr>
                <w:rFonts w:ascii="Arial" w:cs="Arial" w:eastAsia="Arial" w:hAnsi="Arial"/>
                <w:sz w:val="18"/>
                <w:szCs w:val="18"/>
                <w:color w:val="auto"/>
              </w:rPr>
              <w:t>1%</w:t>
            </w:r>
          </w:p>
        </w:tc>
        <w:tc>
          <w:tcPr>
            <w:tcW w:w="260" w:type="dxa"/>
            <w:vAlign w:val="bottom"/>
            <w:shd w:val="clear" w:color="auto" w:fill="B6EAFC"/>
          </w:tcPr>
          <w:p>
            <w:pPr>
              <w:spacing w:after="0"/>
              <w:rPr>
                <w:sz w:val="19"/>
                <w:szCs w:val="19"/>
                <w:color w:val="auto"/>
              </w:rPr>
            </w:pPr>
          </w:p>
        </w:tc>
        <w:tc>
          <w:tcPr>
            <w:tcW w:w="840" w:type="dxa"/>
            <w:vAlign w:val="bottom"/>
            <w:gridSpan w:val="2"/>
            <w:shd w:val="clear" w:color="auto" w:fill="B6EAFC"/>
          </w:tcPr>
          <w:p>
            <w:pPr>
              <w:jc w:val="right"/>
              <w:ind w:right="40"/>
              <w:spacing w:after="0"/>
              <w:rPr>
                <w:sz w:val="20"/>
                <w:szCs w:val="20"/>
                <w:color w:val="auto"/>
              </w:rPr>
            </w:pPr>
            <w:r>
              <w:rPr>
                <w:rFonts w:ascii="Arial" w:cs="Arial" w:eastAsia="Arial" w:hAnsi="Arial"/>
                <w:sz w:val="18"/>
                <w:szCs w:val="18"/>
                <w:color w:val="auto"/>
              </w:rPr>
              <w:t>(334)</w:t>
            </w:r>
          </w:p>
        </w:tc>
        <w:tc>
          <w:tcPr>
            <w:tcW w:w="140" w:type="dxa"/>
            <w:vAlign w:val="bottom"/>
            <w:shd w:val="clear" w:color="auto" w:fill="B6EAFC"/>
          </w:tcPr>
          <w:p>
            <w:pPr>
              <w:spacing w:after="0"/>
              <w:rPr>
                <w:sz w:val="19"/>
                <w:szCs w:val="19"/>
                <w:color w:val="auto"/>
              </w:rPr>
            </w:pPr>
          </w:p>
        </w:tc>
        <w:tc>
          <w:tcPr>
            <w:tcW w:w="1180" w:type="dxa"/>
            <w:vAlign w:val="bottom"/>
            <w:gridSpan w:val="2"/>
            <w:shd w:val="clear" w:color="auto" w:fill="B6EAFC"/>
          </w:tcPr>
          <w:p>
            <w:pPr>
              <w:jc w:val="right"/>
              <w:ind w:right="40"/>
              <w:spacing w:after="0"/>
              <w:rPr>
                <w:sz w:val="20"/>
                <w:szCs w:val="20"/>
                <w:color w:val="auto"/>
              </w:rPr>
            </w:pPr>
            <w:r>
              <w:rPr>
                <w:rFonts w:ascii="Arial" w:cs="Arial" w:eastAsia="Arial" w:hAnsi="Arial"/>
                <w:sz w:val="18"/>
                <w:szCs w:val="18"/>
                <w:color w:val="auto"/>
              </w:rPr>
              <w:t>-68%</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240" w:type="dxa"/>
            <w:vAlign w:val="bottom"/>
          </w:tcPr>
          <w:p>
            <w:pPr>
              <w:spacing w:after="0"/>
              <w:rPr>
                <w:sz w:val="20"/>
                <w:szCs w:val="20"/>
                <w:color w:val="auto"/>
              </w:rPr>
            </w:pPr>
            <w:r>
              <w:rPr>
                <w:rFonts w:ascii="Arial" w:cs="Arial" w:eastAsia="Arial" w:hAnsi="Arial"/>
                <w:sz w:val="18"/>
                <w:szCs w:val="18"/>
                <w:color w:val="auto"/>
              </w:rPr>
              <w:t>Toxicity/efficacy studies</w:t>
            </w:r>
          </w:p>
        </w:tc>
        <w:tc>
          <w:tcPr>
            <w:tcW w:w="1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7,766</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60" w:type="dxa"/>
            <w:vAlign w:val="bottom"/>
            <w:gridSpan w:val="2"/>
          </w:tcPr>
          <w:p>
            <w:pPr>
              <w:jc w:val="right"/>
              <w:ind w:right="200"/>
              <w:spacing w:after="0"/>
              <w:rPr>
                <w:sz w:val="20"/>
                <w:szCs w:val="20"/>
                <w:color w:val="auto"/>
              </w:rPr>
            </w:pPr>
            <w:r>
              <w:rPr>
                <w:rFonts w:ascii="Arial" w:cs="Arial" w:eastAsia="Arial" w:hAnsi="Arial"/>
                <w:sz w:val="18"/>
                <w:szCs w:val="18"/>
                <w:color w:val="auto"/>
              </w:rPr>
              <w:t>19%</w:t>
            </w:r>
          </w:p>
        </w:tc>
        <w:tc>
          <w:tcPr>
            <w:tcW w:w="1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6,572</w:t>
            </w:r>
          </w:p>
        </w:tc>
        <w:tc>
          <w:tcPr>
            <w:tcW w:w="240" w:type="dxa"/>
            <w:vAlign w:val="bottom"/>
          </w:tcPr>
          <w:p>
            <w:pPr>
              <w:spacing w:after="0"/>
              <w:rPr>
                <w:sz w:val="19"/>
                <w:szCs w:val="19"/>
                <w:color w:val="auto"/>
              </w:rPr>
            </w:pPr>
          </w:p>
        </w:tc>
        <w:tc>
          <w:tcPr>
            <w:tcW w:w="1300" w:type="dxa"/>
            <w:vAlign w:val="bottom"/>
            <w:gridSpan w:val="2"/>
          </w:tcPr>
          <w:p>
            <w:pPr>
              <w:jc w:val="right"/>
              <w:ind w:right="180"/>
              <w:spacing w:after="0"/>
              <w:rPr>
                <w:sz w:val="20"/>
                <w:szCs w:val="20"/>
                <w:color w:val="auto"/>
              </w:rPr>
            </w:pPr>
            <w:r>
              <w:rPr>
                <w:rFonts w:ascii="Arial" w:cs="Arial" w:eastAsia="Arial" w:hAnsi="Arial"/>
                <w:sz w:val="18"/>
                <w:szCs w:val="18"/>
                <w:color w:val="auto"/>
              </w:rPr>
              <w:t>14%</w:t>
            </w:r>
          </w:p>
        </w:tc>
        <w:tc>
          <w:tcPr>
            <w:tcW w:w="26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1,194</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80" w:type="dxa"/>
            <w:vAlign w:val="bottom"/>
            <w:gridSpan w:val="2"/>
          </w:tcPr>
          <w:p>
            <w:pPr>
              <w:jc w:val="right"/>
              <w:ind w:right="40"/>
              <w:spacing w:after="0"/>
              <w:rPr>
                <w:sz w:val="20"/>
                <w:szCs w:val="20"/>
                <w:color w:val="auto"/>
              </w:rPr>
            </w:pPr>
            <w:r>
              <w:rPr>
                <w:rFonts w:ascii="Arial" w:cs="Arial" w:eastAsia="Arial" w:hAnsi="Arial"/>
                <w:sz w:val="18"/>
                <w:szCs w:val="18"/>
                <w:color w:val="auto"/>
              </w:rPr>
              <w:t>18%</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240" w:type="dxa"/>
            <w:vAlign w:val="bottom"/>
            <w:shd w:val="clear" w:color="auto" w:fill="B6EAFC"/>
          </w:tcPr>
          <w:p>
            <w:pPr>
              <w:spacing w:after="0"/>
              <w:rPr>
                <w:sz w:val="20"/>
                <w:szCs w:val="20"/>
                <w:color w:val="auto"/>
              </w:rPr>
            </w:pPr>
            <w:r>
              <w:rPr>
                <w:rFonts w:ascii="Arial" w:cs="Arial" w:eastAsia="Arial" w:hAnsi="Arial"/>
                <w:sz w:val="18"/>
                <w:szCs w:val="18"/>
                <w:color w:val="auto"/>
              </w:rPr>
              <w:t>Drug manufacturing</w:t>
            </w:r>
          </w:p>
        </w:tc>
        <w:tc>
          <w:tcPr>
            <w:tcW w:w="140" w:type="dxa"/>
            <w:vAlign w:val="bottom"/>
            <w:shd w:val="clear" w:color="auto" w:fill="B6EAFC"/>
          </w:tcPr>
          <w:p>
            <w:pPr>
              <w:spacing w:after="0"/>
              <w:rPr>
                <w:sz w:val="19"/>
                <w:szCs w:val="19"/>
                <w:color w:val="auto"/>
              </w:rPr>
            </w:pPr>
          </w:p>
        </w:tc>
        <w:tc>
          <w:tcPr>
            <w:tcW w:w="1180" w:type="dxa"/>
            <w:vAlign w:val="bottom"/>
            <w:shd w:val="clear" w:color="auto" w:fill="B6EAFC"/>
          </w:tcPr>
          <w:p>
            <w:pPr>
              <w:jc w:val="right"/>
              <w:spacing w:after="0"/>
              <w:rPr>
                <w:sz w:val="20"/>
                <w:szCs w:val="20"/>
                <w:color w:val="auto"/>
              </w:rPr>
            </w:pPr>
            <w:r>
              <w:rPr>
                <w:rFonts w:ascii="Arial" w:cs="Arial" w:eastAsia="Arial" w:hAnsi="Arial"/>
                <w:sz w:val="18"/>
                <w:szCs w:val="18"/>
                <w:color w:val="auto"/>
              </w:rPr>
              <w:t>9,855</w:t>
            </w:r>
          </w:p>
        </w:tc>
        <w:tc>
          <w:tcPr>
            <w:tcW w:w="100" w:type="dxa"/>
            <w:vAlign w:val="bottom"/>
            <w:shd w:val="clear" w:color="auto" w:fill="B6EAFC"/>
          </w:tcPr>
          <w:p>
            <w:pPr>
              <w:spacing w:after="0"/>
              <w:rPr>
                <w:sz w:val="19"/>
                <w:szCs w:val="19"/>
                <w:color w:val="auto"/>
              </w:rPr>
            </w:pPr>
          </w:p>
        </w:tc>
        <w:tc>
          <w:tcPr>
            <w:tcW w:w="160" w:type="dxa"/>
            <w:vAlign w:val="bottom"/>
            <w:shd w:val="clear" w:color="auto" w:fill="B6EAFC"/>
          </w:tcPr>
          <w:p>
            <w:pPr>
              <w:spacing w:after="0"/>
              <w:rPr>
                <w:sz w:val="19"/>
                <w:szCs w:val="19"/>
                <w:color w:val="auto"/>
              </w:rPr>
            </w:pPr>
          </w:p>
        </w:tc>
        <w:tc>
          <w:tcPr>
            <w:tcW w:w="1360" w:type="dxa"/>
            <w:vAlign w:val="bottom"/>
            <w:gridSpan w:val="2"/>
            <w:shd w:val="clear" w:color="auto" w:fill="B6EAFC"/>
          </w:tcPr>
          <w:p>
            <w:pPr>
              <w:jc w:val="right"/>
              <w:ind w:right="200"/>
              <w:spacing w:after="0"/>
              <w:rPr>
                <w:sz w:val="20"/>
                <w:szCs w:val="20"/>
                <w:color w:val="auto"/>
              </w:rPr>
            </w:pPr>
            <w:r>
              <w:rPr>
                <w:rFonts w:ascii="Arial" w:cs="Arial" w:eastAsia="Arial" w:hAnsi="Arial"/>
                <w:sz w:val="18"/>
                <w:szCs w:val="18"/>
                <w:color w:val="auto"/>
              </w:rPr>
              <w:t>25%</w:t>
            </w:r>
          </w:p>
        </w:tc>
        <w:tc>
          <w:tcPr>
            <w:tcW w:w="120" w:type="dxa"/>
            <w:vAlign w:val="bottom"/>
            <w:shd w:val="clear" w:color="auto" w:fill="B6EAFC"/>
          </w:tcPr>
          <w:p>
            <w:pPr>
              <w:spacing w:after="0"/>
              <w:rPr>
                <w:sz w:val="19"/>
                <w:szCs w:val="19"/>
                <w:color w:val="auto"/>
              </w:rPr>
            </w:pPr>
          </w:p>
        </w:tc>
        <w:tc>
          <w:tcPr>
            <w:tcW w:w="1160" w:type="dxa"/>
            <w:vAlign w:val="bottom"/>
            <w:shd w:val="clear" w:color="auto" w:fill="B6EAFC"/>
          </w:tcPr>
          <w:p>
            <w:pPr>
              <w:jc w:val="right"/>
              <w:spacing w:after="0"/>
              <w:rPr>
                <w:sz w:val="20"/>
                <w:szCs w:val="20"/>
                <w:color w:val="auto"/>
              </w:rPr>
            </w:pPr>
            <w:r>
              <w:rPr>
                <w:rFonts w:ascii="Arial" w:cs="Arial" w:eastAsia="Arial" w:hAnsi="Arial"/>
                <w:sz w:val="18"/>
                <w:szCs w:val="18"/>
                <w:color w:val="auto"/>
              </w:rPr>
              <w:t>21,431</w:t>
            </w:r>
          </w:p>
        </w:tc>
        <w:tc>
          <w:tcPr>
            <w:tcW w:w="240" w:type="dxa"/>
            <w:vAlign w:val="bottom"/>
            <w:shd w:val="clear" w:color="auto" w:fill="B6EAFC"/>
          </w:tcPr>
          <w:p>
            <w:pPr>
              <w:spacing w:after="0"/>
              <w:rPr>
                <w:sz w:val="19"/>
                <w:szCs w:val="19"/>
                <w:color w:val="auto"/>
              </w:rPr>
            </w:pPr>
          </w:p>
        </w:tc>
        <w:tc>
          <w:tcPr>
            <w:tcW w:w="1300" w:type="dxa"/>
            <w:vAlign w:val="bottom"/>
            <w:gridSpan w:val="2"/>
            <w:shd w:val="clear" w:color="auto" w:fill="B6EAFC"/>
          </w:tcPr>
          <w:p>
            <w:pPr>
              <w:jc w:val="right"/>
              <w:ind w:right="180"/>
              <w:spacing w:after="0"/>
              <w:rPr>
                <w:sz w:val="20"/>
                <w:szCs w:val="20"/>
                <w:color w:val="auto"/>
              </w:rPr>
            </w:pPr>
            <w:r>
              <w:rPr>
                <w:rFonts w:ascii="Arial" w:cs="Arial" w:eastAsia="Arial" w:hAnsi="Arial"/>
                <w:sz w:val="18"/>
                <w:szCs w:val="18"/>
                <w:color w:val="auto"/>
              </w:rPr>
              <w:t>46%</w:t>
            </w:r>
          </w:p>
        </w:tc>
        <w:tc>
          <w:tcPr>
            <w:tcW w:w="260" w:type="dxa"/>
            <w:vAlign w:val="bottom"/>
            <w:shd w:val="clear" w:color="auto" w:fill="B6EAFC"/>
          </w:tcPr>
          <w:p>
            <w:pPr>
              <w:spacing w:after="0"/>
              <w:rPr>
                <w:sz w:val="19"/>
                <w:szCs w:val="19"/>
                <w:color w:val="auto"/>
              </w:rPr>
            </w:pPr>
          </w:p>
        </w:tc>
        <w:tc>
          <w:tcPr>
            <w:tcW w:w="840" w:type="dxa"/>
            <w:vAlign w:val="bottom"/>
            <w:gridSpan w:val="2"/>
            <w:shd w:val="clear" w:color="auto" w:fill="B6EAFC"/>
          </w:tcPr>
          <w:p>
            <w:pPr>
              <w:jc w:val="right"/>
              <w:ind w:right="40"/>
              <w:spacing w:after="0"/>
              <w:rPr>
                <w:sz w:val="20"/>
                <w:szCs w:val="20"/>
                <w:color w:val="auto"/>
              </w:rPr>
            </w:pPr>
            <w:r>
              <w:rPr>
                <w:rFonts w:ascii="Arial" w:cs="Arial" w:eastAsia="Arial" w:hAnsi="Arial"/>
                <w:sz w:val="18"/>
                <w:szCs w:val="18"/>
                <w:color w:val="auto"/>
              </w:rPr>
              <w:t>(11,576)</w:t>
            </w:r>
          </w:p>
        </w:tc>
        <w:tc>
          <w:tcPr>
            <w:tcW w:w="140" w:type="dxa"/>
            <w:vAlign w:val="bottom"/>
            <w:shd w:val="clear" w:color="auto" w:fill="B6EAFC"/>
          </w:tcPr>
          <w:p>
            <w:pPr>
              <w:spacing w:after="0"/>
              <w:rPr>
                <w:sz w:val="19"/>
                <w:szCs w:val="19"/>
                <w:color w:val="auto"/>
              </w:rPr>
            </w:pPr>
          </w:p>
        </w:tc>
        <w:tc>
          <w:tcPr>
            <w:tcW w:w="1180" w:type="dxa"/>
            <w:vAlign w:val="bottom"/>
            <w:gridSpan w:val="2"/>
            <w:shd w:val="clear" w:color="auto" w:fill="B6EAFC"/>
          </w:tcPr>
          <w:p>
            <w:pPr>
              <w:jc w:val="right"/>
              <w:ind w:right="40"/>
              <w:spacing w:after="0"/>
              <w:rPr>
                <w:sz w:val="20"/>
                <w:szCs w:val="20"/>
                <w:color w:val="auto"/>
              </w:rPr>
            </w:pPr>
            <w:r>
              <w:rPr>
                <w:rFonts w:ascii="Arial" w:cs="Arial" w:eastAsia="Arial" w:hAnsi="Arial"/>
                <w:sz w:val="18"/>
                <w:szCs w:val="18"/>
                <w:color w:val="auto"/>
              </w:rPr>
              <w:t>-54%</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240" w:type="dxa"/>
            <w:vAlign w:val="bottom"/>
          </w:tcPr>
          <w:p>
            <w:pPr>
              <w:spacing w:after="0"/>
              <w:rPr>
                <w:sz w:val="20"/>
                <w:szCs w:val="20"/>
                <w:color w:val="auto"/>
              </w:rPr>
            </w:pPr>
            <w:r>
              <w:rPr>
                <w:rFonts w:ascii="Arial" w:cs="Arial" w:eastAsia="Arial" w:hAnsi="Arial"/>
                <w:sz w:val="18"/>
                <w:szCs w:val="18"/>
                <w:color w:val="auto"/>
              </w:rPr>
              <w:t>Clinical trials</w:t>
            </w:r>
          </w:p>
        </w:tc>
        <w:tc>
          <w:tcPr>
            <w:tcW w:w="1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14,800</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60" w:type="dxa"/>
            <w:vAlign w:val="bottom"/>
            <w:gridSpan w:val="2"/>
          </w:tcPr>
          <w:p>
            <w:pPr>
              <w:jc w:val="right"/>
              <w:ind w:right="200"/>
              <w:spacing w:after="0"/>
              <w:rPr>
                <w:sz w:val="20"/>
                <w:szCs w:val="20"/>
                <w:color w:val="auto"/>
              </w:rPr>
            </w:pPr>
            <w:r>
              <w:rPr>
                <w:rFonts w:ascii="Arial" w:cs="Arial" w:eastAsia="Arial" w:hAnsi="Arial"/>
                <w:sz w:val="18"/>
                <w:szCs w:val="18"/>
                <w:color w:val="auto"/>
              </w:rPr>
              <w:t>36%</w:t>
            </w:r>
          </w:p>
        </w:tc>
        <w:tc>
          <w:tcPr>
            <w:tcW w:w="1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13,329</w:t>
            </w:r>
          </w:p>
        </w:tc>
        <w:tc>
          <w:tcPr>
            <w:tcW w:w="240" w:type="dxa"/>
            <w:vAlign w:val="bottom"/>
          </w:tcPr>
          <w:p>
            <w:pPr>
              <w:spacing w:after="0"/>
              <w:rPr>
                <w:sz w:val="19"/>
                <w:szCs w:val="19"/>
                <w:color w:val="auto"/>
              </w:rPr>
            </w:pPr>
          </w:p>
        </w:tc>
        <w:tc>
          <w:tcPr>
            <w:tcW w:w="1300" w:type="dxa"/>
            <w:vAlign w:val="bottom"/>
            <w:gridSpan w:val="2"/>
          </w:tcPr>
          <w:p>
            <w:pPr>
              <w:jc w:val="right"/>
              <w:ind w:right="180"/>
              <w:spacing w:after="0"/>
              <w:rPr>
                <w:sz w:val="20"/>
                <w:szCs w:val="20"/>
                <w:color w:val="auto"/>
              </w:rPr>
            </w:pPr>
            <w:r>
              <w:rPr>
                <w:rFonts w:ascii="Arial" w:cs="Arial" w:eastAsia="Arial" w:hAnsi="Arial"/>
                <w:sz w:val="18"/>
                <w:szCs w:val="18"/>
                <w:color w:val="auto"/>
              </w:rPr>
              <w:t>28%</w:t>
            </w:r>
          </w:p>
        </w:tc>
        <w:tc>
          <w:tcPr>
            <w:tcW w:w="26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1,471</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80" w:type="dxa"/>
            <w:vAlign w:val="bottom"/>
            <w:gridSpan w:val="2"/>
          </w:tcPr>
          <w:p>
            <w:pPr>
              <w:jc w:val="right"/>
              <w:ind w:right="40"/>
              <w:spacing w:after="0"/>
              <w:rPr>
                <w:sz w:val="20"/>
                <w:szCs w:val="20"/>
                <w:color w:val="auto"/>
              </w:rPr>
            </w:pPr>
            <w:r>
              <w:rPr>
                <w:rFonts w:ascii="Arial" w:cs="Arial" w:eastAsia="Arial" w:hAnsi="Arial"/>
                <w:sz w:val="18"/>
                <w:szCs w:val="18"/>
                <w:color w:val="auto"/>
              </w:rPr>
              <w:t>11%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240" w:type="dxa"/>
            <w:vAlign w:val="bottom"/>
            <w:shd w:val="clear" w:color="auto" w:fill="B6EAFC"/>
          </w:tcPr>
          <w:p>
            <w:pPr>
              <w:spacing w:after="0"/>
              <w:rPr>
                <w:sz w:val="20"/>
                <w:szCs w:val="20"/>
                <w:color w:val="auto"/>
              </w:rPr>
            </w:pPr>
            <w:r>
              <w:rPr>
                <w:rFonts w:ascii="Arial" w:cs="Arial" w:eastAsia="Arial" w:hAnsi="Arial"/>
                <w:sz w:val="18"/>
                <w:szCs w:val="18"/>
                <w:color w:val="auto"/>
              </w:rPr>
              <w:t>License, royalty &amp; milestones</w:t>
            </w:r>
          </w:p>
        </w:tc>
        <w:tc>
          <w:tcPr>
            <w:tcW w:w="140" w:type="dxa"/>
            <w:vAlign w:val="bottom"/>
            <w:shd w:val="clear" w:color="auto" w:fill="B6EAFC"/>
          </w:tcPr>
          <w:p>
            <w:pPr>
              <w:spacing w:after="0"/>
              <w:rPr>
                <w:sz w:val="19"/>
                <w:szCs w:val="19"/>
                <w:color w:val="auto"/>
              </w:rPr>
            </w:pPr>
          </w:p>
        </w:tc>
        <w:tc>
          <w:tcPr>
            <w:tcW w:w="1180" w:type="dxa"/>
            <w:vAlign w:val="bottom"/>
            <w:shd w:val="clear" w:color="auto" w:fill="B6EAFC"/>
          </w:tcPr>
          <w:p>
            <w:pPr>
              <w:jc w:val="right"/>
              <w:spacing w:after="0"/>
              <w:rPr>
                <w:sz w:val="20"/>
                <w:szCs w:val="20"/>
                <w:color w:val="auto"/>
              </w:rPr>
            </w:pPr>
            <w:r>
              <w:rPr>
                <w:rFonts w:ascii="Arial" w:cs="Arial" w:eastAsia="Arial" w:hAnsi="Arial"/>
                <w:sz w:val="18"/>
                <w:szCs w:val="18"/>
                <w:color w:val="auto"/>
              </w:rPr>
              <w:t>3,054</w:t>
            </w:r>
          </w:p>
        </w:tc>
        <w:tc>
          <w:tcPr>
            <w:tcW w:w="100" w:type="dxa"/>
            <w:vAlign w:val="bottom"/>
            <w:shd w:val="clear" w:color="auto" w:fill="B6EAFC"/>
          </w:tcPr>
          <w:p>
            <w:pPr>
              <w:spacing w:after="0"/>
              <w:rPr>
                <w:sz w:val="19"/>
                <w:szCs w:val="19"/>
                <w:color w:val="auto"/>
              </w:rPr>
            </w:pPr>
          </w:p>
        </w:tc>
        <w:tc>
          <w:tcPr>
            <w:tcW w:w="160" w:type="dxa"/>
            <w:vAlign w:val="bottom"/>
            <w:shd w:val="clear" w:color="auto" w:fill="B6EAFC"/>
          </w:tcPr>
          <w:p>
            <w:pPr>
              <w:spacing w:after="0"/>
              <w:rPr>
                <w:sz w:val="19"/>
                <w:szCs w:val="19"/>
                <w:color w:val="auto"/>
              </w:rPr>
            </w:pPr>
          </w:p>
        </w:tc>
        <w:tc>
          <w:tcPr>
            <w:tcW w:w="1360" w:type="dxa"/>
            <w:vAlign w:val="bottom"/>
            <w:gridSpan w:val="2"/>
            <w:shd w:val="clear" w:color="auto" w:fill="B6EAFC"/>
          </w:tcPr>
          <w:p>
            <w:pPr>
              <w:jc w:val="right"/>
              <w:ind w:right="200"/>
              <w:spacing w:after="0"/>
              <w:rPr>
                <w:sz w:val="20"/>
                <w:szCs w:val="20"/>
                <w:color w:val="auto"/>
              </w:rPr>
            </w:pPr>
            <w:r>
              <w:rPr>
                <w:rFonts w:ascii="Arial" w:cs="Arial" w:eastAsia="Arial" w:hAnsi="Arial"/>
                <w:sz w:val="18"/>
                <w:szCs w:val="18"/>
                <w:color w:val="auto"/>
              </w:rPr>
              <w:t>6%</w:t>
            </w:r>
          </w:p>
        </w:tc>
        <w:tc>
          <w:tcPr>
            <w:tcW w:w="120" w:type="dxa"/>
            <w:vAlign w:val="bottom"/>
            <w:shd w:val="clear" w:color="auto" w:fill="B6EAFC"/>
          </w:tcPr>
          <w:p>
            <w:pPr>
              <w:spacing w:after="0"/>
              <w:rPr>
                <w:sz w:val="19"/>
                <w:szCs w:val="19"/>
                <w:color w:val="auto"/>
              </w:rPr>
            </w:pPr>
          </w:p>
        </w:tc>
        <w:tc>
          <w:tcPr>
            <w:tcW w:w="1160" w:type="dxa"/>
            <w:vAlign w:val="bottom"/>
            <w:shd w:val="clear" w:color="auto" w:fill="B6EAFC"/>
          </w:tcPr>
          <w:p>
            <w:pPr>
              <w:jc w:val="right"/>
              <w:spacing w:after="0"/>
              <w:rPr>
                <w:sz w:val="20"/>
                <w:szCs w:val="20"/>
                <w:color w:val="auto"/>
              </w:rPr>
            </w:pPr>
            <w:r>
              <w:rPr>
                <w:rFonts w:ascii="Arial" w:cs="Arial" w:eastAsia="Arial" w:hAnsi="Arial"/>
                <w:sz w:val="18"/>
                <w:szCs w:val="18"/>
                <w:color w:val="auto"/>
              </w:rPr>
              <w:t>1,065</w:t>
            </w:r>
          </w:p>
        </w:tc>
        <w:tc>
          <w:tcPr>
            <w:tcW w:w="240" w:type="dxa"/>
            <w:vAlign w:val="bottom"/>
            <w:shd w:val="clear" w:color="auto" w:fill="B6EAFC"/>
          </w:tcPr>
          <w:p>
            <w:pPr>
              <w:spacing w:after="0"/>
              <w:rPr>
                <w:sz w:val="19"/>
                <w:szCs w:val="19"/>
                <w:color w:val="auto"/>
              </w:rPr>
            </w:pPr>
          </w:p>
        </w:tc>
        <w:tc>
          <w:tcPr>
            <w:tcW w:w="1300" w:type="dxa"/>
            <w:vAlign w:val="bottom"/>
            <w:gridSpan w:val="2"/>
            <w:shd w:val="clear" w:color="auto" w:fill="B6EAFC"/>
          </w:tcPr>
          <w:p>
            <w:pPr>
              <w:jc w:val="right"/>
              <w:ind w:right="180"/>
              <w:spacing w:after="0"/>
              <w:rPr>
                <w:sz w:val="20"/>
                <w:szCs w:val="20"/>
                <w:color w:val="auto"/>
              </w:rPr>
            </w:pPr>
            <w:r>
              <w:rPr>
                <w:rFonts w:ascii="Arial" w:cs="Arial" w:eastAsia="Arial" w:hAnsi="Arial"/>
                <w:sz w:val="18"/>
                <w:szCs w:val="18"/>
                <w:color w:val="auto"/>
              </w:rPr>
              <w:t>2%</w:t>
            </w:r>
          </w:p>
        </w:tc>
        <w:tc>
          <w:tcPr>
            <w:tcW w:w="260" w:type="dxa"/>
            <w:vAlign w:val="bottom"/>
            <w:shd w:val="clear" w:color="auto" w:fill="B6EAFC"/>
          </w:tcPr>
          <w:p>
            <w:pPr>
              <w:spacing w:after="0"/>
              <w:rPr>
                <w:sz w:val="19"/>
                <w:szCs w:val="19"/>
                <w:color w:val="auto"/>
              </w:rPr>
            </w:pPr>
          </w:p>
        </w:tc>
        <w:tc>
          <w:tcPr>
            <w:tcW w:w="740" w:type="dxa"/>
            <w:vAlign w:val="bottom"/>
            <w:shd w:val="clear" w:color="auto" w:fill="B6EAFC"/>
          </w:tcPr>
          <w:p>
            <w:pPr>
              <w:jc w:val="right"/>
              <w:spacing w:after="0"/>
              <w:rPr>
                <w:sz w:val="20"/>
                <w:szCs w:val="20"/>
                <w:color w:val="auto"/>
              </w:rPr>
            </w:pPr>
            <w:r>
              <w:rPr>
                <w:rFonts w:ascii="Arial" w:cs="Arial" w:eastAsia="Arial" w:hAnsi="Arial"/>
                <w:sz w:val="18"/>
                <w:szCs w:val="18"/>
                <w:color w:val="auto"/>
              </w:rPr>
              <w:t>1,989</w:t>
            </w:r>
          </w:p>
        </w:tc>
        <w:tc>
          <w:tcPr>
            <w:tcW w:w="100" w:type="dxa"/>
            <w:vAlign w:val="bottom"/>
            <w:shd w:val="clear" w:color="auto" w:fill="B6EAFC"/>
          </w:tcPr>
          <w:p>
            <w:pPr>
              <w:spacing w:after="0"/>
              <w:rPr>
                <w:sz w:val="19"/>
                <w:szCs w:val="19"/>
                <w:color w:val="auto"/>
              </w:rPr>
            </w:pPr>
          </w:p>
        </w:tc>
        <w:tc>
          <w:tcPr>
            <w:tcW w:w="140" w:type="dxa"/>
            <w:vAlign w:val="bottom"/>
            <w:shd w:val="clear" w:color="auto" w:fill="B6EAFC"/>
          </w:tcPr>
          <w:p>
            <w:pPr>
              <w:spacing w:after="0"/>
              <w:rPr>
                <w:sz w:val="19"/>
                <w:szCs w:val="19"/>
                <w:color w:val="auto"/>
              </w:rPr>
            </w:pPr>
          </w:p>
        </w:tc>
        <w:tc>
          <w:tcPr>
            <w:tcW w:w="1180" w:type="dxa"/>
            <w:vAlign w:val="bottom"/>
            <w:gridSpan w:val="2"/>
            <w:shd w:val="clear" w:color="auto" w:fill="B6EAFC"/>
          </w:tcPr>
          <w:p>
            <w:pPr>
              <w:jc w:val="right"/>
              <w:ind w:right="40"/>
              <w:spacing w:after="0"/>
              <w:rPr>
                <w:sz w:val="20"/>
                <w:szCs w:val="20"/>
                <w:color w:val="auto"/>
              </w:rPr>
            </w:pPr>
            <w:r>
              <w:rPr>
                <w:rFonts w:ascii="Arial" w:cs="Arial" w:eastAsia="Arial" w:hAnsi="Arial"/>
                <w:sz w:val="18"/>
                <w:szCs w:val="18"/>
                <w:color w:val="auto"/>
              </w:rPr>
              <w:t>187%</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240" w:type="dxa"/>
            <w:vAlign w:val="bottom"/>
          </w:tcPr>
          <w:p>
            <w:pPr>
              <w:spacing w:after="0"/>
              <w:rPr>
                <w:sz w:val="20"/>
                <w:szCs w:val="20"/>
                <w:color w:val="auto"/>
              </w:rPr>
            </w:pPr>
            <w:r>
              <w:rPr>
                <w:rFonts w:ascii="Arial" w:cs="Arial" w:eastAsia="Arial" w:hAnsi="Arial"/>
                <w:sz w:val="18"/>
                <w:szCs w:val="18"/>
                <w:color w:val="auto"/>
              </w:rPr>
              <w:t>Facilities and related</w:t>
            </w:r>
          </w:p>
        </w:tc>
        <w:tc>
          <w:tcPr>
            <w:tcW w:w="1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1,315</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60" w:type="dxa"/>
            <w:vAlign w:val="bottom"/>
            <w:gridSpan w:val="2"/>
          </w:tcPr>
          <w:p>
            <w:pPr>
              <w:jc w:val="right"/>
              <w:ind w:right="200"/>
              <w:spacing w:after="0"/>
              <w:rPr>
                <w:sz w:val="20"/>
                <w:szCs w:val="20"/>
                <w:color w:val="auto"/>
              </w:rPr>
            </w:pPr>
            <w:r>
              <w:rPr>
                <w:rFonts w:ascii="Arial" w:cs="Arial" w:eastAsia="Arial" w:hAnsi="Arial"/>
                <w:sz w:val="18"/>
                <w:szCs w:val="18"/>
                <w:color w:val="auto"/>
              </w:rPr>
              <w:t>3%</w:t>
            </w:r>
          </w:p>
        </w:tc>
        <w:tc>
          <w:tcPr>
            <w:tcW w:w="1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977</w:t>
            </w:r>
          </w:p>
        </w:tc>
        <w:tc>
          <w:tcPr>
            <w:tcW w:w="240" w:type="dxa"/>
            <w:vAlign w:val="bottom"/>
          </w:tcPr>
          <w:p>
            <w:pPr>
              <w:spacing w:after="0"/>
              <w:rPr>
                <w:sz w:val="19"/>
                <w:szCs w:val="19"/>
                <w:color w:val="auto"/>
              </w:rPr>
            </w:pPr>
          </w:p>
        </w:tc>
        <w:tc>
          <w:tcPr>
            <w:tcW w:w="1300" w:type="dxa"/>
            <w:vAlign w:val="bottom"/>
            <w:gridSpan w:val="2"/>
          </w:tcPr>
          <w:p>
            <w:pPr>
              <w:jc w:val="right"/>
              <w:ind w:right="180"/>
              <w:spacing w:after="0"/>
              <w:rPr>
                <w:sz w:val="20"/>
                <w:szCs w:val="20"/>
                <w:color w:val="auto"/>
              </w:rPr>
            </w:pPr>
            <w:r>
              <w:rPr>
                <w:rFonts w:ascii="Arial" w:cs="Arial" w:eastAsia="Arial" w:hAnsi="Arial"/>
                <w:sz w:val="18"/>
                <w:szCs w:val="18"/>
                <w:color w:val="auto"/>
              </w:rPr>
              <w:t>2%</w:t>
            </w:r>
          </w:p>
        </w:tc>
        <w:tc>
          <w:tcPr>
            <w:tcW w:w="26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338</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80" w:type="dxa"/>
            <w:vAlign w:val="bottom"/>
            <w:gridSpan w:val="2"/>
          </w:tcPr>
          <w:p>
            <w:pPr>
              <w:jc w:val="right"/>
              <w:ind w:right="40"/>
              <w:spacing w:after="0"/>
              <w:rPr>
                <w:sz w:val="20"/>
                <w:szCs w:val="20"/>
                <w:color w:val="auto"/>
              </w:rPr>
            </w:pPr>
            <w:r>
              <w:rPr>
                <w:rFonts w:ascii="Arial" w:cs="Arial" w:eastAsia="Arial" w:hAnsi="Arial"/>
                <w:sz w:val="18"/>
                <w:szCs w:val="18"/>
                <w:color w:val="auto"/>
              </w:rPr>
              <w:t>35%</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240" w:type="dxa"/>
            <w:vAlign w:val="bottom"/>
            <w:shd w:val="clear" w:color="auto" w:fill="B6EAFC"/>
          </w:tcPr>
          <w:p>
            <w:pPr>
              <w:spacing w:after="0"/>
              <w:rPr>
                <w:sz w:val="20"/>
                <w:szCs w:val="20"/>
                <w:color w:val="auto"/>
              </w:rPr>
            </w:pPr>
            <w:r>
              <w:rPr>
                <w:rFonts w:ascii="Arial" w:cs="Arial" w:eastAsia="Arial" w:hAnsi="Arial"/>
                <w:sz w:val="18"/>
                <w:szCs w:val="18"/>
                <w:color w:val="auto"/>
              </w:rPr>
              <w:t>Other research expenses</w:t>
            </w:r>
          </w:p>
        </w:tc>
        <w:tc>
          <w:tcPr>
            <w:tcW w:w="140" w:type="dxa"/>
            <w:vAlign w:val="bottom"/>
            <w:shd w:val="clear" w:color="auto" w:fill="B6EAFC"/>
          </w:tcPr>
          <w:p>
            <w:pPr>
              <w:spacing w:after="0"/>
              <w:rPr>
                <w:sz w:val="19"/>
                <w:szCs w:val="19"/>
                <w:color w:val="auto"/>
              </w:rPr>
            </w:pPr>
          </w:p>
        </w:tc>
        <w:tc>
          <w:tcPr>
            <w:tcW w:w="1180" w:type="dxa"/>
            <w:vAlign w:val="bottom"/>
            <w:shd w:val="clear" w:color="auto" w:fill="B6EAFC"/>
          </w:tcPr>
          <w:p>
            <w:pPr>
              <w:jc w:val="right"/>
              <w:spacing w:after="0"/>
              <w:rPr>
                <w:sz w:val="20"/>
                <w:szCs w:val="20"/>
                <w:color w:val="auto"/>
              </w:rPr>
            </w:pPr>
            <w:r>
              <w:rPr>
                <w:rFonts w:ascii="Arial" w:cs="Arial" w:eastAsia="Arial" w:hAnsi="Arial"/>
                <w:sz w:val="18"/>
                <w:szCs w:val="18"/>
                <w:color w:val="auto"/>
              </w:rPr>
              <w:t>192</w:t>
            </w:r>
          </w:p>
        </w:tc>
        <w:tc>
          <w:tcPr>
            <w:tcW w:w="100" w:type="dxa"/>
            <w:vAlign w:val="bottom"/>
            <w:shd w:val="clear" w:color="auto" w:fill="B6EAFC"/>
          </w:tcPr>
          <w:p>
            <w:pPr>
              <w:spacing w:after="0"/>
              <w:rPr>
                <w:sz w:val="19"/>
                <w:szCs w:val="19"/>
                <w:color w:val="auto"/>
              </w:rPr>
            </w:pPr>
          </w:p>
        </w:tc>
        <w:tc>
          <w:tcPr>
            <w:tcW w:w="160" w:type="dxa"/>
            <w:vAlign w:val="bottom"/>
            <w:shd w:val="clear" w:color="auto" w:fill="B6EAFC"/>
          </w:tcPr>
          <w:p>
            <w:pPr>
              <w:spacing w:after="0"/>
              <w:rPr>
                <w:sz w:val="19"/>
                <w:szCs w:val="19"/>
                <w:color w:val="auto"/>
              </w:rPr>
            </w:pPr>
          </w:p>
        </w:tc>
        <w:tc>
          <w:tcPr>
            <w:tcW w:w="1360" w:type="dxa"/>
            <w:vAlign w:val="bottom"/>
            <w:gridSpan w:val="2"/>
            <w:shd w:val="clear" w:color="auto" w:fill="B6EAFC"/>
          </w:tcPr>
          <w:p>
            <w:pPr>
              <w:jc w:val="right"/>
              <w:ind w:right="200"/>
              <w:spacing w:after="0"/>
              <w:rPr>
                <w:sz w:val="20"/>
                <w:szCs w:val="20"/>
                <w:color w:val="auto"/>
              </w:rPr>
            </w:pPr>
            <w:r>
              <w:rPr>
                <w:rFonts w:ascii="Arial" w:cs="Arial" w:eastAsia="Arial" w:hAnsi="Arial"/>
                <w:sz w:val="18"/>
                <w:szCs w:val="18"/>
                <w:color w:val="auto"/>
              </w:rPr>
              <w:t>1%</w:t>
            </w:r>
          </w:p>
        </w:tc>
        <w:tc>
          <w:tcPr>
            <w:tcW w:w="120" w:type="dxa"/>
            <w:vAlign w:val="bottom"/>
            <w:shd w:val="clear" w:color="auto" w:fill="B6EAFC"/>
          </w:tcPr>
          <w:p>
            <w:pPr>
              <w:spacing w:after="0"/>
              <w:rPr>
                <w:sz w:val="19"/>
                <w:szCs w:val="19"/>
                <w:color w:val="auto"/>
              </w:rPr>
            </w:pPr>
          </w:p>
        </w:tc>
        <w:tc>
          <w:tcPr>
            <w:tcW w:w="1160" w:type="dxa"/>
            <w:vAlign w:val="bottom"/>
            <w:shd w:val="clear" w:color="auto" w:fill="B6EAFC"/>
          </w:tcPr>
          <w:p>
            <w:pPr>
              <w:jc w:val="right"/>
              <w:spacing w:after="0"/>
              <w:rPr>
                <w:sz w:val="20"/>
                <w:szCs w:val="20"/>
                <w:color w:val="auto"/>
              </w:rPr>
            </w:pPr>
            <w:r>
              <w:rPr>
                <w:rFonts w:ascii="Arial" w:cs="Arial" w:eastAsia="Arial" w:hAnsi="Arial"/>
                <w:sz w:val="18"/>
                <w:szCs w:val="18"/>
                <w:color w:val="auto"/>
              </w:rPr>
              <w:t>317</w:t>
            </w:r>
          </w:p>
        </w:tc>
        <w:tc>
          <w:tcPr>
            <w:tcW w:w="240" w:type="dxa"/>
            <w:vAlign w:val="bottom"/>
            <w:shd w:val="clear" w:color="auto" w:fill="B6EAFC"/>
          </w:tcPr>
          <w:p>
            <w:pPr>
              <w:spacing w:after="0"/>
              <w:rPr>
                <w:sz w:val="19"/>
                <w:szCs w:val="19"/>
                <w:color w:val="auto"/>
              </w:rPr>
            </w:pPr>
          </w:p>
        </w:tc>
        <w:tc>
          <w:tcPr>
            <w:tcW w:w="1300" w:type="dxa"/>
            <w:vAlign w:val="bottom"/>
            <w:gridSpan w:val="2"/>
            <w:shd w:val="clear" w:color="auto" w:fill="B6EAFC"/>
          </w:tcPr>
          <w:p>
            <w:pPr>
              <w:jc w:val="right"/>
              <w:ind w:right="180"/>
              <w:spacing w:after="0"/>
              <w:rPr>
                <w:sz w:val="20"/>
                <w:szCs w:val="20"/>
                <w:color w:val="auto"/>
              </w:rPr>
            </w:pPr>
            <w:r>
              <w:rPr>
                <w:rFonts w:ascii="Arial" w:cs="Arial" w:eastAsia="Arial" w:hAnsi="Arial"/>
                <w:sz w:val="18"/>
                <w:szCs w:val="18"/>
                <w:color w:val="auto"/>
              </w:rPr>
              <w:t>1%</w:t>
            </w:r>
          </w:p>
        </w:tc>
        <w:tc>
          <w:tcPr>
            <w:tcW w:w="260" w:type="dxa"/>
            <w:vAlign w:val="bottom"/>
            <w:shd w:val="clear" w:color="auto" w:fill="B6EAFC"/>
          </w:tcPr>
          <w:p>
            <w:pPr>
              <w:spacing w:after="0"/>
              <w:rPr>
                <w:sz w:val="19"/>
                <w:szCs w:val="19"/>
                <w:color w:val="auto"/>
              </w:rPr>
            </w:pPr>
          </w:p>
        </w:tc>
        <w:tc>
          <w:tcPr>
            <w:tcW w:w="840" w:type="dxa"/>
            <w:vAlign w:val="bottom"/>
            <w:gridSpan w:val="2"/>
            <w:shd w:val="clear" w:color="auto" w:fill="B6EAFC"/>
          </w:tcPr>
          <w:p>
            <w:pPr>
              <w:jc w:val="right"/>
              <w:ind w:right="40"/>
              <w:spacing w:after="0"/>
              <w:rPr>
                <w:sz w:val="20"/>
                <w:szCs w:val="20"/>
                <w:color w:val="auto"/>
              </w:rPr>
            </w:pPr>
            <w:r>
              <w:rPr>
                <w:rFonts w:ascii="Arial" w:cs="Arial" w:eastAsia="Arial" w:hAnsi="Arial"/>
                <w:sz w:val="18"/>
                <w:szCs w:val="18"/>
                <w:color w:val="auto"/>
              </w:rPr>
              <w:t>(125)</w:t>
            </w:r>
          </w:p>
        </w:tc>
        <w:tc>
          <w:tcPr>
            <w:tcW w:w="140" w:type="dxa"/>
            <w:vAlign w:val="bottom"/>
            <w:shd w:val="clear" w:color="auto" w:fill="B6EAFC"/>
          </w:tcPr>
          <w:p>
            <w:pPr>
              <w:spacing w:after="0"/>
              <w:rPr>
                <w:sz w:val="19"/>
                <w:szCs w:val="19"/>
                <w:color w:val="auto"/>
              </w:rPr>
            </w:pPr>
          </w:p>
        </w:tc>
        <w:tc>
          <w:tcPr>
            <w:tcW w:w="1180" w:type="dxa"/>
            <w:vAlign w:val="bottom"/>
            <w:gridSpan w:val="2"/>
            <w:shd w:val="clear" w:color="auto" w:fill="B6EAFC"/>
          </w:tcPr>
          <w:p>
            <w:pPr>
              <w:jc w:val="right"/>
              <w:ind w:right="40"/>
              <w:spacing w:after="0"/>
              <w:rPr>
                <w:sz w:val="20"/>
                <w:szCs w:val="20"/>
                <w:color w:val="auto"/>
              </w:rPr>
            </w:pPr>
            <w:r>
              <w:rPr>
                <w:rFonts w:ascii="Arial" w:cs="Arial" w:eastAsia="Arial" w:hAnsi="Arial"/>
                <w:sz w:val="18"/>
                <w:szCs w:val="18"/>
                <w:color w:val="auto"/>
              </w:rPr>
              <w:t>-39%</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240" w:type="dxa"/>
            <w:vAlign w:val="bottom"/>
            <w:vMerge w:val="restart"/>
          </w:tcPr>
          <w:p>
            <w:pPr>
              <w:spacing w:after="0"/>
              <w:rPr>
                <w:sz w:val="20"/>
                <w:szCs w:val="20"/>
                <w:color w:val="auto"/>
              </w:rPr>
            </w:pPr>
            <w:r>
              <w:rPr>
                <w:rFonts w:ascii="Arial" w:cs="Arial" w:eastAsia="Arial" w:hAnsi="Arial"/>
                <w:sz w:val="18"/>
                <w:szCs w:val="18"/>
                <w:color w:val="auto"/>
              </w:rPr>
              <w:t>Total</w:t>
            </w:r>
          </w:p>
        </w:tc>
        <w:tc>
          <w:tcPr>
            <w:tcW w:w="14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140" w:type="dxa"/>
            <w:vAlign w:val="bottom"/>
            <w:vMerge w:val="restart"/>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3240" w:type="dxa"/>
            <w:vAlign w:val="bottom"/>
            <w:vMerge w:val="continue"/>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41,454</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60" w:type="dxa"/>
            <w:vAlign w:val="bottom"/>
            <w:gridSpan w:val="2"/>
          </w:tcPr>
          <w:p>
            <w:pPr>
              <w:jc w:val="right"/>
              <w:ind w:right="200"/>
              <w:spacing w:after="0"/>
              <w:rPr>
                <w:sz w:val="20"/>
                <w:szCs w:val="20"/>
                <w:color w:val="auto"/>
              </w:rPr>
            </w:pPr>
            <w:r>
              <w:rPr>
                <w:rFonts w:ascii="Arial" w:cs="Arial" w:eastAsia="Arial" w:hAnsi="Arial"/>
                <w:sz w:val="18"/>
                <w:szCs w:val="18"/>
                <w:color w:val="auto"/>
              </w:rPr>
              <w:t>100%</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47,267</w:t>
            </w:r>
          </w:p>
        </w:tc>
        <w:tc>
          <w:tcPr>
            <w:tcW w:w="240" w:type="dxa"/>
            <w:vAlign w:val="bottom"/>
          </w:tcPr>
          <w:p>
            <w:pPr>
              <w:spacing w:after="0"/>
              <w:rPr>
                <w:sz w:val="19"/>
                <w:szCs w:val="19"/>
                <w:color w:val="auto"/>
              </w:rPr>
            </w:pPr>
          </w:p>
        </w:tc>
        <w:tc>
          <w:tcPr>
            <w:tcW w:w="1300" w:type="dxa"/>
            <w:vAlign w:val="bottom"/>
            <w:gridSpan w:val="2"/>
          </w:tcPr>
          <w:p>
            <w:pPr>
              <w:jc w:val="right"/>
              <w:ind w:right="180"/>
              <w:spacing w:after="0"/>
              <w:rPr>
                <w:sz w:val="20"/>
                <w:szCs w:val="20"/>
                <w:color w:val="auto"/>
              </w:rPr>
            </w:pPr>
            <w:r>
              <w:rPr>
                <w:rFonts w:ascii="Arial" w:cs="Arial" w:eastAsia="Arial" w:hAnsi="Arial"/>
                <w:sz w:val="18"/>
                <w:szCs w:val="18"/>
                <w:color w:val="auto"/>
              </w:rPr>
              <w:t>100%</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(5,813)</w:t>
            </w:r>
          </w:p>
        </w:tc>
        <w:tc>
          <w:tcPr>
            <w:tcW w:w="100" w:type="dxa"/>
            <w:vAlign w:val="bottom"/>
            <w:vMerge w:val="continue"/>
          </w:tcPr>
          <w:p>
            <w:pPr>
              <w:spacing w:after="0"/>
              <w:rPr>
                <w:sz w:val="19"/>
                <w:szCs w:val="19"/>
                <w:color w:val="auto"/>
              </w:rPr>
            </w:pPr>
          </w:p>
        </w:tc>
        <w:tc>
          <w:tcPr>
            <w:tcW w:w="140" w:type="dxa"/>
            <w:vAlign w:val="bottom"/>
            <w:vMerge w:val="continue"/>
          </w:tcPr>
          <w:p>
            <w:pPr>
              <w:spacing w:after="0"/>
              <w:rPr>
                <w:sz w:val="19"/>
                <w:szCs w:val="19"/>
                <w:color w:val="auto"/>
              </w:rPr>
            </w:pPr>
          </w:p>
        </w:tc>
        <w:tc>
          <w:tcPr>
            <w:tcW w:w="1180" w:type="dxa"/>
            <w:vAlign w:val="bottom"/>
            <w:gridSpan w:val="2"/>
          </w:tcPr>
          <w:p>
            <w:pPr>
              <w:jc w:val="right"/>
              <w:ind w:right="40"/>
              <w:spacing w:after="0"/>
              <w:rPr>
                <w:sz w:val="20"/>
                <w:szCs w:val="20"/>
                <w:color w:val="auto"/>
              </w:rPr>
            </w:pPr>
            <w:r>
              <w:rPr>
                <w:rFonts w:ascii="Arial" w:cs="Arial" w:eastAsia="Arial" w:hAnsi="Arial"/>
                <w:sz w:val="18"/>
                <w:szCs w:val="18"/>
                <w:color w:val="auto"/>
              </w:rPr>
              <w:t>-12%</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26"/>
        </w:trPr>
        <w:tc>
          <w:tcPr>
            <w:tcW w:w="3240" w:type="dxa"/>
            <w:vAlign w:val="bottom"/>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118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46</w:t>
            </w:r>
          </w:p>
        </w:tc>
        <w:tc>
          <w:tcPr>
            <w:tcW w:w="360" w:type="dxa"/>
            <w:vAlign w:val="bottom"/>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1160" w:type="dxa"/>
            <w:vAlign w:val="bottom"/>
            <w:tcBorders>
              <w:top w:val="single" w:sz="8" w:color="auto"/>
            </w:tcBorders>
          </w:tcPr>
          <w:p>
            <w:pPr>
              <w:spacing w:after="0"/>
              <w:rPr>
                <w:sz w:val="24"/>
                <w:szCs w:val="24"/>
                <w:color w:val="auto"/>
              </w:rPr>
            </w:pPr>
          </w:p>
        </w:tc>
        <w:tc>
          <w:tcPr>
            <w:tcW w:w="240" w:type="dxa"/>
            <w:vAlign w:val="bottom"/>
          </w:tcPr>
          <w:p>
            <w:pPr>
              <w:spacing w:after="0"/>
              <w:rPr>
                <w:sz w:val="24"/>
                <w:szCs w:val="24"/>
                <w:color w:val="auto"/>
              </w:rPr>
            </w:pPr>
          </w:p>
        </w:tc>
        <w:tc>
          <w:tcPr>
            <w:tcW w:w="980" w:type="dxa"/>
            <w:vAlign w:val="bottom"/>
            <w:tcBorders>
              <w:top w:val="single" w:sz="8" w:color="auto"/>
            </w:tcBorders>
          </w:tcPr>
          <w:p>
            <w:pPr>
              <w:spacing w:after="0"/>
              <w:rPr>
                <w:sz w:val="24"/>
                <w:szCs w:val="24"/>
                <w:color w:val="auto"/>
              </w:rPr>
            </w:pPr>
          </w:p>
        </w:tc>
        <w:tc>
          <w:tcPr>
            <w:tcW w:w="320" w:type="dxa"/>
            <w:vAlign w:val="bottom"/>
          </w:tcPr>
          <w:p>
            <w:pPr>
              <w:spacing w:after="0"/>
              <w:rPr>
                <w:sz w:val="24"/>
                <w:szCs w:val="24"/>
                <w:color w:val="auto"/>
              </w:rPr>
            </w:pPr>
          </w:p>
        </w:tc>
        <w:tc>
          <w:tcPr>
            <w:tcW w:w="260" w:type="dxa"/>
            <w:vAlign w:val="bottom"/>
            <w:tcBorders>
              <w:top w:val="single" w:sz="8" w:color="auto"/>
            </w:tcBorders>
          </w:tcPr>
          <w:p>
            <w:pPr>
              <w:spacing w:after="0"/>
              <w:rPr>
                <w:sz w:val="24"/>
                <w:szCs w:val="24"/>
                <w:color w:val="auto"/>
              </w:rPr>
            </w:pPr>
          </w:p>
        </w:tc>
        <w:tc>
          <w:tcPr>
            <w:tcW w:w="74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Borders>
              <w:top w:val="single" w:sz="8" w:color="auto"/>
            </w:tcBorders>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324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118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1000" w:type="dxa"/>
            <w:vAlign w:val="bottom"/>
            <w:tcBorders>
              <w:bottom w:val="single" w:sz="8" w:color="9A9A9A"/>
            </w:tcBorders>
          </w:tcPr>
          <w:p>
            <w:pPr>
              <w:spacing w:after="0"/>
              <w:rPr>
                <w:sz w:val="10"/>
                <w:szCs w:val="10"/>
                <w:color w:val="auto"/>
              </w:rPr>
            </w:pPr>
          </w:p>
        </w:tc>
        <w:tc>
          <w:tcPr>
            <w:tcW w:w="36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16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980" w:type="dxa"/>
            <w:vAlign w:val="bottom"/>
            <w:tcBorders>
              <w:bottom w:val="single" w:sz="8" w:color="9A9A9A"/>
            </w:tcBorders>
          </w:tcPr>
          <w:p>
            <w:pPr>
              <w:spacing w:after="0"/>
              <w:rPr>
                <w:sz w:val="10"/>
                <w:szCs w:val="10"/>
                <w:color w:val="auto"/>
              </w:rPr>
            </w:pPr>
          </w:p>
        </w:tc>
        <w:tc>
          <w:tcPr>
            <w:tcW w:w="32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74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100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233" w:right="219" w:bottom="1440" w:gutter="0" w:footer="0" w:header="0"/>
        </w:sectPr>
      </w:pPr>
    </w:p>
    <w:bookmarkStart w:id="49" w:name="page50"/>
    <w:bookmarkEnd w:id="49"/>
    <w:p>
      <w:pPr>
        <w:ind w:firstLine="518"/>
        <w:spacing w:after="0" w:line="286" w:lineRule="auto"/>
        <w:rPr>
          <w:sz w:val="20"/>
          <w:szCs w:val="20"/>
          <w:color w:val="auto"/>
        </w:rPr>
      </w:pPr>
      <w:r>
        <w:rPr>
          <w:rFonts w:ascii="Arial" w:cs="Arial" w:eastAsia="Arial" w:hAnsi="Arial"/>
          <w:sz w:val="17"/>
          <w:szCs w:val="17"/>
          <w:color w:val="auto"/>
        </w:rPr>
        <w:t>Laboratory supplies and services expense increased $175,000 from $2,531,000 during the year ended September 30, 2015 to $2,706,000 during the year ended September 30, 2016. The increase in laboratory supplies and services is a result of additional supply purchases necessary to support the expansion of the Company’s preclinical pipeline as well as the development of the subcutaneous versions of its drug candidates.</w:t>
      </w:r>
    </w:p>
    <w:p>
      <w:pPr>
        <w:spacing w:after="0" w:line="166" w:lineRule="exact"/>
        <w:rPr>
          <w:sz w:val="20"/>
          <w:szCs w:val="20"/>
          <w:color w:val="auto"/>
        </w:rPr>
      </w:pPr>
    </w:p>
    <w:p>
      <w:pPr>
        <w:ind w:right="240" w:firstLine="518"/>
        <w:spacing w:after="0" w:line="279" w:lineRule="auto"/>
        <w:rPr>
          <w:sz w:val="20"/>
          <w:szCs w:val="20"/>
          <w:color w:val="auto"/>
        </w:rPr>
      </w:pPr>
      <w:r>
        <w:rPr>
          <w:rFonts w:ascii="Arial" w:cs="Arial" w:eastAsia="Arial" w:hAnsi="Arial"/>
          <w:sz w:val="17"/>
          <w:szCs w:val="17"/>
          <w:color w:val="auto"/>
        </w:rPr>
        <w:t>In vivo studies expense increased $1,055,000 from $556,000 during the year ended September 30, 2015 to $1,611,000 during the year ended September 30, 2016. In vivo expense can vary depending on the stage of preclinical candidates, the nature and amount of testing required and the varying costs of different in vivo testing models. The expense in both periods relates to studies in connection with the development of new clinical candidates, and the increase in fiscal year 2016 was primarily driven by studies for ARO-LPA (AMG 890) before it was licensed to Amgen.</w:t>
      </w:r>
    </w:p>
    <w:p>
      <w:pPr>
        <w:spacing w:after="0" w:line="171" w:lineRule="exact"/>
        <w:rPr>
          <w:sz w:val="20"/>
          <w:szCs w:val="20"/>
          <w:color w:val="auto"/>
        </w:rPr>
      </w:pPr>
    </w:p>
    <w:p>
      <w:pPr>
        <w:ind w:right="80" w:firstLine="518"/>
        <w:spacing w:after="0" w:line="342" w:lineRule="auto"/>
        <w:rPr>
          <w:sz w:val="20"/>
          <w:szCs w:val="20"/>
          <w:color w:val="auto"/>
        </w:rPr>
      </w:pPr>
      <w:r>
        <w:rPr>
          <w:rFonts w:ascii="Arial" w:cs="Arial" w:eastAsia="Arial" w:hAnsi="Arial"/>
          <w:sz w:val="16"/>
          <w:szCs w:val="16"/>
          <w:color w:val="auto"/>
        </w:rPr>
        <w:t>Outside labs and contract services expense decreased $334,000 from $489,000 during the year ended September 30, 2015 to $155,000 during the year ended September 30, 2016. The decrease primarily relates to reduced contracted labor services and more functions being performed in house.</w:t>
      </w:r>
    </w:p>
    <w:p>
      <w:pPr>
        <w:spacing w:after="0" w:line="124" w:lineRule="exact"/>
        <w:rPr>
          <w:sz w:val="20"/>
          <w:szCs w:val="20"/>
          <w:color w:val="auto"/>
        </w:rPr>
      </w:pPr>
    </w:p>
    <w:p>
      <w:pPr>
        <w:ind w:right="100" w:firstLine="518"/>
        <w:spacing w:after="0" w:line="264" w:lineRule="auto"/>
        <w:rPr>
          <w:sz w:val="20"/>
          <w:szCs w:val="20"/>
          <w:color w:val="auto"/>
        </w:rPr>
      </w:pPr>
      <w:r>
        <w:rPr>
          <w:rFonts w:ascii="Arial" w:cs="Arial" w:eastAsia="Arial" w:hAnsi="Arial"/>
          <w:sz w:val="18"/>
          <w:szCs w:val="18"/>
          <w:color w:val="auto"/>
        </w:rPr>
        <w:t>Toxicity/efficacy studies expense increased $1,194,000 from $6,572,000 during the year ended September 30, 2015 to $7,766,000 during the year ended September 30, 2016. This category includes IND-enabling toxicology studies, post-IND toxicology studies, such as long-term toxicology studies, and other efficacy studies. The increase primarily relates to toxicology studies related to ARC-521.</w:t>
      </w:r>
    </w:p>
    <w:p>
      <w:pPr>
        <w:spacing w:after="0" w:line="181" w:lineRule="exact"/>
        <w:rPr>
          <w:sz w:val="20"/>
          <w:szCs w:val="20"/>
          <w:color w:val="auto"/>
        </w:rPr>
      </w:pPr>
    </w:p>
    <w:p>
      <w:pPr>
        <w:ind w:firstLine="518"/>
        <w:spacing w:after="0" w:line="286" w:lineRule="auto"/>
        <w:rPr>
          <w:sz w:val="20"/>
          <w:szCs w:val="20"/>
          <w:color w:val="auto"/>
        </w:rPr>
      </w:pPr>
      <w:r>
        <w:rPr>
          <w:rFonts w:ascii="Arial" w:cs="Arial" w:eastAsia="Arial" w:hAnsi="Arial"/>
          <w:sz w:val="17"/>
          <w:szCs w:val="17"/>
          <w:color w:val="auto"/>
        </w:rPr>
        <w:t>Drug manufacturing expense decreased $11,576,000 from $21,431,000 during the year ended September 30, 2015 to $9,855,000 during the year ended September 30, 2016. The decrease primarily relates to the substantial completion of our ARC-520 Phase 2b manufacturing campaign during fiscal 2015. Drug manufacturing expense for the year ended September 30, 2016 primarily relates to manufacturing for ARC-521 clinical trials.</w:t>
      </w:r>
    </w:p>
    <w:p>
      <w:pPr>
        <w:spacing w:after="0" w:line="166" w:lineRule="exact"/>
        <w:rPr>
          <w:sz w:val="20"/>
          <w:szCs w:val="20"/>
          <w:color w:val="auto"/>
        </w:rPr>
      </w:pPr>
    </w:p>
    <w:p>
      <w:pPr>
        <w:jc w:val="both"/>
        <w:ind w:right="500" w:firstLine="518"/>
        <w:spacing w:after="0" w:line="264" w:lineRule="auto"/>
        <w:rPr>
          <w:sz w:val="20"/>
          <w:szCs w:val="20"/>
          <w:color w:val="auto"/>
        </w:rPr>
      </w:pPr>
      <w:r>
        <w:rPr>
          <w:rFonts w:ascii="Arial" w:cs="Arial" w:eastAsia="Arial" w:hAnsi="Arial"/>
          <w:sz w:val="18"/>
          <w:szCs w:val="18"/>
          <w:color w:val="auto"/>
        </w:rPr>
        <w:t>Clinical trials expense increased $1,471,000 from $13,329,000 during the year ended September 30, 2015 to $14,800,000 during the year ended September 30, 2016. In both periods, the primary driver of the expenses was related to ARC-520 Phase 2b trials. We also incurred costs in fiscal 2016 related to our clinical trials for ARC-AAT and ARC-521.</w:t>
      </w:r>
    </w:p>
    <w:p>
      <w:pPr>
        <w:spacing w:after="0" w:line="181" w:lineRule="exact"/>
        <w:rPr>
          <w:sz w:val="20"/>
          <w:szCs w:val="20"/>
          <w:color w:val="auto"/>
        </w:rPr>
      </w:pPr>
    </w:p>
    <w:p>
      <w:pPr>
        <w:ind w:right="80" w:firstLine="518"/>
        <w:spacing w:after="0" w:line="259" w:lineRule="auto"/>
        <w:rPr>
          <w:sz w:val="20"/>
          <w:szCs w:val="20"/>
          <w:color w:val="auto"/>
        </w:rPr>
      </w:pPr>
      <w:r>
        <w:rPr>
          <w:rFonts w:ascii="Arial" w:cs="Arial" w:eastAsia="Arial" w:hAnsi="Arial"/>
          <w:sz w:val="18"/>
          <w:szCs w:val="18"/>
          <w:color w:val="auto"/>
        </w:rPr>
        <w:t>License, royalty and milestones expense increased $1,989,000 from $1,065,000 during the year ended September 30, 2015 to $3,054,000 during the year ended September 30, 2016. This category can include milestone payments which can vary from period to period depending on the nature of our various license agreements and the timing of reaching various development milestones requiring payment. We reached milestones related to our clinical candidates that required a $3 million payment in fiscal 2016 and a $1 million payment in fiscal 2015.</w:t>
      </w:r>
    </w:p>
    <w:p>
      <w:pPr>
        <w:spacing w:after="0" w:line="187" w:lineRule="exact"/>
        <w:rPr>
          <w:sz w:val="20"/>
          <w:szCs w:val="20"/>
          <w:color w:val="auto"/>
        </w:rPr>
      </w:pPr>
    </w:p>
    <w:p>
      <w:pPr>
        <w:ind w:right="120" w:firstLine="518"/>
        <w:spacing w:after="0" w:line="264" w:lineRule="auto"/>
        <w:rPr>
          <w:sz w:val="20"/>
          <w:szCs w:val="20"/>
          <w:color w:val="auto"/>
        </w:rPr>
      </w:pPr>
      <w:r>
        <w:rPr>
          <w:rFonts w:ascii="Arial" w:cs="Arial" w:eastAsia="Arial" w:hAnsi="Arial"/>
          <w:sz w:val="18"/>
          <w:szCs w:val="18"/>
          <w:color w:val="auto"/>
        </w:rPr>
        <w:t>Facilities expense increased $338,000 from $977,000 during the year ended September 30, 2015 to $1,315,000 during the year ended September 30, 2016. The increase relates to rent for our additional research and development facility in Middleton, Wisconsin and increased repairs and maintenance costs for our lab equipment.</w:t>
      </w:r>
    </w:p>
    <w:p>
      <w:pPr>
        <w:spacing w:after="0" w:line="181" w:lineRule="exact"/>
        <w:rPr>
          <w:sz w:val="20"/>
          <w:szCs w:val="20"/>
          <w:color w:val="auto"/>
        </w:rPr>
      </w:pPr>
    </w:p>
    <w:p>
      <w:pPr>
        <w:ind w:right="180" w:firstLine="518"/>
        <w:spacing w:after="0" w:line="264" w:lineRule="auto"/>
        <w:rPr>
          <w:sz w:val="20"/>
          <w:szCs w:val="20"/>
          <w:color w:val="auto"/>
        </w:rPr>
      </w:pPr>
      <w:r>
        <w:rPr>
          <w:rFonts w:ascii="Arial" w:cs="Arial" w:eastAsia="Arial" w:hAnsi="Arial"/>
          <w:sz w:val="18"/>
          <w:szCs w:val="18"/>
          <w:color w:val="auto"/>
        </w:rPr>
        <w:t>Other research expense decreased $125,000 from $317,000 during the year ended September 30, 2015 to $192,000 during the year ended September 30, 2016. The decrease primarily relates to costs associated with a collaboration agreement to identify muscle targeting peptide molecules, for which the Company has been reimbursed from its collaboration partner.</w:t>
      </w:r>
    </w:p>
    <w:p>
      <w:pPr>
        <w:spacing w:after="0" w:line="18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557" w:right="259" w:bottom="1440" w:gutter="0" w:footer="0" w:header="0"/>
        </w:sectPr>
      </w:pPr>
    </w:p>
    <w:bookmarkStart w:id="50" w:name="page51"/>
    <w:bookmarkEnd w:id="50"/>
    <w:p>
      <w:pPr>
        <w:ind w:left="260"/>
        <w:spacing w:after="0"/>
        <w:rPr>
          <w:sz w:val="20"/>
          <w:szCs w:val="20"/>
          <w:color w:val="auto"/>
        </w:rPr>
      </w:pPr>
      <w:r>
        <w:rPr>
          <w:rFonts w:ascii="Arial" w:cs="Arial" w:eastAsia="Arial" w:hAnsi="Arial"/>
          <w:sz w:val="18"/>
          <w:szCs w:val="18"/>
          <w:b w:val="1"/>
          <w:bCs w:val="1"/>
          <w:i w:val="1"/>
          <w:iCs w:val="1"/>
          <w:color w:val="auto"/>
        </w:rPr>
        <w:t>Salary and Payroll-Related Expenses</w:t>
      </w:r>
    </w:p>
    <w:p>
      <w:pPr>
        <w:spacing w:after="0" w:line="117" w:lineRule="exact"/>
        <w:rPr>
          <w:sz w:val="20"/>
          <w:szCs w:val="20"/>
          <w:color w:val="auto"/>
        </w:rPr>
      </w:pPr>
    </w:p>
    <w:p>
      <w:pPr>
        <w:ind w:right="100" w:firstLine="518"/>
        <w:spacing w:after="0" w:line="279" w:lineRule="auto"/>
        <w:rPr>
          <w:sz w:val="20"/>
          <w:szCs w:val="20"/>
          <w:color w:val="auto"/>
        </w:rPr>
      </w:pPr>
      <w:r>
        <w:rPr>
          <w:rFonts w:ascii="Arial" w:cs="Arial" w:eastAsia="Arial" w:hAnsi="Arial"/>
          <w:sz w:val="17"/>
          <w:szCs w:val="17"/>
          <w:color w:val="auto"/>
        </w:rPr>
        <w:t>The Company employs scientific, technical and administrative staff at its corporate offices and its research facilities. Salaries and payroll-related expense consists of salaries, bonuses, payroll taxes and related benefits. Salary and payroll-related expenses include two major categories, based on the primary activities of each employee: general and administrative (G&amp;A) compensation expense and research and development (R&amp;D) compensation expense. The following table provides detail of salary and payroll-related expenses for the periods indicated:</w:t>
      </w:r>
    </w:p>
    <w:p>
      <w:pPr>
        <w:spacing w:after="0" w:line="171"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(in thousands)</w:t>
      </w: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26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4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3"/>
              </w:rPr>
              <w:t>Twelve Months</w:t>
            </w:r>
          </w:p>
        </w:tc>
        <w:tc>
          <w:tcPr>
            <w:tcW w:w="11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2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93"/>
              </w:rPr>
              <w:t>Twelve Months</w:t>
            </w:r>
          </w:p>
        </w:tc>
        <w:tc>
          <w:tcPr>
            <w:tcW w:w="11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6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4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93"/>
              </w:rPr>
              <w:t>Ended</w:t>
            </w:r>
          </w:p>
        </w:tc>
        <w:tc>
          <w:tcPr>
            <w:tcW w:w="144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rPr>
              <w:t>% of</w:t>
            </w:r>
          </w:p>
        </w:tc>
        <w:tc>
          <w:tcPr>
            <w:tcW w:w="140" w:type="dxa"/>
            <w:vAlign w:val="bottom"/>
          </w:tcPr>
          <w:p>
            <w:pPr>
              <w:spacing w:after="0"/>
              <w:rPr>
                <w:sz w:val="18"/>
                <w:szCs w:val="18"/>
                <w:color w:val="auto"/>
              </w:rPr>
            </w:pPr>
          </w:p>
        </w:tc>
        <w:tc>
          <w:tcPr>
            <w:tcW w:w="142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3"/>
              </w:rPr>
              <w:t>Ended</w:t>
            </w:r>
          </w:p>
        </w:tc>
        <w:tc>
          <w:tcPr>
            <w:tcW w:w="146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rPr>
              <w:t>% of</w:t>
            </w:r>
          </w:p>
        </w:tc>
        <w:tc>
          <w:tcPr>
            <w:tcW w:w="640" w:type="dxa"/>
            <w:vAlign w:val="bottom"/>
          </w:tcPr>
          <w:p>
            <w:pPr>
              <w:spacing w:after="0"/>
              <w:rPr>
                <w:sz w:val="18"/>
                <w:szCs w:val="18"/>
                <w:color w:val="auto"/>
              </w:rPr>
            </w:pPr>
          </w:p>
        </w:tc>
        <w:tc>
          <w:tcPr>
            <w:tcW w:w="1260" w:type="dxa"/>
            <w:vAlign w:val="bottom"/>
            <w:gridSpan w:val="3"/>
          </w:tcPr>
          <w:p>
            <w:pPr>
              <w:ind w:left="40"/>
              <w:spacing w:after="0"/>
              <w:rPr>
                <w:sz w:val="20"/>
                <w:szCs w:val="20"/>
                <w:color w:val="auto"/>
              </w:rPr>
            </w:pPr>
            <w:r>
              <w:rPr>
                <w:rFonts w:ascii="Arial" w:cs="Arial" w:eastAsia="Arial" w:hAnsi="Arial"/>
                <w:sz w:val="14"/>
                <w:szCs w:val="14"/>
                <w:b w:val="1"/>
                <w:bCs w:val="1"/>
                <w:color w:val="auto"/>
                <w:w w:val="90"/>
              </w:rPr>
              <w:t>Increase (Decrease)</w:t>
            </w: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8"/>
        </w:trPr>
        <w:tc>
          <w:tcPr>
            <w:tcW w:w="2640" w:type="dxa"/>
            <w:vAlign w:val="bottom"/>
            <w:tcBorders>
              <w:bottom w:val="single" w:sz="8" w:color="B6EAFC"/>
            </w:tcBorders>
          </w:tcPr>
          <w:p>
            <w:pPr>
              <w:spacing w:after="0"/>
              <w:rPr>
                <w:sz w:val="16"/>
                <w:szCs w:val="16"/>
                <w:color w:val="auto"/>
              </w:rPr>
            </w:pPr>
          </w:p>
        </w:tc>
        <w:tc>
          <w:tcPr>
            <w:tcW w:w="134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91"/>
              </w:rPr>
              <w:t>September 30, 2016</w:t>
            </w:r>
          </w:p>
        </w:tc>
        <w:tc>
          <w:tcPr>
            <w:tcW w:w="240" w:type="dxa"/>
            <w:vAlign w:val="bottom"/>
            <w:tcBorders>
              <w:bottom w:val="single" w:sz="8" w:color="B6EAFC"/>
            </w:tcBorders>
          </w:tcPr>
          <w:p>
            <w:pPr>
              <w:spacing w:after="0"/>
              <w:rPr>
                <w:sz w:val="16"/>
                <w:szCs w:val="16"/>
                <w:color w:val="auto"/>
              </w:rPr>
            </w:pPr>
          </w:p>
        </w:tc>
        <w:tc>
          <w:tcPr>
            <w:tcW w:w="11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Expense Category</w:t>
            </w:r>
          </w:p>
        </w:tc>
        <w:tc>
          <w:tcPr>
            <w:tcW w:w="300" w:type="dxa"/>
            <w:vAlign w:val="bottom"/>
            <w:tcBorders>
              <w:bottom w:val="single" w:sz="8" w:color="B6EAFC"/>
            </w:tcBorders>
          </w:tcPr>
          <w:p>
            <w:pPr>
              <w:spacing w:after="0"/>
              <w:rPr>
                <w:sz w:val="16"/>
                <w:szCs w:val="16"/>
                <w:color w:val="auto"/>
              </w:rPr>
            </w:pPr>
          </w:p>
        </w:tc>
        <w:tc>
          <w:tcPr>
            <w:tcW w:w="132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91"/>
              </w:rPr>
              <w:t>September 30, 2015</w:t>
            </w:r>
          </w:p>
        </w:tc>
        <w:tc>
          <w:tcPr>
            <w:tcW w:w="240" w:type="dxa"/>
            <w:vAlign w:val="bottom"/>
            <w:tcBorders>
              <w:bottom w:val="single" w:sz="8" w:color="B6EAFC"/>
            </w:tcBorders>
          </w:tcPr>
          <w:p>
            <w:pPr>
              <w:spacing w:after="0"/>
              <w:rPr>
                <w:sz w:val="16"/>
                <w:szCs w:val="16"/>
                <w:color w:val="auto"/>
              </w:rPr>
            </w:pPr>
          </w:p>
        </w:tc>
        <w:tc>
          <w:tcPr>
            <w:tcW w:w="11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Expense Category</w:t>
            </w:r>
          </w:p>
        </w:tc>
        <w:tc>
          <w:tcPr>
            <w:tcW w:w="320" w:type="dxa"/>
            <w:vAlign w:val="bottom"/>
            <w:tcBorders>
              <w:bottom w:val="single" w:sz="8" w:color="B6EAFC"/>
            </w:tcBorders>
          </w:tcPr>
          <w:p>
            <w:pPr>
              <w:spacing w:after="0"/>
              <w:rPr>
                <w:sz w:val="16"/>
                <w:szCs w:val="16"/>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520" w:type="dxa"/>
            <w:vAlign w:val="bottom"/>
            <w:tcBorders>
              <w:bottom w:val="single" w:sz="8" w:color="auto"/>
            </w:tcBorders>
          </w:tcPr>
          <w:p>
            <w:pPr>
              <w:spacing w:after="0"/>
              <w:rPr>
                <w:sz w:val="16"/>
                <w:szCs w:val="16"/>
                <w:color w:val="auto"/>
              </w:rPr>
            </w:pPr>
          </w:p>
        </w:tc>
        <w:tc>
          <w:tcPr>
            <w:tcW w:w="240" w:type="dxa"/>
            <w:vAlign w:val="bottom"/>
            <w:tcBorders>
              <w:bottom w:val="single" w:sz="8" w:color="B6EAFC"/>
            </w:tcBorders>
          </w:tcPr>
          <w:p>
            <w:pPr>
              <w:spacing w:after="0"/>
              <w:rPr>
                <w:sz w:val="16"/>
                <w:szCs w:val="16"/>
                <w:color w:val="auto"/>
              </w:rPr>
            </w:pPr>
          </w:p>
        </w:tc>
        <w:tc>
          <w:tcPr>
            <w:tcW w:w="50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jc w:val="right"/>
              <w:ind w:right="441"/>
              <w:spacing w:after="0"/>
              <w:rPr>
                <w:sz w:val="20"/>
                <w:szCs w:val="20"/>
                <w:color w:val="auto"/>
              </w:rPr>
            </w:pPr>
            <w:r>
              <w:rPr>
                <w:rFonts w:ascii="Arial" w:cs="Arial" w:eastAsia="Arial" w:hAnsi="Arial"/>
                <w:sz w:val="14"/>
                <w:szCs w:val="14"/>
                <w:b w:val="1"/>
                <w:bCs w:val="1"/>
                <w:color w:val="auto"/>
              </w:rPr>
              <w:t>%</w:t>
            </w:r>
          </w:p>
        </w:tc>
        <w:tc>
          <w:tcPr>
            <w:tcW w:w="160" w:type="dxa"/>
            <w:vAlign w:val="bottom"/>
            <w:tcBorders>
              <w:bottom w:val="single" w:sz="8" w:color="B6EAFC"/>
            </w:tcBorders>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2640" w:type="dxa"/>
            <w:vAlign w:val="bottom"/>
            <w:shd w:val="clear" w:color="auto" w:fill="B6EAFC"/>
          </w:tcPr>
          <w:p>
            <w:pPr>
              <w:spacing w:after="0"/>
              <w:rPr>
                <w:sz w:val="20"/>
                <w:szCs w:val="20"/>
                <w:color w:val="auto"/>
              </w:rPr>
            </w:pPr>
            <w:r>
              <w:rPr>
                <w:rFonts w:ascii="Arial" w:cs="Arial" w:eastAsia="Arial" w:hAnsi="Arial"/>
                <w:sz w:val="16"/>
                <w:szCs w:val="16"/>
                <w:color w:val="auto"/>
              </w:rPr>
              <w:t>R&amp;D - compensation-related</w:t>
            </w:r>
          </w:p>
        </w:tc>
        <w:tc>
          <w:tcPr>
            <w:tcW w:w="140" w:type="dxa"/>
            <w:vAlign w:val="bottom"/>
            <w:shd w:val="clear" w:color="auto" w:fill="B6EAFC"/>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shd w:val="clear" w:color="auto" w:fill="B6EAFC"/>
          </w:tcPr>
          <w:p>
            <w:pPr>
              <w:jc w:val="right"/>
              <w:spacing w:after="0"/>
              <w:rPr>
                <w:sz w:val="20"/>
                <w:szCs w:val="20"/>
                <w:color w:val="auto"/>
              </w:rPr>
            </w:pPr>
            <w:r>
              <w:rPr>
                <w:rFonts w:ascii="Arial" w:cs="Arial" w:eastAsia="Arial" w:hAnsi="Arial"/>
                <w:sz w:val="16"/>
                <w:szCs w:val="16"/>
                <w:color w:val="auto"/>
              </w:rPr>
              <w:t>13,883</w:t>
            </w:r>
          </w:p>
        </w:tc>
        <w:tc>
          <w:tcPr>
            <w:tcW w:w="240" w:type="dxa"/>
            <w:vAlign w:val="bottom"/>
            <w:shd w:val="clear" w:color="auto" w:fill="B6EAFC"/>
          </w:tcPr>
          <w:p>
            <w:pPr>
              <w:spacing w:after="0"/>
              <w:rPr>
                <w:sz w:val="18"/>
                <w:szCs w:val="18"/>
                <w:color w:val="auto"/>
              </w:rPr>
            </w:pPr>
          </w:p>
        </w:tc>
        <w:tc>
          <w:tcPr>
            <w:tcW w:w="1440" w:type="dxa"/>
            <w:vAlign w:val="bottom"/>
            <w:gridSpan w:val="2"/>
            <w:shd w:val="clear" w:color="auto" w:fill="B6EAFC"/>
          </w:tcPr>
          <w:p>
            <w:pPr>
              <w:jc w:val="right"/>
              <w:ind w:right="160"/>
              <w:spacing w:after="0"/>
              <w:rPr>
                <w:sz w:val="20"/>
                <w:szCs w:val="20"/>
                <w:color w:val="auto"/>
              </w:rPr>
            </w:pPr>
            <w:r>
              <w:rPr>
                <w:rFonts w:ascii="Arial" w:cs="Arial" w:eastAsia="Arial" w:hAnsi="Arial"/>
                <w:sz w:val="16"/>
                <w:szCs w:val="16"/>
                <w:color w:val="auto"/>
              </w:rPr>
              <w:t>71%</w:t>
            </w:r>
          </w:p>
        </w:tc>
        <w:tc>
          <w:tcPr>
            <w:tcW w:w="140" w:type="dxa"/>
            <w:vAlign w:val="bottom"/>
            <w:shd w:val="clear" w:color="auto" w:fill="B6EAFC"/>
          </w:tcPr>
          <w:p>
            <w:pPr>
              <w:jc w:val="right"/>
              <w:spacing w:after="0"/>
              <w:rPr>
                <w:sz w:val="20"/>
                <w:szCs w:val="20"/>
                <w:color w:val="auto"/>
              </w:rPr>
            </w:pPr>
            <w:r>
              <w:rPr>
                <w:rFonts w:ascii="Arial" w:cs="Arial" w:eastAsia="Arial" w:hAnsi="Arial"/>
                <w:sz w:val="15"/>
                <w:szCs w:val="15"/>
                <w:color w:val="auto"/>
                <w:w w:val="71"/>
              </w:rPr>
              <w:t>$</w:t>
            </w:r>
          </w:p>
        </w:tc>
        <w:tc>
          <w:tcPr>
            <w:tcW w:w="1180" w:type="dxa"/>
            <w:vAlign w:val="bottom"/>
            <w:shd w:val="clear" w:color="auto" w:fill="B6EAFC"/>
          </w:tcPr>
          <w:p>
            <w:pPr>
              <w:jc w:val="right"/>
              <w:spacing w:after="0"/>
              <w:rPr>
                <w:sz w:val="20"/>
                <w:szCs w:val="20"/>
                <w:color w:val="auto"/>
              </w:rPr>
            </w:pPr>
            <w:r>
              <w:rPr>
                <w:rFonts w:ascii="Arial" w:cs="Arial" w:eastAsia="Arial" w:hAnsi="Arial"/>
                <w:sz w:val="16"/>
                <w:szCs w:val="16"/>
                <w:color w:val="auto"/>
              </w:rPr>
              <w:t>11,605</w:t>
            </w:r>
          </w:p>
        </w:tc>
        <w:tc>
          <w:tcPr>
            <w:tcW w:w="240" w:type="dxa"/>
            <w:vAlign w:val="bottom"/>
            <w:shd w:val="clear" w:color="auto" w:fill="B6EAFC"/>
          </w:tcPr>
          <w:p>
            <w:pPr>
              <w:spacing w:after="0"/>
              <w:rPr>
                <w:sz w:val="18"/>
                <w:szCs w:val="18"/>
                <w:color w:val="auto"/>
              </w:rPr>
            </w:pPr>
          </w:p>
        </w:tc>
        <w:tc>
          <w:tcPr>
            <w:tcW w:w="1460" w:type="dxa"/>
            <w:vAlign w:val="bottom"/>
            <w:gridSpan w:val="2"/>
            <w:shd w:val="clear" w:color="auto" w:fill="B6EAFC"/>
          </w:tcPr>
          <w:p>
            <w:pPr>
              <w:jc w:val="right"/>
              <w:ind w:right="180"/>
              <w:spacing w:after="0"/>
              <w:rPr>
                <w:sz w:val="20"/>
                <w:szCs w:val="20"/>
                <w:color w:val="auto"/>
              </w:rPr>
            </w:pPr>
            <w:r>
              <w:rPr>
                <w:rFonts w:ascii="Arial" w:cs="Arial" w:eastAsia="Arial" w:hAnsi="Arial"/>
                <w:sz w:val="16"/>
                <w:szCs w:val="16"/>
                <w:color w:val="auto"/>
              </w:rPr>
              <w:t>70%</w:t>
            </w:r>
          </w:p>
        </w:tc>
        <w:tc>
          <w:tcPr>
            <w:tcW w:w="640" w:type="dxa"/>
            <w:vAlign w:val="bottom"/>
            <w:shd w:val="clear" w:color="auto" w:fill="B6EAFC"/>
          </w:tcPr>
          <w:p>
            <w:pPr>
              <w:jc w:val="right"/>
              <w:ind w:right="485"/>
              <w:spacing w:after="0"/>
              <w:rPr>
                <w:sz w:val="20"/>
                <w:szCs w:val="20"/>
                <w:color w:val="auto"/>
              </w:rPr>
            </w:pPr>
            <w:r>
              <w:rPr>
                <w:rFonts w:ascii="Arial" w:cs="Arial" w:eastAsia="Arial" w:hAnsi="Arial"/>
                <w:sz w:val="15"/>
                <w:szCs w:val="15"/>
                <w:color w:val="auto"/>
                <w:w w:val="71"/>
              </w:rPr>
              <w:t>$</w:t>
            </w:r>
          </w:p>
        </w:tc>
        <w:tc>
          <w:tcPr>
            <w:tcW w:w="520" w:type="dxa"/>
            <w:vAlign w:val="bottom"/>
            <w:shd w:val="clear" w:color="auto" w:fill="B6EAFC"/>
          </w:tcPr>
          <w:p>
            <w:pPr>
              <w:jc w:val="right"/>
              <w:spacing w:after="0"/>
              <w:rPr>
                <w:sz w:val="20"/>
                <w:szCs w:val="20"/>
                <w:color w:val="auto"/>
              </w:rPr>
            </w:pPr>
            <w:r>
              <w:rPr>
                <w:rFonts w:ascii="Arial" w:cs="Arial" w:eastAsia="Arial" w:hAnsi="Arial"/>
                <w:sz w:val="16"/>
                <w:szCs w:val="16"/>
                <w:color w:val="auto"/>
              </w:rPr>
              <w:t>2,278</w:t>
            </w:r>
          </w:p>
        </w:tc>
        <w:tc>
          <w:tcPr>
            <w:tcW w:w="240" w:type="dxa"/>
            <w:vAlign w:val="bottom"/>
            <w:shd w:val="clear" w:color="auto" w:fill="B6EAFC"/>
          </w:tcPr>
          <w:p>
            <w:pPr>
              <w:spacing w:after="0"/>
              <w:rPr>
                <w:sz w:val="18"/>
                <w:szCs w:val="18"/>
                <w:color w:val="auto"/>
              </w:rPr>
            </w:pPr>
          </w:p>
        </w:tc>
        <w:tc>
          <w:tcPr>
            <w:tcW w:w="500" w:type="dxa"/>
            <w:vAlign w:val="bottom"/>
            <w:shd w:val="clear" w:color="auto" w:fill="B6EAFC"/>
          </w:tcPr>
          <w:p>
            <w:pPr>
              <w:spacing w:after="0"/>
              <w:rPr>
                <w:sz w:val="18"/>
                <w:szCs w:val="18"/>
                <w:color w:val="auto"/>
              </w:rPr>
            </w:pPr>
          </w:p>
        </w:tc>
        <w:tc>
          <w:tcPr>
            <w:tcW w:w="840" w:type="dxa"/>
            <w:vAlign w:val="bottom"/>
            <w:gridSpan w:val="2"/>
            <w:shd w:val="clear" w:color="auto" w:fill="B6EAFC"/>
          </w:tcPr>
          <w:p>
            <w:pPr>
              <w:jc w:val="right"/>
              <w:ind w:right="20"/>
              <w:spacing w:after="0"/>
              <w:rPr>
                <w:sz w:val="20"/>
                <w:szCs w:val="20"/>
                <w:color w:val="auto"/>
              </w:rPr>
            </w:pPr>
            <w:r>
              <w:rPr>
                <w:rFonts w:ascii="Arial" w:cs="Arial" w:eastAsia="Arial" w:hAnsi="Arial"/>
                <w:sz w:val="16"/>
                <w:szCs w:val="16"/>
                <w:color w:val="auto"/>
              </w:rPr>
              <w:t>20%</w:t>
            </w:r>
          </w:p>
        </w:tc>
        <w:tc>
          <w:tcPr>
            <w:tcW w:w="0" w:type="dxa"/>
            <w:vAlign w:val="bottom"/>
          </w:tcPr>
          <w:p>
            <w:pPr>
              <w:spacing w:after="0"/>
              <w:rPr>
                <w:sz w:val="1"/>
                <w:szCs w:val="1"/>
                <w:color w:val="auto"/>
              </w:rPr>
            </w:pPr>
          </w:p>
        </w:tc>
      </w:tr>
      <w:tr>
        <w:trPr>
          <w:trHeight w:val="213"/>
        </w:trPr>
        <w:tc>
          <w:tcPr>
            <w:tcW w:w="2640" w:type="dxa"/>
            <w:vAlign w:val="bottom"/>
          </w:tcPr>
          <w:p>
            <w:pPr>
              <w:spacing w:after="0"/>
              <w:rPr>
                <w:sz w:val="20"/>
                <w:szCs w:val="20"/>
                <w:color w:val="auto"/>
              </w:rPr>
            </w:pPr>
            <w:r>
              <w:rPr>
                <w:rFonts w:ascii="Arial" w:cs="Arial" w:eastAsia="Arial" w:hAnsi="Arial"/>
                <w:sz w:val="16"/>
                <w:szCs w:val="16"/>
                <w:color w:val="auto"/>
              </w:rPr>
              <w:t>G&amp;A - compensation-related</w:t>
            </w:r>
          </w:p>
        </w:tc>
        <w:tc>
          <w:tcPr>
            <w:tcW w:w="1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5,579</w:t>
            </w:r>
          </w:p>
        </w:tc>
        <w:tc>
          <w:tcPr>
            <w:tcW w:w="240" w:type="dxa"/>
            <w:vAlign w:val="bottom"/>
          </w:tcPr>
          <w:p>
            <w:pPr>
              <w:spacing w:after="0"/>
              <w:rPr>
                <w:sz w:val="18"/>
                <w:szCs w:val="18"/>
                <w:color w:val="auto"/>
              </w:rPr>
            </w:pPr>
          </w:p>
        </w:tc>
        <w:tc>
          <w:tcPr>
            <w:tcW w:w="1440" w:type="dxa"/>
            <w:vAlign w:val="bottom"/>
            <w:gridSpan w:val="2"/>
          </w:tcPr>
          <w:p>
            <w:pPr>
              <w:jc w:val="right"/>
              <w:ind w:right="160"/>
              <w:spacing w:after="0"/>
              <w:rPr>
                <w:sz w:val="20"/>
                <w:szCs w:val="20"/>
                <w:color w:val="auto"/>
              </w:rPr>
            </w:pPr>
            <w:r>
              <w:rPr>
                <w:rFonts w:ascii="Arial" w:cs="Arial" w:eastAsia="Arial" w:hAnsi="Arial"/>
                <w:sz w:val="16"/>
                <w:szCs w:val="16"/>
                <w:color w:val="auto"/>
              </w:rPr>
              <w:t>29%</w:t>
            </w:r>
          </w:p>
        </w:tc>
        <w:tc>
          <w:tcPr>
            <w:tcW w:w="1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4,949</w:t>
            </w:r>
          </w:p>
        </w:tc>
        <w:tc>
          <w:tcPr>
            <w:tcW w:w="240" w:type="dxa"/>
            <w:vAlign w:val="bottom"/>
          </w:tcPr>
          <w:p>
            <w:pPr>
              <w:spacing w:after="0"/>
              <w:rPr>
                <w:sz w:val="18"/>
                <w:szCs w:val="18"/>
                <w:color w:val="auto"/>
              </w:rPr>
            </w:pPr>
          </w:p>
        </w:tc>
        <w:tc>
          <w:tcPr>
            <w:tcW w:w="1460" w:type="dxa"/>
            <w:vAlign w:val="bottom"/>
            <w:gridSpan w:val="2"/>
          </w:tcPr>
          <w:p>
            <w:pPr>
              <w:jc w:val="right"/>
              <w:ind w:right="180"/>
              <w:spacing w:after="0"/>
              <w:rPr>
                <w:sz w:val="20"/>
                <w:szCs w:val="20"/>
                <w:color w:val="auto"/>
              </w:rPr>
            </w:pPr>
            <w:r>
              <w:rPr>
                <w:rFonts w:ascii="Arial" w:cs="Arial" w:eastAsia="Arial" w:hAnsi="Arial"/>
                <w:sz w:val="16"/>
                <w:szCs w:val="16"/>
                <w:color w:val="auto"/>
              </w:rPr>
              <w:t>30%</w:t>
            </w:r>
          </w:p>
        </w:tc>
        <w:tc>
          <w:tcPr>
            <w:tcW w:w="64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6"/>
                <w:szCs w:val="16"/>
                <w:color w:val="auto"/>
              </w:rPr>
              <w:t>630</w:t>
            </w:r>
          </w:p>
        </w:tc>
        <w:tc>
          <w:tcPr>
            <w:tcW w:w="2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40" w:type="dxa"/>
            <w:vAlign w:val="bottom"/>
            <w:gridSpan w:val="2"/>
          </w:tcPr>
          <w:p>
            <w:pPr>
              <w:jc w:val="right"/>
              <w:ind w:right="20"/>
              <w:spacing w:after="0"/>
              <w:rPr>
                <w:sz w:val="20"/>
                <w:szCs w:val="20"/>
                <w:color w:val="auto"/>
              </w:rPr>
            </w:pPr>
            <w:r>
              <w:rPr>
                <w:rFonts w:ascii="Arial" w:cs="Arial" w:eastAsia="Arial" w:hAnsi="Arial"/>
                <w:sz w:val="16"/>
                <w:szCs w:val="16"/>
                <w:color w:val="auto"/>
              </w:rPr>
              <w:t>13%</w:t>
            </w:r>
          </w:p>
        </w:tc>
        <w:tc>
          <w:tcPr>
            <w:tcW w:w="0" w:type="dxa"/>
            <w:vAlign w:val="bottom"/>
          </w:tcPr>
          <w:p>
            <w:pPr>
              <w:spacing w:after="0"/>
              <w:rPr>
                <w:sz w:val="1"/>
                <w:szCs w:val="1"/>
                <w:color w:val="auto"/>
              </w:rPr>
            </w:pPr>
          </w:p>
        </w:tc>
      </w:tr>
      <w:tr>
        <w:trPr>
          <w:trHeight w:val="20"/>
        </w:trPr>
        <w:tc>
          <w:tcPr>
            <w:tcW w:w="2640" w:type="dxa"/>
            <w:vAlign w:val="bottom"/>
            <w:vMerge w:val="restart"/>
            <w:shd w:val="clear" w:color="auto" w:fill="B6EAFC"/>
          </w:tcPr>
          <w:p>
            <w:pPr>
              <w:spacing w:after="0"/>
              <w:rPr>
                <w:sz w:val="20"/>
                <w:szCs w:val="20"/>
                <w:color w:val="auto"/>
              </w:rPr>
            </w:pPr>
            <w:r>
              <w:rPr>
                <w:rFonts w:ascii="Arial" w:cs="Arial" w:eastAsia="Arial" w:hAnsi="Arial"/>
                <w:sz w:val="16"/>
                <w:szCs w:val="16"/>
                <w:color w:val="auto"/>
              </w:rPr>
              <w:t>Total</w:t>
            </w:r>
          </w:p>
        </w:tc>
        <w:tc>
          <w:tcPr>
            <w:tcW w:w="14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240" w:type="dxa"/>
            <w:vAlign w:val="bottom"/>
            <w:shd w:val="clear" w:color="auto" w:fill="B6EAFC"/>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300" w:type="dxa"/>
            <w:vAlign w:val="bottom"/>
            <w:shd w:val="clear" w:color="auto" w:fill="B6EA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240" w:type="dxa"/>
            <w:vAlign w:val="bottom"/>
            <w:shd w:val="clear" w:color="auto" w:fill="B6EAFC"/>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320" w:type="dxa"/>
            <w:vAlign w:val="bottom"/>
            <w:shd w:val="clear" w:color="auto" w:fill="B6EAFC"/>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40" w:type="dxa"/>
            <w:vAlign w:val="bottom"/>
            <w:shd w:val="clear" w:color="auto" w:fill="B6EAFC"/>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60" w:type="dxa"/>
            <w:vAlign w:val="bottom"/>
            <w:shd w:val="clear" w:color="auto" w:fill="B6EA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640" w:type="dxa"/>
            <w:vAlign w:val="bottom"/>
            <w:vMerge w:val="continue"/>
            <w:shd w:val="clear" w:color="auto" w:fill="B6EAFC"/>
          </w:tcPr>
          <w:p>
            <w:pPr>
              <w:spacing w:after="0"/>
              <w:rPr>
                <w:sz w:val="18"/>
                <w:szCs w:val="18"/>
                <w:color w:val="auto"/>
              </w:rPr>
            </w:pPr>
          </w:p>
        </w:tc>
        <w:tc>
          <w:tcPr>
            <w:tcW w:w="140" w:type="dxa"/>
            <w:vAlign w:val="bottom"/>
            <w:shd w:val="clear" w:color="auto" w:fill="B6EAFC"/>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shd w:val="clear" w:color="auto" w:fill="B6EAFC"/>
          </w:tcPr>
          <w:p>
            <w:pPr>
              <w:jc w:val="right"/>
              <w:spacing w:after="0"/>
              <w:rPr>
                <w:sz w:val="20"/>
                <w:szCs w:val="20"/>
                <w:color w:val="auto"/>
              </w:rPr>
            </w:pPr>
            <w:r>
              <w:rPr>
                <w:rFonts w:ascii="Arial" w:cs="Arial" w:eastAsia="Arial" w:hAnsi="Arial"/>
                <w:sz w:val="16"/>
                <w:szCs w:val="16"/>
                <w:color w:val="auto"/>
              </w:rPr>
              <w:t>19,462</w:t>
            </w:r>
          </w:p>
        </w:tc>
        <w:tc>
          <w:tcPr>
            <w:tcW w:w="240" w:type="dxa"/>
            <w:vAlign w:val="bottom"/>
            <w:shd w:val="clear" w:color="auto" w:fill="B6EAFC"/>
          </w:tcPr>
          <w:p>
            <w:pPr>
              <w:spacing w:after="0"/>
              <w:rPr>
                <w:sz w:val="18"/>
                <w:szCs w:val="18"/>
                <w:color w:val="auto"/>
              </w:rPr>
            </w:pPr>
          </w:p>
        </w:tc>
        <w:tc>
          <w:tcPr>
            <w:tcW w:w="1440" w:type="dxa"/>
            <w:vAlign w:val="bottom"/>
            <w:gridSpan w:val="2"/>
            <w:shd w:val="clear" w:color="auto" w:fill="B6EAFC"/>
          </w:tcPr>
          <w:p>
            <w:pPr>
              <w:jc w:val="right"/>
              <w:ind w:right="160"/>
              <w:spacing w:after="0"/>
              <w:rPr>
                <w:sz w:val="20"/>
                <w:szCs w:val="20"/>
                <w:color w:val="auto"/>
              </w:rPr>
            </w:pPr>
            <w:r>
              <w:rPr>
                <w:rFonts w:ascii="Arial" w:cs="Arial" w:eastAsia="Arial" w:hAnsi="Arial"/>
                <w:sz w:val="16"/>
                <w:szCs w:val="16"/>
                <w:color w:val="auto"/>
              </w:rPr>
              <w:t>100%</w:t>
            </w:r>
          </w:p>
        </w:tc>
        <w:tc>
          <w:tcPr>
            <w:tcW w:w="140" w:type="dxa"/>
            <w:vAlign w:val="bottom"/>
            <w:shd w:val="clear" w:color="auto" w:fill="B6EAFC"/>
          </w:tcPr>
          <w:p>
            <w:pPr>
              <w:jc w:val="right"/>
              <w:spacing w:after="0"/>
              <w:rPr>
                <w:sz w:val="20"/>
                <w:szCs w:val="20"/>
                <w:color w:val="auto"/>
              </w:rPr>
            </w:pPr>
            <w:r>
              <w:rPr>
                <w:rFonts w:ascii="Arial" w:cs="Arial" w:eastAsia="Arial" w:hAnsi="Arial"/>
                <w:sz w:val="15"/>
                <w:szCs w:val="15"/>
                <w:color w:val="auto"/>
                <w:w w:val="71"/>
              </w:rPr>
              <w:t>$</w:t>
            </w:r>
          </w:p>
        </w:tc>
        <w:tc>
          <w:tcPr>
            <w:tcW w:w="1180" w:type="dxa"/>
            <w:vAlign w:val="bottom"/>
            <w:shd w:val="clear" w:color="auto" w:fill="B6EAFC"/>
          </w:tcPr>
          <w:p>
            <w:pPr>
              <w:jc w:val="right"/>
              <w:spacing w:after="0"/>
              <w:rPr>
                <w:sz w:val="20"/>
                <w:szCs w:val="20"/>
                <w:color w:val="auto"/>
              </w:rPr>
            </w:pPr>
            <w:r>
              <w:rPr>
                <w:rFonts w:ascii="Arial" w:cs="Arial" w:eastAsia="Arial" w:hAnsi="Arial"/>
                <w:sz w:val="16"/>
                <w:szCs w:val="16"/>
                <w:color w:val="auto"/>
              </w:rPr>
              <w:t>16,554</w:t>
            </w:r>
          </w:p>
        </w:tc>
        <w:tc>
          <w:tcPr>
            <w:tcW w:w="240" w:type="dxa"/>
            <w:vAlign w:val="bottom"/>
            <w:shd w:val="clear" w:color="auto" w:fill="B6EAFC"/>
          </w:tcPr>
          <w:p>
            <w:pPr>
              <w:spacing w:after="0"/>
              <w:rPr>
                <w:sz w:val="18"/>
                <w:szCs w:val="18"/>
                <w:color w:val="auto"/>
              </w:rPr>
            </w:pPr>
          </w:p>
        </w:tc>
        <w:tc>
          <w:tcPr>
            <w:tcW w:w="1460" w:type="dxa"/>
            <w:vAlign w:val="bottom"/>
            <w:gridSpan w:val="2"/>
            <w:shd w:val="clear" w:color="auto" w:fill="B6EAFC"/>
          </w:tcPr>
          <w:p>
            <w:pPr>
              <w:jc w:val="right"/>
              <w:ind w:right="180"/>
              <w:spacing w:after="0"/>
              <w:rPr>
                <w:sz w:val="20"/>
                <w:szCs w:val="20"/>
                <w:color w:val="auto"/>
              </w:rPr>
            </w:pPr>
            <w:r>
              <w:rPr>
                <w:rFonts w:ascii="Arial" w:cs="Arial" w:eastAsia="Arial" w:hAnsi="Arial"/>
                <w:sz w:val="16"/>
                <w:szCs w:val="16"/>
                <w:color w:val="auto"/>
              </w:rPr>
              <w:t>100%</w:t>
            </w:r>
          </w:p>
        </w:tc>
        <w:tc>
          <w:tcPr>
            <w:tcW w:w="640" w:type="dxa"/>
            <w:vAlign w:val="bottom"/>
            <w:shd w:val="clear" w:color="auto" w:fill="B6EAFC"/>
          </w:tcPr>
          <w:p>
            <w:pPr>
              <w:jc w:val="right"/>
              <w:ind w:right="485"/>
              <w:spacing w:after="0"/>
              <w:rPr>
                <w:sz w:val="20"/>
                <w:szCs w:val="20"/>
                <w:color w:val="auto"/>
              </w:rPr>
            </w:pPr>
            <w:r>
              <w:rPr>
                <w:rFonts w:ascii="Arial" w:cs="Arial" w:eastAsia="Arial" w:hAnsi="Arial"/>
                <w:sz w:val="15"/>
                <w:szCs w:val="15"/>
                <w:color w:val="auto"/>
                <w:w w:val="71"/>
              </w:rPr>
              <w:t>$</w:t>
            </w:r>
          </w:p>
        </w:tc>
        <w:tc>
          <w:tcPr>
            <w:tcW w:w="520" w:type="dxa"/>
            <w:vAlign w:val="bottom"/>
            <w:shd w:val="clear" w:color="auto" w:fill="B6EAFC"/>
          </w:tcPr>
          <w:p>
            <w:pPr>
              <w:jc w:val="right"/>
              <w:spacing w:after="0"/>
              <w:rPr>
                <w:sz w:val="20"/>
                <w:szCs w:val="20"/>
                <w:color w:val="auto"/>
              </w:rPr>
            </w:pPr>
            <w:r>
              <w:rPr>
                <w:rFonts w:ascii="Arial" w:cs="Arial" w:eastAsia="Arial" w:hAnsi="Arial"/>
                <w:sz w:val="16"/>
                <w:szCs w:val="16"/>
                <w:color w:val="auto"/>
              </w:rPr>
              <w:t>2,908</w:t>
            </w:r>
          </w:p>
        </w:tc>
        <w:tc>
          <w:tcPr>
            <w:tcW w:w="240" w:type="dxa"/>
            <w:vAlign w:val="bottom"/>
            <w:shd w:val="clear" w:color="auto" w:fill="B6EAFC"/>
          </w:tcPr>
          <w:p>
            <w:pPr>
              <w:spacing w:after="0"/>
              <w:rPr>
                <w:sz w:val="18"/>
                <w:szCs w:val="18"/>
                <w:color w:val="auto"/>
              </w:rPr>
            </w:pPr>
          </w:p>
        </w:tc>
        <w:tc>
          <w:tcPr>
            <w:tcW w:w="500" w:type="dxa"/>
            <w:vAlign w:val="bottom"/>
            <w:shd w:val="clear" w:color="auto" w:fill="B6EAFC"/>
          </w:tcPr>
          <w:p>
            <w:pPr>
              <w:spacing w:after="0"/>
              <w:rPr>
                <w:sz w:val="18"/>
                <w:szCs w:val="18"/>
                <w:color w:val="auto"/>
              </w:rPr>
            </w:pPr>
          </w:p>
        </w:tc>
        <w:tc>
          <w:tcPr>
            <w:tcW w:w="840" w:type="dxa"/>
            <w:vAlign w:val="bottom"/>
            <w:gridSpan w:val="2"/>
            <w:shd w:val="clear" w:color="auto" w:fill="B6EAFC"/>
          </w:tcPr>
          <w:p>
            <w:pPr>
              <w:jc w:val="right"/>
              <w:ind w:right="20"/>
              <w:spacing w:after="0"/>
              <w:rPr>
                <w:sz w:val="20"/>
                <w:szCs w:val="20"/>
                <w:color w:val="auto"/>
              </w:rPr>
            </w:pPr>
            <w:r>
              <w:rPr>
                <w:rFonts w:ascii="Arial" w:cs="Arial" w:eastAsia="Arial" w:hAnsi="Arial"/>
                <w:sz w:val="16"/>
                <w:szCs w:val="16"/>
                <w:color w:val="auto"/>
              </w:rPr>
              <w:t>18%</w:t>
            </w:r>
          </w:p>
        </w:tc>
        <w:tc>
          <w:tcPr>
            <w:tcW w:w="0" w:type="dxa"/>
            <w:vAlign w:val="bottom"/>
          </w:tcPr>
          <w:p>
            <w:pPr>
              <w:spacing w:after="0"/>
              <w:rPr>
                <w:sz w:val="1"/>
                <w:szCs w:val="1"/>
                <w:color w:val="auto"/>
              </w:rPr>
            </w:pPr>
          </w:p>
        </w:tc>
      </w:tr>
      <w:tr>
        <w:trPr>
          <w:trHeight w:val="20"/>
        </w:trPr>
        <w:tc>
          <w:tcPr>
            <w:tcW w:w="26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45" w:lineRule="exact"/>
        <w:rPr>
          <w:sz w:val="20"/>
          <w:szCs w:val="20"/>
          <w:color w:val="auto"/>
        </w:rPr>
      </w:pPr>
    </w:p>
    <w:p>
      <w:pPr>
        <w:ind w:right="80" w:firstLine="518"/>
        <w:spacing w:after="0" w:line="277" w:lineRule="auto"/>
        <w:rPr>
          <w:sz w:val="20"/>
          <w:szCs w:val="20"/>
          <w:color w:val="auto"/>
        </w:rPr>
      </w:pPr>
      <w:r>
        <w:rPr>
          <w:rFonts w:ascii="Arial" w:cs="Arial" w:eastAsia="Arial" w:hAnsi="Arial"/>
          <w:sz w:val="18"/>
          <w:szCs w:val="18"/>
          <w:color w:val="auto"/>
        </w:rPr>
        <w:t>R&amp;D compensation expense increased $2,278,000 from $11,605,000 during the year ended September 30, 2015 to $13,883,000 during the year ended September 30, 2016. An increase in headcount accounted for the majority of the change in compensation-related expense.</w:t>
      </w:r>
    </w:p>
    <w:p>
      <w:pPr>
        <w:spacing w:after="0" w:line="170" w:lineRule="exact"/>
        <w:rPr>
          <w:sz w:val="20"/>
          <w:szCs w:val="20"/>
          <w:color w:val="auto"/>
        </w:rPr>
      </w:pPr>
    </w:p>
    <w:p>
      <w:pPr>
        <w:ind w:right="380" w:firstLine="518"/>
        <w:spacing w:after="0" w:line="277" w:lineRule="auto"/>
        <w:rPr>
          <w:sz w:val="20"/>
          <w:szCs w:val="20"/>
          <w:color w:val="auto"/>
        </w:rPr>
      </w:pPr>
      <w:r>
        <w:rPr>
          <w:rFonts w:ascii="Arial" w:cs="Arial" w:eastAsia="Arial" w:hAnsi="Arial"/>
          <w:sz w:val="18"/>
          <w:szCs w:val="18"/>
          <w:color w:val="auto"/>
        </w:rPr>
        <w:t>G&amp;A compensation expense increased $630,000 from $4,949,000 during the year ended September 30, 2015 to $5,579,000 during the year ended September 30, 2016. Annual merit increases accounted for the majority of the change in compensation-related expense.</w:t>
      </w:r>
    </w:p>
    <w:p>
      <w:pPr>
        <w:spacing w:after="0" w:line="170"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General &amp; Administrative Expenses</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following table provides details of our general and administrative expenses for the periods indicated:</w:t>
      </w:r>
    </w:p>
    <w:p>
      <w:pPr>
        <w:spacing w:after="0" w:line="225"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(in thousands)</w:t>
      </w:r>
    </w:p>
    <w:p>
      <w:pPr>
        <w:spacing w:after="0" w:line="200" w:lineRule="exact"/>
        <w:rPr>
          <w:sz w:val="20"/>
          <w:szCs w:val="20"/>
          <w:color w:val="auto"/>
        </w:rPr>
      </w:pP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3"/>
              </w:rPr>
              <w:t>Twelve Months</w:t>
            </w:r>
          </w:p>
        </w:tc>
        <w:tc>
          <w:tcPr>
            <w:tcW w:w="126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w w:val="92"/>
              </w:rPr>
              <w:t>% of Expense</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3"/>
              </w:rPr>
              <w:t>Twelve Months</w:t>
            </w:r>
          </w:p>
        </w:tc>
        <w:tc>
          <w:tcPr>
            <w:tcW w:w="126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w w:val="92"/>
              </w:rPr>
              <w:t>% of Expense</w:t>
            </w: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580" w:type="dxa"/>
            <w:vAlign w:val="bottom"/>
            <w:gridSpan w:val="3"/>
            <w:vMerge w:val="restart"/>
          </w:tcPr>
          <w:p>
            <w:pPr>
              <w:ind w:left="260"/>
              <w:spacing w:after="0"/>
              <w:rPr>
                <w:sz w:val="20"/>
                <w:szCs w:val="20"/>
                <w:color w:val="auto"/>
              </w:rPr>
            </w:pPr>
            <w:r>
              <w:rPr>
                <w:rFonts w:ascii="Arial" w:cs="Arial" w:eastAsia="Arial" w:hAnsi="Arial"/>
                <w:sz w:val="14"/>
                <w:szCs w:val="14"/>
                <w:b w:val="1"/>
                <w:bCs w:val="1"/>
                <w:color w:val="auto"/>
                <w:w w:val="98"/>
              </w:rPr>
              <w:t>Increase (Decrease)</w:t>
            </w:r>
          </w:p>
        </w:tc>
        <w:tc>
          <w:tcPr>
            <w:tcW w:w="4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93"/>
              </w:rPr>
              <w:t>Ended</w:t>
            </w:r>
          </w:p>
        </w:tc>
        <w:tc>
          <w:tcPr>
            <w:tcW w:w="126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93"/>
              </w:rPr>
              <w:t>Ended</w:t>
            </w:r>
          </w:p>
        </w:tc>
        <w:tc>
          <w:tcPr>
            <w:tcW w:w="126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580" w:type="dxa"/>
            <w:vAlign w:val="bottom"/>
            <w:gridSpan w:val="3"/>
            <w:vMerge w:val="continue"/>
          </w:tcPr>
          <w:p>
            <w:pPr>
              <w:spacing w:after="0"/>
              <w:rPr>
                <w:sz w:val="14"/>
                <w:szCs w:val="14"/>
                <w:color w:val="auto"/>
              </w:rPr>
            </w:pPr>
          </w:p>
        </w:tc>
        <w:tc>
          <w:tcPr>
            <w:tcW w:w="4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3240" w:type="dxa"/>
            <w:vAlign w:val="bottom"/>
            <w:tcBorders>
              <w:bottom w:val="single" w:sz="8" w:color="B6EAFC"/>
            </w:tcBorders>
          </w:tcPr>
          <w:p>
            <w:pPr>
              <w:spacing w:after="0"/>
              <w:rPr>
                <w:sz w:val="14"/>
                <w:szCs w:val="14"/>
                <w:color w:val="auto"/>
              </w:rPr>
            </w:pPr>
          </w:p>
        </w:tc>
        <w:tc>
          <w:tcPr>
            <w:tcW w:w="126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b w:val="1"/>
                <w:bCs w:val="1"/>
                <w:color w:val="auto"/>
                <w:w w:val="93"/>
              </w:rPr>
              <w:t>September 30, 2016</w:t>
            </w:r>
          </w:p>
        </w:tc>
        <w:tc>
          <w:tcPr>
            <w:tcW w:w="260" w:type="dxa"/>
            <w:vAlign w:val="bottom"/>
            <w:tcBorders>
              <w:bottom w:val="single" w:sz="8" w:color="B6EAFC"/>
            </w:tcBorders>
          </w:tcPr>
          <w:p>
            <w:pPr>
              <w:spacing w:after="0"/>
              <w:rPr>
                <w:sz w:val="14"/>
                <w:szCs w:val="14"/>
                <w:color w:val="auto"/>
              </w:rPr>
            </w:pPr>
          </w:p>
        </w:tc>
        <w:tc>
          <w:tcPr>
            <w:tcW w:w="10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Category</w:t>
            </w:r>
          </w:p>
        </w:tc>
        <w:tc>
          <w:tcPr>
            <w:tcW w:w="240" w:type="dxa"/>
            <w:vAlign w:val="bottom"/>
            <w:tcBorders>
              <w:bottom w:val="single" w:sz="8" w:color="B6EAFC"/>
            </w:tcBorders>
          </w:tcPr>
          <w:p>
            <w:pPr>
              <w:spacing w:after="0"/>
              <w:rPr>
                <w:sz w:val="14"/>
                <w:szCs w:val="14"/>
                <w:color w:val="auto"/>
              </w:rPr>
            </w:pPr>
          </w:p>
        </w:tc>
        <w:tc>
          <w:tcPr>
            <w:tcW w:w="80" w:type="dxa"/>
            <w:vAlign w:val="bottom"/>
            <w:tcBorders>
              <w:bottom w:val="single" w:sz="8" w:color="B6EAFC"/>
            </w:tcBorders>
          </w:tcPr>
          <w:p>
            <w:pPr>
              <w:spacing w:after="0"/>
              <w:rPr>
                <w:sz w:val="14"/>
                <w:szCs w:val="14"/>
                <w:color w:val="auto"/>
              </w:rPr>
            </w:pPr>
          </w:p>
        </w:tc>
        <w:tc>
          <w:tcPr>
            <w:tcW w:w="126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b w:val="1"/>
                <w:bCs w:val="1"/>
                <w:color w:val="auto"/>
                <w:w w:val="93"/>
              </w:rPr>
              <w:t>September 30, 2015</w:t>
            </w:r>
          </w:p>
        </w:tc>
        <w:tc>
          <w:tcPr>
            <w:tcW w:w="260" w:type="dxa"/>
            <w:vAlign w:val="bottom"/>
            <w:tcBorders>
              <w:bottom w:val="single" w:sz="8" w:color="B6EAFC"/>
            </w:tcBorders>
          </w:tcPr>
          <w:p>
            <w:pPr>
              <w:spacing w:after="0"/>
              <w:rPr>
                <w:sz w:val="14"/>
                <w:szCs w:val="14"/>
                <w:color w:val="auto"/>
              </w:rPr>
            </w:pPr>
          </w:p>
        </w:tc>
        <w:tc>
          <w:tcPr>
            <w:tcW w:w="10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Category</w:t>
            </w:r>
          </w:p>
        </w:tc>
        <w:tc>
          <w:tcPr>
            <w:tcW w:w="240" w:type="dxa"/>
            <w:vAlign w:val="bottom"/>
            <w:tcBorders>
              <w:bottom w:val="single" w:sz="8" w:color="B6EAFC"/>
            </w:tcBorders>
          </w:tcPr>
          <w:p>
            <w:pPr>
              <w:spacing w:after="0"/>
              <w:rPr>
                <w:sz w:val="14"/>
                <w:szCs w:val="14"/>
                <w:color w:val="auto"/>
              </w:rPr>
            </w:pPr>
          </w:p>
        </w:tc>
        <w:tc>
          <w:tcPr>
            <w:tcW w:w="80" w:type="dxa"/>
            <w:vAlign w:val="bottom"/>
            <w:tcBorders>
              <w:bottom w:val="single" w:sz="8" w:color="B6EAFC"/>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ind w:right="393"/>
              <w:spacing w:after="0"/>
              <w:rPr>
                <w:sz w:val="20"/>
                <w:szCs w:val="20"/>
                <w:color w:val="auto"/>
              </w:rPr>
            </w:pPr>
            <w:r>
              <w:rPr>
                <w:rFonts w:ascii="Arial" w:cs="Arial" w:eastAsia="Arial" w:hAnsi="Arial"/>
                <w:sz w:val="14"/>
                <w:szCs w:val="14"/>
                <w:b w:val="1"/>
                <w:bCs w:val="1"/>
                <w:color w:val="auto"/>
              </w:rPr>
              <w:t>$</w:t>
            </w:r>
          </w:p>
        </w:tc>
        <w:tc>
          <w:tcPr>
            <w:tcW w:w="260" w:type="dxa"/>
            <w:vAlign w:val="bottom"/>
            <w:tcBorders>
              <w:bottom w:val="single" w:sz="8" w:color="B6EAFC"/>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180" w:type="dxa"/>
            <w:vAlign w:val="bottom"/>
            <w:tcBorders>
              <w:bottom w:val="single" w:sz="8" w:color="B6EAFC"/>
            </w:tcBorders>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3240" w:type="dxa"/>
            <w:vAlign w:val="bottom"/>
            <w:shd w:val="clear" w:color="auto" w:fill="B6EAFC"/>
          </w:tcPr>
          <w:p>
            <w:pPr>
              <w:spacing w:after="0"/>
              <w:rPr>
                <w:sz w:val="20"/>
                <w:szCs w:val="20"/>
                <w:color w:val="auto"/>
              </w:rPr>
            </w:pPr>
            <w:r>
              <w:rPr>
                <w:rFonts w:ascii="Arial" w:cs="Arial" w:eastAsia="Arial" w:hAnsi="Arial"/>
                <w:sz w:val="18"/>
                <w:szCs w:val="18"/>
                <w:color w:val="auto"/>
              </w:rPr>
              <w:t>Professional/outside services</w:t>
            </w:r>
          </w:p>
        </w:tc>
        <w:tc>
          <w:tcPr>
            <w:tcW w:w="120" w:type="dxa"/>
            <w:vAlign w:val="bottom"/>
            <w:shd w:val="clear" w:color="auto" w:fill="B6EAFC"/>
          </w:tcPr>
          <w:p>
            <w:pPr>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B6EAFC"/>
          </w:tcPr>
          <w:p>
            <w:pPr>
              <w:jc w:val="right"/>
              <w:spacing w:after="0"/>
              <w:rPr>
                <w:sz w:val="20"/>
                <w:szCs w:val="20"/>
                <w:color w:val="auto"/>
              </w:rPr>
            </w:pPr>
            <w:r>
              <w:rPr>
                <w:rFonts w:ascii="Arial" w:cs="Arial" w:eastAsia="Arial" w:hAnsi="Arial"/>
                <w:sz w:val="18"/>
                <w:szCs w:val="18"/>
                <w:color w:val="auto"/>
              </w:rPr>
              <w:t>4,201</w:t>
            </w:r>
          </w:p>
        </w:tc>
        <w:tc>
          <w:tcPr>
            <w:tcW w:w="260" w:type="dxa"/>
            <w:vAlign w:val="bottom"/>
            <w:shd w:val="clear" w:color="auto" w:fill="B6EAFC"/>
          </w:tcPr>
          <w:p>
            <w:pPr>
              <w:spacing w:after="0"/>
              <w:rPr>
                <w:sz w:val="19"/>
                <w:szCs w:val="19"/>
                <w:color w:val="auto"/>
              </w:rPr>
            </w:pPr>
          </w:p>
        </w:tc>
        <w:tc>
          <w:tcPr>
            <w:tcW w:w="1260" w:type="dxa"/>
            <w:vAlign w:val="bottom"/>
            <w:gridSpan w:val="2"/>
            <w:shd w:val="clear" w:color="auto" w:fill="B6EAFC"/>
          </w:tcPr>
          <w:p>
            <w:pPr>
              <w:jc w:val="right"/>
              <w:ind w:right="100"/>
              <w:spacing w:after="0"/>
              <w:rPr>
                <w:sz w:val="20"/>
                <w:szCs w:val="20"/>
                <w:color w:val="auto"/>
              </w:rPr>
            </w:pPr>
            <w:r>
              <w:rPr>
                <w:rFonts w:ascii="Arial" w:cs="Arial" w:eastAsia="Arial" w:hAnsi="Arial"/>
                <w:sz w:val="18"/>
                <w:szCs w:val="18"/>
                <w:color w:val="auto"/>
              </w:rPr>
              <w:t>43%</w:t>
            </w:r>
          </w:p>
        </w:tc>
        <w:tc>
          <w:tcPr>
            <w:tcW w:w="80" w:type="dxa"/>
            <w:vAlign w:val="bottom"/>
            <w:shd w:val="clear" w:color="auto" w:fill="B6EAFC"/>
          </w:tcPr>
          <w:p>
            <w:pPr>
              <w:spacing w:after="0"/>
              <w:rPr>
                <w:sz w:val="19"/>
                <w:szCs w:val="19"/>
                <w:color w:val="auto"/>
              </w:rPr>
            </w:pPr>
          </w:p>
        </w:tc>
        <w:tc>
          <w:tcPr>
            <w:tcW w:w="120" w:type="dxa"/>
            <w:vAlign w:val="bottom"/>
            <w:shd w:val="clear" w:color="auto" w:fill="B6EAFC"/>
          </w:tcPr>
          <w:p>
            <w:pPr>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B6EAFC"/>
          </w:tcPr>
          <w:p>
            <w:pPr>
              <w:jc w:val="right"/>
              <w:spacing w:after="0"/>
              <w:rPr>
                <w:sz w:val="20"/>
                <w:szCs w:val="20"/>
                <w:color w:val="auto"/>
              </w:rPr>
            </w:pPr>
            <w:r>
              <w:rPr>
                <w:rFonts w:ascii="Arial" w:cs="Arial" w:eastAsia="Arial" w:hAnsi="Arial"/>
                <w:sz w:val="18"/>
                <w:szCs w:val="18"/>
                <w:color w:val="auto"/>
              </w:rPr>
              <w:t>3,989</w:t>
            </w:r>
          </w:p>
        </w:tc>
        <w:tc>
          <w:tcPr>
            <w:tcW w:w="260" w:type="dxa"/>
            <w:vAlign w:val="bottom"/>
            <w:shd w:val="clear" w:color="auto" w:fill="B6EAFC"/>
          </w:tcPr>
          <w:p>
            <w:pPr>
              <w:spacing w:after="0"/>
              <w:rPr>
                <w:sz w:val="19"/>
                <w:szCs w:val="19"/>
                <w:color w:val="auto"/>
              </w:rPr>
            </w:pPr>
          </w:p>
        </w:tc>
        <w:tc>
          <w:tcPr>
            <w:tcW w:w="1260" w:type="dxa"/>
            <w:vAlign w:val="bottom"/>
            <w:gridSpan w:val="2"/>
            <w:shd w:val="clear" w:color="auto" w:fill="B6EAFC"/>
          </w:tcPr>
          <w:p>
            <w:pPr>
              <w:jc w:val="right"/>
              <w:ind w:right="100"/>
              <w:spacing w:after="0"/>
              <w:rPr>
                <w:sz w:val="20"/>
                <w:szCs w:val="20"/>
                <w:color w:val="auto"/>
              </w:rPr>
            </w:pPr>
            <w:r>
              <w:rPr>
                <w:rFonts w:ascii="Arial" w:cs="Arial" w:eastAsia="Arial" w:hAnsi="Arial"/>
                <w:sz w:val="18"/>
                <w:szCs w:val="18"/>
                <w:color w:val="auto"/>
              </w:rPr>
              <w:t>50%</w:t>
            </w:r>
          </w:p>
        </w:tc>
        <w:tc>
          <w:tcPr>
            <w:tcW w:w="80" w:type="dxa"/>
            <w:vAlign w:val="bottom"/>
            <w:shd w:val="clear" w:color="auto" w:fill="B6EAFC"/>
          </w:tcPr>
          <w:p>
            <w:pPr>
              <w:spacing w:after="0"/>
              <w:rPr>
                <w:sz w:val="19"/>
                <w:szCs w:val="19"/>
                <w:color w:val="auto"/>
              </w:rPr>
            </w:pPr>
          </w:p>
        </w:tc>
        <w:tc>
          <w:tcPr>
            <w:tcW w:w="280" w:type="dxa"/>
            <w:vAlign w:val="bottom"/>
            <w:shd w:val="clear" w:color="auto" w:fill="B6EAFC"/>
          </w:tcPr>
          <w:p>
            <w:pPr>
              <w:jc w:val="right"/>
              <w:ind w:right="90"/>
              <w:spacing w:after="0"/>
              <w:rPr>
                <w:sz w:val="20"/>
                <w:szCs w:val="20"/>
                <w:color w:val="auto"/>
              </w:rPr>
            </w:pPr>
            <w:r>
              <w:rPr>
                <w:rFonts w:ascii="Arial" w:cs="Arial" w:eastAsia="Arial" w:hAnsi="Arial"/>
                <w:sz w:val="18"/>
                <w:szCs w:val="18"/>
                <w:color w:val="auto"/>
                <w:w w:val="79"/>
              </w:rPr>
              <w:t>$</w:t>
            </w:r>
          </w:p>
        </w:tc>
        <w:tc>
          <w:tcPr>
            <w:tcW w:w="740" w:type="dxa"/>
            <w:vAlign w:val="bottom"/>
            <w:shd w:val="clear" w:color="auto" w:fill="B6EAFC"/>
          </w:tcPr>
          <w:p>
            <w:pPr>
              <w:jc w:val="right"/>
              <w:spacing w:after="0"/>
              <w:rPr>
                <w:sz w:val="20"/>
                <w:szCs w:val="20"/>
                <w:color w:val="auto"/>
              </w:rPr>
            </w:pPr>
            <w:r>
              <w:rPr>
                <w:rFonts w:ascii="Arial" w:cs="Arial" w:eastAsia="Arial" w:hAnsi="Arial"/>
                <w:sz w:val="18"/>
                <w:szCs w:val="18"/>
                <w:color w:val="auto"/>
              </w:rPr>
              <w:t>212</w:t>
            </w:r>
          </w:p>
        </w:tc>
        <w:tc>
          <w:tcPr>
            <w:tcW w:w="260" w:type="dxa"/>
            <w:vAlign w:val="bottom"/>
            <w:shd w:val="clear" w:color="auto" w:fill="B6EAFC"/>
          </w:tcPr>
          <w:p>
            <w:pPr>
              <w:spacing w:after="0"/>
              <w:rPr>
                <w:sz w:val="19"/>
                <w:szCs w:val="19"/>
                <w:color w:val="auto"/>
              </w:rPr>
            </w:pPr>
          </w:p>
        </w:tc>
        <w:tc>
          <w:tcPr>
            <w:tcW w:w="580" w:type="dxa"/>
            <w:vAlign w:val="bottom"/>
            <w:shd w:val="clear" w:color="auto" w:fill="B6EAFC"/>
          </w:tcPr>
          <w:p>
            <w:pPr>
              <w:spacing w:after="0"/>
              <w:rPr>
                <w:sz w:val="19"/>
                <w:szCs w:val="19"/>
                <w:color w:val="auto"/>
              </w:rPr>
            </w:pPr>
          </w:p>
        </w:tc>
        <w:tc>
          <w:tcPr>
            <w:tcW w:w="600" w:type="dxa"/>
            <w:vAlign w:val="bottom"/>
            <w:gridSpan w:val="2"/>
            <w:shd w:val="clear" w:color="auto" w:fill="B6EAFC"/>
          </w:tcPr>
          <w:p>
            <w:pPr>
              <w:jc w:val="right"/>
              <w:ind w:right="2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30"/>
        </w:trPr>
        <w:tc>
          <w:tcPr>
            <w:tcW w:w="3240" w:type="dxa"/>
            <w:vAlign w:val="bottom"/>
          </w:tcPr>
          <w:p>
            <w:pPr>
              <w:spacing w:after="0"/>
              <w:rPr>
                <w:sz w:val="20"/>
                <w:szCs w:val="20"/>
                <w:color w:val="auto"/>
              </w:rPr>
            </w:pPr>
            <w:r>
              <w:rPr>
                <w:rFonts w:ascii="Arial" w:cs="Arial" w:eastAsia="Arial" w:hAnsi="Arial"/>
                <w:sz w:val="18"/>
                <w:szCs w:val="18"/>
                <w:color w:val="auto"/>
              </w:rPr>
              <w:t>Patent expense</w:t>
            </w:r>
          </w:p>
        </w:tc>
        <w:tc>
          <w:tcPr>
            <w:tcW w:w="1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1,529</w:t>
            </w:r>
          </w:p>
        </w:tc>
        <w:tc>
          <w:tcPr>
            <w:tcW w:w="260" w:type="dxa"/>
            <w:vAlign w:val="bottom"/>
          </w:tcPr>
          <w:p>
            <w:pPr>
              <w:spacing w:after="0"/>
              <w:rPr>
                <w:sz w:val="19"/>
                <w:szCs w:val="19"/>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15%</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950</w:t>
            </w:r>
          </w:p>
        </w:tc>
        <w:tc>
          <w:tcPr>
            <w:tcW w:w="260" w:type="dxa"/>
            <w:vAlign w:val="bottom"/>
          </w:tcPr>
          <w:p>
            <w:pPr>
              <w:spacing w:after="0"/>
              <w:rPr>
                <w:sz w:val="19"/>
                <w:szCs w:val="19"/>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12%</w:t>
            </w: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579</w:t>
            </w:r>
          </w:p>
        </w:tc>
        <w:tc>
          <w:tcPr>
            <w:tcW w:w="2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600" w:type="dxa"/>
            <w:vAlign w:val="bottom"/>
            <w:gridSpan w:val="2"/>
          </w:tcPr>
          <w:p>
            <w:pPr>
              <w:jc w:val="right"/>
              <w:ind w:right="20"/>
              <w:spacing w:after="0"/>
              <w:rPr>
                <w:sz w:val="20"/>
                <w:szCs w:val="20"/>
                <w:color w:val="auto"/>
              </w:rPr>
            </w:pPr>
            <w:r>
              <w:rPr>
                <w:rFonts w:ascii="Arial" w:cs="Arial" w:eastAsia="Arial" w:hAnsi="Arial"/>
                <w:sz w:val="18"/>
                <w:szCs w:val="18"/>
                <w:color w:val="auto"/>
              </w:rPr>
              <w:t>61%</w:t>
            </w:r>
          </w:p>
        </w:tc>
        <w:tc>
          <w:tcPr>
            <w:tcW w:w="0" w:type="dxa"/>
            <w:vAlign w:val="bottom"/>
          </w:tcPr>
          <w:p>
            <w:pPr>
              <w:spacing w:after="0"/>
              <w:rPr>
                <w:sz w:val="1"/>
                <w:szCs w:val="1"/>
                <w:color w:val="auto"/>
              </w:rPr>
            </w:pPr>
          </w:p>
        </w:tc>
      </w:tr>
      <w:tr>
        <w:trPr>
          <w:trHeight w:val="230"/>
        </w:trPr>
        <w:tc>
          <w:tcPr>
            <w:tcW w:w="3240" w:type="dxa"/>
            <w:vAlign w:val="bottom"/>
            <w:shd w:val="clear" w:color="auto" w:fill="B6EAFC"/>
          </w:tcPr>
          <w:p>
            <w:pPr>
              <w:spacing w:after="0"/>
              <w:rPr>
                <w:sz w:val="20"/>
                <w:szCs w:val="20"/>
                <w:color w:val="auto"/>
              </w:rPr>
            </w:pPr>
            <w:r>
              <w:rPr>
                <w:rFonts w:ascii="Arial" w:cs="Arial" w:eastAsia="Arial" w:hAnsi="Arial"/>
                <w:sz w:val="18"/>
                <w:szCs w:val="18"/>
                <w:color w:val="auto"/>
              </w:rPr>
              <w:t>Facilities and related</w:t>
            </w:r>
          </w:p>
        </w:tc>
        <w:tc>
          <w:tcPr>
            <w:tcW w:w="120" w:type="dxa"/>
            <w:vAlign w:val="bottom"/>
            <w:shd w:val="clear" w:color="auto" w:fill="B6EAFC"/>
          </w:tcPr>
          <w:p>
            <w:pPr>
              <w:spacing w:after="0"/>
              <w:rPr>
                <w:sz w:val="19"/>
                <w:szCs w:val="19"/>
                <w:color w:val="auto"/>
              </w:rPr>
            </w:pPr>
          </w:p>
        </w:tc>
        <w:tc>
          <w:tcPr>
            <w:tcW w:w="1140" w:type="dxa"/>
            <w:vAlign w:val="bottom"/>
            <w:shd w:val="clear" w:color="auto" w:fill="B6EAFC"/>
          </w:tcPr>
          <w:p>
            <w:pPr>
              <w:jc w:val="right"/>
              <w:spacing w:after="0"/>
              <w:rPr>
                <w:sz w:val="20"/>
                <w:szCs w:val="20"/>
                <w:color w:val="auto"/>
              </w:rPr>
            </w:pPr>
            <w:r>
              <w:rPr>
                <w:rFonts w:ascii="Arial" w:cs="Arial" w:eastAsia="Arial" w:hAnsi="Arial"/>
                <w:sz w:val="18"/>
                <w:szCs w:val="18"/>
                <w:color w:val="auto"/>
              </w:rPr>
              <w:t>320</w:t>
            </w:r>
          </w:p>
        </w:tc>
        <w:tc>
          <w:tcPr>
            <w:tcW w:w="260" w:type="dxa"/>
            <w:vAlign w:val="bottom"/>
            <w:shd w:val="clear" w:color="auto" w:fill="B6EAFC"/>
          </w:tcPr>
          <w:p>
            <w:pPr>
              <w:spacing w:after="0"/>
              <w:rPr>
                <w:sz w:val="19"/>
                <w:szCs w:val="19"/>
                <w:color w:val="auto"/>
              </w:rPr>
            </w:pPr>
          </w:p>
        </w:tc>
        <w:tc>
          <w:tcPr>
            <w:tcW w:w="1260" w:type="dxa"/>
            <w:vAlign w:val="bottom"/>
            <w:gridSpan w:val="2"/>
            <w:shd w:val="clear" w:color="auto" w:fill="B6EAFC"/>
          </w:tcPr>
          <w:p>
            <w:pPr>
              <w:jc w:val="right"/>
              <w:ind w:right="100"/>
              <w:spacing w:after="0"/>
              <w:rPr>
                <w:sz w:val="20"/>
                <w:szCs w:val="20"/>
                <w:color w:val="auto"/>
              </w:rPr>
            </w:pPr>
            <w:r>
              <w:rPr>
                <w:rFonts w:ascii="Arial" w:cs="Arial" w:eastAsia="Arial" w:hAnsi="Arial"/>
                <w:sz w:val="18"/>
                <w:szCs w:val="18"/>
                <w:color w:val="auto"/>
              </w:rPr>
              <w:t>3%</w:t>
            </w:r>
          </w:p>
        </w:tc>
        <w:tc>
          <w:tcPr>
            <w:tcW w:w="80" w:type="dxa"/>
            <w:vAlign w:val="bottom"/>
            <w:shd w:val="clear" w:color="auto" w:fill="B6EAFC"/>
          </w:tcPr>
          <w:p>
            <w:pPr>
              <w:spacing w:after="0"/>
              <w:rPr>
                <w:sz w:val="19"/>
                <w:szCs w:val="19"/>
                <w:color w:val="auto"/>
              </w:rPr>
            </w:pPr>
          </w:p>
        </w:tc>
        <w:tc>
          <w:tcPr>
            <w:tcW w:w="120" w:type="dxa"/>
            <w:vAlign w:val="bottom"/>
            <w:shd w:val="clear" w:color="auto" w:fill="B6EAFC"/>
          </w:tcPr>
          <w:p>
            <w:pPr>
              <w:spacing w:after="0"/>
              <w:rPr>
                <w:sz w:val="19"/>
                <w:szCs w:val="19"/>
                <w:color w:val="auto"/>
              </w:rPr>
            </w:pPr>
          </w:p>
        </w:tc>
        <w:tc>
          <w:tcPr>
            <w:tcW w:w="1140" w:type="dxa"/>
            <w:vAlign w:val="bottom"/>
            <w:shd w:val="clear" w:color="auto" w:fill="B6EAFC"/>
          </w:tcPr>
          <w:p>
            <w:pPr>
              <w:jc w:val="right"/>
              <w:spacing w:after="0"/>
              <w:rPr>
                <w:sz w:val="20"/>
                <w:szCs w:val="20"/>
                <w:color w:val="auto"/>
              </w:rPr>
            </w:pPr>
            <w:r>
              <w:rPr>
                <w:rFonts w:ascii="Arial" w:cs="Arial" w:eastAsia="Arial" w:hAnsi="Arial"/>
                <w:sz w:val="18"/>
                <w:szCs w:val="18"/>
                <w:color w:val="auto"/>
              </w:rPr>
              <w:t>308</w:t>
            </w:r>
          </w:p>
        </w:tc>
        <w:tc>
          <w:tcPr>
            <w:tcW w:w="260" w:type="dxa"/>
            <w:vAlign w:val="bottom"/>
            <w:shd w:val="clear" w:color="auto" w:fill="B6EAFC"/>
          </w:tcPr>
          <w:p>
            <w:pPr>
              <w:spacing w:after="0"/>
              <w:rPr>
                <w:sz w:val="19"/>
                <w:szCs w:val="19"/>
                <w:color w:val="auto"/>
              </w:rPr>
            </w:pPr>
          </w:p>
        </w:tc>
        <w:tc>
          <w:tcPr>
            <w:tcW w:w="1260" w:type="dxa"/>
            <w:vAlign w:val="bottom"/>
            <w:gridSpan w:val="2"/>
            <w:shd w:val="clear" w:color="auto" w:fill="B6EAFC"/>
          </w:tcPr>
          <w:p>
            <w:pPr>
              <w:jc w:val="right"/>
              <w:ind w:right="100"/>
              <w:spacing w:after="0"/>
              <w:rPr>
                <w:sz w:val="20"/>
                <w:szCs w:val="20"/>
                <w:color w:val="auto"/>
              </w:rPr>
            </w:pPr>
            <w:r>
              <w:rPr>
                <w:rFonts w:ascii="Arial" w:cs="Arial" w:eastAsia="Arial" w:hAnsi="Arial"/>
                <w:sz w:val="18"/>
                <w:szCs w:val="18"/>
                <w:color w:val="auto"/>
              </w:rPr>
              <w:t>4%</w:t>
            </w:r>
          </w:p>
        </w:tc>
        <w:tc>
          <w:tcPr>
            <w:tcW w:w="80" w:type="dxa"/>
            <w:vAlign w:val="bottom"/>
            <w:shd w:val="clear" w:color="auto" w:fill="B6EAFC"/>
          </w:tcPr>
          <w:p>
            <w:pPr>
              <w:spacing w:after="0"/>
              <w:rPr>
                <w:sz w:val="19"/>
                <w:szCs w:val="19"/>
                <w:color w:val="auto"/>
              </w:rPr>
            </w:pPr>
          </w:p>
        </w:tc>
        <w:tc>
          <w:tcPr>
            <w:tcW w:w="280" w:type="dxa"/>
            <w:vAlign w:val="bottom"/>
            <w:shd w:val="clear" w:color="auto" w:fill="B6EAFC"/>
          </w:tcPr>
          <w:p>
            <w:pPr>
              <w:spacing w:after="0"/>
              <w:rPr>
                <w:sz w:val="19"/>
                <w:szCs w:val="19"/>
                <w:color w:val="auto"/>
              </w:rPr>
            </w:pPr>
          </w:p>
        </w:tc>
        <w:tc>
          <w:tcPr>
            <w:tcW w:w="740" w:type="dxa"/>
            <w:vAlign w:val="bottom"/>
            <w:shd w:val="clear" w:color="auto" w:fill="B6EAFC"/>
          </w:tcPr>
          <w:p>
            <w:pPr>
              <w:jc w:val="right"/>
              <w:spacing w:after="0"/>
              <w:rPr>
                <w:sz w:val="20"/>
                <w:szCs w:val="20"/>
                <w:color w:val="auto"/>
              </w:rPr>
            </w:pPr>
            <w:r>
              <w:rPr>
                <w:rFonts w:ascii="Arial" w:cs="Arial" w:eastAsia="Arial" w:hAnsi="Arial"/>
                <w:sz w:val="18"/>
                <w:szCs w:val="18"/>
                <w:color w:val="auto"/>
              </w:rPr>
              <w:t>12</w:t>
            </w:r>
          </w:p>
        </w:tc>
        <w:tc>
          <w:tcPr>
            <w:tcW w:w="260" w:type="dxa"/>
            <w:vAlign w:val="bottom"/>
            <w:shd w:val="clear" w:color="auto" w:fill="B6EAFC"/>
          </w:tcPr>
          <w:p>
            <w:pPr>
              <w:spacing w:after="0"/>
              <w:rPr>
                <w:sz w:val="19"/>
                <w:szCs w:val="19"/>
                <w:color w:val="auto"/>
              </w:rPr>
            </w:pPr>
          </w:p>
        </w:tc>
        <w:tc>
          <w:tcPr>
            <w:tcW w:w="580" w:type="dxa"/>
            <w:vAlign w:val="bottom"/>
            <w:shd w:val="clear" w:color="auto" w:fill="B6EAFC"/>
          </w:tcPr>
          <w:p>
            <w:pPr>
              <w:spacing w:after="0"/>
              <w:rPr>
                <w:sz w:val="19"/>
                <w:szCs w:val="19"/>
                <w:color w:val="auto"/>
              </w:rPr>
            </w:pPr>
          </w:p>
        </w:tc>
        <w:tc>
          <w:tcPr>
            <w:tcW w:w="600" w:type="dxa"/>
            <w:vAlign w:val="bottom"/>
            <w:gridSpan w:val="2"/>
            <w:shd w:val="clear" w:color="auto" w:fill="B6EAFC"/>
          </w:tcPr>
          <w:p>
            <w:pPr>
              <w:jc w:val="right"/>
              <w:ind w:right="2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30"/>
        </w:trPr>
        <w:tc>
          <w:tcPr>
            <w:tcW w:w="3240" w:type="dxa"/>
            <w:vAlign w:val="bottom"/>
          </w:tcPr>
          <w:p>
            <w:pPr>
              <w:spacing w:after="0"/>
              <w:rPr>
                <w:sz w:val="20"/>
                <w:szCs w:val="20"/>
                <w:color w:val="auto"/>
              </w:rPr>
            </w:pPr>
            <w:r>
              <w:rPr>
                <w:rFonts w:ascii="Arial" w:cs="Arial" w:eastAsia="Arial" w:hAnsi="Arial"/>
                <w:sz w:val="18"/>
                <w:szCs w:val="18"/>
                <w:color w:val="auto"/>
              </w:rPr>
              <w:t>Travel</w:t>
            </w:r>
          </w:p>
        </w:tc>
        <w:tc>
          <w:tcPr>
            <w:tcW w:w="1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864</w:t>
            </w:r>
          </w:p>
        </w:tc>
        <w:tc>
          <w:tcPr>
            <w:tcW w:w="260" w:type="dxa"/>
            <w:vAlign w:val="bottom"/>
          </w:tcPr>
          <w:p>
            <w:pPr>
              <w:spacing w:after="0"/>
              <w:rPr>
                <w:sz w:val="19"/>
                <w:szCs w:val="19"/>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9%</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841</w:t>
            </w:r>
          </w:p>
        </w:tc>
        <w:tc>
          <w:tcPr>
            <w:tcW w:w="260" w:type="dxa"/>
            <w:vAlign w:val="bottom"/>
          </w:tcPr>
          <w:p>
            <w:pPr>
              <w:spacing w:after="0"/>
              <w:rPr>
                <w:sz w:val="19"/>
                <w:szCs w:val="19"/>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11%</w:t>
            </w: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23</w:t>
            </w:r>
          </w:p>
        </w:tc>
        <w:tc>
          <w:tcPr>
            <w:tcW w:w="2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600" w:type="dxa"/>
            <w:vAlign w:val="bottom"/>
            <w:gridSpan w:val="2"/>
          </w:tcPr>
          <w:p>
            <w:pPr>
              <w:jc w:val="right"/>
              <w:ind w:right="2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30"/>
        </w:trPr>
        <w:tc>
          <w:tcPr>
            <w:tcW w:w="3240" w:type="dxa"/>
            <w:vAlign w:val="bottom"/>
            <w:shd w:val="clear" w:color="auto" w:fill="B6EAFC"/>
          </w:tcPr>
          <w:p>
            <w:pPr>
              <w:spacing w:after="0"/>
              <w:rPr>
                <w:sz w:val="20"/>
                <w:szCs w:val="20"/>
                <w:color w:val="auto"/>
              </w:rPr>
            </w:pPr>
            <w:r>
              <w:rPr>
                <w:rFonts w:ascii="Arial" w:cs="Arial" w:eastAsia="Arial" w:hAnsi="Arial"/>
                <w:sz w:val="18"/>
                <w:szCs w:val="18"/>
                <w:color w:val="auto"/>
              </w:rPr>
              <w:t>Business insurance</w:t>
            </w:r>
          </w:p>
        </w:tc>
        <w:tc>
          <w:tcPr>
            <w:tcW w:w="120" w:type="dxa"/>
            <w:vAlign w:val="bottom"/>
            <w:shd w:val="clear" w:color="auto" w:fill="B6EAFC"/>
          </w:tcPr>
          <w:p>
            <w:pPr>
              <w:spacing w:after="0"/>
              <w:rPr>
                <w:sz w:val="19"/>
                <w:szCs w:val="19"/>
                <w:color w:val="auto"/>
              </w:rPr>
            </w:pPr>
          </w:p>
        </w:tc>
        <w:tc>
          <w:tcPr>
            <w:tcW w:w="1140" w:type="dxa"/>
            <w:vAlign w:val="bottom"/>
            <w:shd w:val="clear" w:color="auto" w:fill="B6EAFC"/>
          </w:tcPr>
          <w:p>
            <w:pPr>
              <w:jc w:val="right"/>
              <w:spacing w:after="0"/>
              <w:rPr>
                <w:sz w:val="20"/>
                <w:szCs w:val="20"/>
                <w:color w:val="auto"/>
              </w:rPr>
            </w:pPr>
            <w:r>
              <w:rPr>
                <w:rFonts w:ascii="Arial" w:cs="Arial" w:eastAsia="Arial" w:hAnsi="Arial"/>
                <w:sz w:val="18"/>
                <w:szCs w:val="18"/>
                <w:color w:val="auto"/>
              </w:rPr>
              <w:t>632</w:t>
            </w:r>
          </w:p>
        </w:tc>
        <w:tc>
          <w:tcPr>
            <w:tcW w:w="260" w:type="dxa"/>
            <w:vAlign w:val="bottom"/>
            <w:shd w:val="clear" w:color="auto" w:fill="B6EAFC"/>
          </w:tcPr>
          <w:p>
            <w:pPr>
              <w:spacing w:after="0"/>
              <w:rPr>
                <w:sz w:val="19"/>
                <w:szCs w:val="19"/>
                <w:color w:val="auto"/>
              </w:rPr>
            </w:pPr>
          </w:p>
        </w:tc>
        <w:tc>
          <w:tcPr>
            <w:tcW w:w="1260" w:type="dxa"/>
            <w:vAlign w:val="bottom"/>
            <w:gridSpan w:val="2"/>
            <w:shd w:val="clear" w:color="auto" w:fill="B6EAFC"/>
          </w:tcPr>
          <w:p>
            <w:pPr>
              <w:jc w:val="right"/>
              <w:ind w:right="100"/>
              <w:spacing w:after="0"/>
              <w:rPr>
                <w:sz w:val="20"/>
                <w:szCs w:val="20"/>
                <w:color w:val="auto"/>
              </w:rPr>
            </w:pPr>
            <w:r>
              <w:rPr>
                <w:rFonts w:ascii="Arial" w:cs="Arial" w:eastAsia="Arial" w:hAnsi="Arial"/>
                <w:sz w:val="18"/>
                <w:szCs w:val="18"/>
                <w:color w:val="auto"/>
              </w:rPr>
              <w:t>6%</w:t>
            </w:r>
          </w:p>
        </w:tc>
        <w:tc>
          <w:tcPr>
            <w:tcW w:w="80" w:type="dxa"/>
            <w:vAlign w:val="bottom"/>
            <w:shd w:val="clear" w:color="auto" w:fill="B6EAFC"/>
          </w:tcPr>
          <w:p>
            <w:pPr>
              <w:spacing w:after="0"/>
              <w:rPr>
                <w:sz w:val="19"/>
                <w:szCs w:val="19"/>
                <w:color w:val="auto"/>
              </w:rPr>
            </w:pPr>
          </w:p>
        </w:tc>
        <w:tc>
          <w:tcPr>
            <w:tcW w:w="120" w:type="dxa"/>
            <w:vAlign w:val="bottom"/>
            <w:shd w:val="clear" w:color="auto" w:fill="B6EAFC"/>
          </w:tcPr>
          <w:p>
            <w:pPr>
              <w:spacing w:after="0"/>
              <w:rPr>
                <w:sz w:val="19"/>
                <w:szCs w:val="19"/>
                <w:color w:val="auto"/>
              </w:rPr>
            </w:pPr>
          </w:p>
        </w:tc>
        <w:tc>
          <w:tcPr>
            <w:tcW w:w="1140" w:type="dxa"/>
            <w:vAlign w:val="bottom"/>
            <w:shd w:val="clear" w:color="auto" w:fill="B6EAFC"/>
          </w:tcPr>
          <w:p>
            <w:pPr>
              <w:jc w:val="right"/>
              <w:spacing w:after="0"/>
              <w:rPr>
                <w:sz w:val="20"/>
                <w:szCs w:val="20"/>
                <w:color w:val="auto"/>
              </w:rPr>
            </w:pPr>
            <w:r>
              <w:rPr>
                <w:rFonts w:ascii="Arial" w:cs="Arial" w:eastAsia="Arial" w:hAnsi="Arial"/>
                <w:sz w:val="18"/>
                <w:szCs w:val="18"/>
                <w:color w:val="auto"/>
              </w:rPr>
              <w:t>523</w:t>
            </w:r>
          </w:p>
        </w:tc>
        <w:tc>
          <w:tcPr>
            <w:tcW w:w="260" w:type="dxa"/>
            <w:vAlign w:val="bottom"/>
            <w:shd w:val="clear" w:color="auto" w:fill="B6EAFC"/>
          </w:tcPr>
          <w:p>
            <w:pPr>
              <w:spacing w:after="0"/>
              <w:rPr>
                <w:sz w:val="19"/>
                <w:szCs w:val="19"/>
                <w:color w:val="auto"/>
              </w:rPr>
            </w:pPr>
          </w:p>
        </w:tc>
        <w:tc>
          <w:tcPr>
            <w:tcW w:w="1260" w:type="dxa"/>
            <w:vAlign w:val="bottom"/>
            <w:gridSpan w:val="2"/>
            <w:shd w:val="clear" w:color="auto" w:fill="B6EAFC"/>
          </w:tcPr>
          <w:p>
            <w:pPr>
              <w:jc w:val="right"/>
              <w:ind w:right="100"/>
              <w:spacing w:after="0"/>
              <w:rPr>
                <w:sz w:val="20"/>
                <w:szCs w:val="20"/>
                <w:color w:val="auto"/>
              </w:rPr>
            </w:pPr>
            <w:r>
              <w:rPr>
                <w:rFonts w:ascii="Arial" w:cs="Arial" w:eastAsia="Arial" w:hAnsi="Arial"/>
                <w:sz w:val="18"/>
                <w:szCs w:val="18"/>
                <w:color w:val="auto"/>
              </w:rPr>
              <w:t>7%</w:t>
            </w:r>
          </w:p>
        </w:tc>
        <w:tc>
          <w:tcPr>
            <w:tcW w:w="80" w:type="dxa"/>
            <w:vAlign w:val="bottom"/>
            <w:shd w:val="clear" w:color="auto" w:fill="B6EAFC"/>
          </w:tcPr>
          <w:p>
            <w:pPr>
              <w:spacing w:after="0"/>
              <w:rPr>
                <w:sz w:val="19"/>
                <w:szCs w:val="19"/>
                <w:color w:val="auto"/>
              </w:rPr>
            </w:pPr>
          </w:p>
        </w:tc>
        <w:tc>
          <w:tcPr>
            <w:tcW w:w="280" w:type="dxa"/>
            <w:vAlign w:val="bottom"/>
            <w:shd w:val="clear" w:color="auto" w:fill="B6EAFC"/>
          </w:tcPr>
          <w:p>
            <w:pPr>
              <w:spacing w:after="0"/>
              <w:rPr>
                <w:sz w:val="19"/>
                <w:szCs w:val="19"/>
                <w:color w:val="auto"/>
              </w:rPr>
            </w:pPr>
          </w:p>
        </w:tc>
        <w:tc>
          <w:tcPr>
            <w:tcW w:w="740" w:type="dxa"/>
            <w:vAlign w:val="bottom"/>
            <w:shd w:val="clear" w:color="auto" w:fill="B6EAFC"/>
          </w:tcPr>
          <w:p>
            <w:pPr>
              <w:jc w:val="right"/>
              <w:spacing w:after="0"/>
              <w:rPr>
                <w:sz w:val="20"/>
                <w:szCs w:val="20"/>
                <w:color w:val="auto"/>
              </w:rPr>
            </w:pPr>
            <w:r>
              <w:rPr>
                <w:rFonts w:ascii="Arial" w:cs="Arial" w:eastAsia="Arial" w:hAnsi="Arial"/>
                <w:sz w:val="18"/>
                <w:szCs w:val="18"/>
                <w:color w:val="auto"/>
              </w:rPr>
              <w:t>109</w:t>
            </w:r>
          </w:p>
        </w:tc>
        <w:tc>
          <w:tcPr>
            <w:tcW w:w="260" w:type="dxa"/>
            <w:vAlign w:val="bottom"/>
            <w:shd w:val="clear" w:color="auto" w:fill="B6EAFC"/>
          </w:tcPr>
          <w:p>
            <w:pPr>
              <w:spacing w:after="0"/>
              <w:rPr>
                <w:sz w:val="19"/>
                <w:szCs w:val="19"/>
                <w:color w:val="auto"/>
              </w:rPr>
            </w:pPr>
          </w:p>
        </w:tc>
        <w:tc>
          <w:tcPr>
            <w:tcW w:w="580" w:type="dxa"/>
            <w:vAlign w:val="bottom"/>
            <w:shd w:val="clear" w:color="auto" w:fill="B6EAFC"/>
          </w:tcPr>
          <w:p>
            <w:pPr>
              <w:spacing w:after="0"/>
              <w:rPr>
                <w:sz w:val="19"/>
                <w:szCs w:val="19"/>
                <w:color w:val="auto"/>
              </w:rPr>
            </w:pPr>
          </w:p>
        </w:tc>
        <w:tc>
          <w:tcPr>
            <w:tcW w:w="600" w:type="dxa"/>
            <w:vAlign w:val="bottom"/>
            <w:gridSpan w:val="2"/>
            <w:shd w:val="clear" w:color="auto" w:fill="B6EAFC"/>
          </w:tcPr>
          <w:p>
            <w:pPr>
              <w:jc w:val="right"/>
              <w:ind w:right="20"/>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30"/>
        </w:trPr>
        <w:tc>
          <w:tcPr>
            <w:tcW w:w="3240" w:type="dxa"/>
            <w:vAlign w:val="bottom"/>
          </w:tcPr>
          <w:p>
            <w:pPr>
              <w:spacing w:after="0"/>
              <w:rPr>
                <w:sz w:val="20"/>
                <w:szCs w:val="20"/>
                <w:color w:val="auto"/>
              </w:rPr>
            </w:pPr>
            <w:r>
              <w:rPr>
                <w:rFonts w:ascii="Arial" w:cs="Arial" w:eastAsia="Arial" w:hAnsi="Arial"/>
                <w:sz w:val="18"/>
                <w:szCs w:val="18"/>
                <w:color w:val="auto"/>
              </w:rPr>
              <w:t>Communication and Technology</w:t>
            </w:r>
          </w:p>
        </w:tc>
        <w:tc>
          <w:tcPr>
            <w:tcW w:w="1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686</w:t>
            </w:r>
          </w:p>
        </w:tc>
        <w:tc>
          <w:tcPr>
            <w:tcW w:w="260" w:type="dxa"/>
            <w:vAlign w:val="bottom"/>
          </w:tcPr>
          <w:p>
            <w:pPr>
              <w:spacing w:after="0"/>
              <w:rPr>
                <w:sz w:val="19"/>
                <w:szCs w:val="19"/>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7%</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691</w:t>
            </w:r>
          </w:p>
        </w:tc>
        <w:tc>
          <w:tcPr>
            <w:tcW w:w="260" w:type="dxa"/>
            <w:vAlign w:val="bottom"/>
          </w:tcPr>
          <w:p>
            <w:pPr>
              <w:spacing w:after="0"/>
              <w:rPr>
                <w:sz w:val="19"/>
                <w:szCs w:val="19"/>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9%</w:t>
            </w: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8"/>
                <w:szCs w:val="18"/>
                <w:color w:val="auto"/>
              </w:rPr>
              <w:t>(5)</w:t>
            </w:r>
          </w:p>
        </w:tc>
        <w:tc>
          <w:tcPr>
            <w:tcW w:w="580" w:type="dxa"/>
            <w:vAlign w:val="bottom"/>
          </w:tcPr>
          <w:p>
            <w:pPr>
              <w:spacing w:after="0"/>
              <w:rPr>
                <w:sz w:val="19"/>
                <w:szCs w:val="19"/>
                <w:color w:val="auto"/>
              </w:rPr>
            </w:pPr>
          </w:p>
        </w:tc>
        <w:tc>
          <w:tcPr>
            <w:tcW w:w="600" w:type="dxa"/>
            <w:vAlign w:val="bottom"/>
            <w:gridSpan w:val="2"/>
          </w:tcPr>
          <w:p>
            <w:pPr>
              <w:jc w:val="right"/>
              <w:ind w:right="2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30"/>
        </w:trPr>
        <w:tc>
          <w:tcPr>
            <w:tcW w:w="3240" w:type="dxa"/>
            <w:vAlign w:val="bottom"/>
            <w:shd w:val="clear" w:color="auto" w:fill="B6EAFC"/>
          </w:tcPr>
          <w:p>
            <w:pPr>
              <w:spacing w:after="0"/>
              <w:rPr>
                <w:sz w:val="20"/>
                <w:szCs w:val="20"/>
                <w:color w:val="auto"/>
              </w:rPr>
            </w:pPr>
            <w:r>
              <w:rPr>
                <w:rFonts w:ascii="Arial" w:cs="Arial" w:eastAsia="Arial" w:hAnsi="Arial"/>
                <w:sz w:val="18"/>
                <w:szCs w:val="18"/>
                <w:color w:val="auto"/>
              </w:rPr>
              <w:t>Office expenses</w:t>
            </w:r>
          </w:p>
        </w:tc>
        <w:tc>
          <w:tcPr>
            <w:tcW w:w="120" w:type="dxa"/>
            <w:vAlign w:val="bottom"/>
            <w:shd w:val="clear" w:color="auto" w:fill="B6EAFC"/>
          </w:tcPr>
          <w:p>
            <w:pPr>
              <w:spacing w:after="0"/>
              <w:rPr>
                <w:sz w:val="19"/>
                <w:szCs w:val="19"/>
                <w:color w:val="auto"/>
              </w:rPr>
            </w:pPr>
          </w:p>
        </w:tc>
        <w:tc>
          <w:tcPr>
            <w:tcW w:w="1140" w:type="dxa"/>
            <w:vAlign w:val="bottom"/>
            <w:shd w:val="clear" w:color="auto" w:fill="B6EAFC"/>
          </w:tcPr>
          <w:p>
            <w:pPr>
              <w:jc w:val="right"/>
              <w:spacing w:after="0"/>
              <w:rPr>
                <w:sz w:val="20"/>
                <w:szCs w:val="20"/>
                <w:color w:val="auto"/>
              </w:rPr>
            </w:pPr>
            <w:r>
              <w:rPr>
                <w:rFonts w:ascii="Arial" w:cs="Arial" w:eastAsia="Arial" w:hAnsi="Arial"/>
                <w:sz w:val="18"/>
                <w:szCs w:val="18"/>
                <w:color w:val="auto"/>
              </w:rPr>
              <w:t>303</w:t>
            </w:r>
          </w:p>
        </w:tc>
        <w:tc>
          <w:tcPr>
            <w:tcW w:w="260" w:type="dxa"/>
            <w:vAlign w:val="bottom"/>
            <w:shd w:val="clear" w:color="auto" w:fill="B6EAFC"/>
          </w:tcPr>
          <w:p>
            <w:pPr>
              <w:spacing w:after="0"/>
              <w:rPr>
                <w:sz w:val="19"/>
                <w:szCs w:val="19"/>
                <w:color w:val="auto"/>
              </w:rPr>
            </w:pPr>
          </w:p>
        </w:tc>
        <w:tc>
          <w:tcPr>
            <w:tcW w:w="1260" w:type="dxa"/>
            <w:vAlign w:val="bottom"/>
            <w:gridSpan w:val="2"/>
            <w:shd w:val="clear" w:color="auto" w:fill="B6EAFC"/>
          </w:tcPr>
          <w:p>
            <w:pPr>
              <w:jc w:val="right"/>
              <w:ind w:right="100"/>
              <w:spacing w:after="0"/>
              <w:rPr>
                <w:sz w:val="20"/>
                <w:szCs w:val="20"/>
                <w:color w:val="auto"/>
              </w:rPr>
            </w:pPr>
            <w:r>
              <w:rPr>
                <w:rFonts w:ascii="Arial" w:cs="Arial" w:eastAsia="Arial" w:hAnsi="Arial"/>
                <w:sz w:val="18"/>
                <w:szCs w:val="18"/>
                <w:color w:val="auto"/>
              </w:rPr>
              <w:t>3%</w:t>
            </w:r>
          </w:p>
        </w:tc>
        <w:tc>
          <w:tcPr>
            <w:tcW w:w="80" w:type="dxa"/>
            <w:vAlign w:val="bottom"/>
            <w:shd w:val="clear" w:color="auto" w:fill="B6EAFC"/>
          </w:tcPr>
          <w:p>
            <w:pPr>
              <w:spacing w:after="0"/>
              <w:rPr>
                <w:sz w:val="19"/>
                <w:szCs w:val="19"/>
                <w:color w:val="auto"/>
              </w:rPr>
            </w:pPr>
          </w:p>
        </w:tc>
        <w:tc>
          <w:tcPr>
            <w:tcW w:w="120" w:type="dxa"/>
            <w:vAlign w:val="bottom"/>
            <w:shd w:val="clear" w:color="auto" w:fill="B6EAFC"/>
          </w:tcPr>
          <w:p>
            <w:pPr>
              <w:spacing w:after="0"/>
              <w:rPr>
                <w:sz w:val="19"/>
                <w:szCs w:val="19"/>
                <w:color w:val="auto"/>
              </w:rPr>
            </w:pPr>
          </w:p>
        </w:tc>
        <w:tc>
          <w:tcPr>
            <w:tcW w:w="1140" w:type="dxa"/>
            <w:vAlign w:val="bottom"/>
            <w:shd w:val="clear" w:color="auto" w:fill="B6EAFC"/>
          </w:tcPr>
          <w:p>
            <w:pPr>
              <w:jc w:val="right"/>
              <w:spacing w:after="0"/>
              <w:rPr>
                <w:sz w:val="20"/>
                <w:szCs w:val="20"/>
                <w:color w:val="auto"/>
              </w:rPr>
            </w:pPr>
            <w:r>
              <w:rPr>
                <w:rFonts w:ascii="Arial" w:cs="Arial" w:eastAsia="Arial" w:hAnsi="Arial"/>
                <w:sz w:val="18"/>
                <w:szCs w:val="18"/>
                <w:color w:val="auto"/>
              </w:rPr>
              <w:t>270</w:t>
            </w:r>
          </w:p>
        </w:tc>
        <w:tc>
          <w:tcPr>
            <w:tcW w:w="260" w:type="dxa"/>
            <w:vAlign w:val="bottom"/>
            <w:shd w:val="clear" w:color="auto" w:fill="B6EAFC"/>
          </w:tcPr>
          <w:p>
            <w:pPr>
              <w:spacing w:after="0"/>
              <w:rPr>
                <w:sz w:val="19"/>
                <w:szCs w:val="19"/>
                <w:color w:val="auto"/>
              </w:rPr>
            </w:pPr>
          </w:p>
        </w:tc>
        <w:tc>
          <w:tcPr>
            <w:tcW w:w="1260" w:type="dxa"/>
            <w:vAlign w:val="bottom"/>
            <w:gridSpan w:val="2"/>
            <w:shd w:val="clear" w:color="auto" w:fill="B6EAFC"/>
          </w:tcPr>
          <w:p>
            <w:pPr>
              <w:jc w:val="right"/>
              <w:ind w:right="100"/>
              <w:spacing w:after="0"/>
              <w:rPr>
                <w:sz w:val="20"/>
                <w:szCs w:val="20"/>
                <w:color w:val="auto"/>
              </w:rPr>
            </w:pPr>
            <w:r>
              <w:rPr>
                <w:rFonts w:ascii="Arial" w:cs="Arial" w:eastAsia="Arial" w:hAnsi="Arial"/>
                <w:sz w:val="18"/>
                <w:szCs w:val="18"/>
                <w:color w:val="auto"/>
              </w:rPr>
              <w:t>3%</w:t>
            </w:r>
          </w:p>
        </w:tc>
        <w:tc>
          <w:tcPr>
            <w:tcW w:w="80" w:type="dxa"/>
            <w:vAlign w:val="bottom"/>
            <w:shd w:val="clear" w:color="auto" w:fill="B6EAFC"/>
          </w:tcPr>
          <w:p>
            <w:pPr>
              <w:spacing w:after="0"/>
              <w:rPr>
                <w:sz w:val="19"/>
                <w:szCs w:val="19"/>
                <w:color w:val="auto"/>
              </w:rPr>
            </w:pPr>
          </w:p>
        </w:tc>
        <w:tc>
          <w:tcPr>
            <w:tcW w:w="280" w:type="dxa"/>
            <w:vAlign w:val="bottom"/>
            <w:shd w:val="clear" w:color="auto" w:fill="B6EAFC"/>
          </w:tcPr>
          <w:p>
            <w:pPr>
              <w:spacing w:after="0"/>
              <w:rPr>
                <w:sz w:val="19"/>
                <w:szCs w:val="19"/>
                <w:color w:val="auto"/>
              </w:rPr>
            </w:pPr>
          </w:p>
        </w:tc>
        <w:tc>
          <w:tcPr>
            <w:tcW w:w="740" w:type="dxa"/>
            <w:vAlign w:val="bottom"/>
            <w:shd w:val="clear" w:color="auto" w:fill="B6EAFC"/>
          </w:tcPr>
          <w:p>
            <w:pPr>
              <w:jc w:val="right"/>
              <w:spacing w:after="0"/>
              <w:rPr>
                <w:sz w:val="20"/>
                <w:szCs w:val="20"/>
                <w:color w:val="auto"/>
              </w:rPr>
            </w:pPr>
            <w:r>
              <w:rPr>
                <w:rFonts w:ascii="Arial" w:cs="Arial" w:eastAsia="Arial" w:hAnsi="Arial"/>
                <w:sz w:val="18"/>
                <w:szCs w:val="18"/>
                <w:color w:val="auto"/>
              </w:rPr>
              <w:t>33</w:t>
            </w:r>
          </w:p>
        </w:tc>
        <w:tc>
          <w:tcPr>
            <w:tcW w:w="260" w:type="dxa"/>
            <w:vAlign w:val="bottom"/>
            <w:shd w:val="clear" w:color="auto" w:fill="B6EAFC"/>
          </w:tcPr>
          <w:p>
            <w:pPr>
              <w:spacing w:after="0"/>
              <w:rPr>
                <w:sz w:val="19"/>
                <w:szCs w:val="19"/>
                <w:color w:val="auto"/>
              </w:rPr>
            </w:pPr>
          </w:p>
        </w:tc>
        <w:tc>
          <w:tcPr>
            <w:tcW w:w="580" w:type="dxa"/>
            <w:vAlign w:val="bottom"/>
            <w:shd w:val="clear" w:color="auto" w:fill="B6EAFC"/>
          </w:tcPr>
          <w:p>
            <w:pPr>
              <w:spacing w:after="0"/>
              <w:rPr>
                <w:sz w:val="19"/>
                <w:szCs w:val="19"/>
                <w:color w:val="auto"/>
              </w:rPr>
            </w:pPr>
          </w:p>
        </w:tc>
        <w:tc>
          <w:tcPr>
            <w:tcW w:w="600" w:type="dxa"/>
            <w:vAlign w:val="bottom"/>
            <w:gridSpan w:val="2"/>
            <w:shd w:val="clear" w:color="auto" w:fill="B6EAFC"/>
          </w:tcPr>
          <w:p>
            <w:pPr>
              <w:jc w:val="right"/>
              <w:ind w:right="20"/>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30"/>
        </w:trPr>
        <w:tc>
          <w:tcPr>
            <w:tcW w:w="3240" w:type="dxa"/>
            <w:vAlign w:val="bottom"/>
          </w:tcPr>
          <w:p>
            <w:pPr>
              <w:spacing w:after="0"/>
              <w:rPr>
                <w:sz w:val="20"/>
                <w:szCs w:val="20"/>
                <w:color w:val="auto"/>
              </w:rPr>
            </w:pPr>
            <w:r>
              <w:rPr>
                <w:rFonts w:ascii="Arial" w:cs="Arial" w:eastAsia="Arial" w:hAnsi="Arial"/>
                <w:sz w:val="18"/>
                <w:szCs w:val="18"/>
                <w:color w:val="auto"/>
              </w:rPr>
              <w:t>Other</w:t>
            </w:r>
          </w:p>
        </w:tc>
        <w:tc>
          <w:tcPr>
            <w:tcW w:w="1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1,406</w:t>
            </w:r>
          </w:p>
        </w:tc>
        <w:tc>
          <w:tcPr>
            <w:tcW w:w="260" w:type="dxa"/>
            <w:vAlign w:val="bottom"/>
          </w:tcPr>
          <w:p>
            <w:pPr>
              <w:spacing w:after="0"/>
              <w:rPr>
                <w:sz w:val="19"/>
                <w:szCs w:val="19"/>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14%</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359</w:t>
            </w:r>
          </w:p>
        </w:tc>
        <w:tc>
          <w:tcPr>
            <w:tcW w:w="260" w:type="dxa"/>
            <w:vAlign w:val="bottom"/>
          </w:tcPr>
          <w:p>
            <w:pPr>
              <w:spacing w:after="0"/>
              <w:rPr>
                <w:sz w:val="19"/>
                <w:szCs w:val="19"/>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4%</w:t>
            </w: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1,047</w:t>
            </w:r>
          </w:p>
        </w:tc>
        <w:tc>
          <w:tcPr>
            <w:tcW w:w="2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600" w:type="dxa"/>
            <w:vAlign w:val="bottom"/>
            <w:gridSpan w:val="2"/>
          </w:tcPr>
          <w:p>
            <w:pPr>
              <w:jc w:val="right"/>
              <w:ind w:right="20"/>
              <w:spacing w:after="0"/>
              <w:rPr>
                <w:sz w:val="20"/>
                <w:szCs w:val="20"/>
                <w:color w:val="auto"/>
              </w:rPr>
            </w:pPr>
            <w:r>
              <w:rPr>
                <w:rFonts w:ascii="Arial" w:cs="Arial" w:eastAsia="Arial" w:hAnsi="Arial"/>
                <w:sz w:val="18"/>
                <w:szCs w:val="18"/>
                <w:color w:val="auto"/>
              </w:rPr>
              <w:t>292%</w:t>
            </w:r>
          </w:p>
        </w:tc>
        <w:tc>
          <w:tcPr>
            <w:tcW w:w="0" w:type="dxa"/>
            <w:vAlign w:val="bottom"/>
          </w:tcPr>
          <w:p>
            <w:pPr>
              <w:spacing w:after="0"/>
              <w:rPr>
                <w:sz w:val="1"/>
                <w:szCs w:val="1"/>
                <w:color w:val="auto"/>
              </w:rPr>
            </w:pPr>
          </w:p>
        </w:tc>
      </w:tr>
      <w:tr>
        <w:trPr>
          <w:trHeight w:val="20"/>
        </w:trPr>
        <w:tc>
          <w:tcPr>
            <w:tcW w:w="3240" w:type="dxa"/>
            <w:vAlign w:val="bottom"/>
            <w:vMerge w:val="restart"/>
            <w:shd w:val="clear" w:color="auto" w:fill="B6EAFC"/>
          </w:tcPr>
          <w:p>
            <w:pPr>
              <w:spacing w:after="0"/>
              <w:rPr>
                <w:sz w:val="20"/>
                <w:szCs w:val="20"/>
                <w:color w:val="auto"/>
              </w:rPr>
            </w:pPr>
            <w:r>
              <w:rPr>
                <w:rFonts w:ascii="Arial" w:cs="Arial" w:eastAsia="Arial" w:hAnsi="Arial"/>
                <w:sz w:val="18"/>
                <w:szCs w:val="18"/>
                <w:color w:val="auto"/>
              </w:rPr>
              <w:t>Total</w:t>
            </w:r>
          </w:p>
        </w:tc>
        <w:tc>
          <w:tcPr>
            <w:tcW w:w="12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60" w:type="dxa"/>
            <w:vAlign w:val="bottom"/>
            <w:shd w:val="clear" w:color="auto" w:fill="B6EAFC"/>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40" w:type="dxa"/>
            <w:vAlign w:val="bottom"/>
            <w:shd w:val="clear" w:color="auto" w:fill="B6EAFC"/>
          </w:tcPr>
          <w:p>
            <w:pPr>
              <w:spacing w:after="0" w:line="20" w:lineRule="exact"/>
              <w:rPr>
                <w:sz w:val="1"/>
                <w:szCs w:val="1"/>
                <w:color w:val="auto"/>
              </w:rPr>
            </w:pPr>
          </w:p>
        </w:tc>
        <w:tc>
          <w:tcPr>
            <w:tcW w:w="80" w:type="dxa"/>
            <w:vAlign w:val="bottom"/>
            <w:vMerge w:val="restart"/>
            <w:shd w:val="clear" w:color="auto" w:fill="B6EA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60" w:type="dxa"/>
            <w:vAlign w:val="bottom"/>
            <w:shd w:val="clear" w:color="auto" w:fill="B6EAFC"/>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40" w:type="dxa"/>
            <w:vAlign w:val="bottom"/>
            <w:shd w:val="clear" w:color="auto" w:fill="B6EAFC"/>
          </w:tcPr>
          <w:p>
            <w:pPr>
              <w:spacing w:after="0" w:line="20" w:lineRule="exact"/>
              <w:rPr>
                <w:sz w:val="1"/>
                <w:szCs w:val="1"/>
                <w:color w:val="auto"/>
              </w:rPr>
            </w:pPr>
          </w:p>
        </w:tc>
        <w:tc>
          <w:tcPr>
            <w:tcW w:w="80" w:type="dxa"/>
            <w:vAlign w:val="bottom"/>
            <w:vMerge w:val="restart"/>
            <w:shd w:val="clear" w:color="auto" w:fill="B6EAFC"/>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60" w:type="dxa"/>
            <w:vAlign w:val="bottom"/>
            <w:shd w:val="clear" w:color="auto" w:fill="B6EAFC"/>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80" w:type="dxa"/>
            <w:vAlign w:val="bottom"/>
            <w:shd w:val="clear" w:color="auto" w:fill="B6EA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3240" w:type="dxa"/>
            <w:vAlign w:val="bottom"/>
            <w:vMerge w:val="continue"/>
            <w:shd w:val="clear" w:color="auto" w:fill="B6EAFC"/>
          </w:tcPr>
          <w:p>
            <w:pPr>
              <w:spacing w:after="0"/>
              <w:rPr>
                <w:sz w:val="19"/>
                <w:szCs w:val="19"/>
                <w:color w:val="auto"/>
              </w:rPr>
            </w:pPr>
          </w:p>
        </w:tc>
        <w:tc>
          <w:tcPr>
            <w:tcW w:w="120" w:type="dxa"/>
            <w:vAlign w:val="bottom"/>
            <w:shd w:val="clear" w:color="auto" w:fill="B6EAFC"/>
          </w:tcPr>
          <w:p>
            <w:pPr>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B6EAFC"/>
          </w:tcPr>
          <w:p>
            <w:pPr>
              <w:jc w:val="right"/>
              <w:spacing w:after="0"/>
              <w:rPr>
                <w:sz w:val="20"/>
                <w:szCs w:val="20"/>
                <w:color w:val="auto"/>
              </w:rPr>
            </w:pPr>
            <w:r>
              <w:rPr>
                <w:rFonts w:ascii="Arial" w:cs="Arial" w:eastAsia="Arial" w:hAnsi="Arial"/>
                <w:sz w:val="18"/>
                <w:szCs w:val="18"/>
                <w:color w:val="auto"/>
              </w:rPr>
              <w:t>9,941</w:t>
            </w:r>
          </w:p>
        </w:tc>
        <w:tc>
          <w:tcPr>
            <w:tcW w:w="260" w:type="dxa"/>
            <w:vAlign w:val="bottom"/>
            <w:shd w:val="clear" w:color="auto" w:fill="B6EAFC"/>
          </w:tcPr>
          <w:p>
            <w:pPr>
              <w:spacing w:after="0"/>
              <w:rPr>
                <w:sz w:val="19"/>
                <w:szCs w:val="19"/>
                <w:color w:val="auto"/>
              </w:rPr>
            </w:pPr>
          </w:p>
        </w:tc>
        <w:tc>
          <w:tcPr>
            <w:tcW w:w="1260" w:type="dxa"/>
            <w:vAlign w:val="bottom"/>
            <w:gridSpan w:val="2"/>
            <w:shd w:val="clear" w:color="auto" w:fill="B6EAFC"/>
          </w:tcPr>
          <w:p>
            <w:pPr>
              <w:jc w:val="right"/>
              <w:ind w:right="100"/>
              <w:spacing w:after="0"/>
              <w:rPr>
                <w:sz w:val="20"/>
                <w:szCs w:val="20"/>
                <w:color w:val="auto"/>
              </w:rPr>
            </w:pPr>
            <w:r>
              <w:rPr>
                <w:rFonts w:ascii="Arial" w:cs="Arial" w:eastAsia="Arial" w:hAnsi="Arial"/>
                <w:sz w:val="18"/>
                <w:szCs w:val="18"/>
                <w:color w:val="auto"/>
              </w:rPr>
              <w:t>100%</w:t>
            </w:r>
          </w:p>
        </w:tc>
        <w:tc>
          <w:tcPr>
            <w:tcW w:w="80" w:type="dxa"/>
            <w:vAlign w:val="bottom"/>
            <w:vMerge w:val="continue"/>
            <w:shd w:val="clear" w:color="auto" w:fill="B6EAFC"/>
          </w:tcPr>
          <w:p>
            <w:pPr>
              <w:spacing w:after="0"/>
              <w:rPr>
                <w:sz w:val="19"/>
                <w:szCs w:val="19"/>
                <w:color w:val="auto"/>
              </w:rPr>
            </w:pPr>
          </w:p>
        </w:tc>
        <w:tc>
          <w:tcPr>
            <w:tcW w:w="120" w:type="dxa"/>
            <w:vAlign w:val="bottom"/>
            <w:shd w:val="clear" w:color="auto" w:fill="B6EAFC"/>
          </w:tcPr>
          <w:p>
            <w:pPr>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B6EAFC"/>
          </w:tcPr>
          <w:p>
            <w:pPr>
              <w:jc w:val="right"/>
              <w:spacing w:after="0"/>
              <w:rPr>
                <w:sz w:val="20"/>
                <w:szCs w:val="20"/>
                <w:color w:val="auto"/>
              </w:rPr>
            </w:pPr>
            <w:r>
              <w:rPr>
                <w:rFonts w:ascii="Arial" w:cs="Arial" w:eastAsia="Arial" w:hAnsi="Arial"/>
                <w:sz w:val="18"/>
                <w:szCs w:val="18"/>
                <w:color w:val="auto"/>
              </w:rPr>
              <w:t>7,931</w:t>
            </w:r>
          </w:p>
        </w:tc>
        <w:tc>
          <w:tcPr>
            <w:tcW w:w="260" w:type="dxa"/>
            <w:vAlign w:val="bottom"/>
            <w:shd w:val="clear" w:color="auto" w:fill="B6EAFC"/>
          </w:tcPr>
          <w:p>
            <w:pPr>
              <w:spacing w:after="0"/>
              <w:rPr>
                <w:sz w:val="19"/>
                <w:szCs w:val="19"/>
                <w:color w:val="auto"/>
              </w:rPr>
            </w:pPr>
          </w:p>
        </w:tc>
        <w:tc>
          <w:tcPr>
            <w:tcW w:w="1260" w:type="dxa"/>
            <w:vAlign w:val="bottom"/>
            <w:gridSpan w:val="2"/>
            <w:shd w:val="clear" w:color="auto" w:fill="B6EAFC"/>
          </w:tcPr>
          <w:p>
            <w:pPr>
              <w:jc w:val="right"/>
              <w:ind w:right="100"/>
              <w:spacing w:after="0"/>
              <w:rPr>
                <w:sz w:val="20"/>
                <w:szCs w:val="20"/>
                <w:color w:val="auto"/>
              </w:rPr>
            </w:pPr>
            <w:r>
              <w:rPr>
                <w:rFonts w:ascii="Arial" w:cs="Arial" w:eastAsia="Arial" w:hAnsi="Arial"/>
                <w:sz w:val="18"/>
                <w:szCs w:val="18"/>
                <w:color w:val="auto"/>
              </w:rPr>
              <w:t>100%</w:t>
            </w:r>
          </w:p>
        </w:tc>
        <w:tc>
          <w:tcPr>
            <w:tcW w:w="80" w:type="dxa"/>
            <w:vAlign w:val="bottom"/>
            <w:vMerge w:val="continue"/>
            <w:shd w:val="clear" w:color="auto" w:fill="B6EAFC"/>
          </w:tcPr>
          <w:p>
            <w:pPr>
              <w:spacing w:after="0"/>
              <w:rPr>
                <w:sz w:val="19"/>
                <w:szCs w:val="19"/>
                <w:color w:val="auto"/>
              </w:rPr>
            </w:pPr>
          </w:p>
        </w:tc>
        <w:tc>
          <w:tcPr>
            <w:tcW w:w="280" w:type="dxa"/>
            <w:vAlign w:val="bottom"/>
            <w:shd w:val="clear" w:color="auto" w:fill="B6EAFC"/>
          </w:tcPr>
          <w:p>
            <w:pPr>
              <w:jc w:val="right"/>
              <w:ind w:right="90"/>
              <w:spacing w:after="0"/>
              <w:rPr>
                <w:sz w:val="20"/>
                <w:szCs w:val="20"/>
                <w:color w:val="auto"/>
              </w:rPr>
            </w:pPr>
            <w:r>
              <w:rPr>
                <w:rFonts w:ascii="Arial" w:cs="Arial" w:eastAsia="Arial" w:hAnsi="Arial"/>
                <w:sz w:val="18"/>
                <w:szCs w:val="18"/>
                <w:color w:val="auto"/>
                <w:w w:val="79"/>
              </w:rPr>
              <w:t>$</w:t>
            </w:r>
          </w:p>
        </w:tc>
        <w:tc>
          <w:tcPr>
            <w:tcW w:w="740" w:type="dxa"/>
            <w:vAlign w:val="bottom"/>
            <w:shd w:val="clear" w:color="auto" w:fill="B6EAFC"/>
          </w:tcPr>
          <w:p>
            <w:pPr>
              <w:jc w:val="right"/>
              <w:spacing w:after="0"/>
              <w:rPr>
                <w:sz w:val="20"/>
                <w:szCs w:val="20"/>
                <w:color w:val="auto"/>
              </w:rPr>
            </w:pPr>
            <w:r>
              <w:rPr>
                <w:rFonts w:ascii="Arial" w:cs="Arial" w:eastAsia="Arial" w:hAnsi="Arial"/>
                <w:sz w:val="18"/>
                <w:szCs w:val="18"/>
                <w:color w:val="auto"/>
              </w:rPr>
              <w:t>2,010</w:t>
            </w:r>
          </w:p>
        </w:tc>
        <w:tc>
          <w:tcPr>
            <w:tcW w:w="260" w:type="dxa"/>
            <w:vAlign w:val="bottom"/>
            <w:shd w:val="clear" w:color="auto" w:fill="B6EAFC"/>
          </w:tcPr>
          <w:p>
            <w:pPr>
              <w:spacing w:after="0"/>
              <w:rPr>
                <w:sz w:val="19"/>
                <w:szCs w:val="19"/>
                <w:color w:val="auto"/>
              </w:rPr>
            </w:pPr>
          </w:p>
        </w:tc>
        <w:tc>
          <w:tcPr>
            <w:tcW w:w="580" w:type="dxa"/>
            <w:vAlign w:val="bottom"/>
            <w:shd w:val="clear" w:color="auto" w:fill="B6EAFC"/>
          </w:tcPr>
          <w:p>
            <w:pPr>
              <w:spacing w:after="0"/>
              <w:rPr>
                <w:sz w:val="19"/>
                <w:szCs w:val="19"/>
                <w:color w:val="auto"/>
              </w:rPr>
            </w:pPr>
          </w:p>
        </w:tc>
        <w:tc>
          <w:tcPr>
            <w:tcW w:w="600" w:type="dxa"/>
            <w:vAlign w:val="bottom"/>
            <w:gridSpan w:val="2"/>
            <w:shd w:val="clear" w:color="auto" w:fill="B6EAFC"/>
          </w:tcPr>
          <w:p>
            <w:pPr>
              <w:jc w:val="right"/>
              <w:ind w:right="20"/>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0"/>
        </w:trPr>
        <w:tc>
          <w:tcPr>
            <w:tcW w:w="32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ind w:right="200" w:firstLine="518"/>
        <w:spacing w:after="0" w:line="259" w:lineRule="auto"/>
        <w:rPr>
          <w:sz w:val="20"/>
          <w:szCs w:val="20"/>
          <w:color w:val="auto"/>
        </w:rPr>
      </w:pPr>
      <w:r>
        <w:rPr>
          <w:rFonts w:ascii="Arial" w:cs="Arial" w:eastAsia="Arial" w:hAnsi="Arial"/>
          <w:sz w:val="18"/>
          <w:szCs w:val="18"/>
          <w:color w:val="auto"/>
        </w:rPr>
        <w:t>Professional/outside services include legal, accounting, consulting and other outside services retained by the Company. All periods include normally recurring legal and audit expenses related to SEC compliance and other corporate matters. Professional/outside services expense increased $212,000 from $3,989,000 during the year ended September 30, 2015 to $4,201,000 during the year ended September 30, 2016. The increase in professional fees primarily related to higher legal fees related to previous litigation events.</w:t>
      </w:r>
    </w:p>
    <w:p>
      <w:pPr>
        <w:spacing w:after="0" w:line="187" w:lineRule="exact"/>
        <w:rPr>
          <w:sz w:val="20"/>
          <w:szCs w:val="20"/>
          <w:color w:val="auto"/>
        </w:rPr>
      </w:pPr>
    </w:p>
    <w:p>
      <w:pPr>
        <w:ind w:right="140" w:firstLine="518"/>
        <w:spacing w:after="0" w:line="297" w:lineRule="auto"/>
        <w:rPr>
          <w:sz w:val="20"/>
          <w:szCs w:val="20"/>
          <w:color w:val="auto"/>
        </w:rPr>
      </w:pPr>
      <w:r>
        <w:rPr>
          <w:rFonts w:ascii="Arial" w:cs="Arial" w:eastAsia="Arial" w:hAnsi="Arial"/>
          <w:sz w:val="16"/>
          <w:szCs w:val="16"/>
          <w:color w:val="auto"/>
        </w:rPr>
        <w:t>Patent expense increased $579,000 from $950,000 during the year ended September 30, 2015 to $1,529,000 during the year ended September 30, 2016. Patent expense costs increased due to additional prosecution requirements associated with new patents acquired through the Novartis asset acquisition. The Company continues to invest in patent protection for its product candidates and other RNAi technology through patent filings in numerous countries. The Company expects to extend and maintain protection for its current portfolios, as appropriate, and file new patent applications as technologies are developed and improved. Expenses can vary from period to period as patents proceed through their prosecution life cycle.</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449" w:right="239" w:bottom="1440" w:gutter="0" w:footer="0" w:header="0"/>
        </w:sectPr>
      </w:pPr>
    </w:p>
    <w:bookmarkStart w:id="51" w:name="page52"/>
    <w:bookmarkEnd w:id="51"/>
    <w:p>
      <w:pPr>
        <w:ind w:right="580" w:firstLine="518"/>
        <w:spacing w:after="0" w:line="308" w:lineRule="auto"/>
        <w:rPr>
          <w:sz w:val="20"/>
          <w:szCs w:val="20"/>
          <w:color w:val="auto"/>
        </w:rPr>
      </w:pPr>
      <w:r>
        <w:rPr>
          <w:rFonts w:ascii="Arial" w:cs="Arial" w:eastAsia="Arial" w:hAnsi="Arial"/>
          <w:sz w:val="17"/>
          <w:szCs w:val="17"/>
          <w:color w:val="auto"/>
        </w:rPr>
        <w:t>Facilities-related expense was consistent at $308,000 during the year ended September 30, 2015 and $320,000 in the year ended September 30, 2016. Facilities expense represents the expense associated with our corporate headquarters in Pasadena, California.</w:t>
      </w:r>
    </w:p>
    <w:p>
      <w:pPr>
        <w:spacing w:after="0" w:line="147" w:lineRule="exact"/>
        <w:rPr>
          <w:sz w:val="20"/>
          <w:szCs w:val="20"/>
          <w:color w:val="auto"/>
        </w:rPr>
      </w:pPr>
    </w:p>
    <w:p>
      <w:pPr>
        <w:ind w:firstLine="518"/>
        <w:spacing w:after="0" w:line="264" w:lineRule="auto"/>
        <w:rPr>
          <w:sz w:val="20"/>
          <w:szCs w:val="20"/>
          <w:color w:val="auto"/>
        </w:rPr>
      </w:pPr>
      <w:r>
        <w:rPr>
          <w:rFonts w:ascii="Arial" w:cs="Arial" w:eastAsia="Arial" w:hAnsi="Arial"/>
          <w:sz w:val="18"/>
          <w:szCs w:val="18"/>
          <w:color w:val="auto"/>
        </w:rPr>
        <w:t>Travel expense was consistent at $841,000 during the year ended September 30, 2015 and $864,000 during the year ended September 30, 2016. Travel expense is incurred to support our R&amp;D function, primarily our GMP manufacturing campaign and our clinical trials, as well as other corporate and business development related travel.</w:t>
      </w:r>
    </w:p>
    <w:p>
      <w:pPr>
        <w:spacing w:after="0" w:line="181" w:lineRule="exact"/>
        <w:rPr>
          <w:sz w:val="20"/>
          <w:szCs w:val="20"/>
          <w:color w:val="auto"/>
        </w:rPr>
      </w:pPr>
    </w:p>
    <w:p>
      <w:pPr>
        <w:ind w:right="40" w:firstLine="518"/>
        <w:spacing w:after="0" w:line="264" w:lineRule="auto"/>
        <w:rPr>
          <w:sz w:val="20"/>
          <w:szCs w:val="20"/>
          <w:color w:val="auto"/>
        </w:rPr>
      </w:pPr>
      <w:r>
        <w:rPr>
          <w:rFonts w:ascii="Arial" w:cs="Arial" w:eastAsia="Arial" w:hAnsi="Arial"/>
          <w:sz w:val="18"/>
          <w:szCs w:val="18"/>
          <w:color w:val="auto"/>
        </w:rPr>
        <w:t>Business insurance expense increased $109,000 from $523,000 during the year ended September 30, 2015 to $632,000 during the year ended September 30, 2016. Business insurance costs increased primarily due to added coverage related to the Company’s clinical trials, as well as increases in other corporate liability insurance.</w:t>
      </w:r>
    </w:p>
    <w:p>
      <w:pPr>
        <w:spacing w:after="0" w:line="181" w:lineRule="exact"/>
        <w:rPr>
          <w:sz w:val="20"/>
          <w:szCs w:val="20"/>
          <w:color w:val="auto"/>
        </w:rPr>
      </w:pPr>
    </w:p>
    <w:p>
      <w:pPr>
        <w:ind w:right="240" w:firstLine="518"/>
        <w:spacing w:after="0" w:line="277" w:lineRule="auto"/>
        <w:rPr>
          <w:sz w:val="20"/>
          <w:szCs w:val="20"/>
          <w:color w:val="auto"/>
        </w:rPr>
      </w:pPr>
      <w:r>
        <w:rPr>
          <w:rFonts w:ascii="Arial" w:cs="Arial" w:eastAsia="Arial" w:hAnsi="Arial"/>
          <w:sz w:val="18"/>
          <w:szCs w:val="18"/>
          <w:color w:val="auto"/>
        </w:rPr>
        <w:t>Communication and technology expense was consistent at $691,000 during the year ended September 30, 2015 and $686,000 during the year ended September 30, 2016. This category covers IT equipment and services for our personnel.</w:t>
      </w:r>
    </w:p>
    <w:p>
      <w:pPr>
        <w:spacing w:after="0" w:line="170" w:lineRule="exact"/>
        <w:rPr>
          <w:sz w:val="20"/>
          <w:szCs w:val="20"/>
          <w:color w:val="auto"/>
        </w:rPr>
      </w:pPr>
    </w:p>
    <w:p>
      <w:pPr>
        <w:ind w:right="160" w:firstLine="518"/>
        <w:spacing w:after="0" w:line="259" w:lineRule="auto"/>
        <w:rPr>
          <w:sz w:val="20"/>
          <w:szCs w:val="20"/>
          <w:color w:val="auto"/>
        </w:rPr>
      </w:pPr>
      <w:r>
        <w:rPr>
          <w:rFonts w:ascii="Arial" w:cs="Arial" w:eastAsia="Arial" w:hAnsi="Arial"/>
          <w:sz w:val="18"/>
          <w:szCs w:val="18"/>
          <w:color w:val="auto"/>
        </w:rPr>
        <w:t>Office expense increased $33,000 from $270,000 during the year ended September 30, 2015 to $303,000 during the year ended September 30, 2016. These expenses relate to conferences/training, office supplies, miscellaneous administrative expenses, and expenses related to office expansions at our R&amp;D facility in Madison, Wisconsin and our corporate headquarters in Pasadena, California. Conference trainings and seminar expenses were increased in the current period.</w:t>
      </w:r>
    </w:p>
    <w:p>
      <w:pPr>
        <w:spacing w:after="0" w:line="187" w:lineRule="exact"/>
        <w:rPr>
          <w:sz w:val="20"/>
          <w:szCs w:val="20"/>
          <w:color w:val="auto"/>
        </w:rPr>
      </w:pPr>
    </w:p>
    <w:p>
      <w:pPr>
        <w:ind w:right="80" w:firstLine="518"/>
        <w:spacing w:after="0" w:line="259" w:lineRule="auto"/>
        <w:rPr>
          <w:sz w:val="20"/>
          <w:szCs w:val="20"/>
          <w:color w:val="auto"/>
        </w:rPr>
      </w:pPr>
      <w:r>
        <w:rPr>
          <w:rFonts w:ascii="Arial" w:cs="Arial" w:eastAsia="Arial" w:hAnsi="Arial"/>
          <w:sz w:val="18"/>
          <w:szCs w:val="18"/>
          <w:color w:val="auto"/>
        </w:rPr>
        <w:t xml:space="preserve">Other expense increased $1,047,000 from $359,000 during the year ended September 30, 2015 to $1,406,000 during the year ended September 30, 2016. The increase in the current period pertains to litigation as discussed in Note 7 </w:t>
      </w:r>
      <w:r>
        <w:rPr>
          <w:rFonts w:ascii="Arial" w:cs="Arial" w:eastAsia="Arial" w:hAnsi="Arial"/>
          <w:sz w:val="18"/>
          <w:szCs w:val="18"/>
          <w:i w:val="1"/>
          <w:iCs w:val="1"/>
          <w:color w:val="auto"/>
        </w:rPr>
        <w:t>– Commitments and Contingencies o</w:t>
      </w:r>
      <w:r>
        <w:rPr>
          <w:rFonts w:ascii="Arial" w:cs="Arial" w:eastAsia="Arial" w:hAnsi="Arial"/>
          <w:sz w:val="18"/>
          <w:szCs w:val="18"/>
          <w:color w:val="auto"/>
        </w:rPr>
        <w:t xml:space="preserve">f Notes to Consolidated Financial Statements of Part IV, Item 15. </w:t>
      </w:r>
      <w:r>
        <w:rPr>
          <w:rFonts w:ascii="Arial" w:cs="Arial" w:eastAsia="Arial" w:hAnsi="Arial"/>
          <w:sz w:val="18"/>
          <w:szCs w:val="18"/>
          <w:i w:val="1"/>
          <w:iCs w:val="1"/>
          <w:color w:val="auto"/>
        </w:rPr>
        <w:t>Exhibits and Financial Statement Schedules</w:t>
      </w:r>
      <w:r>
        <w:rPr>
          <w:rFonts w:ascii="Arial" w:cs="Arial" w:eastAsia="Arial" w:hAnsi="Arial"/>
          <w:sz w:val="18"/>
          <w:szCs w:val="18"/>
          <w:color w:val="auto"/>
        </w:rPr>
        <w:t>. This category also consists primarily of franchise and property tax expenses and marketing.</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Acquired in-process research and development – Novartis pre-clinical candidates</w:t>
      </w:r>
    </w:p>
    <w:p>
      <w:pPr>
        <w:spacing w:after="0" w:line="117" w:lineRule="exact"/>
        <w:rPr>
          <w:sz w:val="20"/>
          <w:szCs w:val="20"/>
          <w:color w:val="auto"/>
        </w:rPr>
      </w:pPr>
    </w:p>
    <w:p>
      <w:pPr>
        <w:jc w:val="both"/>
        <w:ind w:right="260" w:firstLine="588"/>
        <w:spacing w:after="0" w:line="312" w:lineRule="auto"/>
        <w:rPr>
          <w:sz w:val="20"/>
          <w:szCs w:val="20"/>
          <w:color w:val="auto"/>
        </w:rPr>
      </w:pPr>
      <w:r>
        <w:rPr>
          <w:rFonts w:ascii="Arial" w:cs="Arial" w:eastAsia="Arial" w:hAnsi="Arial"/>
          <w:sz w:val="16"/>
          <w:szCs w:val="16"/>
          <w:color w:val="auto"/>
        </w:rPr>
        <w:t>Acquired in-process research and development expense related to the Novartis pre-clinical candidates was $10,142,786 for fiscal year 2015 and $0 for the year ended September 30, 2016. This expense pertains to the acquisition of the Novartis RNAi assets. The value of the purchase price allocated to certain preclinical candidates was expensed during the period, while certain patents and a third-party license were capitalized as intangible assets.</w:t>
      </w:r>
    </w:p>
    <w:p>
      <w:pPr>
        <w:spacing w:after="0" w:line="255"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Stock-based compensation expense</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7"/>
          <w:szCs w:val="17"/>
          <w:color w:val="auto"/>
        </w:rPr>
        <w:t>Stock-based compensation expense, a noncash expense, increased $1,362,919 from $10,232,897 during the year ended September 30, 2015 to</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$11,595,816 during the year ended September 30, 2016. Stock-based compensation expense is based upon the valuation of stock options and restricted stock</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units granted to employees, directors, and certain consultants. Many variables affect the amount expensed, including the Company’s stock price on the date of</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the grant, as well as other assumptions. The increase in the current period was primarily due to certain performance based awards that were deemed probable</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of achievement during the period.</w:t>
      </w:r>
    </w:p>
    <w:p>
      <w:pPr>
        <w:spacing w:after="0" w:line="31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Depreciation and amortization expense</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7"/>
          <w:szCs w:val="17"/>
          <w:color w:val="auto"/>
        </w:rPr>
        <w:t>Depreciation and amortization expense, a noncash expense, increased $923,838 from $2,336,207 during the year ended September 30, 2015 to</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$3,260,045 during the year ended September 30, 2016. The majority of depreciation and amortization expense relates to depreciation on lab equipment. In</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addition, the Company records depreciation on leasehold improvements at its Madison, Wisconsin research facility and its Pasadena, California corporate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headquarters. The increase in depreciation and amortization expense is primarily due to the amortization of the intangible assets acquired in the Novartis</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RNAi asset acquisition.</w:t>
      </w:r>
    </w:p>
    <w:p>
      <w:pPr>
        <w:spacing w:after="0" w:line="319"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Impairment expense</w:t>
      </w:r>
    </w:p>
    <w:p>
      <w:pPr>
        <w:spacing w:after="0" w:line="117" w:lineRule="exact"/>
        <w:rPr>
          <w:sz w:val="20"/>
          <w:szCs w:val="20"/>
          <w:color w:val="auto"/>
        </w:rPr>
      </w:pPr>
    </w:p>
    <w:p>
      <w:pPr>
        <w:ind w:left="600"/>
        <w:spacing w:after="0"/>
        <w:rPr>
          <w:sz w:val="20"/>
          <w:szCs w:val="20"/>
          <w:color w:val="auto"/>
        </w:rPr>
      </w:pPr>
      <w:r>
        <w:rPr>
          <w:rFonts w:ascii="Arial" w:cs="Arial" w:eastAsia="Arial" w:hAnsi="Arial"/>
          <w:sz w:val="17"/>
          <w:szCs w:val="17"/>
          <w:color w:val="auto"/>
        </w:rPr>
        <w:t>Impairment expense, a noncash expense, was $2,050,817 in the year ended September 30, 2016 and $0 during the year ended September 30,</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2015. During the year ended September 30, 2016, the Company recognized an impairment expense of $1.1 million related to leasehold improvements at its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previous research facility in Madison, Wisconsin. This amount represented the entire net book value remaining for the leasehold improvements associated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with the previous facility, and was recognized during the year ended September 30, 2016 as the Company moved into a larger research facility. During the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year ended September 30, 2016, the Company also recognized a $0.9 million impairment expense related to acquired in-process research and development</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assets that were acquired in the acquisition of the Roche RNAi business. In November 2016, the Company announced the discontinuation of its clinical trial</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efforts for ARC-520, ARC-AAT and ARC-521. Given this development, the Company assessed the fair value of this indefinite-lived intangible asset to be $0</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at September 30, 2016.</w:t>
      </w:r>
    </w:p>
    <w:p>
      <w:pPr>
        <w:spacing w:after="0" w:line="319"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Contingent Consideration – Fair Value Adjustments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52" w:name="page53"/>
    <w:bookmarkEnd w:id="52"/>
    <w:p>
      <w:pPr>
        <w:ind w:left="600"/>
        <w:spacing w:after="0"/>
        <w:rPr>
          <w:sz w:val="20"/>
          <w:szCs w:val="20"/>
          <w:color w:val="auto"/>
        </w:rPr>
      </w:pPr>
      <w:r>
        <w:rPr>
          <w:rFonts w:ascii="Arial" w:cs="Arial" w:eastAsia="Arial" w:hAnsi="Arial"/>
          <w:sz w:val="17"/>
          <w:szCs w:val="17"/>
          <w:color w:val="auto"/>
        </w:rPr>
        <w:t>Contingent Consideration – Fair Value Adjustments decreased $7,753,997 from $1,891,533 during the year ended September 30, 2015 to</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($5,862,464) during the year ended September 30, 2016. Contingent consideration resulting from the acquisition of Roche’s RNAi business is calculated by</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modeling research and development activities for clinical candidates, forecasting timelines to market, and using “peak sales” estimate modeling, cash flows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and potential milestone and royalty payments. The modeling assumes certain success rates, and discount factors related to riskiness of projects and the time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value of money to calculate a net present value of future consideration payments to Roche. Each reporting period, the Company re-evaluates its contingent</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consideration, and if material, makes adjustments to the recorded liability. In November 2016, the Company announced the discontinuation of its clinical trial</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efforts for ARC-520, ARC-AAT and ARC-521. Given this development, the Company assessed the fair value of its contingent consideration obligation to be</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$0 at September 30, 2016.</w:t>
      </w:r>
    </w:p>
    <w:p>
      <w:pPr>
        <w:spacing w:after="0" w:line="319"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Other Income / Expense</w:t>
      </w:r>
    </w:p>
    <w:p>
      <w:pPr>
        <w:spacing w:after="0" w:line="333" w:lineRule="exact"/>
        <w:rPr>
          <w:sz w:val="20"/>
          <w:szCs w:val="20"/>
          <w:color w:val="auto"/>
        </w:rPr>
      </w:pPr>
    </w:p>
    <w:p>
      <w:pPr>
        <w:ind w:firstLine="259"/>
        <w:spacing w:after="0" w:line="276" w:lineRule="auto"/>
        <w:rPr>
          <w:sz w:val="20"/>
          <w:szCs w:val="20"/>
          <w:color w:val="auto"/>
        </w:rPr>
      </w:pPr>
      <w:r>
        <w:rPr>
          <w:rFonts w:ascii="Arial" w:cs="Arial" w:eastAsia="Arial" w:hAnsi="Arial"/>
          <w:sz w:val="17"/>
          <w:szCs w:val="17"/>
          <w:color w:val="auto"/>
        </w:rPr>
        <w:t>Other income / expense was income of $4,035,494 during the year ended September 30, 2015 as compared to income of $22,124 during the year ended September 30, 2016. The largest component of other income / expense is related to the change in the value of derivative liabilities related to certain warrants with a price adjustment feature, which requires derivative accounting. The change in value of derivative liabilities was a reduction of approximately $2.9 million in 2015 and an increase of approximately $0.3 million in the year ended September 30, 2016. The fluctuations in each period were primarily driven by changes in the Company’s stock price, which had a corresponding impact to the valuation of the underlying warrant liability.</w:t>
      </w:r>
    </w:p>
    <w:p>
      <w:pPr>
        <w:spacing w:after="0" w:line="2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Cash Resources</w:t>
      </w:r>
    </w:p>
    <w:p>
      <w:pPr>
        <w:spacing w:after="0" w:line="121" w:lineRule="exact"/>
        <w:rPr>
          <w:sz w:val="20"/>
          <w:szCs w:val="20"/>
          <w:color w:val="auto"/>
        </w:rPr>
      </w:pPr>
    </w:p>
    <w:p>
      <w:pPr>
        <w:ind w:right="400" w:firstLine="518"/>
        <w:spacing w:after="0" w:line="264" w:lineRule="auto"/>
        <w:rPr>
          <w:sz w:val="20"/>
          <w:szCs w:val="20"/>
          <w:color w:val="auto"/>
        </w:rPr>
      </w:pPr>
      <w:r>
        <w:rPr>
          <w:rFonts w:ascii="Arial" w:cs="Arial" w:eastAsia="Arial" w:hAnsi="Arial"/>
          <w:sz w:val="18"/>
          <w:szCs w:val="18"/>
          <w:color w:val="auto"/>
        </w:rPr>
        <w:t>Arrowhead has historically financed its operations through the sale of its equity securities. Research and development activities have required significant capital investment since the Company’s inception, and are expected to continue to require significant cash expenditure in fiscal year 2017 and beyond.</w:t>
      </w:r>
    </w:p>
    <w:p>
      <w:pPr>
        <w:spacing w:after="0" w:line="181" w:lineRule="exact"/>
        <w:rPr>
          <w:sz w:val="20"/>
          <w:szCs w:val="20"/>
          <w:color w:val="auto"/>
        </w:rPr>
      </w:pPr>
    </w:p>
    <w:p>
      <w:pPr>
        <w:jc w:val="both"/>
        <w:ind w:right="100" w:firstLine="518"/>
        <w:spacing w:after="0" w:line="264" w:lineRule="auto"/>
        <w:rPr>
          <w:sz w:val="20"/>
          <w:szCs w:val="20"/>
          <w:color w:val="auto"/>
        </w:rPr>
      </w:pPr>
      <w:r>
        <w:rPr>
          <w:rFonts w:ascii="Arial" w:cs="Arial" w:eastAsia="Arial" w:hAnsi="Arial"/>
          <w:sz w:val="18"/>
          <w:szCs w:val="18"/>
          <w:color w:val="auto"/>
        </w:rPr>
        <w:t>At September 30, 2017, the Company had cash on hand of approximately $24.8 million as compared to $85.4 million at September 30, 2016. Excess cash invested in fixed income securities was $40.8 million at September 30, 2017, compared to $0 million at September 30, 2016. The Company believes its current financial resources are sufficient to fund its operations through at least the next twelve months.</w:t>
      </w:r>
    </w:p>
    <w:p>
      <w:pPr>
        <w:spacing w:after="0" w:line="18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A summary of cash flows for the years ended September 30, 2017, 2016, and 2015 is as follows:</w:t>
      </w:r>
    </w:p>
    <w:p>
      <w:pPr>
        <w:spacing w:after="0" w:line="257" w:lineRule="exact"/>
        <w:rPr>
          <w:sz w:val="20"/>
          <w:szCs w:val="20"/>
          <w:color w:val="auto"/>
        </w:rPr>
      </w:pPr>
    </w:p>
    <w:tbl>
      <w:tblPr>
        <w:tblLayout w:type="fixed"/>
        <w:tblInd w:w="580" w:type="dxa"/>
        <w:tblCellMar>
          <w:top w:w="0" w:type="dxa"/>
          <w:left w:w="0" w:type="dxa"/>
          <w:bottom w:w="0" w:type="dxa"/>
          <w:right w:w="0" w:type="dxa"/>
        </w:tblCellMar>
      </w:tblPr>
      <w:tr>
        <w:trPr>
          <w:trHeight w:val="162"/>
        </w:trPr>
        <w:tc>
          <w:tcPr>
            <w:tcW w:w="3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60" w:type="dxa"/>
            <w:vAlign w:val="bottom"/>
            <w:gridSpan w:val="4"/>
          </w:tcPr>
          <w:p>
            <w:pPr>
              <w:jc w:val="right"/>
              <w:ind w:right="320"/>
              <w:spacing w:after="0"/>
              <w:rPr>
                <w:sz w:val="20"/>
                <w:szCs w:val="20"/>
                <w:color w:val="auto"/>
              </w:rPr>
            </w:pPr>
            <w:r>
              <w:rPr>
                <w:rFonts w:ascii="Arial" w:cs="Arial" w:eastAsia="Arial" w:hAnsi="Arial"/>
                <w:sz w:val="14"/>
                <w:szCs w:val="14"/>
                <w:b w:val="1"/>
                <w:bCs w:val="1"/>
                <w:color w:val="auto"/>
                <w:w w:val="98"/>
              </w:rPr>
              <w:t>Year ended September 30,</w:t>
            </w:r>
          </w:p>
        </w:tc>
        <w:tc>
          <w:tcPr>
            <w:tcW w:w="1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71"/>
        </w:trPr>
        <w:tc>
          <w:tcPr>
            <w:tcW w:w="3220" w:type="dxa"/>
            <w:vAlign w:val="bottom"/>
            <w:tcBorders>
              <w:bottom w:val="single" w:sz="8" w:color="CFF0FC"/>
            </w:tcBorders>
          </w:tcPr>
          <w:p>
            <w:pPr>
              <w:spacing w:after="0"/>
              <w:rPr>
                <w:sz w:val="14"/>
                <w:szCs w:val="14"/>
                <w:color w:val="auto"/>
              </w:rPr>
            </w:pPr>
          </w:p>
        </w:tc>
        <w:tc>
          <w:tcPr>
            <w:tcW w:w="1000" w:type="dxa"/>
            <w:vAlign w:val="bottom"/>
            <w:tcBorders>
              <w:bottom w:val="single" w:sz="8" w:color="CFF0FC"/>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1420" w:type="dxa"/>
            <w:vAlign w:val="bottom"/>
            <w:tcBorders>
              <w:bottom w:val="single" w:sz="8" w:color="auto"/>
            </w:tcBorders>
          </w:tcPr>
          <w:p>
            <w:pPr>
              <w:jc w:val="right"/>
              <w:ind w:right="713"/>
              <w:spacing w:after="0"/>
              <w:rPr>
                <w:sz w:val="20"/>
                <w:szCs w:val="20"/>
                <w:color w:val="auto"/>
              </w:rPr>
            </w:pPr>
            <w:r>
              <w:rPr>
                <w:rFonts w:ascii="Arial" w:cs="Arial" w:eastAsia="Arial" w:hAnsi="Arial"/>
                <w:sz w:val="14"/>
                <w:szCs w:val="14"/>
                <w:b w:val="1"/>
                <w:bCs w:val="1"/>
                <w:color w:val="auto"/>
              </w:rPr>
              <w:t>2017</w:t>
            </w:r>
          </w:p>
        </w:tc>
        <w:tc>
          <w:tcPr>
            <w:tcW w:w="180" w:type="dxa"/>
            <w:vAlign w:val="bottom"/>
            <w:tcBorders>
              <w:bottom w:val="single" w:sz="8" w:color="CFF0FC"/>
            </w:tcBorders>
          </w:tcPr>
          <w:p>
            <w:pPr>
              <w:spacing w:after="0"/>
              <w:rPr>
                <w:sz w:val="14"/>
                <w:szCs w:val="14"/>
                <w:color w:val="auto"/>
              </w:rPr>
            </w:pPr>
          </w:p>
        </w:tc>
        <w:tc>
          <w:tcPr>
            <w:tcW w:w="140" w:type="dxa"/>
            <w:vAlign w:val="bottom"/>
            <w:tcBorders>
              <w:bottom w:val="single" w:sz="8" w:color="CFF0FC"/>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1360" w:type="dxa"/>
            <w:vAlign w:val="bottom"/>
            <w:tcBorders>
              <w:bottom w:val="single" w:sz="8" w:color="auto"/>
            </w:tcBorders>
          </w:tcPr>
          <w:p>
            <w:pPr>
              <w:jc w:val="right"/>
              <w:ind w:right="673"/>
              <w:spacing w:after="0"/>
              <w:rPr>
                <w:sz w:val="20"/>
                <w:szCs w:val="20"/>
                <w:color w:val="auto"/>
              </w:rPr>
            </w:pPr>
            <w:r>
              <w:rPr>
                <w:rFonts w:ascii="Arial" w:cs="Arial" w:eastAsia="Arial" w:hAnsi="Arial"/>
                <w:sz w:val="14"/>
                <w:szCs w:val="14"/>
                <w:b w:val="1"/>
                <w:bCs w:val="1"/>
                <w:color w:val="auto"/>
              </w:rPr>
              <w:t>2016</w:t>
            </w:r>
          </w:p>
        </w:tc>
        <w:tc>
          <w:tcPr>
            <w:tcW w:w="160" w:type="dxa"/>
            <w:vAlign w:val="bottom"/>
            <w:tcBorders>
              <w:bottom w:val="single" w:sz="8" w:color="CFF0FC"/>
            </w:tcBorders>
          </w:tcPr>
          <w:p>
            <w:pPr>
              <w:spacing w:after="0"/>
              <w:rPr>
                <w:sz w:val="14"/>
                <w:szCs w:val="14"/>
                <w:color w:val="auto"/>
              </w:rPr>
            </w:pPr>
          </w:p>
        </w:tc>
        <w:tc>
          <w:tcPr>
            <w:tcW w:w="120" w:type="dxa"/>
            <w:vAlign w:val="bottom"/>
            <w:tcBorders>
              <w:bottom w:val="single" w:sz="8" w:color="CFF0FC"/>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1340" w:type="dxa"/>
            <w:vAlign w:val="bottom"/>
            <w:tcBorders>
              <w:bottom w:val="single" w:sz="8" w:color="auto"/>
            </w:tcBorders>
          </w:tcPr>
          <w:p>
            <w:pPr>
              <w:jc w:val="right"/>
              <w:ind w:right="653"/>
              <w:spacing w:after="0"/>
              <w:rPr>
                <w:sz w:val="20"/>
                <w:szCs w:val="20"/>
                <w:color w:val="auto"/>
              </w:rPr>
            </w:pPr>
            <w:r>
              <w:rPr>
                <w:rFonts w:ascii="Arial" w:cs="Arial" w:eastAsia="Arial" w:hAnsi="Arial"/>
                <w:sz w:val="14"/>
                <w:szCs w:val="14"/>
                <w:b w:val="1"/>
                <w:bCs w:val="1"/>
                <w:color w:val="auto"/>
              </w:rPr>
              <w:t>2015</w:t>
            </w:r>
          </w:p>
        </w:tc>
        <w:tc>
          <w:tcPr>
            <w:tcW w:w="100" w:type="dxa"/>
            <w:vAlign w:val="bottom"/>
            <w:tcBorders>
              <w:bottom w:val="single" w:sz="8" w:color="CFF0FC"/>
            </w:tcBorders>
          </w:tcPr>
          <w:p>
            <w:pPr>
              <w:spacing w:after="0"/>
              <w:rPr>
                <w:sz w:val="14"/>
                <w:szCs w:val="14"/>
                <w:color w:val="auto"/>
              </w:rPr>
            </w:pPr>
          </w:p>
        </w:tc>
      </w:tr>
      <w:tr>
        <w:trPr>
          <w:trHeight w:val="223"/>
        </w:trPr>
        <w:tc>
          <w:tcPr>
            <w:tcW w:w="3220" w:type="dxa"/>
            <w:vAlign w:val="bottom"/>
            <w:shd w:val="clear" w:color="auto" w:fill="CFF0FC"/>
          </w:tcPr>
          <w:p>
            <w:pPr>
              <w:spacing w:after="0"/>
              <w:rPr>
                <w:sz w:val="20"/>
                <w:szCs w:val="20"/>
                <w:color w:val="auto"/>
              </w:rPr>
            </w:pPr>
            <w:r>
              <w:rPr>
                <w:rFonts w:ascii="Arial" w:cs="Arial" w:eastAsia="Arial" w:hAnsi="Arial"/>
                <w:sz w:val="18"/>
                <w:szCs w:val="18"/>
                <w:color w:val="auto"/>
              </w:rPr>
              <w:t>Cash Flow from:</w:t>
            </w:r>
          </w:p>
        </w:tc>
        <w:tc>
          <w:tcPr>
            <w:tcW w:w="1000" w:type="dxa"/>
            <w:vAlign w:val="bottom"/>
            <w:shd w:val="clear" w:color="auto" w:fill="CFF0FC"/>
          </w:tcPr>
          <w:p>
            <w:pPr>
              <w:spacing w:after="0"/>
              <w:rPr>
                <w:sz w:val="19"/>
                <w:szCs w:val="19"/>
                <w:color w:val="auto"/>
              </w:rPr>
            </w:pPr>
          </w:p>
        </w:tc>
        <w:tc>
          <w:tcPr>
            <w:tcW w:w="440" w:type="dxa"/>
            <w:vAlign w:val="bottom"/>
            <w:shd w:val="clear" w:color="auto" w:fill="CFF0FC"/>
          </w:tcPr>
          <w:p>
            <w:pPr>
              <w:spacing w:after="0"/>
              <w:rPr>
                <w:sz w:val="19"/>
                <w:szCs w:val="19"/>
                <w:color w:val="auto"/>
              </w:rPr>
            </w:pPr>
          </w:p>
        </w:tc>
        <w:tc>
          <w:tcPr>
            <w:tcW w:w="14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400" w:type="dxa"/>
            <w:vAlign w:val="bottom"/>
            <w:shd w:val="clear" w:color="auto" w:fill="CFF0FC"/>
          </w:tcPr>
          <w:p>
            <w:pPr>
              <w:spacing w:after="0"/>
              <w:rPr>
                <w:sz w:val="19"/>
                <w:szCs w:val="19"/>
                <w:color w:val="auto"/>
              </w:rPr>
            </w:pPr>
          </w:p>
        </w:tc>
        <w:tc>
          <w:tcPr>
            <w:tcW w:w="13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400" w:type="dxa"/>
            <w:vAlign w:val="bottom"/>
            <w:shd w:val="clear" w:color="auto" w:fill="CFF0FC"/>
          </w:tcPr>
          <w:p>
            <w:pPr>
              <w:spacing w:after="0"/>
              <w:rPr>
                <w:sz w:val="19"/>
                <w:szCs w:val="19"/>
                <w:color w:val="auto"/>
              </w:rPr>
            </w:pPr>
          </w:p>
        </w:tc>
        <w:tc>
          <w:tcPr>
            <w:tcW w:w="13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30"/>
        </w:trPr>
        <w:tc>
          <w:tcPr>
            <w:tcW w:w="3220" w:type="dxa"/>
            <w:vAlign w:val="bottom"/>
          </w:tcPr>
          <w:p>
            <w:pPr>
              <w:spacing w:after="0"/>
              <w:rPr>
                <w:sz w:val="20"/>
                <w:szCs w:val="20"/>
                <w:color w:val="auto"/>
              </w:rPr>
            </w:pPr>
            <w:r>
              <w:rPr>
                <w:rFonts w:ascii="Arial" w:cs="Arial" w:eastAsia="Arial" w:hAnsi="Arial"/>
                <w:sz w:val="18"/>
                <w:szCs w:val="18"/>
                <w:color w:val="auto"/>
              </w:rPr>
              <w:t>Operating Activities</w:t>
            </w:r>
          </w:p>
        </w:tc>
        <w:tc>
          <w:tcPr>
            <w:tcW w:w="1440" w:type="dxa"/>
            <w:vAlign w:val="bottom"/>
            <w:gridSpan w:val="2"/>
          </w:tcPr>
          <w:p>
            <w:pPr>
              <w:jc w:val="right"/>
              <w:ind w:right="285"/>
              <w:spacing w:after="0"/>
              <w:rPr>
                <w:sz w:val="20"/>
                <w:szCs w:val="20"/>
                <w:color w:val="auto"/>
              </w:rPr>
            </w:pPr>
            <w:r>
              <w:rPr>
                <w:rFonts w:ascii="Arial" w:cs="Arial" w:eastAsia="Arial" w:hAnsi="Arial"/>
                <w:sz w:val="18"/>
                <w:szCs w:val="18"/>
                <w:color w:val="auto"/>
              </w:rPr>
              <w:t>$</w:t>
            </w:r>
          </w:p>
        </w:tc>
        <w:tc>
          <w:tcPr>
            <w:tcW w:w="1600" w:type="dxa"/>
            <w:vAlign w:val="bottom"/>
            <w:gridSpan w:val="2"/>
          </w:tcPr>
          <w:p>
            <w:pPr>
              <w:jc w:val="right"/>
              <w:ind w:right="120"/>
              <w:spacing w:after="0"/>
              <w:rPr>
                <w:sz w:val="20"/>
                <w:szCs w:val="20"/>
                <w:color w:val="auto"/>
              </w:rPr>
            </w:pPr>
            <w:r>
              <w:rPr>
                <w:rFonts w:ascii="Arial" w:cs="Arial" w:eastAsia="Arial" w:hAnsi="Arial"/>
                <w:sz w:val="18"/>
                <w:szCs w:val="18"/>
                <w:color w:val="auto"/>
              </w:rPr>
              <w:t>(23,938,972)</w:t>
            </w:r>
          </w:p>
        </w:tc>
        <w:tc>
          <w:tcPr>
            <w:tcW w:w="540" w:type="dxa"/>
            <w:vAlign w:val="bottom"/>
            <w:gridSpan w:val="2"/>
          </w:tcPr>
          <w:p>
            <w:pPr>
              <w:jc w:val="right"/>
              <w:ind w:right="245"/>
              <w:spacing w:after="0"/>
              <w:rPr>
                <w:sz w:val="20"/>
                <w:szCs w:val="20"/>
                <w:color w:val="auto"/>
              </w:rPr>
            </w:pPr>
            <w:r>
              <w:rPr>
                <w:rFonts w:ascii="Arial" w:cs="Arial" w:eastAsia="Arial" w:hAnsi="Arial"/>
                <w:sz w:val="18"/>
                <w:szCs w:val="18"/>
                <w:color w:val="auto"/>
              </w:rPr>
              <w:t>$</w:t>
            </w:r>
          </w:p>
        </w:tc>
        <w:tc>
          <w:tcPr>
            <w:tcW w:w="1520" w:type="dxa"/>
            <w:vAlign w:val="bottom"/>
            <w:gridSpan w:val="2"/>
          </w:tcPr>
          <w:p>
            <w:pPr>
              <w:jc w:val="right"/>
              <w:ind w:right="120"/>
              <w:spacing w:after="0"/>
              <w:rPr>
                <w:sz w:val="20"/>
                <w:szCs w:val="20"/>
                <w:color w:val="auto"/>
              </w:rPr>
            </w:pPr>
            <w:r>
              <w:rPr>
                <w:rFonts w:ascii="Arial" w:cs="Arial" w:eastAsia="Arial" w:hAnsi="Arial"/>
                <w:sz w:val="18"/>
                <w:szCs w:val="18"/>
                <w:color w:val="auto"/>
              </w:rPr>
              <w:t>(64,427,486)</w:t>
            </w:r>
          </w:p>
        </w:tc>
        <w:tc>
          <w:tcPr>
            <w:tcW w:w="520" w:type="dxa"/>
            <w:vAlign w:val="bottom"/>
            <w:gridSpan w:val="2"/>
          </w:tcPr>
          <w:p>
            <w:pPr>
              <w:jc w:val="right"/>
              <w:ind w:right="245"/>
              <w:spacing w:after="0"/>
              <w:rPr>
                <w:sz w:val="20"/>
                <w:szCs w:val="20"/>
                <w:color w:val="auto"/>
              </w:rPr>
            </w:pPr>
            <w:r>
              <w:rPr>
                <w:rFonts w:ascii="Arial" w:cs="Arial" w:eastAsia="Arial" w:hAnsi="Arial"/>
                <w:sz w:val="18"/>
                <w:szCs w:val="18"/>
                <w:color w:val="auto"/>
              </w:rPr>
              <w:t>$</w:t>
            </w:r>
          </w:p>
        </w:tc>
        <w:tc>
          <w:tcPr>
            <w:tcW w:w="1440" w:type="dxa"/>
            <w:vAlign w:val="bottom"/>
            <w:gridSpan w:val="2"/>
          </w:tcPr>
          <w:p>
            <w:pPr>
              <w:jc w:val="right"/>
              <w:ind w:right="40"/>
              <w:spacing w:after="0"/>
              <w:rPr>
                <w:sz w:val="20"/>
                <w:szCs w:val="20"/>
                <w:color w:val="auto"/>
              </w:rPr>
            </w:pPr>
            <w:r>
              <w:rPr>
                <w:rFonts w:ascii="Arial" w:cs="Arial" w:eastAsia="Arial" w:hAnsi="Arial"/>
                <w:sz w:val="18"/>
                <w:szCs w:val="18"/>
                <w:color w:val="auto"/>
              </w:rPr>
              <w:t>(65,707,615)</w:t>
            </w:r>
          </w:p>
        </w:tc>
      </w:tr>
      <w:tr>
        <w:trPr>
          <w:trHeight w:val="230"/>
        </w:trPr>
        <w:tc>
          <w:tcPr>
            <w:tcW w:w="3220" w:type="dxa"/>
            <w:vAlign w:val="bottom"/>
            <w:shd w:val="clear" w:color="auto" w:fill="CFF0FC"/>
          </w:tcPr>
          <w:p>
            <w:pPr>
              <w:spacing w:after="0"/>
              <w:rPr>
                <w:sz w:val="20"/>
                <w:szCs w:val="20"/>
                <w:color w:val="auto"/>
              </w:rPr>
            </w:pPr>
            <w:r>
              <w:rPr>
                <w:rFonts w:ascii="Arial" w:cs="Arial" w:eastAsia="Arial" w:hAnsi="Arial"/>
                <w:sz w:val="18"/>
                <w:szCs w:val="18"/>
                <w:color w:val="auto"/>
              </w:rPr>
              <w:t>Investing Activities</w:t>
            </w:r>
          </w:p>
        </w:tc>
        <w:tc>
          <w:tcPr>
            <w:tcW w:w="1000" w:type="dxa"/>
            <w:vAlign w:val="bottom"/>
            <w:shd w:val="clear" w:color="auto" w:fill="CFF0FC"/>
          </w:tcPr>
          <w:p>
            <w:pPr>
              <w:spacing w:after="0"/>
              <w:rPr>
                <w:sz w:val="19"/>
                <w:szCs w:val="19"/>
                <w:color w:val="auto"/>
              </w:rPr>
            </w:pPr>
          </w:p>
        </w:tc>
        <w:tc>
          <w:tcPr>
            <w:tcW w:w="440" w:type="dxa"/>
            <w:vAlign w:val="bottom"/>
            <w:shd w:val="clear" w:color="auto" w:fill="CFF0FC"/>
          </w:tcPr>
          <w:p>
            <w:pPr>
              <w:spacing w:after="0"/>
              <w:rPr>
                <w:sz w:val="19"/>
                <w:szCs w:val="19"/>
                <w:color w:val="auto"/>
              </w:rPr>
            </w:pPr>
          </w:p>
        </w:tc>
        <w:tc>
          <w:tcPr>
            <w:tcW w:w="160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(48,644,218)</w:t>
            </w:r>
          </w:p>
        </w:tc>
        <w:tc>
          <w:tcPr>
            <w:tcW w:w="140" w:type="dxa"/>
            <w:vAlign w:val="bottom"/>
            <w:shd w:val="clear" w:color="auto" w:fill="CFF0FC"/>
          </w:tcPr>
          <w:p>
            <w:pPr>
              <w:spacing w:after="0"/>
              <w:rPr>
                <w:sz w:val="19"/>
                <w:szCs w:val="19"/>
                <w:color w:val="auto"/>
              </w:rPr>
            </w:pPr>
          </w:p>
        </w:tc>
        <w:tc>
          <w:tcPr>
            <w:tcW w:w="40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13,447,763</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400" w:type="dxa"/>
            <w:vAlign w:val="bottom"/>
            <w:shd w:val="clear" w:color="auto" w:fill="CFF0FC"/>
          </w:tcPr>
          <w:p>
            <w:pPr>
              <w:spacing w:after="0"/>
              <w:rPr>
                <w:sz w:val="19"/>
                <w:szCs w:val="19"/>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14,120,838</w:t>
            </w:r>
          </w:p>
        </w:tc>
        <w:tc>
          <w:tcPr>
            <w:tcW w:w="100" w:type="dxa"/>
            <w:vAlign w:val="bottom"/>
            <w:shd w:val="clear" w:color="auto" w:fill="CFF0FC"/>
          </w:tcPr>
          <w:p>
            <w:pPr>
              <w:spacing w:after="0"/>
              <w:rPr>
                <w:sz w:val="19"/>
                <w:szCs w:val="19"/>
                <w:color w:val="auto"/>
              </w:rPr>
            </w:pPr>
          </w:p>
        </w:tc>
      </w:tr>
      <w:tr>
        <w:trPr>
          <w:trHeight w:val="230"/>
        </w:trPr>
        <w:tc>
          <w:tcPr>
            <w:tcW w:w="322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Financing Activities</w:t>
            </w:r>
          </w:p>
        </w:tc>
        <w:tc>
          <w:tcPr>
            <w:tcW w:w="1000" w:type="dxa"/>
            <w:vAlign w:val="bottom"/>
            <w:tcBorders>
              <w:bottom w:val="single" w:sz="8" w:color="CFF0FC"/>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12,055,309</w:t>
            </w:r>
          </w:p>
        </w:tc>
        <w:tc>
          <w:tcPr>
            <w:tcW w:w="180" w:type="dxa"/>
            <w:vAlign w:val="bottom"/>
            <w:tcBorders>
              <w:bottom w:val="single" w:sz="8" w:color="CFF0FC"/>
            </w:tcBorders>
          </w:tcPr>
          <w:p>
            <w:pPr>
              <w:spacing w:after="0"/>
              <w:rPr>
                <w:sz w:val="19"/>
                <w:szCs w:val="19"/>
                <w:color w:val="auto"/>
              </w:rPr>
            </w:pPr>
          </w:p>
        </w:tc>
        <w:tc>
          <w:tcPr>
            <w:tcW w:w="140" w:type="dxa"/>
            <w:vAlign w:val="bottom"/>
            <w:tcBorders>
              <w:bottom w:val="single" w:sz="8" w:color="CFF0FC"/>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55,131,817</w:t>
            </w:r>
          </w:p>
        </w:tc>
        <w:tc>
          <w:tcPr>
            <w:tcW w:w="160" w:type="dxa"/>
            <w:vAlign w:val="bottom"/>
            <w:tcBorders>
              <w:bottom w:val="single" w:sz="8" w:color="CFF0FC"/>
            </w:tcBorders>
          </w:tcPr>
          <w:p>
            <w:pPr>
              <w:spacing w:after="0"/>
              <w:rPr>
                <w:sz w:val="19"/>
                <w:szCs w:val="19"/>
                <w:color w:val="auto"/>
              </w:rPr>
            </w:pPr>
          </w:p>
        </w:tc>
        <w:tc>
          <w:tcPr>
            <w:tcW w:w="120" w:type="dxa"/>
            <w:vAlign w:val="bottom"/>
            <w:tcBorders>
              <w:bottom w:val="single" w:sz="8" w:color="CFF0FC"/>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290,521</w:t>
            </w:r>
          </w:p>
        </w:tc>
        <w:tc>
          <w:tcPr>
            <w:tcW w:w="100" w:type="dxa"/>
            <w:vAlign w:val="bottom"/>
            <w:tcBorders>
              <w:bottom w:val="single" w:sz="8" w:color="CFF0FC"/>
            </w:tcBorders>
          </w:tcPr>
          <w:p>
            <w:pPr>
              <w:spacing w:after="0"/>
              <w:rPr>
                <w:sz w:val="19"/>
                <w:szCs w:val="19"/>
                <w:color w:val="auto"/>
              </w:rPr>
            </w:pPr>
          </w:p>
        </w:tc>
      </w:tr>
      <w:tr>
        <w:trPr>
          <w:trHeight w:val="223"/>
        </w:trPr>
        <w:tc>
          <w:tcPr>
            <w:tcW w:w="3220" w:type="dxa"/>
            <w:vAlign w:val="bottom"/>
            <w:shd w:val="clear" w:color="auto" w:fill="CFF0FC"/>
          </w:tcPr>
          <w:p>
            <w:pPr>
              <w:spacing w:after="0"/>
              <w:rPr>
                <w:sz w:val="20"/>
                <w:szCs w:val="20"/>
                <w:color w:val="auto"/>
              </w:rPr>
            </w:pPr>
            <w:r>
              <w:rPr>
                <w:rFonts w:ascii="Arial" w:cs="Arial" w:eastAsia="Arial" w:hAnsi="Arial"/>
                <w:sz w:val="18"/>
                <w:szCs w:val="18"/>
                <w:color w:val="auto"/>
              </w:rPr>
              <w:t>Net increase (decrease) in cash</w:t>
            </w:r>
          </w:p>
        </w:tc>
        <w:tc>
          <w:tcPr>
            <w:tcW w:w="1000" w:type="dxa"/>
            <w:vAlign w:val="bottom"/>
            <w:shd w:val="clear" w:color="auto" w:fill="CFF0FC"/>
          </w:tcPr>
          <w:p>
            <w:pPr>
              <w:spacing w:after="0"/>
              <w:rPr>
                <w:sz w:val="19"/>
                <w:szCs w:val="19"/>
                <w:color w:val="auto"/>
              </w:rPr>
            </w:pPr>
          </w:p>
        </w:tc>
        <w:tc>
          <w:tcPr>
            <w:tcW w:w="440" w:type="dxa"/>
            <w:vAlign w:val="bottom"/>
            <w:shd w:val="clear" w:color="auto" w:fill="CFF0FC"/>
          </w:tcPr>
          <w:p>
            <w:pPr>
              <w:spacing w:after="0"/>
              <w:rPr>
                <w:sz w:val="19"/>
                <w:szCs w:val="19"/>
                <w:color w:val="auto"/>
              </w:rPr>
            </w:pPr>
          </w:p>
        </w:tc>
        <w:tc>
          <w:tcPr>
            <w:tcW w:w="1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(60,527,881)</w:t>
            </w:r>
          </w:p>
        </w:tc>
        <w:tc>
          <w:tcPr>
            <w:tcW w:w="1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40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4,152,094</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400" w:type="dxa"/>
            <w:vAlign w:val="bottom"/>
            <w:shd w:val="clear" w:color="auto" w:fill="CFF0FC"/>
          </w:tcPr>
          <w:p>
            <w:pPr>
              <w:spacing w:after="0"/>
              <w:rPr>
                <w:sz w:val="19"/>
                <w:szCs w:val="19"/>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(51,296,256)</w:t>
            </w:r>
          </w:p>
        </w:tc>
        <w:tc>
          <w:tcPr>
            <w:tcW w:w="100" w:type="dxa"/>
            <w:vAlign w:val="bottom"/>
            <w:shd w:val="clear" w:color="auto" w:fill="CFF0FC"/>
          </w:tcPr>
          <w:p>
            <w:pPr>
              <w:spacing w:after="0"/>
              <w:rPr>
                <w:sz w:val="19"/>
                <w:szCs w:val="19"/>
                <w:color w:val="auto"/>
              </w:rPr>
            </w:pPr>
          </w:p>
        </w:tc>
      </w:tr>
      <w:tr>
        <w:trPr>
          <w:trHeight w:val="230"/>
        </w:trPr>
        <w:tc>
          <w:tcPr>
            <w:tcW w:w="322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Cash at beginning of period</w:t>
            </w:r>
          </w:p>
        </w:tc>
        <w:tc>
          <w:tcPr>
            <w:tcW w:w="1000" w:type="dxa"/>
            <w:vAlign w:val="bottom"/>
            <w:tcBorders>
              <w:bottom w:val="single" w:sz="8" w:color="CFF0FC"/>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85,366,448</w:t>
            </w:r>
          </w:p>
        </w:tc>
        <w:tc>
          <w:tcPr>
            <w:tcW w:w="180" w:type="dxa"/>
            <w:vAlign w:val="bottom"/>
            <w:tcBorders>
              <w:bottom w:val="single" w:sz="8" w:color="CFF0FC"/>
            </w:tcBorders>
          </w:tcPr>
          <w:p>
            <w:pPr>
              <w:spacing w:after="0"/>
              <w:rPr>
                <w:sz w:val="19"/>
                <w:szCs w:val="19"/>
                <w:color w:val="auto"/>
              </w:rPr>
            </w:pPr>
          </w:p>
        </w:tc>
        <w:tc>
          <w:tcPr>
            <w:tcW w:w="140" w:type="dxa"/>
            <w:vAlign w:val="bottom"/>
            <w:tcBorders>
              <w:bottom w:val="single" w:sz="8" w:color="CFF0FC"/>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81,214,354</w:t>
            </w:r>
          </w:p>
        </w:tc>
        <w:tc>
          <w:tcPr>
            <w:tcW w:w="160" w:type="dxa"/>
            <w:vAlign w:val="bottom"/>
            <w:tcBorders>
              <w:bottom w:val="single" w:sz="8" w:color="CFF0FC"/>
            </w:tcBorders>
          </w:tcPr>
          <w:p>
            <w:pPr>
              <w:spacing w:after="0"/>
              <w:rPr>
                <w:sz w:val="19"/>
                <w:szCs w:val="19"/>
                <w:color w:val="auto"/>
              </w:rPr>
            </w:pPr>
          </w:p>
        </w:tc>
        <w:tc>
          <w:tcPr>
            <w:tcW w:w="120" w:type="dxa"/>
            <w:vAlign w:val="bottom"/>
            <w:tcBorders>
              <w:bottom w:val="single" w:sz="8" w:color="CFF0FC"/>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132,510,610</w:t>
            </w:r>
          </w:p>
        </w:tc>
        <w:tc>
          <w:tcPr>
            <w:tcW w:w="100" w:type="dxa"/>
            <w:vAlign w:val="bottom"/>
            <w:tcBorders>
              <w:bottom w:val="single" w:sz="8" w:color="CFF0FC"/>
            </w:tcBorders>
          </w:tcPr>
          <w:p>
            <w:pPr>
              <w:spacing w:after="0"/>
              <w:rPr>
                <w:sz w:val="19"/>
                <w:szCs w:val="19"/>
                <w:color w:val="auto"/>
              </w:rPr>
            </w:pPr>
          </w:p>
        </w:tc>
      </w:tr>
      <w:tr>
        <w:trPr>
          <w:trHeight w:val="223"/>
        </w:trPr>
        <w:tc>
          <w:tcPr>
            <w:tcW w:w="322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Cash at end of period</w:t>
            </w:r>
          </w:p>
        </w:tc>
        <w:tc>
          <w:tcPr>
            <w:tcW w:w="1000" w:type="dxa"/>
            <w:vAlign w:val="bottom"/>
            <w:tcBorders>
              <w:bottom w:val="single" w:sz="8" w:color="CFF0FC"/>
            </w:tcBorders>
            <w:shd w:val="clear" w:color="auto" w:fill="CFF0FC"/>
          </w:tcPr>
          <w:p>
            <w:pPr>
              <w:spacing w:after="0"/>
              <w:rPr>
                <w:sz w:val="19"/>
                <w:szCs w:val="19"/>
                <w:color w:val="auto"/>
              </w:rPr>
            </w:pPr>
          </w:p>
        </w:tc>
        <w:tc>
          <w:tcPr>
            <w:tcW w:w="440" w:type="dxa"/>
            <w:vAlign w:val="bottom"/>
            <w:tcBorders>
              <w:bottom w:val="single" w:sz="8" w:color="auto"/>
            </w:tcBorders>
            <w:shd w:val="clear" w:color="auto" w:fill="CFF0FC"/>
          </w:tcPr>
          <w:p>
            <w:pPr>
              <w:jc w:val="right"/>
              <w:ind w:right="285"/>
              <w:spacing w:after="0"/>
              <w:rPr>
                <w:sz w:val="20"/>
                <w:szCs w:val="20"/>
                <w:color w:val="auto"/>
              </w:rPr>
            </w:pPr>
            <w:r>
              <w:rPr>
                <w:rFonts w:ascii="Arial" w:cs="Arial" w:eastAsia="Arial" w:hAnsi="Arial"/>
                <w:sz w:val="15"/>
                <w:szCs w:val="15"/>
                <w:color w:val="auto"/>
                <w:w w:val="71"/>
              </w:rPr>
              <w:t>$</w:t>
            </w:r>
          </w:p>
        </w:tc>
        <w:tc>
          <w:tcPr>
            <w:tcW w:w="14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24,838,567</w:t>
            </w:r>
          </w:p>
        </w:tc>
        <w:tc>
          <w:tcPr>
            <w:tcW w:w="180" w:type="dxa"/>
            <w:vAlign w:val="bottom"/>
            <w:tcBorders>
              <w:bottom w:val="single" w:sz="8" w:color="CFF0FC"/>
            </w:tcBorders>
            <w:shd w:val="clear" w:color="auto" w:fill="CFF0FC"/>
          </w:tcPr>
          <w:p>
            <w:pPr>
              <w:spacing w:after="0"/>
              <w:rPr>
                <w:sz w:val="19"/>
                <w:szCs w:val="19"/>
                <w:color w:val="auto"/>
              </w:rPr>
            </w:pPr>
          </w:p>
        </w:tc>
        <w:tc>
          <w:tcPr>
            <w:tcW w:w="140" w:type="dxa"/>
            <w:vAlign w:val="bottom"/>
            <w:tcBorders>
              <w:bottom w:val="single" w:sz="8" w:color="CFF0FC"/>
            </w:tcBorders>
            <w:shd w:val="clear" w:color="auto" w:fill="CFF0FC"/>
          </w:tcPr>
          <w:p>
            <w:pPr>
              <w:spacing w:after="0"/>
              <w:rPr>
                <w:sz w:val="19"/>
                <w:szCs w:val="19"/>
                <w:color w:val="auto"/>
              </w:rPr>
            </w:pPr>
          </w:p>
        </w:tc>
        <w:tc>
          <w:tcPr>
            <w:tcW w:w="400" w:type="dxa"/>
            <w:vAlign w:val="bottom"/>
            <w:tcBorders>
              <w:bottom w:val="single" w:sz="8" w:color="auto"/>
            </w:tcBorders>
            <w:shd w:val="clear" w:color="auto" w:fill="CFF0FC"/>
          </w:tcPr>
          <w:p>
            <w:pPr>
              <w:jc w:val="right"/>
              <w:ind w:right="245"/>
              <w:spacing w:after="0"/>
              <w:rPr>
                <w:sz w:val="20"/>
                <w:szCs w:val="20"/>
                <w:color w:val="auto"/>
              </w:rPr>
            </w:pPr>
            <w:r>
              <w:rPr>
                <w:rFonts w:ascii="Arial" w:cs="Arial" w:eastAsia="Arial" w:hAnsi="Arial"/>
                <w:sz w:val="15"/>
                <w:szCs w:val="15"/>
                <w:color w:val="auto"/>
                <w:w w:val="71"/>
              </w:rPr>
              <w:t>$</w:t>
            </w:r>
          </w:p>
        </w:tc>
        <w:tc>
          <w:tcPr>
            <w:tcW w:w="13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85,366,448</w:t>
            </w:r>
          </w:p>
        </w:tc>
        <w:tc>
          <w:tcPr>
            <w:tcW w:w="16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CFF0FC"/>
            </w:tcBorders>
            <w:shd w:val="clear" w:color="auto" w:fill="CFF0FC"/>
          </w:tcPr>
          <w:p>
            <w:pPr>
              <w:spacing w:after="0"/>
              <w:rPr>
                <w:sz w:val="19"/>
                <w:szCs w:val="19"/>
                <w:color w:val="auto"/>
              </w:rPr>
            </w:pPr>
          </w:p>
        </w:tc>
        <w:tc>
          <w:tcPr>
            <w:tcW w:w="400" w:type="dxa"/>
            <w:vAlign w:val="bottom"/>
            <w:tcBorders>
              <w:bottom w:val="single" w:sz="8" w:color="auto"/>
            </w:tcBorders>
            <w:shd w:val="clear" w:color="auto" w:fill="CFF0FC"/>
          </w:tcPr>
          <w:p>
            <w:pPr>
              <w:jc w:val="right"/>
              <w:ind w:right="245"/>
              <w:spacing w:after="0"/>
              <w:rPr>
                <w:sz w:val="20"/>
                <w:szCs w:val="20"/>
                <w:color w:val="auto"/>
              </w:rPr>
            </w:pPr>
            <w:r>
              <w:rPr>
                <w:rFonts w:ascii="Arial" w:cs="Arial" w:eastAsia="Arial" w:hAnsi="Arial"/>
                <w:sz w:val="15"/>
                <w:szCs w:val="15"/>
                <w:color w:val="auto"/>
                <w:w w:val="71"/>
              </w:rPr>
              <w:t>$</w:t>
            </w:r>
          </w:p>
        </w:tc>
        <w:tc>
          <w:tcPr>
            <w:tcW w:w="13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81,214,354</w:t>
            </w:r>
          </w:p>
        </w:tc>
        <w:tc>
          <w:tcPr>
            <w:tcW w:w="100" w:type="dxa"/>
            <w:vAlign w:val="bottom"/>
            <w:tcBorders>
              <w:bottom w:val="single" w:sz="8" w:color="CFF0FC"/>
            </w:tcBorders>
            <w:shd w:val="clear" w:color="auto" w:fill="CFF0FC"/>
          </w:tcPr>
          <w:p>
            <w:pPr>
              <w:spacing w:after="0"/>
              <w:rPr>
                <w:sz w:val="19"/>
                <w:szCs w:val="19"/>
                <w:color w:val="auto"/>
              </w:rPr>
            </w:pPr>
          </w:p>
        </w:tc>
      </w:tr>
      <w:tr>
        <w:trPr>
          <w:trHeight w:val="20"/>
        </w:trPr>
        <w:tc>
          <w:tcPr>
            <w:tcW w:w="32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45" w:lineRule="exact"/>
        <w:rPr>
          <w:sz w:val="20"/>
          <w:szCs w:val="20"/>
          <w:color w:val="auto"/>
        </w:rPr>
      </w:pPr>
    </w:p>
    <w:p>
      <w:pPr>
        <w:ind w:right="60" w:firstLine="518"/>
        <w:spacing w:after="0" w:line="293" w:lineRule="auto"/>
        <w:rPr>
          <w:sz w:val="20"/>
          <w:szCs w:val="20"/>
          <w:color w:val="auto"/>
        </w:rPr>
      </w:pPr>
      <w:r>
        <w:rPr>
          <w:rFonts w:ascii="Arial" w:cs="Arial" w:eastAsia="Arial" w:hAnsi="Arial"/>
          <w:sz w:val="16"/>
          <w:szCs w:val="16"/>
          <w:color w:val="auto"/>
        </w:rPr>
        <w:t>During the year ended September 30, 2017, the Company used $23.9 million in cash from operating activities, primarily driven by $53.9 million of cash used for the on-going expenses of its research and development programs and general and administrative expenses, partially offset by the $30 million upfront payment received from Amgen. Cash used in investing activities was $48.6 million, which was primarily related to investments in short-term fixed-income securities of $45.0 million and $7.9 million of capital expenditures primarily for leasehold improvements on the Company’s Madison, Wisconsin research facility and lab equipment purchases. Cash generated by financing activities of $12.1 million was driven by the $12.5 million equity investment received from Amgen, and was partially offset by cash paid for employee taxes on net share settlements of restricted stock units that vested during the period.</w:t>
      </w:r>
    </w:p>
    <w:p>
      <w:pPr>
        <w:spacing w:after="0" w:line="165" w:lineRule="exact"/>
        <w:rPr>
          <w:sz w:val="20"/>
          <w:szCs w:val="20"/>
          <w:color w:val="auto"/>
        </w:rPr>
      </w:pPr>
    </w:p>
    <w:p>
      <w:pPr>
        <w:ind w:right="40" w:firstLine="518"/>
        <w:spacing w:after="0" w:line="255" w:lineRule="auto"/>
        <w:rPr>
          <w:sz w:val="20"/>
          <w:szCs w:val="20"/>
          <w:color w:val="auto"/>
        </w:rPr>
      </w:pPr>
      <w:r>
        <w:rPr>
          <w:rFonts w:ascii="Arial" w:cs="Arial" w:eastAsia="Arial" w:hAnsi="Arial"/>
          <w:sz w:val="18"/>
          <w:szCs w:val="18"/>
          <w:color w:val="auto"/>
        </w:rPr>
        <w:t>During the year ended September 30, 2016, the Company used $64.4 million in cash from operating activities, which represents the on-going expenses of its research and development programs and corporate overhead. Cash outlays were primarily composed of the following: research and development costs were $42.6 million, salary and payroll-related expenses were $16.4 million and general and administrative costs were $9.9 million. These expenditures were partially offset by $5 million received under the First Collaboration and License Agreement with Amgen. Cash provided by investing activities was $13.4 million, primarily related to the maturity of certain marketable securities of $17.3 million partially offset by capital expenditures of $3.9 million. Cash provided by</w:t>
      </w:r>
    </w:p>
    <w:p>
      <w:pPr>
        <w:spacing w:after="0" w:line="1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233" w:right="239" w:bottom="1440" w:gutter="0" w:footer="0" w:header="0"/>
        </w:sectPr>
      </w:pPr>
    </w:p>
    <w:bookmarkStart w:id="53" w:name="page54"/>
    <w:bookmarkEnd w:id="53"/>
    <w:p>
      <w:pPr>
        <w:ind w:right="80"/>
        <w:spacing w:after="0" w:line="277" w:lineRule="auto"/>
        <w:rPr>
          <w:sz w:val="20"/>
          <w:szCs w:val="20"/>
          <w:color w:val="auto"/>
        </w:rPr>
      </w:pPr>
      <w:r>
        <w:rPr>
          <w:rFonts w:ascii="Arial" w:cs="Arial" w:eastAsia="Arial" w:hAnsi="Arial"/>
          <w:sz w:val="18"/>
          <w:szCs w:val="18"/>
          <w:color w:val="auto"/>
        </w:rPr>
        <w:t>financing activities of $55.1 million primarily includes an equity financing in August 2016, which yielded net proceeds of $43.2 million to the Company, and $9 million of equity investments from the Company’s Common Stock Purchase Agreement with Amgen.</w:t>
      </w:r>
    </w:p>
    <w:p>
      <w:pPr>
        <w:spacing w:after="0" w:line="170" w:lineRule="exact"/>
        <w:rPr>
          <w:sz w:val="20"/>
          <w:szCs w:val="20"/>
          <w:color w:val="auto"/>
        </w:rPr>
      </w:pPr>
    </w:p>
    <w:p>
      <w:pPr>
        <w:ind w:right="40" w:firstLine="518"/>
        <w:spacing w:after="0" w:line="273" w:lineRule="auto"/>
        <w:rPr>
          <w:sz w:val="20"/>
          <w:szCs w:val="20"/>
          <w:color w:val="auto"/>
        </w:rPr>
      </w:pPr>
      <w:r>
        <w:rPr>
          <w:rFonts w:ascii="Arial" w:cs="Arial" w:eastAsia="Arial" w:hAnsi="Arial"/>
          <w:sz w:val="17"/>
          <w:szCs w:val="17"/>
          <w:color w:val="auto"/>
        </w:rPr>
        <w:t>During the year ended September 30, 2015, the Company used $65.7 million in cash from operating activities, which represents the on-going expenses of its research and development programs and corporate overhead. Cash outlays were primarily composed of the following: research and development costs were $41.2 million, salary and payroll-related expenses were $16.6 million, and general and administrative costs were $7.9 million. Cash provided by investing activities was $14.1 million, primarily related to the maturity of certain marketable securities partially offset by $10.0 million of cash used to acquire the Novartis assets discussed above. Capital expenditures were $2.0 million. Cash provided by financing activities of $0.3 million primarily includes the exercise of warrants and stock options during the year ended September 30, 2015.</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Obligations</w:t>
      </w:r>
    </w:p>
    <w:p>
      <w:pPr>
        <w:spacing w:after="0" w:line="121" w:lineRule="exact"/>
        <w:rPr>
          <w:sz w:val="20"/>
          <w:szCs w:val="20"/>
          <w:color w:val="auto"/>
        </w:rPr>
      </w:pPr>
    </w:p>
    <w:p>
      <w:pPr>
        <w:ind w:right="160" w:firstLine="518"/>
        <w:spacing w:after="0" w:line="273" w:lineRule="auto"/>
        <w:rPr>
          <w:sz w:val="20"/>
          <w:szCs w:val="20"/>
          <w:color w:val="auto"/>
        </w:rPr>
      </w:pPr>
      <w:r>
        <w:rPr>
          <w:rFonts w:ascii="Arial" w:cs="Arial" w:eastAsia="Arial" w:hAnsi="Arial"/>
          <w:sz w:val="17"/>
          <w:szCs w:val="17"/>
          <w:color w:val="auto"/>
        </w:rPr>
        <w:t>In the table below, we set forth our enforceable and legally binding obligations and future commitments at September 30, 2017 for the categories shown, as well as obligations related to contracts in such categories that we are likely to continue. Some of the figures that we include in this table are based on management’s estimates and assumptions about these obligations, including their duration, the possibility of renewal, anticipated actions by third parties and other factors. Because these estimates and assumptions are necessarily subjective, the obligations we will actually pay in future periods may vary from those reflected in the table. The following table does not include any future obligations that may be owed under existing license agreements, as the certainty of achieving the relevant milestones that would trigger these payments is currently unknown.</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338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620" w:type="dxa"/>
            <w:vAlign w:val="bottom"/>
            <w:gridSpan w:val="4"/>
          </w:tcPr>
          <w:p>
            <w:pPr>
              <w:ind w:left="20"/>
              <w:spacing w:after="0"/>
              <w:rPr>
                <w:sz w:val="20"/>
                <w:szCs w:val="20"/>
                <w:color w:val="auto"/>
              </w:rPr>
            </w:pPr>
            <w:r>
              <w:rPr>
                <w:rFonts w:ascii="Arial" w:cs="Arial" w:eastAsia="Arial" w:hAnsi="Arial"/>
                <w:sz w:val="14"/>
                <w:szCs w:val="14"/>
                <w:b w:val="1"/>
                <w:bCs w:val="1"/>
                <w:color w:val="auto"/>
                <w:w w:val="97"/>
              </w:rPr>
              <w:t>Payments due by Period</w:t>
            </w:r>
          </w:p>
        </w:tc>
        <w:tc>
          <w:tcPr>
            <w:tcW w:w="1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0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w w:val="96"/>
              </w:rPr>
              <w:t>More than 5</w:t>
            </w:r>
          </w:p>
        </w:tc>
        <w:tc>
          <w:tcPr>
            <w:tcW w:w="0" w:type="dxa"/>
            <w:vAlign w:val="bottom"/>
          </w:tcPr>
          <w:p>
            <w:pPr>
              <w:spacing w:after="0"/>
              <w:rPr>
                <w:sz w:val="1"/>
                <w:szCs w:val="1"/>
                <w:color w:val="auto"/>
              </w:rPr>
            </w:pPr>
          </w:p>
        </w:tc>
      </w:tr>
      <w:tr>
        <w:trPr>
          <w:trHeight w:val="124"/>
        </w:trPr>
        <w:tc>
          <w:tcPr>
            <w:tcW w:w="3380" w:type="dxa"/>
            <w:vAlign w:val="bottom"/>
          </w:tcPr>
          <w:p>
            <w:pPr>
              <w:spacing w:after="0"/>
              <w:rPr>
                <w:sz w:val="10"/>
                <w:szCs w:val="10"/>
                <w:color w:val="auto"/>
              </w:rPr>
            </w:pPr>
          </w:p>
        </w:tc>
        <w:tc>
          <w:tcPr>
            <w:tcW w:w="1320" w:type="dxa"/>
            <w:vAlign w:val="bottom"/>
          </w:tcPr>
          <w:p>
            <w:pPr>
              <w:spacing w:after="0"/>
              <w:rPr>
                <w:sz w:val="10"/>
                <w:szCs w:val="10"/>
                <w:color w:val="auto"/>
              </w:rPr>
            </w:pPr>
          </w:p>
        </w:tc>
        <w:tc>
          <w:tcPr>
            <w:tcW w:w="1160" w:type="dxa"/>
            <w:vAlign w:val="bottom"/>
            <w:vMerge w:val="restart"/>
          </w:tcPr>
          <w:p>
            <w:pPr>
              <w:jc w:val="right"/>
              <w:ind w:right="336"/>
              <w:spacing w:after="0"/>
              <w:rPr>
                <w:sz w:val="20"/>
                <w:szCs w:val="20"/>
                <w:color w:val="auto"/>
              </w:rPr>
            </w:pPr>
            <w:r>
              <w:rPr>
                <w:rFonts w:ascii="Arial" w:cs="Arial" w:eastAsia="Arial" w:hAnsi="Arial"/>
                <w:sz w:val="14"/>
                <w:szCs w:val="14"/>
                <w:b w:val="1"/>
                <w:bCs w:val="1"/>
                <w:color w:val="auto"/>
              </w:rPr>
              <w:t>Total</w:t>
            </w:r>
          </w:p>
        </w:tc>
        <w:tc>
          <w:tcPr>
            <w:tcW w:w="240" w:type="dxa"/>
            <w:vAlign w:val="bottom"/>
          </w:tcPr>
          <w:p>
            <w:pPr>
              <w:spacing w:after="0"/>
              <w:rPr>
                <w:sz w:val="10"/>
                <w:szCs w:val="10"/>
                <w:color w:val="auto"/>
              </w:rPr>
            </w:pPr>
          </w:p>
        </w:tc>
        <w:tc>
          <w:tcPr>
            <w:tcW w:w="1140" w:type="dxa"/>
            <w:vAlign w:val="bottom"/>
            <w:vMerge w:val="restart"/>
          </w:tcPr>
          <w:p>
            <w:pPr>
              <w:jc w:val="right"/>
              <w:spacing w:after="0"/>
              <w:rPr>
                <w:sz w:val="20"/>
                <w:szCs w:val="20"/>
                <w:color w:val="auto"/>
              </w:rPr>
            </w:pPr>
            <w:r>
              <w:rPr>
                <w:rFonts w:ascii="Arial" w:cs="Arial" w:eastAsia="Arial" w:hAnsi="Arial"/>
                <w:sz w:val="14"/>
                <w:szCs w:val="14"/>
                <w:b w:val="1"/>
                <w:bCs w:val="1"/>
                <w:color w:val="auto"/>
                <w:w w:val="95"/>
              </w:rPr>
              <w:t>Less than 1 Year</w:t>
            </w:r>
          </w:p>
        </w:tc>
        <w:tc>
          <w:tcPr>
            <w:tcW w:w="2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180" w:type="dxa"/>
            <w:vAlign w:val="bottom"/>
            <w:gridSpan w:val="2"/>
            <w:vMerge w:val="restart"/>
          </w:tcPr>
          <w:p>
            <w:pPr>
              <w:ind w:left="100"/>
              <w:spacing w:after="0"/>
              <w:rPr>
                <w:sz w:val="20"/>
                <w:szCs w:val="20"/>
                <w:color w:val="auto"/>
              </w:rPr>
            </w:pPr>
            <w:r>
              <w:rPr>
                <w:rFonts w:ascii="Arial" w:cs="Arial" w:eastAsia="Arial" w:hAnsi="Arial"/>
                <w:sz w:val="14"/>
                <w:szCs w:val="14"/>
                <w:b w:val="1"/>
                <w:bCs w:val="1"/>
                <w:color w:val="auto"/>
              </w:rPr>
              <w:t>1-3 Years</w:t>
            </w:r>
          </w:p>
        </w:tc>
        <w:tc>
          <w:tcPr>
            <w:tcW w:w="180" w:type="dxa"/>
            <w:vAlign w:val="bottom"/>
          </w:tcPr>
          <w:p>
            <w:pPr>
              <w:spacing w:after="0"/>
              <w:rPr>
                <w:sz w:val="10"/>
                <w:szCs w:val="10"/>
                <w:color w:val="auto"/>
              </w:rPr>
            </w:pPr>
          </w:p>
        </w:tc>
        <w:tc>
          <w:tcPr>
            <w:tcW w:w="116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3-5 Years</w:t>
            </w:r>
          </w:p>
        </w:tc>
        <w:tc>
          <w:tcPr>
            <w:tcW w:w="120" w:type="dxa"/>
            <w:vAlign w:val="bottom"/>
          </w:tcPr>
          <w:p>
            <w:pPr>
              <w:spacing w:after="0"/>
              <w:rPr>
                <w:sz w:val="10"/>
                <w:szCs w:val="10"/>
                <w:color w:val="auto"/>
              </w:rPr>
            </w:pPr>
          </w:p>
        </w:tc>
        <w:tc>
          <w:tcPr>
            <w:tcW w:w="110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5"/>
        </w:trPr>
        <w:tc>
          <w:tcPr>
            <w:tcW w:w="3380" w:type="dxa"/>
            <w:vAlign w:val="bottom"/>
          </w:tcPr>
          <w:p>
            <w:pPr>
              <w:spacing w:after="0"/>
              <w:rPr>
                <w:sz w:val="9"/>
                <w:szCs w:val="9"/>
                <w:color w:val="auto"/>
              </w:rPr>
            </w:pPr>
          </w:p>
        </w:tc>
        <w:tc>
          <w:tcPr>
            <w:tcW w:w="1320" w:type="dxa"/>
            <w:vAlign w:val="bottom"/>
          </w:tcPr>
          <w:p>
            <w:pPr>
              <w:spacing w:after="0"/>
              <w:rPr>
                <w:sz w:val="9"/>
                <w:szCs w:val="9"/>
                <w:color w:val="auto"/>
              </w:rPr>
            </w:pPr>
          </w:p>
        </w:tc>
        <w:tc>
          <w:tcPr>
            <w:tcW w:w="1160" w:type="dxa"/>
            <w:vAlign w:val="bottom"/>
            <w:vMerge w:val="continue"/>
          </w:tcPr>
          <w:p>
            <w:pPr>
              <w:spacing w:after="0"/>
              <w:rPr>
                <w:sz w:val="9"/>
                <w:szCs w:val="9"/>
                <w:color w:val="auto"/>
              </w:rPr>
            </w:pPr>
          </w:p>
        </w:tc>
        <w:tc>
          <w:tcPr>
            <w:tcW w:w="240" w:type="dxa"/>
            <w:vAlign w:val="bottom"/>
          </w:tcPr>
          <w:p>
            <w:pPr>
              <w:spacing w:after="0"/>
              <w:rPr>
                <w:sz w:val="9"/>
                <w:szCs w:val="9"/>
                <w:color w:val="auto"/>
              </w:rPr>
            </w:pPr>
          </w:p>
        </w:tc>
        <w:tc>
          <w:tcPr>
            <w:tcW w:w="1140" w:type="dxa"/>
            <w:vAlign w:val="bottom"/>
            <w:vMerge w:val="continue"/>
          </w:tcPr>
          <w:p>
            <w:pPr>
              <w:spacing w:after="0"/>
              <w:rPr>
                <w:sz w:val="9"/>
                <w:szCs w:val="9"/>
                <w:color w:val="auto"/>
              </w:rPr>
            </w:pPr>
          </w:p>
        </w:tc>
        <w:tc>
          <w:tcPr>
            <w:tcW w:w="240" w:type="dxa"/>
            <w:vAlign w:val="bottom"/>
          </w:tcPr>
          <w:p>
            <w:pPr>
              <w:spacing w:after="0"/>
              <w:rPr>
                <w:sz w:val="9"/>
                <w:szCs w:val="9"/>
                <w:color w:val="auto"/>
              </w:rPr>
            </w:pPr>
          </w:p>
        </w:tc>
        <w:tc>
          <w:tcPr>
            <w:tcW w:w="200" w:type="dxa"/>
            <w:vAlign w:val="bottom"/>
          </w:tcPr>
          <w:p>
            <w:pPr>
              <w:spacing w:after="0"/>
              <w:rPr>
                <w:sz w:val="9"/>
                <w:szCs w:val="9"/>
                <w:color w:val="auto"/>
              </w:rPr>
            </w:pPr>
          </w:p>
        </w:tc>
        <w:tc>
          <w:tcPr>
            <w:tcW w:w="1180" w:type="dxa"/>
            <w:vAlign w:val="bottom"/>
            <w:gridSpan w:val="2"/>
            <w:vMerge w:val="continue"/>
          </w:tcPr>
          <w:p>
            <w:pPr>
              <w:spacing w:after="0"/>
              <w:rPr>
                <w:sz w:val="9"/>
                <w:szCs w:val="9"/>
                <w:color w:val="auto"/>
              </w:rPr>
            </w:pPr>
          </w:p>
        </w:tc>
        <w:tc>
          <w:tcPr>
            <w:tcW w:w="180" w:type="dxa"/>
            <w:vAlign w:val="bottom"/>
          </w:tcPr>
          <w:p>
            <w:pPr>
              <w:spacing w:after="0"/>
              <w:rPr>
                <w:sz w:val="9"/>
                <w:szCs w:val="9"/>
                <w:color w:val="auto"/>
              </w:rPr>
            </w:pPr>
          </w:p>
        </w:tc>
        <w:tc>
          <w:tcPr>
            <w:tcW w:w="1160" w:type="dxa"/>
            <w:vAlign w:val="bottom"/>
            <w:gridSpan w:val="2"/>
            <w:vMerge w:val="continue"/>
          </w:tcPr>
          <w:p>
            <w:pPr>
              <w:spacing w:after="0"/>
              <w:rPr>
                <w:sz w:val="9"/>
                <w:szCs w:val="9"/>
                <w:color w:val="auto"/>
              </w:rPr>
            </w:pPr>
          </w:p>
        </w:tc>
        <w:tc>
          <w:tcPr>
            <w:tcW w:w="120" w:type="dxa"/>
            <w:vAlign w:val="bottom"/>
          </w:tcPr>
          <w:p>
            <w:pPr>
              <w:spacing w:after="0"/>
              <w:rPr>
                <w:sz w:val="9"/>
                <w:szCs w:val="9"/>
                <w:color w:val="auto"/>
              </w:rPr>
            </w:pPr>
          </w:p>
        </w:tc>
        <w:tc>
          <w:tcPr>
            <w:tcW w:w="110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w w:val="89"/>
              </w:rPr>
              <w:t>Years</w:t>
            </w:r>
          </w:p>
        </w:tc>
        <w:tc>
          <w:tcPr>
            <w:tcW w:w="0" w:type="dxa"/>
            <w:vAlign w:val="bottom"/>
          </w:tcPr>
          <w:p>
            <w:pPr>
              <w:spacing w:after="0"/>
              <w:rPr>
                <w:sz w:val="1"/>
                <w:szCs w:val="1"/>
                <w:color w:val="auto"/>
              </w:rPr>
            </w:pPr>
          </w:p>
        </w:tc>
      </w:tr>
      <w:tr>
        <w:trPr>
          <w:trHeight w:val="66"/>
        </w:trPr>
        <w:tc>
          <w:tcPr>
            <w:tcW w:w="3380" w:type="dxa"/>
            <w:vAlign w:val="bottom"/>
          </w:tcPr>
          <w:p>
            <w:pPr>
              <w:spacing w:after="0"/>
              <w:rPr>
                <w:sz w:val="5"/>
                <w:szCs w:val="5"/>
                <w:color w:val="auto"/>
              </w:rPr>
            </w:pPr>
          </w:p>
        </w:tc>
        <w:tc>
          <w:tcPr>
            <w:tcW w:w="1320" w:type="dxa"/>
            <w:vAlign w:val="bottom"/>
          </w:tcPr>
          <w:p>
            <w:pPr>
              <w:spacing w:after="0"/>
              <w:rPr>
                <w:sz w:val="5"/>
                <w:szCs w:val="5"/>
                <w:color w:val="auto"/>
              </w:rPr>
            </w:pPr>
          </w:p>
        </w:tc>
        <w:tc>
          <w:tcPr>
            <w:tcW w:w="1160" w:type="dxa"/>
            <w:vAlign w:val="bottom"/>
          </w:tcPr>
          <w:p>
            <w:pPr>
              <w:spacing w:after="0"/>
              <w:rPr>
                <w:sz w:val="5"/>
                <w:szCs w:val="5"/>
                <w:color w:val="auto"/>
              </w:rPr>
            </w:pPr>
          </w:p>
        </w:tc>
        <w:tc>
          <w:tcPr>
            <w:tcW w:w="2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240" w:type="dxa"/>
            <w:vAlign w:val="bottom"/>
          </w:tcPr>
          <w:p>
            <w:pPr>
              <w:spacing w:after="0"/>
              <w:rPr>
                <w:sz w:val="5"/>
                <w:szCs w:val="5"/>
                <w:color w:val="auto"/>
              </w:rPr>
            </w:pPr>
          </w:p>
        </w:tc>
        <w:tc>
          <w:tcPr>
            <w:tcW w:w="200" w:type="dxa"/>
            <w:vAlign w:val="bottom"/>
          </w:tcPr>
          <w:p>
            <w:pPr>
              <w:spacing w:after="0"/>
              <w:rPr>
                <w:sz w:val="5"/>
                <w:szCs w:val="5"/>
                <w:color w:val="auto"/>
              </w:rPr>
            </w:pPr>
          </w:p>
        </w:tc>
        <w:tc>
          <w:tcPr>
            <w:tcW w:w="960" w:type="dxa"/>
            <w:vAlign w:val="bottom"/>
          </w:tcPr>
          <w:p>
            <w:pPr>
              <w:spacing w:after="0"/>
              <w:rPr>
                <w:sz w:val="5"/>
                <w:szCs w:val="5"/>
                <w:color w:val="auto"/>
              </w:rPr>
            </w:pPr>
          </w:p>
        </w:tc>
        <w:tc>
          <w:tcPr>
            <w:tcW w:w="220" w:type="dxa"/>
            <w:vAlign w:val="bottom"/>
          </w:tcPr>
          <w:p>
            <w:pPr>
              <w:spacing w:after="0"/>
              <w:rPr>
                <w:sz w:val="5"/>
                <w:szCs w:val="5"/>
                <w:color w:val="auto"/>
              </w:rPr>
            </w:pPr>
          </w:p>
        </w:tc>
        <w:tc>
          <w:tcPr>
            <w:tcW w:w="180" w:type="dxa"/>
            <w:vAlign w:val="bottom"/>
          </w:tcPr>
          <w:p>
            <w:pPr>
              <w:spacing w:after="0"/>
              <w:rPr>
                <w:sz w:val="5"/>
                <w:szCs w:val="5"/>
                <w:color w:val="auto"/>
              </w:rPr>
            </w:pPr>
          </w:p>
        </w:tc>
        <w:tc>
          <w:tcPr>
            <w:tcW w:w="940" w:type="dxa"/>
            <w:vAlign w:val="bottom"/>
          </w:tcPr>
          <w:p>
            <w:pPr>
              <w:spacing w:after="0"/>
              <w:rPr>
                <w:sz w:val="5"/>
                <w:szCs w:val="5"/>
                <w:color w:val="auto"/>
              </w:rPr>
            </w:pPr>
          </w:p>
        </w:tc>
        <w:tc>
          <w:tcPr>
            <w:tcW w:w="220" w:type="dxa"/>
            <w:vAlign w:val="bottom"/>
          </w:tcPr>
          <w:p>
            <w:pPr>
              <w:spacing w:after="0"/>
              <w:rPr>
                <w:sz w:val="5"/>
                <w:szCs w:val="5"/>
                <w:color w:val="auto"/>
              </w:rPr>
            </w:pPr>
          </w:p>
        </w:tc>
        <w:tc>
          <w:tcPr>
            <w:tcW w:w="120" w:type="dxa"/>
            <w:vAlign w:val="bottom"/>
          </w:tcPr>
          <w:p>
            <w:pPr>
              <w:spacing w:after="0"/>
              <w:rPr>
                <w:sz w:val="5"/>
                <w:szCs w:val="5"/>
                <w:color w:val="auto"/>
              </w:rPr>
            </w:pPr>
          </w:p>
        </w:tc>
        <w:tc>
          <w:tcPr>
            <w:tcW w:w="1100" w:type="dxa"/>
            <w:vAlign w:val="bottom"/>
            <w:gridSpan w:val="2"/>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23"/>
        </w:trPr>
        <w:tc>
          <w:tcPr>
            <w:tcW w:w="338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Long-Term Debt</w:t>
            </w:r>
          </w:p>
        </w:tc>
        <w:tc>
          <w:tcPr>
            <w:tcW w:w="1320" w:type="dxa"/>
            <w:vAlign w:val="bottom"/>
            <w:tcBorders>
              <w:top w:val="single" w:sz="8" w:color="CFF0FC"/>
            </w:tcBorders>
            <w:shd w:val="clear" w:color="auto" w:fill="CFF0FC"/>
          </w:tcPr>
          <w:p>
            <w:pPr>
              <w:spacing w:after="0"/>
              <w:rPr>
                <w:sz w:val="19"/>
                <w:szCs w:val="19"/>
                <w:color w:val="auto"/>
              </w:rPr>
            </w:pPr>
          </w:p>
        </w:tc>
        <w:tc>
          <w:tcPr>
            <w:tcW w:w="11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2,325,018</w:t>
            </w:r>
          </w:p>
        </w:tc>
        <w:tc>
          <w:tcPr>
            <w:tcW w:w="240" w:type="dxa"/>
            <w:vAlign w:val="bottom"/>
            <w:tcBorders>
              <w:top w:val="single" w:sz="8" w:color="CFF0FC"/>
            </w:tcBorders>
            <w:shd w:val="clear" w:color="auto" w:fill="CFF0FC"/>
          </w:tcPr>
          <w:p>
            <w:pPr>
              <w:spacing w:after="0"/>
              <w:rPr>
                <w:sz w:val="19"/>
                <w:szCs w:val="19"/>
                <w:color w:val="auto"/>
              </w:rPr>
            </w:pPr>
          </w:p>
        </w:tc>
        <w:tc>
          <w:tcPr>
            <w:tcW w:w="1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4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spacing w:after="0"/>
              <w:rPr>
                <w:sz w:val="19"/>
                <w:szCs w:val="19"/>
                <w:color w:val="auto"/>
              </w:rPr>
            </w:pPr>
          </w:p>
        </w:tc>
        <w:tc>
          <w:tcPr>
            <w:tcW w:w="9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464,078</w:t>
            </w:r>
          </w:p>
        </w:tc>
        <w:tc>
          <w:tcPr>
            <w:tcW w:w="22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spacing w:after="0"/>
              <w:rPr>
                <w:sz w:val="19"/>
                <w:szCs w:val="19"/>
                <w:color w:val="auto"/>
              </w:rPr>
            </w:pPr>
          </w:p>
        </w:tc>
        <w:tc>
          <w:tcPr>
            <w:tcW w:w="9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534,748</w:t>
            </w:r>
          </w:p>
        </w:tc>
        <w:tc>
          <w:tcPr>
            <w:tcW w:w="22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spacing w:after="0"/>
              <w:rPr>
                <w:sz w:val="19"/>
                <w:szCs w:val="19"/>
                <w:color w:val="auto"/>
              </w:rPr>
            </w:pPr>
          </w:p>
        </w:tc>
        <w:tc>
          <w:tcPr>
            <w:tcW w:w="10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1,326,192</w:t>
            </w: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380" w:type="dxa"/>
            <w:vAlign w:val="bottom"/>
          </w:tcPr>
          <w:p>
            <w:pPr>
              <w:spacing w:after="0"/>
              <w:rPr>
                <w:sz w:val="20"/>
                <w:szCs w:val="20"/>
                <w:color w:val="auto"/>
              </w:rPr>
            </w:pPr>
            <w:r>
              <w:rPr>
                <w:rFonts w:ascii="Arial" w:cs="Arial" w:eastAsia="Arial" w:hAnsi="Arial"/>
                <w:sz w:val="18"/>
                <w:szCs w:val="18"/>
                <w:color w:val="auto"/>
              </w:rPr>
              <w:t>Capital Leases</w:t>
            </w:r>
          </w:p>
        </w:tc>
        <w:tc>
          <w:tcPr>
            <w:tcW w:w="24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3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380" w:type="dxa"/>
            <w:vAlign w:val="bottom"/>
            <w:shd w:val="clear" w:color="auto" w:fill="CFF0FC"/>
          </w:tcPr>
          <w:p>
            <w:pPr>
              <w:spacing w:after="0"/>
              <w:rPr>
                <w:sz w:val="20"/>
                <w:szCs w:val="20"/>
                <w:color w:val="auto"/>
              </w:rPr>
            </w:pPr>
            <w:r>
              <w:rPr>
                <w:rFonts w:ascii="Arial" w:cs="Arial" w:eastAsia="Arial" w:hAnsi="Arial"/>
                <w:sz w:val="18"/>
                <w:szCs w:val="18"/>
                <w:color w:val="auto"/>
              </w:rPr>
              <w:t>Operating Leases</w:t>
            </w:r>
          </w:p>
        </w:tc>
        <w:tc>
          <w:tcPr>
            <w:tcW w:w="24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10,848,066</w:t>
            </w:r>
          </w:p>
        </w:tc>
        <w:tc>
          <w:tcPr>
            <w:tcW w:w="13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1,531,234</w:t>
            </w:r>
          </w:p>
        </w:tc>
        <w:tc>
          <w:tcPr>
            <w:tcW w:w="2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2,479,840</w:t>
            </w:r>
          </w:p>
        </w:tc>
        <w:tc>
          <w:tcPr>
            <w:tcW w:w="2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2,167,664</w:t>
            </w:r>
          </w:p>
        </w:tc>
        <w:tc>
          <w:tcPr>
            <w:tcW w:w="2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4,669,328</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380" w:type="dxa"/>
            <w:vAlign w:val="bottom"/>
          </w:tcPr>
          <w:p>
            <w:pPr>
              <w:spacing w:after="0"/>
              <w:rPr>
                <w:sz w:val="20"/>
                <w:szCs w:val="20"/>
                <w:color w:val="auto"/>
              </w:rPr>
            </w:pPr>
            <w:r>
              <w:rPr>
                <w:rFonts w:ascii="Arial" w:cs="Arial" w:eastAsia="Arial" w:hAnsi="Arial"/>
                <w:sz w:val="18"/>
                <w:szCs w:val="18"/>
                <w:color w:val="auto"/>
              </w:rPr>
              <w:t>Purchase Obligations</w:t>
            </w:r>
          </w:p>
        </w:tc>
        <w:tc>
          <w:tcPr>
            <w:tcW w:w="2480" w:type="dxa"/>
            <w:vAlign w:val="bottom"/>
            <w:gridSpan w:val="2"/>
          </w:tcPr>
          <w:p>
            <w:pPr>
              <w:jc w:val="right"/>
              <w:spacing w:after="0"/>
              <w:rPr>
                <w:sz w:val="20"/>
                <w:szCs w:val="20"/>
                <w:color w:val="auto"/>
              </w:rPr>
            </w:pPr>
            <w:r>
              <w:rPr>
                <w:rFonts w:ascii="Arial" w:cs="Arial" w:eastAsia="Arial" w:hAnsi="Arial"/>
                <w:sz w:val="18"/>
                <w:szCs w:val="18"/>
                <w:color w:val="auto"/>
              </w:rPr>
              <w:t>11,400,000</w:t>
            </w:r>
          </w:p>
        </w:tc>
        <w:tc>
          <w:tcPr>
            <w:tcW w:w="1380" w:type="dxa"/>
            <w:vAlign w:val="bottom"/>
            <w:gridSpan w:val="2"/>
          </w:tcPr>
          <w:p>
            <w:pPr>
              <w:jc w:val="right"/>
              <w:spacing w:after="0"/>
              <w:rPr>
                <w:sz w:val="20"/>
                <w:szCs w:val="20"/>
                <w:color w:val="auto"/>
              </w:rPr>
            </w:pPr>
            <w:r>
              <w:rPr>
                <w:rFonts w:ascii="Arial" w:cs="Arial" w:eastAsia="Arial" w:hAnsi="Arial"/>
                <w:sz w:val="18"/>
                <w:szCs w:val="18"/>
                <w:color w:val="auto"/>
              </w:rPr>
              <w:t>11,400,000</w:t>
            </w: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380" w:type="dxa"/>
            <w:vAlign w:val="bottom"/>
            <w:shd w:val="clear" w:color="auto" w:fill="CFF0FC"/>
          </w:tcPr>
          <w:p>
            <w:pPr>
              <w:spacing w:after="0"/>
              <w:rPr>
                <w:sz w:val="20"/>
                <w:szCs w:val="20"/>
                <w:color w:val="auto"/>
              </w:rPr>
            </w:pPr>
            <w:r>
              <w:rPr>
                <w:rFonts w:ascii="Arial" w:cs="Arial" w:eastAsia="Arial" w:hAnsi="Arial"/>
                <w:sz w:val="18"/>
                <w:szCs w:val="18"/>
                <w:color w:val="auto"/>
              </w:rPr>
              <w:t>Other Long-Term Liabilities</w:t>
            </w:r>
          </w:p>
        </w:tc>
        <w:tc>
          <w:tcPr>
            <w:tcW w:w="24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2,129,052</w:t>
            </w:r>
          </w:p>
        </w:tc>
        <w:tc>
          <w:tcPr>
            <w:tcW w:w="13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519,495</w:t>
            </w:r>
          </w:p>
        </w:tc>
        <w:tc>
          <w:tcPr>
            <w:tcW w:w="2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424,320</w:t>
            </w:r>
          </w:p>
        </w:tc>
        <w:tc>
          <w:tcPr>
            <w:tcW w:w="2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1,185,237</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380" w:type="dxa"/>
            <w:vAlign w:val="bottom"/>
          </w:tcPr>
          <w:p>
            <w:pPr>
              <w:spacing w:after="0"/>
              <w:rPr>
                <w:sz w:val="20"/>
                <w:szCs w:val="20"/>
                <w:color w:val="auto"/>
              </w:rPr>
            </w:pPr>
            <w:r>
              <w:rPr>
                <w:rFonts w:ascii="Arial" w:cs="Arial" w:eastAsia="Arial" w:hAnsi="Arial"/>
                <w:sz w:val="18"/>
                <w:szCs w:val="18"/>
                <w:color w:val="auto"/>
              </w:rPr>
              <w:t>Total</w:t>
            </w:r>
          </w:p>
        </w:tc>
        <w:tc>
          <w:tcPr>
            <w:tcW w:w="1320" w:type="dxa"/>
            <w:vAlign w:val="bottom"/>
          </w:tcPr>
          <w:p>
            <w:pPr>
              <w:spacing w:after="0"/>
              <w:rPr>
                <w:sz w:val="19"/>
                <w:szCs w:val="19"/>
                <w:color w:val="auto"/>
              </w:rPr>
            </w:pP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7"/>
              </w:rPr>
              <w:t>$   26,702,136</w:t>
            </w:r>
          </w:p>
        </w:tc>
        <w:tc>
          <w:tcPr>
            <w:tcW w:w="240" w:type="dxa"/>
            <w:vAlign w:val="bottom"/>
          </w:tcPr>
          <w:p>
            <w:pPr>
              <w:spacing w:after="0"/>
              <w:rPr>
                <w:sz w:val="19"/>
                <w:szCs w:val="19"/>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7"/>
              </w:rPr>
              <w:t>$   12,931,234</w:t>
            </w:r>
          </w:p>
        </w:tc>
        <w:tc>
          <w:tcPr>
            <w:tcW w:w="24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3,463,413</w:t>
            </w:r>
          </w:p>
        </w:tc>
        <w:tc>
          <w:tcPr>
            <w:tcW w:w="22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ind w:right="25"/>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3,126,732</w:t>
            </w:r>
          </w:p>
        </w:tc>
        <w:tc>
          <w:tcPr>
            <w:tcW w:w="22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7,180,757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3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As of September 30, 2017, we did not have any off-balance sheet arrangements, as defined in Item 303(a)(4)(ii) of SEC Regulation S-K.</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Pronouncements</w:t>
      </w:r>
    </w:p>
    <w:p>
      <w:pPr>
        <w:spacing w:after="0" w:line="121" w:lineRule="exact"/>
        <w:rPr>
          <w:sz w:val="20"/>
          <w:szCs w:val="20"/>
          <w:color w:val="auto"/>
        </w:rPr>
      </w:pPr>
    </w:p>
    <w:p>
      <w:pPr>
        <w:ind w:right="540" w:firstLine="518"/>
        <w:spacing w:after="0" w:line="277" w:lineRule="auto"/>
        <w:rPr>
          <w:sz w:val="20"/>
          <w:szCs w:val="20"/>
          <w:color w:val="auto"/>
        </w:rPr>
      </w:pPr>
      <w:r>
        <w:rPr>
          <w:rFonts w:ascii="Arial" w:cs="Arial" w:eastAsia="Arial" w:hAnsi="Arial"/>
          <w:sz w:val="18"/>
          <w:szCs w:val="18"/>
          <w:color w:val="auto"/>
        </w:rPr>
        <w:t>See Note 1 to our Consolidated Financial Statements of this annual report on Form 10-K for a description of recent accounting pronouncements applicable to our business.</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54" w:name="page55"/>
    <w:bookmarkEnd w:id="54"/>
    <w:p>
      <w:pPr>
        <w:spacing w:after="0"/>
        <w:tabs>
          <w:tab w:leader="none" w:pos="1020" w:val="left"/>
        </w:tabs>
        <w:rPr>
          <w:sz w:val="20"/>
          <w:szCs w:val="20"/>
          <w:color w:val="auto"/>
        </w:rPr>
      </w:pPr>
      <w:r>
        <w:rPr>
          <w:rFonts w:ascii="Arial" w:cs="Arial" w:eastAsia="Arial" w:hAnsi="Arial"/>
          <w:sz w:val="18"/>
          <w:szCs w:val="18"/>
          <w:b w:val="1"/>
          <w:bCs w:val="1"/>
          <w:color w:val="auto"/>
        </w:rPr>
        <w:t>ITEM 7A.</w:t>
        <w:tab/>
        <w:t>QUANTITATIVE AND QUALITATIVE DISCLOSURES ABOUT MARKET RISK</w:t>
      </w:r>
    </w:p>
    <w:p>
      <w:pPr>
        <w:spacing w:after="0" w:line="243" w:lineRule="exact"/>
        <w:rPr>
          <w:sz w:val="20"/>
          <w:szCs w:val="20"/>
          <w:color w:val="auto"/>
        </w:rPr>
      </w:pPr>
    </w:p>
    <w:p>
      <w:pPr>
        <w:ind w:firstLine="518"/>
        <w:spacing w:after="0" w:line="290" w:lineRule="auto"/>
        <w:rPr>
          <w:sz w:val="20"/>
          <w:szCs w:val="20"/>
          <w:color w:val="auto"/>
        </w:rPr>
      </w:pPr>
      <w:r>
        <w:rPr>
          <w:rFonts w:ascii="Arial" w:cs="Arial" w:eastAsia="Arial" w:hAnsi="Arial"/>
          <w:sz w:val="16"/>
          <w:szCs w:val="16"/>
          <w:color w:val="auto"/>
        </w:rPr>
        <w:t>We are exposed to market risk related to changes in interest rates, which could adversely affect the value of our interest rate-sensitive assets and liabilities. We do not hold any instruments for trading purposes and investment criteria are governed by the Company’s Investment Policy. As of September 30, 2017 and 2016, we had cash and cash equivalents of $24.8 million and $85.4 million, respectively, and investments of $40.8 million and $0, respectively. At times, we have invested our cash reserves in corporate bonds typically with maturities of less than 2 years, and we have historically classified these investments as held-to-maturity. Due to the relatively short-term nature of the investments that we hold, we do not believe that the results of operations or cash flows would be affected to any significant degree by a sudden change in market interest rates relative to our investment portfolio. Our liability instrument sensitive to changes in interest rates is our derivative liability with its fair value determined using an option pricing model, which uses interest rate as an input. However, any change associated with this valuation would result in a noncash expense and would not significantly impact our operations.</w:t>
      </w:r>
    </w:p>
    <w:p>
      <w:pPr>
        <w:spacing w:after="0" w:line="162"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8.</w:t>
      </w:r>
      <w:r>
        <w:rPr>
          <w:sz w:val="20"/>
          <w:szCs w:val="20"/>
          <w:color w:val="auto"/>
        </w:rPr>
        <w:tab/>
      </w:r>
      <w:r>
        <w:rPr>
          <w:rFonts w:ascii="Arial" w:cs="Arial" w:eastAsia="Arial" w:hAnsi="Arial"/>
          <w:sz w:val="17"/>
          <w:szCs w:val="17"/>
          <w:b w:val="1"/>
          <w:bCs w:val="1"/>
          <w:color w:val="auto"/>
        </w:rPr>
        <w:t>FINANCIAL STATEMENTS AND SUPPLEMENTARY DATA</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information required by this item is included in Item 15 of this Annual Report on Form 10-K.</w:t>
      </w:r>
    </w:p>
    <w:p>
      <w:pPr>
        <w:spacing w:after="0" w:line="370"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9.</w:t>
      </w:r>
      <w:r>
        <w:rPr>
          <w:sz w:val="20"/>
          <w:szCs w:val="20"/>
          <w:color w:val="auto"/>
        </w:rPr>
        <w:tab/>
      </w:r>
      <w:r>
        <w:rPr>
          <w:rFonts w:ascii="Arial" w:cs="Arial" w:eastAsia="Arial" w:hAnsi="Arial"/>
          <w:sz w:val="18"/>
          <w:szCs w:val="18"/>
          <w:b w:val="1"/>
          <w:bCs w:val="1"/>
          <w:color w:val="auto"/>
        </w:rPr>
        <w:t>CHANGES IN AND DISAGREEMENTS WITH ACCOUNTANTS ON ACCOUNTING AND FINANCIAL DISCLOSURE.</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None.</w:t>
      </w:r>
    </w:p>
    <w:p>
      <w:pPr>
        <w:spacing w:after="0" w:line="356"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9A.</w:t>
      </w:r>
      <w:r>
        <w:rPr>
          <w:sz w:val="20"/>
          <w:szCs w:val="20"/>
          <w:color w:val="auto"/>
        </w:rPr>
        <w:tab/>
      </w:r>
      <w:r>
        <w:rPr>
          <w:rFonts w:ascii="Arial" w:cs="Arial" w:eastAsia="Arial" w:hAnsi="Arial"/>
          <w:sz w:val="17"/>
          <w:szCs w:val="17"/>
          <w:b w:val="1"/>
          <w:bCs w:val="1"/>
          <w:color w:val="auto"/>
        </w:rPr>
        <w:t>CONTROLS AND PROCEDURES.</w:t>
      </w:r>
    </w:p>
    <w:p>
      <w:pPr>
        <w:spacing w:after="0" w:line="121" w:lineRule="exact"/>
        <w:rPr>
          <w:sz w:val="20"/>
          <w:szCs w:val="20"/>
          <w:color w:val="auto"/>
        </w:rPr>
      </w:pPr>
    </w:p>
    <w:p>
      <w:pPr>
        <w:ind w:right="200" w:firstLine="518"/>
        <w:spacing w:after="0" w:line="255" w:lineRule="auto"/>
        <w:rPr>
          <w:sz w:val="20"/>
          <w:szCs w:val="20"/>
          <w:color w:val="auto"/>
        </w:rPr>
      </w:pPr>
      <w:r>
        <w:rPr>
          <w:rFonts w:ascii="Arial" w:cs="Arial" w:eastAsia="Arial" w:hAnsi="Arial"/>
          <w:sz w:val="18"/>
          <w:szCs w:val="18"/>
          <w:color w:val="auto"/>
        </w:rPr>
        <w:t>Our Chief Executive Officer and our Chief Financial Officer, after evaluating our “disclosure controls and procedures” (as defined in Securities Exchange Act of 1934 (the “Exchange Act”) Rules 13a-15(e) and 15d-15(e)) as of the end of the period covered by this Annual Report on Form 10-K (the “Evaluation Date”) have concluded that as of the Evaluation Date, our disclosure controls and procedures are effective to ensure that information we are required to disclose in reports that we file or submit under the Exchange Act is recorded, processed, summarized and reported within the time periods specified in Securities and Exchange Commission rules and forms, and to ensure that information required to be disclosed by us in such reports is accumulated and communicated to our management, including our Chief Executive Officer and Chief Financial Officer, where appropriate, to allow timely decisions regarding required disclosure.</w:t>
      </w:r>
    </w:p>
    <w:p>
      <w:pPr>
        <w:spacing w:after="0" w:line="189" w:lineRule="exact"/>
        <w:rPr>
          <w:sz w:val="20"/>
          <w:szCs w:val="20"/>
          <w:color w:val="auto"/>
        </w:rPr>
      </w:pPr>
    </w:p>
    <w:p>
      <w:pPr>
        <w:jc w:val="both"/>
        <w:ind w:right="300" w:firstLine="518"/>
        <w:spacing w:after="0" w:line="264" w:lineRule="auto"/>
        <w:rPr>
          <w:sz w:val="20"/>
          <w:szCs w:val="20"/>
          <w:color w:val="auto"/>
        </w:rPr>
      </w:pPr>
      <w:r>
        <w:rPr>
          <w:rFonts w:ascii="Arial" w:cs="Arial" w:eastAsia="Arial" w:hAnsi="Arial"/>
          <w:sz w:val="18"/>
          <w:szCs w:val="18"/>
          <w:color w:val="auto"/>
        </w:rPr>
        <w:t>No change in the Company’s internal controls over financial reporting (as defined in Rule 13a-15(f) and 15d-15(f) of the Exchange Act) occurred during the Company’s most recent fiscal quarter that has materially affected, or is reasonably likely to materially affect, our internal control over financial reporting.</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Management’s Annual Report on Internal Control over Financial Reporting</w:t>
      </w:r>
    </w:p>
    <w:p>
      <w:pPr>
        <w:spacing w:after="0" w:line="121"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Internal Control over Financial Reporting</w:t>
      </w:r>
    </w:p>
    <w:p>
      <w:pPr>
        <w:spacing w:after="0" w:line="117" w:lineRule="exact"/>
        <w:rPr>
          <w:sz w:val="20"/>
          <w:szCs w:val="20"/>
          <w:color w:val="auto"/>
        </w:rPr>
      </w:pPr>
    </w:p>
    <w:p>
      <w:pPr>
        <w:ind w:firstLine="518"/>
        <w:spacing w:after="0" w:line="290" w:lineRule="auto"/>
        <w:rPr>
          <w:sz w:val="20"/>
          <w:szCs w:val="20"/>
          <w:color w:val="auto"/>
        </w:rPr>
      </w:pPr>
      <w:r>
        <w:rPr>
          <w:rFonts w:ascii="Arial" w:cs="Arial" w:eastAsia="Arial" w:hAnsi="Arial"/>
          <w:sz w:val="16"/>
          <w:szCs w:val="16"/>
          <w:color w:val="auto"/>
        </w:rPr>
        <w:t>Our management is responsible for establishing and maintaining adequate internal control over financial reporting as defined in Rules 13a-15(f) and 15d-15(f) under the Exchange Act. Our internal control over financial reporting is designed to provide reasonable assurance regarding the reliability of financial reporting and the preparation of financial statements for external purposes in accordance with generally accepted accounting principles in the United States. This process includes those policies and procedures that (i) pertain to the maintenance of records that, in reasonable detail, accurately and fairly reflect the transactions and dispositions of our assets; (ii) provide reasonable assurance that transactions are recorded as necessary to permit preparation of financial statements in accordance with generally accepted accounting principles, and that receipts and expenditures are being made only in accordance with authorizations of our management and directors; and (iii) provide reasonable assurance regarding prevention or timely detection of unauthorized acquisition, use or disposition of our assets that could have a material effect on our financial statements.</w:t>
      </w:r>
    </w:p>
    <w:p>
      <w:pPr>
        <w:spacing w:after="0" w:line="166" w:lineRule="exact"/>
        <w:rPr>
          <w:sz w:val="20"/>
          <w:szCs w:val="20"/>
          <w:color w:val="auto"/>
        </w:rPr>
      </w:pPr>
    </w:p>
    <w:p>
      <w:pPr>
        <w:ind w:right="400" w:firstLine="518"/>
        <w:spacing w:after="0" w:line="264" w:lineRule="auto"/>
        <w:rPr>
          <w:sz w:val="20"/>
          <w:szCs w:val="20"/>
          <w:color w:val="auto"/>
        </w:rPr>
      </w:pPr>
      <w:r>
        <w:rPr>
          <w:rFonts w:ascii="Arial" w:cs="Arial" w:eastAsia="Arial" w:hAnsi="Arial"/>
          <w:sz w:val="18"/>
          <w:szCs w:val="18"/>
          <w:color w:val="auto"/>
        </w:rPr>
        <w:t>Because of its inherent limitations, internal control over financial reporting may not prevent or detect misstatements. Also, projections of any evaluation of the internal control over financial reporting to future periods are subject to risk that the internal control may become inadequate because of changes in conditions, or that the degree of compliance with policies or procedures may deteriorate.</w:t>
      </w:r>
    </w:p>
    <w:p>
      <w:pPr>
        <w:spacing w:after="0" w:line="289"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Management’s Assessment of the Effectiveness of our Internal Control over Financial Reporting</w:t>
      </w:r>
    </w:p>
    <w:p>
      <w:pPr>
        <w:spacing w:after="0" w:line="117" w:lineRule="exact"/>
        <w:rPr>
          <w:sz w:val="20"/>
          <w:szCs w:val="20"/>
          <w:color w:val="auto"/>
        </w:rPr>
      </w:pPr>
    </w:p>
    <w:p>
      <w:pPr>
        <w:ind w:firstLine="518"/>
        <w:spacing w:after="0" w:line="277" w:lineRule="auto"/>
        <w:rPr>
          <w:sz w:val="20"/>
          <w:szCs w:val="20"/>
          <w:color w:val="auto"/>
        </w:rPr>
      </w:pPr>
      <w:r>
        <w:rPr>
          <w:rFonts w:ascii="Arial" w:cs="Arial" w:eastAsia="Arial" w:hAnsi="Arial"/>
          <w:sz w:val="18"/>
          <w:szCs w:val="18"/>
          <w:color w:val="auto"/>
        </w:rPr>
        <w:t>The Company’s management is responsible for establishing and maintaining adequate internal control over financial reporting (as defined in Rule 13a-15(f) under the Exchange Act). Management conducted an assessment of the effectiveness of the Company’s</w:t>
      </w:r>
    </w:p>
    <w:p>
      <w:pPr>
        <w:spacing w:after="0" w:line="17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80"/>
          </w:cols>
          <w:pgMar w:left="240" w:top="337" w:right="279" w:bottom="1440" w:gutter="0" w:footer="0" w:header="0"/>
        </w:sectPr>
      </w:pPr>
    </w:p>
    <w:bookmarkStart w:id="55" w:name="page56"/>
    <w:bookmarkEnd w:id="55"/>
    <w:p>
      <w:pPr>
        <w:spacing w:after="0" w:line="276" w:lineRule="auto"/>
        <w:rPr>
          <w:sz w:val="20"/>
          <w:szCs w:val="20"/>
          <w:color w:val="auto"/>
        </w:rPr>
      </w:pPr>
      <w:r>
        <w:rPr>
          <w:rFonts w:ascii="Arial" w:cs="Arial" w:eastAsia="Arial" w:hAnsi="Arial"/>
          <w:sz w:val="17"/>
          <w:szCs w:val="17"/>
          <w:color w:val="auto"/>
        </w:rPr>
        <w:t>internal control over financial reporting based on the criteria set forth in Internal Control – Integrated Framework issued by the Committee of Sponsoring Organizations of the Treadway Commission (COSO). Based on the Company’s assessment, management has concluded that its internal control over financial reporting was effective as of September 30, 2017 to provide reasonable assurance regarding the reliability of financial reporting and the preparation of financial statements in accordance with GAAP. The Company’s independent registered public accounting firm, Rose, Snyder and Jacobs LLP, has issued an audit report on the Company’s internal control over financial reporting, which appears in Item 15 of this Form 10-K.</w:t>
      </w:r>
    </w:p>
    <w:p>
      <w:pPr>
        <w:spacing w:after="0" w:line="2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121" w:lineRule="exact"/>
        <w:rPr>
          <w:sz w:val="20"/>
          <w:szCs w:val="20"/>
          <w:color w:val="auto"/>
        </w:rPr>
      </w:pPr>
    </w:p>
    <w:p>
      <w:pPr>
        <w:ind w:right="40" w:firstLine="518"/>
        <w:spacing w:after="0" w:line="277" w:lineRule="auto"/>
        <w:rPr>
          <w:sz w:val="20"/>
          <w:szCs w:val="20"/>
          <w:color w:val="auto"/>
        </w:rPr>
      </w:pPr>
      <w:r>
        <w:rPr>
          <w:rFonts w:ascii="Arial" w:cs="Arial" w:eastAsia="Arial" w:hAnsi="Arial"/>
          <w:sz w:val="18"/>
          <w:szCs w:val="18"/>
          <w:color w:val="auto"/>
        </w:rPr>
        <w:t>There was no change in our internal control over financial reporting that occurred during the fourth quarter of the year ended September 30, 2017 that has materially affected, or is reasonably likely to materially affect, our internal control over financial reporting.</w:t>
      </w:r>
    </w:p>
    <w:p>
      <w:pPr>
        <w:spacing w:after="0" w:line="315"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9B.</w:t>
        <w:tab/>
        <w:t>OTHER INFORMATION</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None.</w:t>
      </w:r>
    </w:p>
    <w:p>
      <w:pPr>
        <w:spacing w:after="0" w:line="356"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PART III</w:t>
      </w:r>
    </w:p>
    <w:p>
      <w:pPr>
        <w:spacing w:after="0" w:line="252"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10.</w:t>
        <w:tab/>
        <w:t>DIRECTORS, EXECUTIVE OFFICERS AND CORPORATE GOVERNANCE.</w:t>
      </w:r>
    </w:p>
    <w:p>
      <w:pPr>
        <w:spacing w:after="0" w:line="121"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color w:val="auto"/>
        </w:rPr>
        <w:t>The information called for by this Item will be incorporated by reference from our Definitive Proxy Statement to be filed for our 2018 Annual Meeting of Stockholders, which proxy statement will be filed no later than January 28, 2018.</w:t>
      </w:r>
    </w:p>
    <w:p>
      <w:pPr>
        <w:spacing w:after="0" w:line="315"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11.</w:t>
        <w:tab/>
        <w:t>EXECUTIVE COMPENSATION</w:t>
      </w:r>
    </w:p>
    <w:p>
      <w:pPr>
        <w:spacing w:after="0" w:line="121"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color w:val="auto"/>
        </w:rPr>
        <w:t>The information called for by this Item will be incorporated by reference from our Definitive Proxy Statement to be filed for our 2018 Annual Meeting of Stockholders, which proxy statement will be filed no later than January 28, 2018.</w:t>
      </w:r>
    </w:p>
    <w:p>
      <w:pPr>
        <w:spacing w:after="0" w:line="315" w:lineRule="exact"/>
        <w:rPr>
          <w:sz w:val="20"/>
          <w:szCs w:val="20"/>
          <w:color w:val="auto"/>
        </w:rPr>
      </w:pPr>
    </w:p>
    <w:p>
      <w:pPr>
        <w:ind w:left="1040" w:right="440" w:hanging="1025"/>
        <w:spacing w:after="0" w:line="282" w:lineRule="auto"/>
        <w:tabs>
          <w:tab w:leader="none" w:pos="1020" w:val="left"/>
        </w:tabs>
        <w:rPr>
          <w:sz w:val="20"/>
          <w:szCs w:val="20"/>
          <w:color w:val="auto"/>
        </w:rPr>
      </w:pPr>
      <w:r>
        <w:rPr>
          <w:rFonts w:ascii="Arial" w:cs="Arial" w:eastAsia="Arial" w:hAnsi="Arial"/>
          <w:sz w:val="18"/>
          <w:szCs w:val="18"/>
          <w:b w:val="1"/>
          <w:bCs w:val="1"/>
          <w:color w:val="auto"/>
        </w:rPr>
        <w:t>ITEM 12.</w:t>
        <w:tab/>
        <w:t>SECURITY OWNERSHIP OF CERTAIN BENEFICIAL OWNERS AND MANAGEMENT AND RELATED STOCKHOLDER MATTERS.</w:t>
      </w:r>
    </w:p>
    <w:p>
      <w:pPr>
        <w:spacing w:after="0" w:line="58"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color w:val="auto"/>
        </w:rPr>
        <w:t>The information called for by this Item will be incorporated by reference from our Definitive Proxy Statement to be filed for our 2018 Annual Meeting of Stockholders, which proxy statement will be filed no later than January 28, 2018.</w:t>
      </w:r>
    </w:p>
    <w:p>
      <w:pPr>
        <w:spacing w:after="0" w:line="302"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13.</w:t>
        <w:tab/>
        <w:t>CERTAIN RELATIONSHIPS AND RELATED TRANSACTIONS, AND DIRECTOR INDEPENDENCE.</w:t>
      </w:r>
    </w:p>
    <w:p>
      <w:pPr>
        <w:spacing w:after="0" w:line="121"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color w:val="auto"/>
        </w:rPr>
        <w:t>The information called for by this Item will be incorporated by reference from our Definitive Proxy Statement to be filed for our 2018 Annual Meeting of Stockholders, which proxy statement will be filed no later than January 28, 2018.</w:t>
      </w:r>
    </w:p>
    <w:p>
      <w:pPr>
        <w:spacing w:after="0" w:line="315"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14.</w:t>
      </w:r>
      <w:r>
        <w:rPr>
          <w:sz w:val="20"/>
          <w:szCs w:val="20"/>
          <w:color w:val="auto"/>
        </w:rPr>
        <w:tab/>
      </w:r>
      <w:r>
        <w:rPr>
          <w:rFonts w:ascii="Arial" w:cs="Arial" w:eastAsia="Arial" w:hAnsi="Arial"/>
          <w:sz w:val="17"/>
          <w:szCs w:val="17"/>
          <w:b w:val="1"/>
          <w:bCs w:val="1"/>
          <w:color w:val="auto"/>
        </w:rPr>
        <w:t>PRINCIPAL ACCOUNTANT FEES AND SERVICES</w:t>
      </w:r>
    </w:p>
    <w:p>
      <w:pPr>
        <w:spacing w:after="0" w:line="121"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color w:val="auto"/>
        </w:rPr>
        <w:t>The information called for by this Item will be incorporated by reference from our Definitive Proxy Statement to be filed for our 2018 Annual Meeting of Stockholders, which proxy statement will be filed no later than January 28, 2018.</w:t>
      </w:r>
    </w:p>
    <w:p>
      <w:pPr>
        <w:spacing w:after="0" w:line="200" w:lineRule="exact"/>
        <w:rPr>
          <w:sz w:val="20"/>
          <w:szCs w:val="20"/>
          <w:color w:val="auto"/>
        </w:rPr>
      </w:pPr>
    </w:p>
    <w:p>
      <w:pPr>
        <w:spacing w:after="0" w:line="399" w:lineRule="exact"/>
        <w:rPr>
          <w:sz w:val="20"/>
          <w:szCs w:val="20"/>
          <w:color w:val="auto"/>
        </w:rPr>
      </w:pPr>
    </w:p>
    <w:p>
      <w:pPr>
        <w:ind w:left="5360"/>
        <w:spacing w:after="0"/>
        <w:rPr>
          <w:sz w:val="20"/>
          <w:szCs w:val="20"/>
          <w:color w:val="auto"/>
        </w:rPr>
      </w:pPr>
      <w:r>
        <w:rPr>
          <w:rFonts w:ascii="Arial" w:cs="Arial" w:eastAsia="Arial" w:hAnsi="Arial"/>
          <w:sz w:val="18"/>
          <w:szCs w:val="18"/>
          <w:b w:val="1"/>
          <w:bCs w:val="1"/>
          <w:color w:val="auto"/>
        </w:rPr>
        <w:t>PART IV</w:t>
      </w:r>
    </w:p>
    <w:p>
      <w:pPr>
        <w:spacing w:after="0" w:line="252"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15.</w:t>
        <w:tab/>
        <w:t>EXHIBITS AND FINANCIAL STATEMENT SCHEDULES</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following documents are filed as part of this Annual Report on Form 10-K:</w:t>
      </w:r>
    </w:p>
    <w:p>
      <w:pPr>
        <w:spacing w:after="0" w:line="113" w:lineRule="exact"/>
        <w:rPr>
          <w:sz w:val="20"/>
          <w:szCs w:val="20"/>
          <w:color w:val="auto"/>
        </w:rPr>
      </w:pPr>
    </w:p>
    <w:p>
      <w:pPr>
        <w:ind w:left="1040" w:hanging="519"/>
        <w:spacing w:after="0"/>
        <w:tabs>
          <w:tab w:leader="none" w:pos="1040" w:val="left"/>
        </w:tabs>
        <w:numPr>
          <w:ilvl w:val="0"/>
          <w:numId w:val="30"/>
        </w:numPr>
        <w:rPr>
          <w:rFonts w:ascii="Arial" w:cs="Arial" w:eastAsia="Arial" w:hAnsi="Arial"/>
          <w:sz w:val="18"/>
          <w:szCs w:val="18"/>
          <w:b w:val="1"/>
          <w:bCs w:val="1"/>
          <w:color w:val="auto"/>
        </w:rPr>
      </w:pPr>
      <w:r>
        <w:rPr>
          <w:rFonts w:ascii="Arial" w:cs="Arial" w:eastAsia="Arial" w:hAnsi="Arial"/>
          <w:sz w:val="18"/>
          <w:szCs w:val="18"/>
          <w:b w:val="1"/>
          <w:bCs w:val="1"/>
          <w:color w:val="auto"/>
        </w:rPr>
        <w:t>Financial Statements.</w:t>
      </w:r>
    </w:p>
    <w:p>
      <w:pPr>
        <w:spacing w:after="0" w:line="121" w:lineRule="exact"/>
        <w:rPr>
          <w:rFonts w:ascii="Arial" w:cs="Arial" w:eastAsia="Arial" w:hAnsi="Arial"/>
          <w:sz w:val="18"/>
          <w:szCs w:val="18"/>
          <w:b w:val="1"/>
          <w:bCs w:val="1"/>
          <w:color w:val="auto"/>
        </w:rPr>
      </w:pPr>
    </w:p>
    <w:p>
      <w:pPr>
        <w:ind w:left="1020"/>
        <w:spacing w:after="0"/>
        <w:rPr>
          <w:rFonts w:ascii="Arial" w:cs="Arial" w:eastAsia="Arial" w:hAnsi="Arial"/>
          <w:sz w:val="18"/>
          <w:szCs w:val="18"/>
          <w:b w:val="1"/>
          <w:bCs w:val="1"/>
          <w:color w:val="auto"/>
        </w:rPr>
      </w:pPr>
      <w:r>
        <w:rPr>
          <w:rFonts w:ascii="Arial" w:cs="Arial" w:eastAsia="Arial" w:hAnsi="Arial"/>
          <w:sz w:val="18"/>
          <w:szCs w:val="18"/>
          <w:color w:val="auto"/>
        </w:rPr>
        <w:t>See Index to Financial Statements and Schedule on page F-1.</w:t>
      </w:r>
    </w:p>
    <w:p>
      <w:pPr>
        <w:spacing w:after="0" w:line="113" w:lineRule="exact"/>
        <w:rPr>
          <w:rFonts w:ascii="Arial" w:cs="Arial" w:eastAsia="Arial" w:hAnsi="Arial"/>
          <w:sz w:val="18"/>
          <w:szCs w:val="18"/>
          <w:b w:val="1"/>
          <w:bCs w:val="1"/>
          <w:color w:val="auto"/>
        </w:rPr>
      </w:pPr>
    </w:p>
    <w:p>
      <w:pPr>
        <w:ind w:left="1040" w:hanging="519"/>
        <w:spacing w:after="0"/>
        <w:tabs>
          <w:tab w:leader="none" w:pos="1040" w:val="left"/>
        </w:tabs>
        <w:numPr>
          <w:ilvl w:val="0"/>
          <w:numId w:val="30"/>
        </w:numPr>
        <w:rPr>
          <w:rFonts w:ascii="Arial" w:cs="Arial" w:eastAsia="Arial" w:hAnsi="Arial"/>
          <w:sz w:val="18"/>
          <w:szCs w:val="18"/>
          <w:b w:val="1"/>
          <w:bCs w:val="1"/>
          <w:color w:val="auto"/>
        </w:rPr>
      </w:pPr>
      <w:r>
        <w:rPr>
          <w:rFonts w:ascii="Arial" w:cs="Arial" w:eastAsia="Arial" w:hAnsi="Arial"/>
          <w:sz w:val="18"/>
          <w:szCs w:val="18"/>
          <w:b w:val="1"/>
          <w:bCs w:val="1"/>
          <w:color w:val="auto"/>
        </w:rPr>
        <w:t>Financial Statement Schedules.</w:t>
      </w:r>
    </w:p>
    <w:p>
      <w:pPr>
        <w:spacing w:after="0" w:line="121" w:lineRule="exact"/>
        <w:rPr>
          <w:sz w:val="20"/>
          <w:szCs w:val="20"/>
          <w:color w:val="auto"/>
        </w:rPr>
      </w:pPr>
    </w:p>
    <w:p>
      <w:pPr>
        <w:ind w:left="520" w:firstLine="495"/>
        <w:spacing w:after="0" w:line="264" w:lineRule="auto"/>
        <w:rPr>
          <w:sz w:val="20"/>
          <w:szCs w:val="20"/>
          <w:color w:val="auto"/>
        </w:rPr>
      </w:pPr>
      <w:r>
        <w:rPr>
          <w:rFonts w:ascii="Arial" w:cs="Arial" w:eastAsia="Arial" w:hAnsi="Arial"/>
          <w:sz w:val="18"/>
          <w:szCs w:val="18"/>
          <w:color w:val="auto"/>
        </w:rPr>
        <w:t>See Index to Financial Statements and Schedule on page F-1. All other schedules are omitted as the required information is not present or is not present in amounts sufficient to require submission of the schedule, or because the information required is included in the consolidated financial statements or notes thereto.</w:t>
      </w:r>
    </w:p>
    <w:p>
      <w:pPr>
        <w:spacing w:after="0" w:line="18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60"/>
          </w:cols>
          <w:pgMar w:left="240" w:top="233" w:right="299" w:bottom="1440" w:gutter="0" w:footer="0" w:header="0"/>
        </w:sectPr>
      </w:pPr>
    </w:p>
    <w:bookmarkStart w:id="56" w:name="page57"/>
    <w:bookmarkEnd w:id="56"/>
    <w:p>
      <w:pPr>
        <w:ind w:left="1040" w:hanging="519"/>
        <w:spacing w:after="0"/>
        <w:tabs>
          <w:tab w:leader="none" w:pos="1040" w:val="left"/>
        </w:tabs>
        <w:numPr>
          <w:ilvl w:val="0"/>
          <w:numId w:val="31"/>
        </w:numPr>
        <w:rPr>
          <w:rFonts w:ascii="Arial" w:cs="Arial" w:eastAsia="Arial" w:hAnsi="Arial"/>
          <w:sz w:val="18"/>
          <w:szCs w:val="18"/>
          <w:b w:val="1"/>
          <w:bCs w:val="1"/>
          <w:color w:val="auto"/>
        </w:rPr>
      </w:pPr>
      <w:r>
        <w:rPr>
          <w:rFonts w:ascii="Arial" w:cs="Arial" w:eastAsia="Arial" w:hAnsi="Arial"/>
          <w:sz w:val="18"/>
          <w:szCs w:val="18"/>
          <w:b w:val="1"/>
          <w:bCs w:val="1"/>
          <w:color w:val="auto"/>
        </w:rPr>
        <w:t>Exhibits.</w:t>
      </w:r>
    </w:p>
    <w:p>
      <w:pPr>
        <w:spacing w:after="0" w:line="121" w:lineRule="exact"/>
        <w:rPr>
          <w:rFonts w:ascii="Arial" w:cs="Arial" w:eastAsia="Arial" w:hAnsi="Arial"/>
          <w:sz w:val="18"/>
          <w:szCs w:val="18"/>
          <w:b w:val="1"/>
          <w:bCs w:val="1"/>
          <w:color w:val="auto"/>
        </w:rPr>
      </w:pPr>
    </w:p>
    <w:p>
      <w:pPr>
        <w:ind w:left="1020"/>
        <w:spacing w:after="0"/>
        <w:rPr>
          <w:rFonts w:ascii="Arial" w:cs="Arial" w:eastAsia="Arial" w:hAnsi="Arial"/>
          <w:sz w:val="18"/>
          <w:szCs w:val="18"/>
          <w:b w:val="1"/>
          <w:bCs w:val="1"/>
          <w:color w:val="auto"/>
        </w:rPr>
      </w:pPr>
      <w:r>
        <w:rPr>
          <w:rFonts w:ascii="Arial" w:cs="Arial" w:eastAsia="Arial" w:hAnsi="Arial"/>
          <w:sz w:val="16"/>
          <w:szCs w:val="16"/>
          <w:color w:val="auto"/>
        </w:rPr>
        <w:t>The following exhibits are filed (or incorporated by reference herein) as part of this Annual Report on Form 10-K:</w:t>
      </w:r>
    </w:p>
    <w:p>
      <w:pPr>
        <w:sectPr>
          <w:pgSz w:w="11900" w:h="16838" w:orient="portrait"/>
          <w:cols w:equalWidth="0" w:num="1">
            <w:col w:w="11420"/>
          </w:cols>
          <w:pgMar w:left="240" w:top="121" w:right="239" w:bottom="1440" w:gutter="0" w:footer="0" w:header="0"/>
        </w:sectPr>
      </w:pPr>
    </w:p>
    <w:p>
      <w:pPr>
        <w:spacing w:after="0" w:line="200" w:lineRule="exact"/>
        <w:rPr>
          <w:sz w:val="20"/>
          <w:szCs w:val="20"/>
          <w:color w:val="auto"/>
        </w:rPr>
      </w:pP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20" w:type="dxa"/>
            <w:vAlign w:val="bottom"/>
          </w:tcPr>
          <w:p>
            <w:pPr>
              <w:spacing w:after="0"/>
              <w:rPr>
                <w:sz w:val="20"/>
                <w:szCs w:val="20"/>
                <w:color w:val="auto"/>
              </w:rPr>
            </w:pPr>
            <w:r>
              <w:rPr>
                <w:rFonts w:ascii="Arial" w:cs="Arial" w:eastAsia="Arial" w:hAnsi="Arial"/>
                <w:sz w:val="14"/>
                <w:szCs w:val="14"/>
                <w:b w:val="1"/>
                <w:bCs w:val="1"/>
                <w:color w:val="auto"/>
              </w:rPr>
              <w:t>Exhibit</w:t>
            </w:r>
          </w:p>
        </w:tc>
        <w:tc>
          <w:tcPr>
            <w:tcW w:w="100" w:type="dxa"/>
            <w:vAlign w:val="bottom"/>
          </w:tcPr>
          <w:p>
            <w:pPr>
              <w:spacing w:after="0"/>
              <w:rPr>
                <w:sz w:val="14"/>
                <w:szCs w:val="14"/>
                <w:color w:val="auto"/>
              </w:rPr>
            </w:pPr>
          </w:p>
        </w:tc>
        <w:tc>
          <w:tcPr>
            <w:tcW w:w="6260" w:type="dxa"/>
            <w:vAlign w:val="bottom"/>
            <w:gridSpan w:val="25"/>
            <w:vMerge w:val="restart"/>
          </w:tcPr>
          <w:p>
            <w:pPr>
              <w:spacing w:after="0"/>
              <w:rPr>
                <w:sz w:val="20"/>
                <w:szCs w:val="20"/>
                <w:color w:val="auto"/>
              </w:rPr>
            </w:pPr>
            <w:r>
              <w:rPr>
                <w:rFonts w:ascii="Arial" w:cs="Arial" w:eastAsia="Arial" w:hAnsi="Arial"/>
                <w:sz w:val="14"/>
                <w:szCs w:val="14"/>
                <w:b w:val="1"/>
                <w:bCs w:val="1"/>
                <w:color w:val="auto"/>
              </w:rPr>
              <w:t>Description</w:t>
            </w:r>
          </w:p>
        </w:tc>
        <w:tc>
          <w:tcPr>
            <w:tcW w:w="0" w:type="dxa"/>
            <w:vAlign w:val="bottom"/>
          </w:tcPr>
          <w:p>
            <w:pPr>
              <w:spacing w:after="0"/>
              <w:rPr>
                <w:sz w:val="1"/>
                <w:szCs w:val="1"/>
                <w:color w:val="auto"/>
              </w:rPr>
            </w:pPr>
          </w:p>
        </w:tc>
      </w:tr>
      <w:tr>
        <w:trPr>
          <w:trHeight w:val="171"/>
        </w:trPr>
        <w:tc>
          <w:tcPr>
            <w:tcW w:w="82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Number</w:t>
            </w:r>
          </w:p>
        </w:tc>
        <w:tc>
          <w:tcPr>
            <w:tcW w:w="100" w:type="dxa"/>
            <w:vAlign w:val="bottom"/>
          </w:tcPr>
          <w:p>
            <w:pPr>
              <w:spacing w:after="0"/>
              <w:rPr>
                <w:sz w:val="14"/>
                <w:szCs w:val="14"/>
                <w:color w:val="auto"/>
              </w:rPr>
            </w:pPr>
          </w:p>
        </w:tc>
        <w:tc>
          <w:tcPr>
            <w:tcW w:w="6260" w:type="dxa"/>
            <w:vAlign w:val="bottom"/>
            <w:tcBorders>
              <w:bottom w:val="single" w:sz="8" w:color="auto"/>
            </w:tcBorders>
            <w:gridSpan w:val="25"/>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91"/>
        </w:trPr>
        <w:tc>
          <w:tcPr>
            <w:tcW w:w="820" w:type="dxa"/>
            <w:vAlign w:val="bottom"/>
          </w:tcPr>
          <w:p>
            <w:pPr>
              <w:spacing w:after="0"/>
              <w:rPr>
                <w:sz w:val="20"/>
                <w:szCs w:val="20"/>
                <w:color w:val="auto"/>
              </w:rPr>
            </w:pPr>
            <w:r>
              <w:rPr>
                <w:rFonts w:ascii="Arial" w:cs="Arial" w:eastAsia="Arial" w:hAnsi="Arial"/>
                <w:sz w:val="18"/>
                <w:szCs w:val="18"/>
                <w:color w:val="auto"/>
              </w:rPr>
              <w:t>2.1</w:t>
            </w:r>
          </w:p>
        </w:tc>
        <w:tc>
          <w:tcPr>
            <w:tcW w:w="100" w:type="dxa"/>
            <w:vAlign w:val="bottom"/>
          </w:tcPr>
          <w:p>
            <w:pPr>
              <w:spacing w:after="0"/>
              <w:rPr>
                <w:sz w:val="24"/>
                <w:szCs w:val="24"/>
                <w:color w:val="auto"/>
              </w:rPr>
            </w:pPr>
          </w:p>
        </w:tc>
        <w:tc>
          <w:tcPr>
            <w:tcW w:w="6120" w:type="dxa"/>
            <w:vAlign w:val="bottom"/>
            <w:tcBorders>
              <w:bottom w:val="single" w:sz="8" w:color="0000EE"/>
            </w:tcBorders>
            <w:gridSpan w:val="23"/>
          </w:tcPr>
          <w:p>
            <w:pPr>
              <w:spacing w:after="0"/>
              <w:rPr>
                <w:rFonts w:ascii="Arial" w:cs="Arial" w:eastAsia="Arial" w:hAnsi="Arial"/>
                <w:sz w:val="18"/>
                <w:szCs w:val="18"/>
                <w:color w:val="0000EE"/>
                <w:w w:val="89"/>
              </w:rPr>
            </w:pPr>
            <w:hyperlink r:id="rId81">
              <w:r>
                <w:rPr>
                  <w:rFonts w:ascii="Arial" w:cs="Arial" w:eastAsia="Arial" w:hAnsi="Arial"/>
                  <w:sz w:val="18"/>
                  <w:szCs w:val="18"/>
                  <w:color w:val="0000EE"/>
                  <w:w w:val="89"/>
                </w:rPr>
                <w:t>Stock and Asset Purchase Agreement between Arrowhead Research Corporation and</w:t>
              </w:r>
            </w:hyperlink>
          </w:p>
        </w:tc>
        <w:tc>
          <w:tcPr>
            <w:tcW w:w="140" w:type="dxa"/>
            <w:vAlign w:val="bottom"/>
            <w:gridSpan w:val="2"/>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60" w:type="dxa"/>
            <w:vAlign w:val="bottom"/>
            <w:gridSpan w:val="25"/>
          </w:tcPr>
          <w:p>
            <w:pPr>
              <w:spacing w:after="0" w:line="196" w:lineRule="exact"/>
              <w:rPr>
                <w:rFonts w:ascii="Arial" w:cs="Arial" w:eastAsia="Arial" w:hAnsi="Arial"/>
                <w:sz w:val="18"/>
                <w:szCs w:val="18"/>
                <w:color w:val="0000EE"/>
              </w:rPr>
            </w:pPr>
            <w:hyperlink r:id="rId81">
              <w:r>
                <w:rPr>
                  <w:rFonts w:ascii="Arial" w:cs="Arial" w:eastAsia="Arial" w:hAnsi="Arial"/>
                  <w:sz w:val="18"/>
                  <w:szCs w:val="18"/>
                  <w:color w:val="0000EE"/>
                </w:rPr>
                <w:t>Roche entities, dated October 21, 2011†</w:t>
              </w:r>
            </w:hyperlink>
          </w:p>
        </w:tc>
        <w:tc>
          <w:tcPr>
            <w:tcW w:w="0" w:type="dxa"/>
            <w:vAlign w:val="bottom"/>
          </w:tcPr>
          <w:p>
            <w:pPr>
              <w:spacing w:after="0"/>
              <w:rPr>
                <w:sz w:val="1"/>
                <w:szCs w:val="1"/>
                <w:color w:val="auto"/>
              </w:rPr>
            </w:pPr>
          </w:p>
        </w:tc>
      </w:tr>
      <w:tr>
        <w:trPr>
          <w:trHeight w:val="20"/>
        </w:trPr>
        <w:tc>
          <w:tcPr>
            <w:tcW w:w="8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880" w:type="dxa"/>
            <w:vAlign w:val="bottom"/>
            <w:shd w:val="clear" w:color="auto" w:fill="0000EE"/>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960" w:type="dxa"/>
            <w:vAlign w:val="bottom"/>
            <w:shd w:val="clear" w:color="auto" w:fill="0000EE"/>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34"/>
        </w:trPr>
        <w:tc>
          <w:tcPr>
            <w:tcW w:w="820" w:type="dxa"/>
            <w:vAlign w:val="bottom"/>
          </w:tcPr>
          <w:p>
            <w:pPr>
              <w:spacing w:after="0"/>
              <w:rPr>
                <w:sz w:val="20"/>
                <w:szCs w:val="20"/>
                <w:color w:val="auto"/>
              </w:rPr>
            </w:pPr>
            <w:r>
              <w:rPr>
                <w:rFonts w:ascii="Arial" w:cs="Arial" w:eastAsia="Arial" w:hAnsi="Arial"/>
                <w:sz w:val="18"/>
                <w:szCs w:val="18"/>
                <w:color w:val="auto"/>
              </w:rPr>
              <w:t>2.2</w:t>
            </w:r>
          </w:p>
        </w:tc>
        <w:tc>
          <w:tcPr>
            <w:tcW w:w="100" w:type="dxa"/>
            <w:vAlign w:val="bottom"/>
          </w:tcPr>
          <w:p>
            <w:pPr>
              <w:spacing w:after="0"/>
              <w:rPr>
                <w:sz w:val="24"/>
                <w:szCs w:val="24"/>
                <w:color w:val="auto"/>
              </w:rPr>
            </w:pPr>
          </w:p>
        </w:tc>
        <w:tc>
          <w:tcPr>
            <w:tcW w:w="6260" w:type="dxa"/>
            <w:vAlign w:val="bottom"/>
            <w:gridSpan w:val="25"/>
          </w:tcPr>
          <w:p>
            <w:pPr>
              <w:spacing w:after="0"/>
              <w:rPr>
                <w:rFonts w:ascii="Arial" w:cs="Arial" w:eastAsia="Arial" w:hAnsi="Arial"/>
                <w:sz w:val="18"/>
                <w:szCs w:val="18"/>
                <w:color w:val="0000EE"/>
                <w:w w:val="96"/>
              </w:rPr>
            </w:pPr>
            <w:hyperlink r:id="rId82">
              <w:r>
                <w:rPr>
                  <w:rFonts w:ascii="Arial" w:cs="Arial" w:eastAsia="Arial" w:hAnsi="Arial"/>
                  <w:sz w:val="18"/>
                  <w:szCs w:val="18"/>
                  <w:color w:val="0000EE"/>
                  <w:w w:val="96"/>
                </w:rPr>
                <w:t>Asset Purchase and Exclusive License Agreement between Arrowhead Research</w:t>
              </w:r>
            </w:hyperlink>
          </w:p>
        </w:tc>
        <w:tc>
          <w:tcPr>
            <w:tcW w:w="0" w:type="dxa"/>
            <w:vAlign w:val="bottom"/>
          </w:tcPr>
          <w:p>
            <w:pPr>
              <w:spacing w:after="0"/>
              <w:rPr>
                <w:sz w:val="1"/>
                <w:szCs w:val="1"/>
                <w:color w:val="auto"/>
              </w:rPr>
            </w:pPr>
          </w:p>
        </w:tc>
      </w:tr>
      <w:tr>
        <w:trPr>
          <w:trHeight w:val="20"/>
        </w:trPr>
        <w:tc>
          <w:tcPr>
            <w:tcW w:w="8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880" w:type="dxa"/>
            <w:vAlign w:val="bottom"/>
            <w:shd w:val="clear" w:color="auto" w:fill="0000EE"/>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280" w:type="dxa"/>
            <w:vAlign w:val="bottom"/>
            <w:gridSpan w:val="2"/>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78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940" w:type="dxa"/>
            <w:vAlign w:val="bottom"/>
            <w:tcBorders>
              <w:bottom w:val="single" w:sz="8" w:color="0000EE"/>
            </w:tcBorders>
            <w:gridSpan w:val="19"/>
          </w:tcPr>
          <w:p>
            <w:pPr>
              <w:spacing w:after="0" w:line="196" w:lineRule="exact"/>
              <w:rPr>
                <w:rFonts w:ascii="Arial" w:cs="Arial" w:eastAsia="Arial" w:hAnsi="Arial"/>
                <w:sz w:val="18"/>
                <w:szCs w:val="18"/>
                <w:color w:val="0000EE"/>
                <w:w w:val="91"/>
              </w:rPr>
            </w:pPr>
            <w:hyperlink r:id="rId82">
              <w:r>
                <w:rPr>
                  <w:rFonts w:ascii="Arial" w:cs="Arial" w:eastAsia="Arial" w:hAnsi="Arial"/>
                  <w:sz w:val="18"/>
                  <w:szCs w:val="18"/>
                  <w:color w:val="0000EE"/>
                  <w:w w:val="91"/>
                </w:rPr>
                <w:t>Corporation and Novartis Institutes for BioMedical Research, Inc., dated March 3,</w:t>
              </w:r>
            </w:hyperlink>
          </w:p>
        </w:tc>
        <w:tc>
          <w:tcPr>
            <w:tcW w:w="320" w:type="dxa"/>
            <w:vAlign w:val="bottom"/>
            <w:gridSpan w:val="6"/>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60" w:type="dxa"/>
            <w:vAlign w:val="bottom"/>
            <w:gridSpan w:val="25"/>
          </w:tcPr>
          <w:p>
            <w:pPr>
              <w:spacing w:after="0" w:line="196" w:lineRule="exact"/>
              <w:rPr>
                <w:rFonts w:ascii="Arial" w:cs="Arial" w:eastAsia="Arial" w:hAnsi="Arial"/>
                <w:sz w:val="18"/>
                <w:szCs w:val="18"/>
                <w:color w:val="0000EE"/>
              </w:rPr>
            </w:pPr>
            <w:hyperlink r:id="rId82">
              <w:r>
                <w:rPr>
                  <w:rFonts w:ascii="Arial" w:cs="Arial" w:eastAsia="Arial" w:hAnsi="Arial"/>
                  <w:sz w:val="18"/>
                  <w:szCs w:val="18"/>
                  <w:color w:val="0000EE"/>
                </w:rPr>
                <w:t>2015†</w:t>
              </w:r>
            </w:hyperlink>
          </w:p>
        </w:tc>
        <w:tc>
          <w:tcPr>
            <w:tcW w:w="0" w:type="dxa"/>
            <w:vAlign w:val="bottom"/>
          </w:tcPr>
          <w:p>
            <w:pPr>
              <w:spacing w:after="0"/>
              <w:rPr>
                <w:sz w:val="1"/>
                <w:szCs w:val="1"/>
                <w:color w:val="auto"/>
              </w:rPr>
            </w:pPr>
          </w:p>
        </w:tc>
      </w:tr>
      <w:tr>
        <w:trPr>
          <w:trHeight w:val="20"/>
        </w:trPr>
        <w:tc>
          <w:tcPr>
            <w:tcW w:w="8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80" w:type="dxa"/>
            <w:vAlign w:val="bottom"/>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820" w:type="dxa"/>
            <w:vAlign w:val="bottom"/>
          </w:tcPr>
          <w:p>
            <w:pPr>
              <w:spacing w:after="0"/>
              <w:rPr>
                <w:sz w:val="20"/>
                <w:szCs w:val="20"/>
                <w:color w:val="auto"/>
              </w:rPr>
            </w:pPr>
            <w:r>
              <w:rPr>
                <w:rFonts w:ascii="Arial" w:cs="Arial" w:eastAsia="Arial" w:hAnsi="Arial"/>
                <w:sz w:val="18"/>
                <w:szCs w:val="18"/>
                <w:color w:val="auto"/>
              </w:rPr>
              <w:t>3.1</w:t>
            </w:r>
          </w:p>
        </w:tc>
        <w:tc>
          <w:tcPr>
            <w:tcW w:w="100" w:type="dxa"/>
            <w:vAlign w:val="bottom"/>
          </w:tcPr>
          <w:p>
            <w:pPr>
              <w:spacing w:after="0"/>
              <w:rPr>
                <w:sz w:val="24"/>
                <w:szCs w:val="24"/>
                <w:color w:val="auto"/>
              </w:rPr>
            </w:pPr>
          </w:p>
        </w:tc>
        <w:tc>
          <w:tcPr>
            <w:tcW w:w="6260" w:type="dxa"/>
            <w:vAlign w:val="bottom"/>
            <w:gridSpan w:val="25"/>
          </w:tcPr>
          <w:p>
            <w:pPr>
              <w:spacing w:after="0"/>
              <w:rPr>
                <w:rFonts w:ascii="Arial" w:cs="Arial" w:eastAsia="Arial" w:hAnsi="Arial"/>
                <w:sz w:val="18"/>
                <w:szCs w:val="18"/>
                <w:color w:val="0000EE"/>
              </w:rPr>
            </w:pPr>
            <w:hyperlink r:id="rId83">
              <w:r>
                <w:rPr>
                  <w:rFonts w:ascii="Arial" w:cs="Arial" w:eastAsia="Arial" w:hAnsi="Arial"/>
                  <w:sz w:val="18"/>
                  <w:szCs w:val="18"/>
                  <w:color w:val="0000EE"/>
                </w:rPr>
                <w:t>Amended and Restated Certificate of Incorporation of Arrowhead Research</w:t>
              </w:r>
            </w:hyperlink>
          </w:p>
        </w:tc>
        <w:tc>
          <w:tcPr>
            <w:tcW w:w="0" w:type="dxa"/>
            <w:vAlign w:val="bottom"/>
          </w:tcPr>
          <w:p>
            <w:pPr>
              <w:spacing w:after="0"/>
              <w:rPr>
                <w:sz w:val="1"/>
                <w:szCs w:val="1"/>
                <w:color w:val="auto"/>
              </w:rPr>
            </w:pPr>
          </w:p>
        </w:tc>
      </w:tr>
      <w:tr>
        <w:trPr>
          <w:trHeight w:val="20"/>
        </w:trPr>
        <w:tc>
          <w:tcPr>
            <w:tcW w:w="8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20" w:type="dxa"/>
            <w:vAlign w:val="bottom"/>
            <w:gridSpan w:val="2"/>
            <w:shd w:val="clear" w:color="auto" w:fill="0000EE"/>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280" w:type="dxa"/>
            <w:vAlign w:val="bottom"/>
            <w:gridSpan w:val="2"/>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78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100" w:type="dxa"/>
            <w:vAlign w:val="bottom"/>
            <w:tcBorders>
              <w:bottom w:val="single" w:sz="8" w:color="0000EE"/>
            </w:tcBorders>
            <w:gridSpan w:val="22"/>
          </w:tcPr>
          <w:p>
            <w:pPr>
              <w:spacing w:after="0" w:line="196" w:lineRule="exact"/>
              <w:rPr>
                <w:rFonts w:ascii="Arial" w:cs="Arial" w:eastAsia="Arial" w:hAnsi="Arial"/>
                <w:sz w:val="18"/>
                <w:szCs w:val="18"/>
                <w:color w:val="0000EE"/>
                <w:w w:val="91"/>
              </w:rPr>
            </w:pPr>
            <w:hyperlink r:id="rId83">
              <w:r>
                <w:rPr>
                  <w:rFonts w:ascii="Arial" w:cs="Arial" w:eastAsia="Arial" w:hAnsi="Arial"/>
                  <w:sz w:val="18"/>
                  <w:szCs w:val="18"/>
                  <w:color w:val="0000EE"/>
                  <w:w w:val="91"/>
                </w:rPr>
                <w:t>Corporation, a Delaware corporation, filed with the Secretary of State of the State of</w:t>
              </w:r>
            </w:hyperlink>
          </w:p>
        </w:tc>
        <w:tc>
          <w:tcPr>
            <w:tcW w:w="160" w:type="dxa"/>
            <w:vAlign w:val="bottom"/>
            <w:gridSpan w:val="3"/>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920" w:type="dxa"/>
            <w:vAlign w:val="bottom"/>
            <w:tcBorders>
              <w:bottom w:val="single" w:sz="8" w:color="0000EE"/>
            </w:tcBorders>
            <w:gridSpan w:val="4"/>
          </w:tcPr>
          <w:p>
            <w:pPr>
              <w:spacing w:after="0" w:line="196" w:lineRule="exact"/>
              <w:rPr>
                <w:rFonts w:ascii="Arial" w:cs="Arial" w:eastAsia="Arial" w:hAnsi="Arial"/>
                <w:sz w:val="18"/>
                <w:szCs w:val="18"/>
                <w:color w:val="0000EE"/>
                <w:w w:val="91"/>
              </w:rPr>
            </w:pPr>
            <w:hyperlink r:id="rId83">
              <w:r>
                <w:rPr>
                  <w:rFonts w:ascii="Arial" w:cs="Arial" w:eastAsia="Arial" w:hAnsi="Arial"/>
                  <w:sz w:val="18"/>
                  <w:szCs w:val="18"/>
                  <w:color w:val="0000EE"/>
                  <w:w w:val="91"/>
                </w:rPr>
                <w:t>Delaware on April 5, 2016</w:t>
              </w:r>
            </w:hyperlink>
          </w:p>
        </w:tc>
        <w:tc>
          <w:tcPr>
            <w:tcW w:w="4340" w:type="dxa"/>
            <w:vAlign w:val="bottom"/>
            <w:gridSpan w:val="21"/>
          </w:tcPr>
          <w:p>
            <w:pPr>
              <w:spacing w:after="0"/>
              <w:rPr>
                <w:sz w:val="17"/>
                <w:szCs w:val="17"/>
                <w:color w:val="auto"/>
              </w:rPr>
            </w:pPr>
          </w:p>
        </w:tc>
        <w:tc>
          <w:tcPr>
            <w:tcW w:w="0" w:type="dxa"/>
            <w:vAlign w:val="bottom"/>
          </w:tcPr>
          <w:p>
            <w:pPr>
              <w:spacing w:after="0"/>
              <w:rPr>
                <w:sz w:val="1"/>
                <w:szCs w:val="1"/>
                <w:color w:val="auto"/>
              </w:rPr>
            </w:pPr>
          </w:p>
        </w:tc>
      </w:tr>
      <w:tr>
        <w:trPr>
          <w:trHeight w:val="412"/>
        </w:trPr>
        <w:tc>
          <w:tcPr>
            <w:tcW w:w="820" w:type="dxa"/>
            <w:vAlign w:val="bottom"/>
          </w:tcPr>
          <w:p>
            <w:pPr>
              <w:spacing w:after="0"/>
              <w:rPr>
                <w:sz w:val="20"/>
                <w:szCs w:val="20"/>
                <w:color w:val="auto"/>
              </w:rPr>
            </w:pPr>
            <w:r>
              <w:rPr>
                <w:rFonts w:ascii="Arial" w:cs="Arial" w:eastAsia="Arial" w:hAnsi="Arial"/>
                <w:sz w:val="18"/>
                <w:szCs w:val="18"/>
                <w:color w:val="auto"/>
              </w:rPr>
              <w:t>3.2</w:t>
            </w:r>
          </w:p>
        </w:tc>
        <w:tc>
          <w:tcPr>
            <w:tcW w:w="100" w:type="dxa"/>
            <w:vAlign w:val="bottom"/>
          </w:tcPr>
          <w:p>
            <w:pPr>
              <w:spacing w:after="0"/>
              <w:rPr>
                <w:sz w:val="24"/>
                <w:szCs w:val="24"/>
                <w:color w:val="auto"/>
              </w:rPr>
            </w:pPr>
          </w:p>
        </w:tc>
        <w:tc>
          <w:tcPr>
            <w:tcW w:w="6260" w:type="dxa"/>
            <w:vAlign w:val="bottom"/>
            <w:gridSpan w:val="25"/>
          </w:tcPr>
          <w:p>
            <w:pPr>
              <w:spacing w:after="0"/>
              <w:rPr>
                <w:rFonts w:ascii="Arial" w:cs="Arial" w:eastAsia="Arial" w:hAnsi="Arial"/>
                <w:sz w:val="18"/>
                <w:szCs w:val="18"/>
                <w:color w:val="0000EE"/>
              </w:rPr>
            </w:pPr>
            <w:hyperlink r:id="rId84">
              <w:r>
                <w:rPr>
                  <w:rFonts w:ascii="Arial" w:cs="Arial" w:eastAsia="Arial" w:hAnsi="Arial"/>
                  <w:sz w:val="18"/>
                  <w:szCs w:val="18"/>
                  <w:color w:val="0000EE"/>
                </w:rPr>
                <w:t>Amended and Restated Bylaws of Arrowhead Pharmaceuticals, Inc.</w:t>
              </w:r>
            </w:hyperlink>
          </w:p>
        </w:tc>
        <w:tc>
          <w:tcPr>
            <w:tcW w:w="0" w:type="dxa"/>
            <w:vAlign w:val="bottom"/>
          </w:tcPr>
          <w:p>
            <w:pPr>
              <w:spacing w:after="0"/>
              <w:rPr>
                <w:sz w:val="1"/>
                <w:szCs w:val="1"/>
                <w:color w:val="auto"/>
              </w:rPr>
            </w:pPr>
          </w:p>
        </w:tc>
      </w:tr>
      <w:tr>
        <w:trPr>
          <w:trHeight w:val="20"/>
        </w:trPr>
        <w:tc>
          <w:tcPr>
            <w:tcW w:w="8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20" w:type="dxa"/>
            <w:vAlign w:val="bottom"/>
            <w:gridSpan w:val="2"/>
            <w:shd w:val="clear" w:color="auto" w:fill="0000EE"/>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1300" w:type="dxa"/>
            <w:vAlign w:val="bottom"/>
            <w:gridSpan w:val="3"/>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78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6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8"/>
        </w:trPr>
        <w:tc>
          <w:tcPr>
            <w:tcW w:w="820" w:type="dxa"/>
            <w:vAlign w:val="bottom"/>
          </w:tcPr>
          <w:p>
            <w:pPr>
              <w:spacing w:after="0"/>
              <w:rPr>
                <w:sz w:val="20"/>
                <w:szCs w:val="20"/>
                <w:color w:val="auto"/>
              </w:rPr>
            </w:pPr>
            <w:r>
              <w:rPr>
                <w:rFonts w:ascii="Arial" w:cs="Arial" w:eastAsia="Arial" w:hAnsi="Arial"/>
                <w:sz w:val="18"/>
                <w:szCs w:val="18"/>
                <w:color w:val="auto"/>
              </w:rPr>
              <w:t>3.3</w:t>
            </w:r>
          </w:p>
        </w:tc>
        <w:tc>
          <w:tcPr>
            <w:tcW w:w="100" w:type="dxa"/>
            <w:vAlign w:val="bottom"/>
          </w:tcPr>
          <w:p>
            <w:pPr>
              <w:spacing w:after="0"/>
              <w:rPr>
                <w:sz w:val="24"/>
                <w:szCs w:val="24"/>
                <w:color w:val="auto"/>
              </w:rPr>
            </w:pPr>
          </w:p>
        </w:tc>
        <w:tc>
          <w:tcPr>
            <w:tcW w:w="5980" w:type="dxa"/>
            <w:vAlign w:val="bottom"/>
            <w:tcBorders>
              <w:bottom w:val="single" w:sz="8" w:color="0000EE"/>
            </w:tcBorders>
            <w:gridSpan w:val="20"/>
          </w:tcPr>
          <w:p>
            <w:pPr>
              <w:spacing w:after="0"/>
              <w:rPr>
                <w:rFonts w:ascii="Arial" w:cs="Arial" w:eastAsia="Arial" w:hAnsi="Arial"/>
                <w:sz w:val="18"/>
                <w:szCs w:val="18"/>
                <w:color w:val="0000EE"/>
                <w:w w:val="90"/>
              </w:rPr>
            </w:pPr>
            <w:hyperlink r:id="rId85">
              <w:r>
                <w:rPr>
                  <w:rFonts w:ascii="Arial" w:cs="Arial" w:eastAsia="Arial" w:hAnsi="Arial"/>
                  <w:sz w:val="18"/>
                  <w:szCs w:val="18"/>
                  <w:color w:val="0000EE"/>
                  <w:w w:val="90"/>
                </w:rPr>
                <w:t>Certificate of Designation, Preferences, and Rights of Series D Junior Participating</w:t>
              </w:r>
            </w:hyperlink>
          </w:p>
        </w:tc>
        <w:tc>
          <w:tcPr>
            <w:tcW w:w="280" w:type="dxa"/>
            <w:vAlign w:val="bottom"/>
            <w:gridSpan w:val="5"/>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760" w:type="dxa"/>
            <w:vAlign w:val="bottom"/>
            <w:tcBorders>
              <w:bottom w:val="single" w:sz="8" w:color="0000EE"/>
            </w:tcBorders>
            <w:gridSpan w:val="7"/>
          </w:tcPr>
          <w:p>
            <w:pPr>
              <w:spacing w:after="0" w:line="196" w:lineRule="exact"/>
              <w:rPr>
                <w:rFonts w:ascii="Arial" w:cs="Arial" w:eastAsia="Arial" w:hAnsi="Arial"/>
                <w:sz w:val="18"/>
                <w:szCs w:val="18"/>
                <w:color w:val="0000EE"/>
                <w:w w:val="90"/>
              </w:rPr>
            </w:pPr>
            <w:hyperlink r:id="rId85">
              <w:r>
                <w:rPr>
                  <w:rFonts w:ascii="Arial" w:cs="Arial" w:eastAsia="Arial" w:hAnsi="Arial"/>
                  <w:sz w:val="18"/>
                  <w:szCs w:val="18"/>
                  <w:color w:val="0000EE"/>
                  <w:w w:val="90"/>
                </w:rPr>
                <w:t>Preferred Stock of Arrowhead Pharmaceuticals, Inc.</w:t>
              </w:r>
            </w:hyperlink>
          </w:p>
        </w:tc>
        <w:tc>
          <w:tcPr>
            <w:tcW w:w="2500" w:type="dxa"/>
            <w:vAlign w:val="bottom"/>
            <w:gridSpan w:val="18"/>
          </w:tcPr>
          <w:p>
            <w:pPr>
              <w:spacing w:after="0"/>
              <w:rPr>
                <w:sz w:val="17"/>
                <w:szCs w:val="17"/>
                <w:color w:val="auto"/>
              </w:rPr>
            </w:pPr>
          </w:p>
        </w:tc>
        <w:tc>
          <w:tcPr>
            <w:tcW w:w="0" w:type="dxa"/>
            <w:vAlign w:val="bottom"/>
          </w:tcPr>
          <w:p>
            <w:pPr>
              <w:spacing w:after="0"/>
              <w:rPr>
                <w:sz w:val="1"/>
                <w:szCs w:val="1"/>
                <w:color w:val="auto"/>
              </w:rPr>
            </w:pPr>
          </w:p>
        </w:tc>
      </w:tr>
      <w:tr>
        <w:trPr>
          <w:trHeight w:val="412"/>
        </w:trPr>
        <w:tc>
          <w:tcPr>
            <w:tcW w:w="820" w:type="dxa"/>
            <w:vAlign w:val="bottom"/>
          </w:tcPr>
          <w:p>
            <w:pPr>
              <w:spacing w:after="0"/>
              <w:rPr>
                <w:sz w:val="20"/>
                <w:szCs w:val="20"/>
                <w:color w:val="auto"/>
              </w:rPr>
            </w:pPr>
            <w:r>
              <w:rPr>
                <w:rFonts w:ascii="Arial" w:cs="Arial" w:eastAsia="Arial" w:hAnsi="Arial"/>
                <w:sz w:val="18"/>
                <w:szCs w:val="18"/>
                <w:color w:val="auto"/>
              </w:rPr>
              <w:t>4.1</w:t>
            </w:r>
          </w:p>
        </w:tc>
        <w:tc>
          <w:tcPr>
            <w:tcW w:w="100" w:type="dxa"/>
            <w:vAlign w:val="bottom"/>
          </w:tcPr>
          <w:p>
            <w:pPr>
              <w:spacing w:after="0"/>
              <w:rPr>
                <w:sz w:val="24"/>
                <w:szCs w:val="24"/>
                <w:color w:val="auto"/>
              </w:rPr>
            </w:pPr>
          </w:p>
        </w:tc>
        <w:tc>
          <w:tcPr>
            <w:tcW w:w="4680" w:type="dxa"/>
            <w:vAlign w:val="bottom"/>
            <w:tcBorders>
              <w:bottom w:val="single" w:sz="8" w:color="0000EE"/>
            </w:tcBorders>
            <w:gridSpan w:val="9"/>
          </w:tcPr>
          <w:p>
            <w:pPr>
              <w:spacing w:after="0"/>
              <w:rPr>
                <w:rFonts w:ascii="Arial" w:cs="Arial" w:eastAsia="Arial" w:hAnsi="Arial"/>
                <w:sz w:val="18"/>
                <w:szCs w:val="18"/>
                <w:color w:val="0000EE"/>
                <w:w w:val="90"/>
              </w:rPr>
            </w:pPr>
            <w:hyperlink r:id="rId86">
              <w:r>
                <w:rPr>
                  <w:rFonts w:ascii="Arial" w:cs="Arial" w:eastAsia="Arial" w:hAnsi="Arial"/>
                  <w:sz w:val="18"/>
                  <w:szCs w:val="18"/>
                  <w:color w:val="0000EE"/>
                  <w:w w:val="90"/>
                </w:rPr>
                <w:t>Form of Warrant to Purchase Common Stock expiring May 2017</w:t>
              </w:r>
            </w:hyperlink>
          </w:p>
        </w:tc>
        <w:tc>
          <w:tcPr>
            <w:tcW w:w="1580" w:type="dxa"/>
            <w:vAlign w:val="bottom"/>
            <w:gridSpan w:val="16"/>
          </w:tcPr>
          <w:p>
            <w:pPr>
              <w:spacing w:after="0"/>
              <w:rPr>
                <w:sz w:val="24"/>
                <w:szCs w:val="24"/>
                <w:color w:val="auto"/>
              </w:rPr>
            </w:pPr>
          </w:p>
        </w:tc>
        <w:tc>
          <w:tcPr>
            <w:tcW w:w="0" w:type="dxa"/>
            <w:vAlign w:val="bottom"/>
          </w:tcPr>
          <w:p>
            <w:pPr>
              <w:spacing w:after="0"/>
              <w:rPr>
                <w:sz w:val="1"/>
                <w:szCs w:val="1"/>
                <w:color w:val="auto"/>
              </w:rPr>
            </w:pPr>
          </w:p>
        </w:tc>
      </w:tr>
      <w:tr>
        <w:trPr>
          <w:trHeight w:val="534"/>
        </w:trPr>
        <w:tc>
          <w:tcPr>
            <w:tcW w:w="820" w:type="dxa"/>
            <w:vAlign w:val="bottom"/>
          </w:tcPr>
          <w:p>
            <w:pPr>
              <w:spacing w:after="0"/>
              <w:rPr>
                <w:sz w:val="20"/>
                <w:szCs w:val="20"/>
                <w:color w:val="auto"/>
              </w:rPr>
            </w:pPr>
            <w:r>
              <w:rPr>
                <w:rFonts w:ascii="Arial" w:cs="Arial" w:eastAsia="Arial" w:hAnsi="Arial"/>
                <w:sz w:val="18"/>
                <w:szCs w:val="18"/>
                <w:color w:val="auto"/>
              </w:rPr>
              <w:t>4.2</w:t>
            </w:r>
          </w:p>
        </w:tc>
        <w:tc>
          <w:tcPr>
            <w:tcW w:w="100" w:type="dxa"/>
            <w:vAlign w:val="bottom"/>
          </w:tcPr>
          <w:p>
            <w:pPr>
              <w:spacing w:after="0"/>
              <w:rPr>
                <w:sz w:val="24"/>
                <w:szCs w:val="24"/>
                <w:color w:val="auto"/>
              </w:rPr>
            </w:pPr>
          </w:p>
        </w:tc>
        <w:tc>
          <w:tcPr>
            <w:tcW w:w="6080" w:type="dxa"/>
            <w:vAlign w:val="bottom"/>
            <w:tcBorders>
              <w:bottom w:val="single" w:sz="8" w:color="0000EE"/>
            </w:tcBorders>
            <w:gridSpan w:val="21"/>
          </w:tcPr>
          <w:p>
            <w:pPr>
              <w:spacing w:after="0"/>
              <w:rPr>
                <w:rFonts w:ascii="Arial" w:cs="Arial" w:eastAsia="Arial" w:hAnsi="Arial"/>
                <w:sz w:val="18"/>
                <w:szCs w:val="18"/>
                <w:color w:val="0000EE"/>
                <w:w w:val="90"/>
              </w:rPr>
            </w:pPr>
            <w:hyperlink r:id="rId87">
              <w:r>
                <w:rPr>
                  <w:rFonts w:ascii="Arial" w:cs="Arial" w:eastAsia="Arial" w:hAnsi="Arial"/>
                  <w:sz w:val="18"/>
                  <w:szCs w:val="18"/>
                  <w:color w:val="0000EE"/>
                  <w:w w:val="90"/>
                </w:rPr>
                <w:t>Form of Warrant to Purchase Shares of Common Stock expiring December 12, 2017</w:t>
              </w:r>
            </w:hyperlink>
          </w:p>
        </w:tc>
        <w:tc>
          <w:tcPr>
            <w:tcW w:w="180" w:type="dxa"/>
            <w:vAlign w:val="bottom"/>
            <w:gridSpan w:val="4"/>
          </w:tcPr>
          <w:p>
            <w:pPr>
              <w:spacing w:after="0"/>
              <w:rPr>
                <w:sz w:val="24"/>
                <w:szCs w:val="24"/>
                <w:color w:val="auto"/>
              </w:rPr>
            </w:pPr>
          </w:p>
        </w:tc>
        <w:tc>
          <w:tcPr>
            <w:tcW w:w="0" w:type="dxa"/>
            <w:vAlign w:val="bottom"/>
          </w:tcPr>
          <w:p>
            <w:pPr>
              <w:spacing w:after="0"/>
              <w:rPr>
                <w:sz w:val="1"/>
                <w:szCs w:val="1"/>
                <w:color w:val="auto"/>
              </w:rPr>
            </w:pPr>
          </w:p>
        </w:tc>
      </w:tr>
      <w:tr>
        <w:trPr>
          <w:trHeight w:val="534"/>
        </w:trPr>
        <w:tc>
          <w:tcPr>
            <w:tcW w:w="820" w:type="dxa"/>
            <w:vAlign w:val="bottom"/>
          </w:tcPr>
          <w:p>
            <w:pPr>
              <w:spacing w:after="0"/>
              <w:rPr>
                <w:sz w:val="20"/>
                <w:szCs w:val="20"/>
                <w:color w:val="auto"/>
              </w:rPr>
            </w:pPr>
            <w:r>
              <w:rPr>
                <w:rFonts w:ascii="Arial" w:cs="Arial" w:eastAsia="Arial" w:hAnsi="Arial"/>
                <w:sz w:val="18"/>
                <w:szCs w:val="18"/>
                <w:color w:val="auto"/>
              </w:rPr>
              <w:t>4.3</w:t>
            </w:r>
          </w:p>
        </w:tc>
        <w:tc>
          <w:tcPr>
            <w:tcW w:w="100" w:type="dxa"/>
            <w:vAlign w:val="bottom"/>
          </w:tcPr>
          <w:p>
            <w:pPr>
              <w:spacing w:after="0"/>
              <w:rPr>
                <w:sz w:val="24"/>
                <w:szCs w:val="24"/>
                <w:color w:val="auto"/>
              </w:rPr>
            </w:pPr>
          </w:p>
        </w:tc>
        <w:tc>
          <w:tcPr>
            <w:tcW w:w="5900" w:type="dxa"/>
            <w:vAlign w:val="bottom"/>
            <w:tcBorders>
              <w:bottom w:val="single" w:sz="8" w:color="0000EE"/>
            </w:tcBorders>
            <w:gridSpan w:val="18"/>
          </w:tcPr>
          <w:p>
            <w:pPr>
              <w:spacing w:after="0"/>
              <w:rPr>
                <w:rFonts w:ascii="Arial" w:cs="Arial" w:eastAsia="Arial" w:hAnsi="Arial"/>
                <w:sz w:val="18"/>
                <w:szCs w:val="18"/>
                <w:color w:val="0000EE"/>
                <w:w w:val="89"/>
              </w:rPr>
            </w:pPr>
            <w:hyperlink r:id="rId88">
              <w:r>
                <w:rPr>
                  <w:rFonts w:ascii="Arial" w:cs="Arial" w:eastAsia="Arial" w:hAnsi="Arial"/>
                  <w:sz w:val="18"/>
                  <w:szCs w:val="18"/>
                  <w:color w:val="0000EE"/>
                  <w:w w:val="89"/>
                </w:rPr>
                <w:t>Form of Warrant to Purchase Shares of Common Stock expiring January 30, 2018</w:t>
              </w:r>
            </w:hyperlink>
          </w:p>
        </w:tc>
        <w:tc>
          <w:tcPr>
            <w:tcW w:w="360" w:type="dxa"/>
            <w:vAlign w:val="bottom"/>
            <w:gridSpan w:val="7"/>
          </w:tcPr>
          <w:p>
            <w:pPr>
              <w:spacing w:after="0"/>
              <w:rPr>
                <w:sz w:val="24"/>
                <w:szCs w:val="24"/>
                <w:color w:val="auto"/>
              </w:rPr>
            </w:pPr>
          </w:p>
        </w:tc>
        <w:tc>
          <w:tcPr>
            <w:tcW w:w="0" w:type="dxa"/>
            <w:vAlign w:val="bottom"/>
          </w:tcPr>
          <w:p>
            <w:pPr>
              <w:spacing w:after="0"/>
              <w:rPr>
                <w:sz w:val="1"/>
                <w:szCs w:val="1"/>
                <w:color w:val="auto"/>
              </w:rPr>
            </w:pPr>
          </w:p>
        </w:tc>
      </w:tr>
      <w:tr>
        <w:trPr>
          <w:trHeight w:val="534"/>
        </w:trPr>
        <w:tc>
          <w:tcPr>
            <w:tcW w:w="820" w:type="dxa"/>
            <w:vAlign w:val="bottom"/>
          </w:tcPr>
          <w:p>
            <w:pPr>
              <w:spacing w:after="0"/>
              <w:rPr>
                <w:sz w:val="20"/>
                <w:szCs w:val="20"/>
                <w:color w:val="auto"/>
              </w:rPr>
            </w:pPr>
            <w:r>
              <w:rPr>
                <w:rFonts w:ascii="Arial" w:cs="Arial" w:eastAsia="Arial" w:hAnsi="Arial"/>
                <w:sz w:val="18"/>
                <w:szCs w:val="18"/>
                <w:color w:val="auto"/>
              </w:rPr>
              <w:t>4.4</w:t>
            </w:r>
          </w:p>
        </w:tc>
        <w:tc>
          <w:tcPr>
            <w:tcW w:w="100" w:type="dxa"/>
            <w:vAlign w:val="bottom"/>
          </w:tcPr>
          <w:p>
            <w:pPr>
              <w:spacing w:after="0"/>
              <w:rPr>
                <w:sz w:val="24"/>
                <w:szCs w:val="24"/>
                <w:color w:val="auto"/>
              </w:rPr>
            </w:pPr>
          </w:p>
        </w:tc>
        <w:tc>
          <w:tcPr>
            <w:tcW w:w="6260" w:type="dxa"/>
            <w:vAlign w:val="bottom"/>
            <w:gridSpan w:val="25"/>
          </w:tcPr>
          <w:p>
            <w:pPr>
              <w:spacing w:after="0"/>
              <w:rPr>
                <w:rFonts w:ascii="Arial" w:cs="Arial" w:eastAsia="Arial" w:hAnsi="Arial"/>
                <w:sz w:val="18"/>
                <w:szCs w:val="18"/>
                <w:color w:val="0000EE"/>
              </w:rPr>
            </w:pPr>
            <w:hyperlink r:id="rId89">
              <w:r>
                <w:rPr>
                  <w:rFonts w:ascii="Arial" w:cs="Arial" w:eastAsia="Arial" w:hAnsi="Arial"/>
                  <w:sz w:val="18"/>
                  <w:szCs w:val="18"/>
                  <w:color w:val="0000EE"/>
                </w:rPr>
                <w:t>Form of Series C Preferred Stock Certificate</w:t>
              </w:r>
            </w:hyperlink>
          </w:p>
        </w:tc>
        <w:tc>
          <w:tcPr>
            <w:tcW w:w="0" w:type="dxa"/>
            <w:vAlign w:val="bottom"/>
          </w:tcPr>
          <w:p>
            <w:pPr>
              <w:spacing w:after="0"/>
              <w:rPr>
                <w:sz w:val="1"/>
                <w:szCs w:val="1"/>
                <w:color w:val="auto"/>
              </w:rPr>
            </w:pPr>
          </w:p>
        </w:tc>
      </w:tr>
      <w:tr>
        <w:trPr>
          <w:trHeight w:val="20"/>
        </w:trPr>
        <w:tc>
          <w:tcPr>
            <w:tcW w:w="8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20" w:type="dxa"/>
            <w:vAlign w:val="bottom"/>
            <w:gridSpan w:val="2"/>
            <w:shd w:val="clear" w:color="auto" w:fill="0000EE"/>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1300" w:type="dxa"/>
            <w:vAlign w:val="bottom"/>
            <w:gridSpan w:val="3"/>
            <w:shd w:val="clear" w:color="auto" w:fill="0000EE"/>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1180" w:type="dxa"/>
            <w:vAlign w:val="bottom"/>
            <w:gridSpan w:val="3"/>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60" w:type="dxa"/>
            <w:vAlign w:val="bottom"/>
            <w:gridSpan w:val="3"/>
          </w:tcPr>
          <w:p>
            <w:pPr>
              <w:spacing w:after="0" w:line="20" w:lineRule="exact"/>
              <w:rPr>
                <w:sz w:val="1"/>
                <w:szCs w:val="1"/>
                <w:color w:val="auto"/>
              </w:rPr>
            </w:pPr>
          </w:p>
        </w:tc>
        <w:tc>
          <w:tcPr>
            <w:tcW w:w="360" w:type="dxa"/>
            <w:vAlign w:val="bottom"/>
            <w:gridSpan w:val="7"/>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50"/>
        </w:trPr>
        <w:tc>
          <w:tcPr>
            <w:tcW w:w="820" w:type="dxa"/>
            <w:vAlign w:val="bottom"/>
          </w:tcPr>
          <w:p>
            <w:pPr>
              <w:spacing w:after="0"/>
              <w:rPr>
                <w:sz w:val="20"/>
                <w:szCs w:val="20"/>
                <w:color w:val="auto"/>
              </w:rPr>
            </w:pPr>
            <w:r>
              <w:rPr>
                <w:rFonts w:ascii="Arial" w:cs="Arial" w:eastAsia="Arial" w:hAnsi="Arial"/>
                <w:sz w:val="18"/>
                <w:szCs w:val="18"/>
                <w:color w:val="auto"/>
              </w:rPr>
              <w:t>4.5</w:t>
            </w:r>
          </w:p>
        </w:tc>
        <w:tc>
          <w:tcPr>
            <w:tcW w:w="100" w:type="dxa"/>
            <w:vAlign w:val="bottom"/>
          </w:tcPr>
          <w:p>
            <w:pPr>
              <w:spacing w:after="0"/>
              <w:rPr>
                <w:sz w:val="24"/>
                <w:szCs w:val="24"/>
                <w:color w:val="auto"/>
              </w:rPr>
            </w:pPr>
          </w:p>
        </w:tc>
        <w:tc>
          <w:tcPr>
            <w:tcW w:w="5200" w:type="dxa"/>
            <w:vAlign w:val="bottom"/>
            <w:tcBorders>
              <w:bottom w:val="single" w:sz="8" w:color="0000EE"/>
            </w:tcBorders>
            <w:gridSpan w:val="12"/>
          </w:tcPr>
          <w:p>
            <w:pPr>
              <w:spacing w:after="0"/>
              <w:rPr>
                <w:rFonts w:ascii="Arial" w:cs="Arial" w:eastAsia="Arial" w:hAnsi="Arial"/>
                <w:sz w:val="18"/>
                <w:szCs w:val="18"/>
                <w:color w:val="0000EE"/>
                <w:w w:val="91"/>
              </w:rPr>
            </w:pPr>
            <w:hyperlink r:id="rId90">
              <w:r>
                <w:rPr>
                  <w:rFonts w:ascii="Arial" w:cs="Arial" w:eastAsia="Arial" w:hAnsi="Arial"/>
                  <w:sz w:val="18"/>
                  <w:szCs w:val="18"/>
                  <w:color w:val="0000EE"/>
                  <w:w w:val="91"/>
                </w:rPr>
                <w:t>Form of Common Stock Certificate of Arrowhead Pharmaceuticals, Inc.</w:t>
              </w:r>
            </w:hyperlink>
          </w:p>
        </w:tc>
        <w:tc>
          <w:tcPr>
            <w:tcW w:w="1060" w:type="dxa"/>
            <w:vAlign w:val="bottom"/>
            <w:gridSpan w:val="13"/>
          </w:tcPr>
          <w:p>
            <w:pPr>
              <w:spacing w:after="0"/>
              <w:rPr>
                <w:sz w:val="24"/>
                <w:szCs w:val="24"/>
                <w:color w:val="auto"/>
              </w:rPr>
            </w:pPr>
          </w:p>
        </w:tc>
        <w:tc>
          <w:tcPr>
            <w:tcW w:w="0" w:type="dxa"/>
            <w:vAlign w:val="bottom"/>
          </w:tcPr>
          <w:p>
            <w:pPr>
              <w:spacing w:after="0"/>
              <w:rPr>
                <w:sz w:val="1"/>
                <w:szCs w:val="1"/>
                <w:color w:val="auto"/>
              </w:rPr>
            </w:pPr>
          </w:p>
        </w:tc>
      </w:tr>
      <w:tr>
        <w:trPr>
          <w:trHeight w:val="628"/>
        </w:trPr>
        <w:tc>
          <w:tcPr>
            <w:tcW w:w="820" w:type="dxa"/>
            <w:vAlign w:val="bottom"/>
          </w:tcPr>
          <w:p>
            <w:pPr>
              <w:spacing w:after="0"/>
              <w:rPr>
                <w:sz w:val="20"/>
                <w:szCs w:val="20"/>
                <w:color w:val="auto"/>
              </w:rPr>
            </w:pPr>
            <w:r>
              <w:rPr>
                <w:rFonts w:ascii="Arial" w:cs="Arial" w:eastAsia="Arial" w:hAnsi="Arial"/>
                <w:sz w:val="18"/>
                <w:szCs w:val="18"/>
                <w:color w:val="auto"/>
              </w:rPr>
              <w:t>4.6</w:t>
            </w:r>
          </w:p>
        </w:tc>
        <w:tc>
          <w:tcPr>
            <w:tcW w:w="100" w:type="dxa"/>
            <w:vAlign w:val="bottom"/>
          </w:tcPr>
          <w:p>
            <w:pPr>
              <w:spacing w:after="0"/>
              <w:rPr>
                <w:sz w:val="24"/>
                <w:szCs w:val="24"/>
                <w:color w:val="auto"/>
              </w:rPr>
            </w:pPr>
          </w:p>
        </w:tc>
        <w:tc>
          <w:tcPr>
            <w:tcW w:w="1320" w:type="dxa"/>
            <w:vAlign w:val="bottom"/>
            <w:tcBorders>
              <w:bottom w:val="single" w:sz="8" w:color="0000EE"/>
            </w:tcBorders>
            <w:gridSpan w:val="2"/>
          </w:tcPr>
          <w:p>
            <w:pPr>
              <w:spacing w:after="0"/>
              <w:rPr>
                <w:rFonts w:ascii="Arial" w:cs="Arial" w:eastAsia="Arial" w:hAnsi="Arial"/>
                <w:sz w:val="18"/>
                <w:szCs w:val="18"/>
                <w:color w:val="0000EE"/>
                <w:w w:val="90"/>
              </w:rPr>
            </w:pPr>
            <w:hyperlink r:id="rId91">
              <w:r>
                <w:rPr>
                  <w:rFonts w:ascii="Arial" w:cs="Arial" w:eastAsia="Arial" w:hAnsi="Arial"/>
                  <w:sz w:val="18"/>
                  <w:szCs w:val="18"/>
                  <w:color w:val="0000EE"/>
                  <w:w w:val="90"/>
                </w:rPr>
                <w:t>Form of Indenture</w:t>
              </w:r>
            </w:hyperlink>
          </w:p>
        </w:tc>
        <w:tc>
          <w:tcPr>
            <w:tcW w:w="4940" w:type="dxa"/>
            <w:vAlign w:val="bottom"/>
            <w:gridSpan w:val="23"/>
          </w:tcPr>
          <w:p>
            <w:pPr>
              <w:spacing w:after="0"/>
              <w:rPr>
                <w:sz w:val="24"/>
                <w:szCs w:val="24"/>
                <w:color w:val="auto"/>
              </w:rPr>
            </w:pPr>
          </w:p>
        </w:tc>
        <w:tc>
          <w:tcPr>
            <w:tcW w:w="0" w:type="dxa"/>
            <w:vAlign w:val="bottom"/>
          </w:tcPr>
          <w:p>
            <w:pPr>
              <w:spacing w:after="0"/>
              <w:rPr>
                <w:sz w:val="1"/>
                <w:szCs w:val="1"/>
                <w:color w:val="auto"/>
              </w:rPr>
            </w:pPr>
          </w:p>
        </w:tc>
      </w:tr>
      <w:tr>
        <w:trPr>
          <w:trHeight w:val="628"/>
        </w:trPr>
        <w:tc>
          <w:tcPr>
            <w:tcW w:w="820" w:type="dxa"/>
            <w:vAlign w:val="bottom"/>
          </w:tcPr>
          <w:p>
            <w:pPr>
              <w:spacing w:after="0"/>
              <w:rPr>
                <w:sz w:val="20"/>
                <w:szCs w:val="20"/>
                <w:color w:val="auto"/>
              </w:rPr>
            </w:pPr>
            <w:r>
              <w:rPr>
                <w:rFonts w:ascii="Arial" w:cs="Arial" w:eastAsia="Arial" w:hAnsi="Arial"/>
                <w:sz w:val="18"/>
                <w:szCs w:val="18"/>
                <w:color w:val="auto"/>
              </w:rPr>
              <w:t>4.7</w:t>
            </w:r>
          </w:p>
        </w:tc>
        <w:tc>
          <w:tcPr>
            <w:tcW w:w="100" w:type="dxa"/>
            <w:vAlign w:val="bottom"/>
          </w:tcPr>
          <w:p>
            <w:pPr>
              <w:spacing w:after="0"/>
              <w:rPr>
                <w:sz w:val="24"/>
                <w:szCs w:val="24"/>
                <w:color w:val="auto"/>
              </w:rPr>
            </w:pPr>
          </w:p>
        </w:tc>
        <w:tc>
          <w:tcPr>
            <w:tcW w:w="6260" w:type="dxa"/>
            <w:vAlign w:val="bottom"/>
            <w:gridSpan w:val="25"/>
          </w:tcPr>
          <w:p>
            <w:pPr>
              <w:spacing w:after="0"/>
              <w:rPr>
                <w:rFonts w:ascii="Arial" w:cs="Arial" w:eastAsia="Arial" w:hAnsi="Arial"/>
                <w:sz w:val="18"/>
                <w:szCs w:val="18"/>
                <w:color w:val="0000EE"/>
              </w:rPr>
            </w:pPr>
            <w:hyperlink r:id="rId92">
              <w:r>
                <w:rPr>
                  <w:rFonts w:ascii="Arial" w:cs="Arial" w:eastAsia="Arial" w:hAnsi="Arial"/>
                  <w:sz w:val="18"/>
                  <w:szCs w:val="18"/>
                  <w:color w:val="0000EE"/>
                </w:rPr>
                <w:t>Rights Agreement dated as of March 21, 2017, between the Company and</w:t>
              </w:r>
            </w:hyperlink>
          </w:p>
        </w:tc>
        <w:tc>
          <w:tcPr>
            <w:tcW w:w="0" w:type="dxa"/>
            <w:vAlign w:val="bottom"/>
          </w:tcPr>
          <w:p>
            <w:pPr>
              <w:spacing w:after="0"/>
              <w:rPr>
                <w:sz w:val="1"/>
                <w:szCs w:val="1"/>
                <w:color w:val="auto"/>
              </w:rPr>
            </w:pPr>
          </w:p>
        </w:tc>
      </w:tr>
      <w:tr>
        <w:trPr>
          <w:trHeight w:val="20"/>
        </w:trPr>
        <w:tc>
          <w:tcPr>
            <w:tcW w:w="8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900" w:type="dxa"/>
            <w:vAlign w:val="bottom"/>
            <w:gridSpan w:val="3"/>
            <w:shd w:val="clear" w:color="auto" w:fill="0000EE"/>
          </w:tcPr>
          <w:p>
            <w:pPr>
              <w:spacing w:after="0" w:line="20" w:lineRule="exact"/>
              <w:rPr>
                <w:sz w:val="1"/>
                <w:szCs w:val="1"/>
                <w:color w:val="auto"/>
              </w:rPr>
            </w:pPr>
          </w:p>
        </w:tc>
        <w:tc>
          <w:tcPr>
            <w:tcW w:w="2000" w:type="dxa"/>
            <w:vAlign w:val="bottom"/>
            <w:gridSpan w:val="5"/>
            <w:shd w:val="clear" w:color="auto" w:fill="0000EE"/>
          </w:tcPr>
          <w:p>
            <w:pPr>
              <w:spacing w:after="0" w:line="20" w:lineRule="exact"/>
              <w:rPr>
                <w:sz w:val="1"/>
                <w:szCs w:val="1"/>
                <w:color w:val="auto"/>
              </w:rPr>
            </w:pPr>
          </w:p>
        </w:tc>
        <w:tc>
          <w:tcPr>
            <w:tcW w:w="1180" w:type="dxa"/>
            <w:vAlign w:val="bottom"/>
            <w:gridSpan w:val="3"/>
            <w:shd w:val="clear" w:color="auto" w:fill="0000EE"/>
          </w:tcPr>
          <w:p>
            <w:pPr>
              <w:spacing w:after="0" w:line="20" w:lineRule="exact"/>
              <w:rPr>
                <w:sz w:val="1"/>
                <w:szCs w:val="1"/>
                <w:color w:val="auto"/>
              </w:rPr>
            </w:pPr>
          </w:p>
        </w:tc>
        <w:tc>
          <w:tcPr>
            <w:tcW w:w="240" w:type="dxa"/>
            <w:vAlign w:val="bottom"/>
            <w:gridSpan w:val="2"/>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60" w:type="dxa"/>
            <w:vAlign w:val="bottom"/>
            <w:gridSpan w:val="3"/>
          </w:tcPr>
          <w:p>
            <w:pPr>
              <w:spacing w:after="0" w:line="20" w:lineRule="exact"/>
              <w:rPr>
                <w:sz w:val="1"/>
                <w:szCs w:val="1"/>
                <w:color w:val="auto"/>
              </w:rPr>
            </w:pPr>
          </w:p>
        </w:tc>
        <w:tc>
          <w:tcPr>
            <w:tcW w:w="360" w:type="dxa"/>
            <w:vAlign w:val="bottom"/>
            <w:gridSpan w:val="7"/>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60" w:type="dxa"/>
            <w:vAlign w:val="bottom"/>
            <w:gridSpan w:val="25"/>
          </w:tcPr>
          <w:p>
            <w:pPr>
              <w:spacing w:after="0" w:line="196" w:lineRule="exact"/>
              <w:rPr>
                <w:rFonts w:ascii="Arial" w:cs="Arial" w:eastAsia="Arial" w:hAnsi="Arial"/>
                <w:sz w:val="18"/>
                <w:szCs w:val="18"/>
                <w:color w:val="0000EE"/>
                <w:w w:val="91"/>
              </w:rPr>
            </w:pPr>
            <w:hyperlink r:id="rId92">
              <w:r>
                <w:rPr>
                  <w:rFonts w:ascii="Arial" w:cs="Arial" w:eastAsia="Arial" w:hAnsi="Arial"/>
                  <w:sz w:val="18"/>
                  <w:szCs w:val="18"/>
                  <w:color w:val="0000EE"/>
                  <w:w w:val="91"/>
                </w:rPr>
                <w:t>Computershare Trust Company, N.A., as rights agent, which includes as Exhibit B the</w:t>
              </w:r>
            </w:hyperlink>
          </w:p>
        </w:tc>
        <w:tc>
          <w:tcPr>
            <w:tcW w:w="0" w:type="dxa"/>
            <w:vAlign w:val="bottom"/>
          </w:tcPr>
          <w:p>
            <w:pPr>
              <w:spacing w:after="0"/>
              <w:rPr>
                <w:sz w:val="1"/>
                <w:szCs w:val="1"/>
                <w:color w:val="auto"/>
              </w:rPr>
            </w:pPr>
          </w:p>
        </w:tc>
      </w:tr>
      <w:tr>
        <w:trPr>
          <w:trHeight w:val="196"/>
        </w:trPr>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900" w:type="dxa"/>
            <w:vAlign w:val="bottom"/>
            <w:tcBorders>
              <w:top w:val="single" w:sz="8" w:color="0000EE"/>
              <w:bottom w:val="single" w:sz="8" w:color="0000EE"/>
            </w:tcBorders>
            <w:gridSpan w:val="3"/>
          </w:tcPr>
          <w:p>
            <w:pPr>
              <w:spacing w:after="0" w:line="196" w:lineRule="exact"/>
              <w:rPr>
                <w:rFonts w:ascii="Arial" w:cs="Arial" w:eastAsia="Arial" w:hAnsi="Arial"/>
                <w:sz w:val="18"/>
                <w:szCs w:val="18"/>
                <w:color w:val="0000EE"/>
                <w:w w:val="92"/>
              </w:rPr>
            </w:pPr>
            <w:hyperlink r:id="rId92">
              <w:r>
                <w:rPr>
                  <w:rFonts w:ascii="Arial" w:cs="Arial" w:eastAsia="Arial" w:hAnsi="Arial"/>
                  <w:sz w:val="18"/>
                  <w:szCs w:val="18"/>
                  <w:color w:val="0000EE"/>
                  <w:w w:val="92"/>
                </w:rPr>
                <w:t>Form of Rights Certificate</w:t>
              </w:r>
            </w:hyperlink>
          </w:p>
        </w:tc>
        <w:tc>
          <w:tcPr>
            <w:tcW w:w="4280" w:type="dxa"/>
            <w:vAlign w:val="bottom"/>
            <w:tcBorders>
              <w:top w:val="single" w:sz="8" w:color="0000EE"/>
            </w:tcBorders>
            <w:gridSpan w:val="21"/>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12"/>
        </w:trPr>
        <w:tc>
          <w:tcPr>
            <w:tcW w:w="820" w:type="dxa"/>
            <w:vAlign w:val="bottom"/>
          </w:tcPr>
          <w:p>
            <w:pPr>
              <w:spacing w:after="0"/>
              <w:rPr>
                <w:sz w:val="20"/>
                <w:szCs w:val="20"/>
                <w:color w:val="auto"/>
              </w:rPr>
            </w:pPr>
            <w:r>
              <w:rPr>
                <w:rFonts w:ascii="Arial" w:cs="Arial" w:eastAsia="Arial" w:hAnsi="Arial"/>
                <w:sz w:val="18"/>
                <w:szCs w:val="18"/>
                <w:color w:val="auto"/>
              </w:rPr>
              <w:t>10.1**</w:t>
            </w:r>
          </w:p>
        </w:tc>
        <w:tc>
          <w:tcPr>
            <w:tcW w:w="100" w:type="dxa"/>
            <w:vAlign w:val="bottom"/>
          </w:tcPr>
          <w:p>
            <w:pPr>
              <w:spacing w:after="0"/>
              <w:rPr>
                <w:sz w:val="24"/>
                <w:szCs w:val="24"/>
                <w:color w:val="auto"/>
              </w:rPr>
            </w:pPr>
          </w:p>
        </w:tc>
        <w:tc>
          <w:tcPr>
            <w:tcW w:w="5820" w:type="dxa"/>
            <w:vAlign w:val="bottom"/>
            <w:tcBorders>
              <w:bottom w:val="single" w:sz="8" w:color="0000EE"/>
            </w:tcBorders>
            <w:gridSpan w:val="17"/>
          </w:tcPr>
          <w:p>
            <w:pPr>
              <w:spacing w:after="0"/>
              <w:rPr>
                <w:rFonts w:ascii="Arial" w:cs="Arial" w:eastAsia="Arial" w:hAnsi="Arial"/>
                <w:sz w:val="18"/>
                <w:szCs w:val="18"/>
                <w:color w:val="0000EE"/>
                <w:w w:val="91"/>
              </w:rPr>
            </w:pPr>
            <w:hyperlink r:id="rId93">
              <w:r>
                <w:rPr>
                  <w:rFonts w:ascii="Arial" w:cs="Arial" w:eastAsia="Arial" w:hAnsi="Arial"/>
                  <w:sz w:val="18"/>
                  <w:szCs w:val="18"/>
                  <w:color w:val="0000EE"/>
                  <w:w w:val="91"/>
                </w:rPr>
                <w:t>Arrowhead Research Corporation (fka InterActive, Inc.) 2000 Stock Option Plan</w:t>
              </w:r>
            </w:hyperlink>
          </w:p>
        </w:tc>
        <w:tc>
          <w:tcPr>
            <w:tcW w:w="440" w:type="dxa"/>
            <w:vAlign w:val="bottom"/>
            <w:gridSpan w:val="8"/>
          </w:tcPr>
          <w:p>
            <w:pPr>
              <w:spacing w:after="0"/>
              <w:rPr>
                <w:sz w:val="24"/>
                <w:szCs w:val="24"/>
                <w:color w:val="auto"/>
              </w:rPr>
            </w:pPr>
          </w:p>
        </w:tc>
        <w:tc>
          <w:tcPr>
            <w:tcW w:w="0" w:type="dxa"/>
            <w:vAlign w:val="bottom"/>
          </w:tcPr>
          <w:p>
            <w:pPr>
              <w:spacing w:after="0"/>
              <w:rPr>
                <w:sz w:val="1"/>
                <w:szCs w:val="1"/>
                <w:color w:val="auto"/>
              </w:rPr>
            </w:pPr>
          </w:p>
        </w:tc>
      </w:tr>
      <w:tr>
        <w:trPr>
          <w:trHeight w:val="534"/>
        </w:trPr>
        <w:tc>
          <w:tcPr>
            <w:tcW w:w="820" w:type="dxa"/>
            <w:vAlign w:val="bottom"/>
          </w:tcPr>
          <w:p>
            <w:pPr>
              <w:spacing w:after="0"/>
              <w:rPr>
                <w:sz w:val="20"/>
                <w:szCs w:val="20"/>
                <w:color w:val="auto"/>
              </w:rPr>
            </w:pPr>
            <w:r>
              <w:rPr>
                <w:rFonts w:ascii="Arial" w:cs="Arial" w:eastAsia="Arial" w:hAnsi="Arial"/>
                <w:sz w:val="18"/>
                <w:szCs w:val="18"/>
                <w:color w:val="auto"/>
              </w:rPr>
              <w:t>10.2**</w:t>
            </w:r>
          </w:p>
        </w:tc>
        <w:tc>
          <w:tcPr>
            <w:tcW w:w="100" w:type="dxa"/>
            <w:vAlign w:val="bottom"/>
          </w:tcPr>
          <w:p>
            <w:pPr>
              <w:spacing w:after="0"/>
              <w:rPr>
                <w:sz w:val="24"/>
                <w:szCs w:val="24"/>
                <w:color w:val="auto"/>
              </w:rPr>
            </w:pPr>
          </w:p>
        </w:tc>
        <w:tc>
          <w:tcPr>
            <w:tcW w:w="6260" w:type="dxa"/>
            <w:vAlign w:val="bottom"/>
            <w:gridSpan w:val="25"/>
          </w:tcPr>
          <w:p>
            <w:pPr>
              <w:spacing w:after="0"/>
              <w:rPr>
                <w:rFonts w:ascii="Arial" w:cs="Arial" w:eastAsia="Arial" w:hAnsi="Arial"/>
                <w:sz w:val="18"/>
                <w:szCs w:val="18"/>
                <w:color w:val="0000EE"/>
              </w:rPr>
            </w:pPr>
            <w:hyperlink r:id="rId94">
              <w:r>
                <w:rPr>
                  <w:rFonts w:ascii="Arial" w:cs="Arial" w:eastAsia="Arial" w:hAnsi="Arial"/>
                  <w:sz w:val="18"/>
                  <w:szCs w:val="18"/>
                  <w:color w:val="0000EE"/>
                </w:rPr>
                <w:t>Arrowhead Research Corporation 2004 Equity Incentive Plan, as amended</w:t>
              </w:r>
            </w:hyperlink>
          </w:p>
        </w:tc>
        <w:tc>
          <w:tcPr>
            <w:tcW w:w="0" w:type="dxa"/>
            <w:vAlign w:val="bottom"/>
          </w:tcPr>
          <w:p>
            <w:pPr>
              <w:spacing w:after="0"/>
              <w:rPr>
                <w:sz w:val="1"/>
                <w:szCs w:val="1"/>
                <w:color w:val="auto"/>
              </w:rPr>
            </w:pPr>
          </w:p>
        </w:tc>
      </w:tr>
      <w:tr>
        <w:trPr>
          <w:trHeight w:val="412"/>
        </w:trPr>
        <w:tc>
          <w:tcPr>
            <w:tcW w:w="820" w:type="dxa"/>
            <w:vAlign w:val="bottom"/>
          </w:tcPr>
          <w:p>
            <w:pPr>
              <w:spacing w:after="0"/>
              <w:rPr>
                <w:sz w:val="20"/>
                <w:szCs w:val="20"/>
                <w:color w:val="auto"/>
              </w:rPr>
            </w:pPr>
            <w:r>
              <w:rPr>
                <w:rFonts w:ascii="Arial" w:cs="Arial" w:eastAsia="Arial" w:hAnsi="Arial"/>
                <w:sz w:val="18"/>
                <w:szCs w:val="18"/>
                <w:color w:val="auto"/>
              </w:rPr>
              <w:t>10.3**</w:t>
            </w:r>
          </w:p>
        </w:tc>
        <w:tc>
          <w:tcPr>
            <w:tcW w:w="100" w:type="dxa"/>
            <w:vAlign w:val="bottom"/>
          </w:tcPr>
          <w:p>
            <w:pPr>
              <w:spacing w:after="0"/>
              <w:rPr>
                <w:sz w:val="24"/>
                <w:szCs w:val="24"/>
                <w:color w:val="auto"/>
              </w:rPr>
            </w:pPr>
          </w:p>
        </w:tc>
        <w:tc>
          <w:tcPr>
            <w:tcW w:w="5360" w:type="dxa"/>
            <w:vAlign w:val="bottom"/>
            <w:tcBorders>
              <w:top w:val="single" w:sz="8" w:color="0000EE"/>
            </w:tcBorders>
            <w:gridSpan w:val="14"/>
          </w:tcPr>
          <w:p>
            <w:pPr>
              <w:spacing w:after="0"/>
              <w:rPr>
                <w:rFonts w:ascii="Arial" w:cs="Arial" w:eastAsia="Arial" w:hAnsi="Arial"/>
                <w:sz w:val="18"/>
                <w:szCs w:val="18"/>
                <w:color w:val="0000EE"/>
              </w:rPr>
            </w:pPr>
            <w:hyperlink r:id="rId95">
              <w:r>
                <w:rPr>
                  <w:rFonts w:ascii="Arial" w:cs="Arial" w:eastAsia="Arial" w:hAnsi="Arial"/>
                  <w:sz w:val="18"/>
                  <w:szCs w:val="18"/>
                  <w:color w:val="0000EE"/>
                </w:rPr>
                <w:t>Arrowhead Research Corporation 2013 Incentive Plan</w:t>
              </w:r>
            </w:hyperlink>
          </w:p>
        </w:tc>
        <w:tc>
          <w:tcPr>
            <w:tcW w:w="900" w:type="dxa"/>
            <w:vAlign w:val="bottom"/>
            <w:gridSpan w:val="11"/>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8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900" w:type="dxa"/>
            <w:vAlign w:val="bottom"/>
            <w:gridSpan w:val="8"/>
            <w:shd w:val="clear" w:color="auto" w:fill="0000EE"/>
          </w:tcPr>
          <w:p>
            <w:pPr>
              <w:spacing w:after="0" w:line="20" w:lineRule="exact"/>
              <w:rPr>
                <w:sz w:val="1"/>
                <w:szCs w:val="1"/>
                <w:color w:val="auto"/>
              </w:rPr>
            </w:pPr>
          </w:p>
        </w:tc>
        <w:tc>
          <w:tcPr>
            <w:tcW w:w="1180" w:type="dxa"/>
            <w:vAlign w:val="bottom"/>
            <w:gridSpan w:val="3"/>
          </w:tcPr>
          <w:p>
            <w:pPr>
              <w:spacing w:after="0" w:line="20" w:lineRule="exact"/>
              <w:rPr>
                <w:sz w:val="1"/>
                <w:szCs w:val="1"/>
                <w:color w:val="auto"/>
              </w:rPr>
            </w:pPr>
          </w:p>
        </w:tc>
        <w:tc>
          <w:tcPr>
            <w:tcW w:w="1180" w:type="dxa"/>
            <w:vAlign w:val="bottom"/>
            <w:gridSpan w:val="14"/>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34"/>
        </w:trPr>
        <w:tc>
          <w:tcPr>
            <w:tcW w:w="820" w:type="dxa"/>
            <w:vAlign w:val="bottom"/>
          </w:tcPr>
          <w:p>
            <w:pPr>
              <w:spacing w:after="0"/>
              <w:rPr>
                <w:sz w:val="20"/>
                <w:szCs w:val="20"/>
                <w:color w:val="auto"/>
              </w:rPr>
            </w:pPr>
            <w:r>
              <w:rPr>
                <w:rFonts w:ascii="Arial" w:cs="Arial" w:eastAsia="Arial" w:hAnsi="Arial"/>
                <w:sz w:val="18"/>
                <w:szCs w:val="18"/>
                <w:color w:val="auto"/>
              </w:rPr>
              <w:t>10.4**</w:t>
            </w:r>
          </w:p>
        </w:tc>
        <w:tc>
          <w:tcPr>
            <w:tcW w:w="100" w:type="dxa"/>
            <w:vAlign w:val="bottom"/>
          </w:tcPr>
          <w:p>
            <w:pPr>
              <w:spacing w:after="0"/>
              <w:rPr>
                <w:sz w:val="24"/>
                <w:szCs w:val="24"/>
                <w:color w:val="auto"/>
              </w:rPr>
            </w:pPr>
          </w:p>
        </w:tc>
        <w:tc>
          <w:tcPr>
            <w:tcW w:w="5080" w:type="dxa"/>
            <w:vAlign w:val="bottom"/>
            <w:tcBorders>
              <w:bottom w:val="single" w:sz="8" w:color="0000EE"/>
            </w:tcBorders>
            <w:gridSpan w:val="11"/>
          </w:tcPr>
          <w:p>
            <w:pPr>
              <w:spacing w:after="0"/>
              <w:rPr>
                <w:rFonts w:ascii="Arial" w:cs="Arial" w:eastAsia="Arial" w:hAnsi="Arial"/>
                <w:sz w:val="18"/>
                <w:szCs w:val="18"/>
                <w:color w:val="0000EE"/>
                <w:w w:val="91"/>
              </w:rPr>
            </w:pPr>
            <w:hyperlink r:id="rId96">
              <w:r>
                <w:rPr>
                  <w:rFonts w:ascii="Arial" w:cs="Arial" w:eastAsia="Arial" w:hAnsi="Arial"/>
                  <w:sz w:val="18"/>
                  <w:szCs w:val="18"/>
                  <w:color w:val="0000EE"/>
                  <w:w w:val="91"/>
                </w:rPr>
                <w:t>Form of Stock Option Agreement for use with the 2013 Incentive Plan</w:t>
              </w:r>
            </w:hyperlink>
          </w:p>
        </w:tc>
        <w:tc>
          <w:tcPr>
            <w:tcW w:w="1180" w:type="dxa"/>
            <w:vAlign w:val="bottom"/>
            <w:gridSpan w:val="14"/>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314"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Incorporated by Reference Herein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6350</wp:posOffset>
            </wp:positionV>
            <wp:extent cx="2632710" cy="88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97">
                      <a:extLst>
                        <a:ext uri="{28A0092B-C50C-407E-A947-70E740481C1C}"/>
                      </a:extLst>
                    </a:blip>
                    <a:srcRect/>
                    <a:stretch>
                      <a:fillRect/>
                    </a:stretch>
                  </pic:blipFill>
                  <pic:spPr bwMode="auto">
                    <a:xfrm>
                      <a:off x="0" y="0"/>
                      <a:ext cx="2632710" cy="8890"/>
                    </a:xfrm>
                    <a:prstGeom prst="rect">
                      <a:avLst/>
                    </a:prstGeom>
                    <a:noFill/>
                  </pic:spPr>
                </pic:pic>
              </a:graphicData>
            </a:graphic>
          </wp:anchor>
        </w:drawing>
      </w:r>
    </w:p>
    <w:p>
      <w:pPr>
        <w:spacing w:after="0" w:line="49"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720" w:type="dxa"/>
            <w:vAlign w:val="bottom"/>
            <w:tcBorders>
              <w:bottom w:val="single" w:sz="8" w:color="auto"/>
            </w:tcBorders>
          </w:tcPr>
          <w:p>
            <w:pPr>
              <w:ind w:left="1180"/>
              <w:spacing w:after="0"/>
              <w:rPr>
                <w:sz w:val="20"/>
                <w:szCs w:val="20"/>
                <w:color w:val="auto"/>
              </w:rPr>
            </w:pPr>
            <w:r>
              <w:rPr>
                <w:rFonts w:ascii="Arial" w:cs="Arial" w:eastAsia="Arial" w:hAnsi="Arial"/>
                <w:sz w:val="14"/>
                <w:szCs w:val="14"/>
                <w:b w:val="1"/>
                <w:bCs w:val="1"/>
                <w:color w:val="auto"/>
              </w:rPr>
              <w:t>Form</w:t>
            </w:r>
          </w:p>
        </w:tc>
        <w:tc>
          <w:tcPr>
            <w:tcW w:w="80" w:type="dxa"/>
            <w:vAlign w:val="bottom"/>
          </w:tcPr>
          <w:p>
            <w:pPr>
              <w:spacing w:after="0"/>
              <w:rPr>
                <w:sz w:val="14"/>
                <w:szCs w:val="14"/>
                <w:color w:val="auto"/>
              </w:rPr>
            </w:pPr>
          </w:p>
        </w:tc>
        <w:tc>
          <w:tcPr>
            <w:tcW w:w="1340" w:type="dxa"/>
            <w:vAlign w:val="bottom"/>
            <w:tcBorders>
              <w:bottom w:val="single" w:sz="8" w:color="auto"/>
            </w:tcBorders>
          </w:tcPr>
          <w:p>
            <w:pPr>
              <w:ind w:left="520"/>
              <w:spacing w:after="0"/>
              <w:rPr>
                <w:sz w:val="20"/>
                <w:szCs w:val="20"/>
                <w:color w:val="auto"/>
              </w:rPr>
            </w:pPr>
            <w:r>
              <w:rPr>
                <w:rFonts w:ascii="Arial" w:cs="Arial" w:eastAsia="Arial" w:hAnsi="Arial"/>
                <w:sz w:val="14"/>
                <w:szCs w:val="14"/>
                <w:b w:val="1"/>
                <w:bCs w:val="1"/>
                <w:color w:val="auto"/>
              </w:rPr>
              <w:t>Date</w:t>
            </w:r>
          </w:p>
        </w:tc>
      </w:tr>
      <w:tr>
        <w:trPr>
          <w:trHeight w:val="317"/>
        </w:trPr>
        <w:tc>
          <w:tcPr>
            <w:tcW w:w="2800" w:type="dxa"/>
            <w:vAlign w:val="bottom"/>
            <w:gridSpan w:val="2"/>
          </w:tcPr>
          <w:p>
            <w:pPr>
              <w:spacing w:after="0"/>
              <w:rPr>
                <w:sz w:val="20"/>
                <w:szCs w:val="20"/>
                <w:color w:val="auto"/>
              </w:rPr>
            </w:pPr>
            <w:r>
              <w:rPr>
                <w:rFonts w:ascii="Arial" w:cs="Arial" w:eastAsia="Arial" w:hAnsi="Arial"/>
                <w:sz w:val="18"/>
                <w:szCs w:val="18"/>
                <w:color w:val="auto"/>
                <w:w w:val="97"/>
              </w:rPr>
              <w:t>Annual Report on Form 10-K for the</w:t>
            </w:r>
          </w:p>
        </w:tc>
        <w:tc>
          <w:tcPr>
            <w:tcW w:w="1340" w:type="dxa"/>
            <w:vAlign w:val="bottom"/>
          </w:tcPr>
          <w:p>
            <w:pPr>
              <w:spacing w:after="0"/>
              <w:rPr>
                <w:sz w:val="20"/>
                <w:szCs w:val="20"/>
                <w:color w:val="auto"/>
              </w:rPr>
            </w:pPr>
            <w:r>
              <w:rPr>
                <w:rFonts w:ascii="Arial" w:cs="Arial" w:eastAsia="Arial" w:hAnsi="Arial"/>
                <w:sz w:val="18"/>
                <w:szCs w:val="18"/>
                <w:color w:val="auto"/>
              </w:rPr>
              <w:t>December 20,</w:t>
            </w:r>
          </w:p>
        </w:tc>
      </w:tr>
      <w:tr>
        <w:trPr>
          <w:trHeight w:val="216"/>
        </w:trPr>
        <w:tc>
          <w:tcPr>
            <w:tcW w:w="2800" w:type="dxa"/>
            <w:vAlign w:val="bottom"/>
            <w:gridSpan w:val="2"/>
          </w:tcPr>
          <w:p>
            <w:pPr>
              <w:spacing w:after="0"/>
              <w:rPr>
                <w:sz w:val="20"/>
                <w:szCs w:val="20"/>
                <w:color w:val="auto"/>
              </w:rPr>
            </w:pPr>
            <w:r>
              <w:rPr>
                <w:rFonts w:ascii="Arial" w:cs="Arial" w:eastAsia="Arial" w:hAnsi="Arial"/>
                <w:sz w:val="18"/>
                <w:szCs w:val="18"/>
                <w:color w:val="auto"/>
              </w:rPr>
              <w:t>fiscal year ended September 30,</w:t>
            </w:r>
          </w:p>
        </w:tc>
        <w:tc>
          <w:tcPr>
            <w:tcW w:w="1340" w:type="dxa"/>
            <w:vAlign w:val="bottom"/>
          </w:tcPr>
          <w:p>
            <w:pPr>
              <w:spacing w:after="0"/>
              <w:rPr>
                <w:sz w:val="20"/>
                <w:szCs w:val="20"/>
                <w:color w:val="auto"/>
              </w:rPr>
            </w:pPr>
            <w:r>
              <w:rPr>
                <w:rFonts w:ascii="Arial" w:cs="Arial" w:eastAsia="Arial" w:hAnsi="Arial"/>
                <w:sz w:val="18"/>
                <w:szCs w:val="18"/>
                <w:color w:val="auto"/>
              </w:rPr>
              <w:t>2011</w:t>
            </w:r>
          </w:p>
        </w:tc>
      </w:tr>
      <w:tr>
        <w:trPr>
          <w:trHeight w:val="230"/>
        </w:trPr>
        <w:tc>
          <w:tcPr>
            <w:tcW w:w="2800" w:type="dxa"/>
            <w:vAlign w:val="bottom"/>
            <w:gridSpan w:val="2"/>
          </w:tcPr>
          <w:p>
            <w:pPr>
              <w:spacing w:after="0"/>
              <w:rPr>
                <w:sz w:val="20"/>
                <w:szCs w:val="20"/>
                <w:color w:val="auto"/>
              </w:rPr>
            </w:pPr>
            <w:r>
              <w:rPr>
                <w:rFonts w:ascii="Arial" w:cs="Arial" w:eastAsia="Arial" w:hAnsi="Arial"/>
                <w:sz w:val="18"/>
                <w:szCs w:val="18"/>
                <w:color w:val="auto"/>
              </w:rPr>
              <w:t>2011, as Exhibit 2.1</w:t>
            </w:r>
          </w:p>
        </w:tc>
        <w:tc>
          <w:tcPr>
            <w:tcW w:w="1340" w:type="dxa"/>
            <w:vAlign w:val="bottom"/>
          </w:tcPr>
          <w:p>
            <w:pPr>
              <w:spacing w:after="0"/>
              <w:rPr>
                <w:sz w:val="20"/>
                <w:szCs w:val="20"/>
                <w:color w:val="auto"/>
              </w:rPr>
            </w:pPr>
          </w:p>
        </w:tc>
      </w:tr>
      <w:tr>
        <w:trPr>
          <w:trHeight w:val="323"/>
        </w:trPr>
        <w:tc>
          <w:tcPr>
            <w:tcW w:w="2800" w:type="dxa"/>
            <w:vAlign w:val="bottom"/>
            <w:gridSpan w:val="2"/>
          </w:tcPr>
          <w:p>
            <w:pPr>
              <w:spacing w:after="0"/>
              <w:rPr>
                <w:sz w:val="20"/>
                <w:szCs w:val="20"/>
                <w:color w:val="auto"/>
              </w:rPr>
            </w:pPr>
            <w:r>
              <w:rPr>
                <w:rFonts w:ascii="Arial" w:cs="Arial" w:eastAsia="Arial" w:hAnsi="Arial"/>
                <w:sz w:val="18"/>
                <w:szCs w:val="18"/>
                <w:color w:val="auto"/>
                <w:w w:val="99"/>
              </w:rPr>
              <w:t>Quarterly Report on Form 10-Q, as</w:t>
            </w:r>
          </w:p>
        </w:tc>
        <w:tc>
          <w:tcPr>
            <w:tcW w:w="1340" w:type="dxa"/>
            <w:vAlign w:val="bottom"/>
          </w:tcPr>
          <w:p>
            <w:pPr>
              <w:spacing w:after="0"/>
              <w:rPr>
                <w:sz w:val="20"/>
                <w:szCs w:val="20"/>
                <w:color w:val="auto"/>
              </w:rPr>
            </w:pPr>
            <w:r>
              <w:rPr>
                <w:rFonts w:ascii="Arial" w:cs="Arial" w:eastAsia="Arial" w:hAnsi="Arial"/>
                <w:sz w:val="18"/>
                <w:szCs w:val="18"/>
                <w:color w:val="auto"/>
              </w:rPr>
              <w:t>May 11, 2015</w:t>
            </w:r>
          </w:p>
        </w:tc>
      </w:tr>
      <w:tr>
        <w:trPr>
          <w:trHeight w:val="230"/>
        </w:trPr>
        <w:tc>
          <w:tcPr>
            <w:tcW w:w="2800" w:type="dxa"/>
            <w:vAlign w:val="bottom"/>
            <w:gridSpan w:val="2"/>
          </w:tcPr>
          <w:p>
            <w:pPr>
              <w:spacing w:after="0"/>
              <w:rPr>
                <w:sz w:val="20"/>
                <w:szCs w:val="20"/>
                <w:color w:val="auto"/>
              </w:rPr>
            </w:pPr>
            <w:r>
              <w:rPr>
                <w:rFonts w:ascii="Arial" w:cs="Arial" w:eastAsia="Arial" w:hAnsi="Arial"/>
                <w:sz w:val="18"/>
                <w:szCs w:val="18"/>
                <w:color w:val="auto"/>
              </w:rPr>
              <w:t>Exhibit 2.1</w:t>
            </w:r>
          </w:p>
        </w:tc>
        <w:tc>
          <w:tcPr>
            <w:tcW w:w="1340" w:type="dxa"/>
            <w:vAlign w:val="bottom"/>
          </w:tcPr>
          <w:p>
            <w:pPr>
              <w:spacing w:after="0"/>
              <w:rPr>
                <w:sz w:val="20"/>
                <w:szCs w:val="20"/>
                <w:color w:val="auto"/>
              </w:rPr>
            </w:pPr>
          </w:p>
        </w:tc>
      </w:tr>
      <w:tr>
        <w:trPr>
          <w:trHeight w:val="634"/>
        </w:trPr>
        <w:tc>
          <w:tcPr>
            <w:tcW w:w="2800" w:type="dxa"/>
            <w:vAlign w:val="bottom"/>
            <w:gridSpan w:val="2"/>
          </w:tcPr>
          <w:p>
            <w:pPr>
              <w:spacing w:after="0"/>
              <w:rPr>
                <w:sz w:val="20"/>
                <w:szCs w:val="20"/>
                <w:color w:val="auto"/>
              </w:rPr>
            </w:pPr>
            <w:r>
              <w:rPr>
                <w:rFonts w:ascii="Arial" w:cs="Arial" w:eastAsia="Arial" w:hAnsi="Arial"/>
                <w:sz w:val="18"/>
                <w:szCs w:val="18"/>
                <w:color w:val="auto"/>
              </w:rPr>
              <w:t>Current Report on Form 8-K as</w:t>
            </w:r>
          </w:p>
        </w:tc>
        <w:tc>
          <w:tcPr>
            <w:tcW w:w="1340" w:type="dxa"/>
            <w:vAlign w:val="bottom"/>
          </w:tcPr>
          <w:p>
            <w:pPr>
              <w:spacing w:after="0"/>
              <w:rPr>
                <w:sz w:val="20"/>
                <w:szCs w:val="20"/>
                <w:color w:val="auto"/>
              </w:rPr>
            </w:pPr>
            <w:r>
              <w:rPr>
                <w:rFonts w:ascii="Arial" w:cs="Arial" w:eastAsia="Arial" w:hAnsi="Arial"/>
                <w:sz w:val="18"/>
                <w:szCs w:val="18"/>
                <w:color w:val="auto"/>
              </w:rPr>
              <w:t>April 6, 2016</w:t>
            </w:r>
          </w:p>
        </w:tc>
      </w:tr>
      <w:tr>
        <w:trPr>
          <w:trHeight w:val="230"/>
        </w:trPr>
        <w:tc>
          <w:tcPr>
            <w:tcW w:w="2800" w:type="dxa"/>
            <w:vAlign w:val="bottom"/>
            <w:gridSpan w:val="2"/>
          </w:tcPr>
          <w:p>
            <w:pPr>
              <w:spacing w:after="0"/>
              <w:rPr>
                <w:sz w:val="20"/>
                <w:szCs w:val="20"/>
                <w:color w:val="auto"/>
              </w:rPr>
            </w:pPr>
            <w:r>
              <w:rPr>
                <w:rFonts w:ascii="Arial" w:cs="Arial" w:eastAsia="Arial" w:hAnsi="Arial"/>
                <w:sz w:val="18"/>
                <w:szCs w:val="18"/>
                <w:color w:val="auto"/>
              </w:rPr>
              <w:t>Exhibit 3.3</w:t>
            </w:r>
          </w:p>
        </w:tc>
        <w:tc>
          <w:tcPr>
            <w:tcW w:w="1340" w:type="dxa"/>
            <w:vAlign w:val="bottom"/>
          </w:tcPr>
          <w:p>
            <w:pPr>
              <w:spacing w:after="0"/>
              <w:rPr>
                <w:sz w:val="20"/>
                <w:szCs w:val="20"/>
                <w:color w:val="auto"/>
              </w:rPr>
            </w:pPr>
          </w:p>
        </w:tc>
      </w:tr>
      <w:tr>
        <w:trPr>
          <w:trHeight w:val="634"/>
        </w:trPr>
        <w:tc>
          <w:tcPr>
            <w:tcW w:w="2800" w:type="dxa"/>
            <w:vAlign w:val="bottom"/>
            <w:gridSpan w:val="2"/>
          </w:tcPr>
          <w:p>
            <w:pPr>
              <w:spacing w:after="0"/>
              <w:rPr>
                <w:sz w:val="20"/>
                <w:szCs w:val="20"/>
                <w:color w:val="auto"/>
              </w:rPr>
            </w:pPr>
            <w:r>
              <w:rPr>
                <w:rFonts w:ascii="Arial" w:cs="Arial" w:eastAsia="Arial" w:hAnsi="Arial"/>
                <w:sz w:val="18"/>
                <w:szCs w:val="18"/>
                <w:color w:val="auto"/>
              </w:rPr>
              <w:t>Current Report on form 8-K as</w:t>
            </w:r>
          </w:p>
        </w:tc>
        <w:tc>
          <w:tcPr>
            <w:tcW w:w="1340" w:type="dxa"/>
            <w:vAlign w:val="bottom"/>
          </w:tcPr>
          <w:p>
            <w:pPr>
              <w:spacing w:after="0"/>
              <w:rPr>
                <w:sz w:val="20"/>
                <w:szCs w:val="20"/>
                <w:color w:val="auto"/>
              </w:rPr>
            </w:pPr>
            <w:r>
              <w:rPr>
                <w:rFonts w:ascii="Arial" w:cs="Arial" w:eastAsia="Arial" w:hAnsi="Arial"/>
                <w:sz w:val="18"/>
                <w:szCs w:val="18"/>
                <w:color w:val="auto"/>
              </w:rPr>
              <w:t>April 6, 2016</w:t>
            </w:r>
          </w:p>
        </w:tc>
      </w:tr>
      <w:tr>
        <w:trPr>
          <w:trHeight w:val="230"/>
        </w:trPr>
        <w:tc>
          <w:tcPr>
            <w:tcW w:w="2800" w:type="dxa"/>
            <w:vAlign w:val="bottom"/>
            <w:gridSpan w:val="2"/>
          </w:tcPr>
          <w:p>
            <w:pPr>
              <w:spacing w:after="0"/>
              <w:rPr>
                <w:sz w:val="20"/>
                <w:szCs w:val="20"/>
                <w:color w:val="auto"/>
              </w:rPr>
            </w:pPr>
            <w:r>
              <w:rPr>
                <w:rFonts w:ascii="Arial" w:cs="Arial" w:eastAsia="Arial" w:hAnsi="Arial"/>
                <w:sz w:val="18"/>
                <w:szCs w:val="18"/>
                <w:color w:val="auto"/>
              </w:rPr>
              <w:t>Exhibit 3.4</w:t>
            </w:r>
          </w:p>
        </w:tc>
        <w:tc>
          <w:tcPr>
            <w:tcW w:w="1340" w:type="dxa"/>
            <w:vAlign w:val="bottom"/>
          </w:tcPr>
          <w:p>
            <w:pPr>
              <w:spacing w:after="0"/>
              <w:rPr>
                <w:sz w:val="20"/>
                <w:szCs w:val="20"/>
                <w:color w:val="auto"/>
              </w:rPr>
            </w:pPr>
          </w:p>
        </w:tc>
      </w:tr>
      <w:tr>
        <w:trPr>
          <w:trHeight w:val="418"/>
        </w:trPr>
        <w:tc>
          <w:tcPr>
            <w:tcW w:w="2800" w:type="dxa"/>
            <w:vAlign w:val="bottom"/>
            <w:gridSpan w:val="2"/>
          </w:tcPr>
          <w:p>
            <w:pPr>
              <w:spacing w:after="0"/>
              <w:rPr>
                <w:sz w:val="20"/>
                <w:szCs w:val="20"/>
                <w:color w:val="auto"/>
              </w:rPr>
            </w:pPr>
            <w:r>
              <w:rPr>
                <w:rFonts w:ascii="Arial" w:cs="Arial" w:eastAsia="Arial" w:hAnsi="Arial"/>
                <w:sz w:val="18"/>
                <w:szCs w:val="18"/>
                <w:color w:val="auto"/>
              </w:rPr>
              <w:t>Current Report on form 8-K as</w:t>
            </w:r>
          </w:p>
        </w:tc>
        <w:tc>
          <w:tcPr>
            <w:tcW w:w="1340" w:type="dxa"/>
            <w:vAlign w:val="bottom"/>
          </w:tcPr>
          <w:p>
            <w:pPr>
              <w:spacing w:after="0"/>
              <w:rPr>
                <w:sz w:val="20"/>
                <w:szCs w:val="20"/>
                <w:color w:val="auto"/>
              </w:rPr>
            </w:pPr>
            <w:r>
              <w:rPr>
                <w:rFonts w:ascii="Arial" w:cs="Arial" w:eastAsia="Arial" w:hAnsi="Arial"/>
                <w:sz w:val="18"/>
                <w:szCs w:val="18"/>
                <w:color w:val="auto"/>
              </w:rPr>
              <w:t>March 23, 2017</w:t>
            </w:r>
          </w:p>
        </w:tc>
      </w:tr>
      <w:tr>
        <w:trPr>
          <w:trHeight w:val="230"/>
        </w:trPr>
        <w:tc>
          <w:tcPr>
            <w:tcW w:w="2800" w:type="dxa"/>
            <w:vAlign w:val="bottom"/>
            <w:gridSpan w:val="2"/>
          </w:tcPr>
          <w:p>
            <w:pPr>
              <w:spacing w:after="0"/>
              <w:rPr>
                <w:sz w:val="20"/>
                <w:szCs w:val="20"/>
                <w:color w:val="auto"/>
              </w:rPr>
            </w:pPr>
            <w:r>
              <w:rPr>
                <w:rFonts w:ascii="Arial" w:cs="Arial" w:eastAsia="Arial" w:hAnsi="Arial"/>
                <w:sz w:val="18"/>
                <w:szCs w:val="18"/>
                <w:color w:val="auto"/>
              </w:rPr>
              <w:t>Exhibit 3.1</w:t>
            </w:r>
          </w:p>
        </w:tc>
        <w:tc>
          <w:tcPr>
            <w:tcW w:w="1340" w:type="dxa"/>
            <w:vAlign w:val="bottom"/>
          </w:tcPr>
          <w:p>
            <w:pPr>
              <w:spacing w:after="0"/>
              <w:rPr>
                <w:sz w:val="20"/>
                <w:szCs w:val="20"/>
                <w:color w:val="auto"/>
              </w:rPr>
            </w:pPr>
          </w:p>
        </w:tc>
      </w:tr>
      <w:tr>
        <w:trPr>
          <w:trHeight w:val="418"/>
        </w:trPr>
        <w:tc>
          <w:tcPr>
            <w:tcW w:w="2800" w:type="dxa"/>
            <w:vAlign w:val="bottom"/>
            <w:gridSpan w:val="2"/>
          </w:tcPr>
          <w:p>
            <w:pPr>
              <w:spacing w:after="0"/>
              <w:rPr>
                <w:sz w:val="20"/>
                <w:szCs w:val="20"/>
                <w:color w:val="auto"/>
              </w:rPr>
            </w:pPr>
            <w:r>
              <w:rPr>
                <w:rFonts w:ascii="Arial" w:cs="Arial" w:eastAsia="Arial" w:hAnsi="Arial"/>
                <w:sz w:val="18"/>
                <w:szCs w:val="18"/>
                <w:color w:val="auto"/>
              </w:rPr>
              <w:t>Current Report on Form 8-K, as</w:t>
            </w:r>
          </w:p>
        </w:tc>
        <w:tc>
          <w:tcPr>
            <w:tcW w:w="1340" w:type="dxa"/>
            <w:vAlign w:val="bottom"/>
          </w:tcPr>
          <w:p>
            <w:pPr>
              <w:spacing w:after="0"/>
              <w:rPr>
                <w:sz w:val="20"/>
                <w:szCs w:val="20"/>
                <w:color w:val="auto"/>
              </w:rPr>
            </w:pPr>
            <w:r>
              <w:rPr>
                <w:rFonts w:ascii="Arial" w:cs="Arial" w:eastAsia="Arial" w:hAnsi="Arial"/>
                <w:sz w:val="18"/>
                <w:szCs w:val="18"/>
                <w:color w:val="auto"/>
              </w:rPr>
              <w:t>May 30, 2007</w:t>
            </w:r>
          </w:p>
        </w:tc>
      </w:tr>
      <w:tr>
        <w:trPr>
          <w:trHeight w:val="230"/>
        </w:trPr>
        <w:tc>
          <w:tcPr>
            <w:tcW w:w="2800" w:type="dxa"/>
            <w:vAlign w:val="bottom"/>
            <w:gridSpan w:val="2"/>
          </w:tcPr>
          <w:p>
            <w:pPr>
              <w:spacing w:after="0"/>
              <w:rPr>
                <w:sz w:val="20"/>
                <w:szCs w:val="20"/>
                <w:color w:val="auto"/>
              </w:rPr>
            </w:pPr>
            <w:r>
              <w:rPr>
                <w:rFonts w:ascii="Arial" w:cs="Arial" w:eastAsia="Arial" w:hAnsi="Arial"/>
                <w:sz w:val="18"/>
                <w:szCs w:val="18"/>
                <w:color w:val="auto"/>
              </w:rPr>
              <w:t>Exhibit 4.1</w:t>
            </w:r>
          </w:p>
        </w:tc>
        <w:tc>
          <w:tcPr>
            <w:tcW w:w="1340" w:type="dxa"/>
            <w:vAlign w:val="bottom"/>
          </w:tcPr>
          <w:p>
            <w:pPr>
              <w:spacing w:after="0"/>
              <w:rPr>
                <w:sz w:val="20"/>
                <w:szCs w:val="20"/>
                <w:color w:val="auto"/>
              </w:rPr>
            </w:pPr>
          </w:p>
        </w:tc>
      </w:tr>
      <w:tr>
        <w:trPr>
          <w:trHeight w:val="323"/>
        </w:trPr>
        <w:tc>
          <w:tcPr>
            <w:tcW w:w="2800" w:type="dxa"/>
            <w:vAlign w:val="bottom"/>
            <w:gridSpan w:val="2"/>
          </w:tcPr>
          <w:p>
            <w:pPr>
              <w:spacing w:after="0"/>
              <w:rPr>
                <w:sz w:val="20"/>
                <w:szCs w:val="20"/>
                <w:color w:val="auto"/>
              </w:rPr>
            </w:pPr>
            <w:r>
              <w:rPr>
                <w:rFonts w:ascii="Arial" w:cs="Arial" w:eastAsia="Arial" w:hAnsi="Arial"/>
                <w:sz w:val="18"/>
                <w:szCs w:val="18"/>
                <w:color w:val="auto"/>
              </w:rPr>
              <w:t>Current Report on Form 8-K, as</w:t>
            </w:r>
          </w:p>
        </w:tc>
        <w:tc>
          <w:tcPr>
            <w:tcW w:w="1340" w:type="dxa"/>
            <w:vAlign w:val="bottom"/>
          </w:tcPr>
          <w:p>
            <w:pPr>
              <w:spacing w:after="0"/>
              <w:rPr>
                <w:sz w:val="20"/>
                <w:szCs w:val="20"/>
                <w:color w:val="auto"/>
              </w:rPr>
            </w:pPr>
            <w:r>
              <w:rPr>
                <w:rFonts w:ascii="Arial" w:cs="Arial" w:eastAsia="Arial" w:hAnsi="Arial"/>
                <w:sz w:val="18"/>
                <w:szCs w:val="18"/>
                <w:color w:val="auto"/>
              </w:rPr>
              <w:t>December 12,</w:t>
            </w:r>
          </w:p>
        </w:tc>
      </w:tr>
      <w:tr>
        <w:trPr>
          <w:trHeight w:val="230"/>
        </w:trPr>
        <w:tc>
          <w:tcPr>
            <w:tcW w:w="2800" w:type="dxa"/>
            <w:vAlign w:val="bottom"/>
            <w:gridSpan w:val="2"/>
          </w:tcPr>
          <w:p>
            <w:pPr>
              <w:spacing w:after="0"/>
              <w:rPr>
                <w:sz w:val="20"/>
                <w:szCs w:val="20"/>
                <w:color w:val="auto"/>
              </w:rPr>
            </w:pPr>
            <w:r>
              <w:rPr>
                <w:rFonts w:ascii="Arial" w:cs="Arial" w:eastAsia="Arial" w:hAnsi="Arial"/>
                <w:sz w:val="18"/>
                <w:szCs w:val="18"/>
                <w:color w:val="auto"/>
              </w:rPr>
              <w:t>exhibit 4.2</w:t>
            </w:r>
          </w:p>
        </w:tc>
        <w:tc>
          <w:tcPr>
            <w:tcW w:w="1340" w:type="dxa"/>
            <w:vAlign w:val="bottom"/>
          </w:tcPr>
          <w:p>
            <w:pPr>
              <w:spacing w:after="0"/>
              <w:rPr>
                <w:sz w:val="20"/>
                <w:szCs w:val="20"/>
                <w:color w:val="auto"/>
              </w:rPr>
            </w:pPr>
            <w:r>
              <w:rPr>
                <w:rFonts w:ascii="Arial" w:cs="Arial" w:eastAsia="Arial" w:hAnsi="Arial"/>
                <w:sz w:val="18"/>
                <w:szCs w:val="18"/>
                <w:color w:val="auto"/>
              </w:rPr>
              <w:t>2012</w:t>
            </w:r>
          </w:p>
        </w:tc>
      </w:tr>
      <w:tr>
        <w:trPr>
          <w:trHeight w:val="323"/>
        </w:trPr>
        <w:tc>
          <w:tcPr>
            <w:tcW w:w="2800" w:type="dxa"/>
            <w:vAlign w:val="bottom"/>
            <w:gridSpan w:val="2"/>
          </w:tcPr>
          <w:p>
            <w:pPr>
              <w:spacing w:after="0"/>
              <w:rPr>
                <w:sz w:val="20"/>
                <w:szCs w:val="20"/>
                <w:color w:val="auto"/>
              </w:rPr>
            </w:pPr>
            <w:r>
              <w:rPr>
                <w:rFonts w:ascii="Arial" w:cs="Arial" w:eastAsia="Arial" w:hAnsi="Arial"/>
                <w:sz w:val="18"/>
                <w:szCs w:val="18"/>
                <w:color w:val="auto"/>
              </w:rPr>
              <w:t>Current Report on Form 8-K, as</w:t>
            </w:r>
          </w:p>
        </w:tc>
        <w:tc>
          <w:tcPr>
            <w:tcW w:w="1340" w:type="dxa"/>
            <w:vAlign w:val="bottom"/>
          </w:tcPr>
          <w:p>
            <w:pPr>
              <w:spacing w:after="0"/>
              <w:rPr>
                <w:sz w:val="20"/>
                <w:szCs w:val="20"/>
                <w:color w:val="auto"/>
              </w:rPr>
            </w:pPr>
            <w:r>
              <w:rPr>
                <w:rFonts w:ascii="Arial" w:cs="Arial" w:eastAsia="Arial" w:hAnsi="Arial"/>
                <w:sz w:val="18"/>
                <w:szCs w:val="18"/>
                <w:color w:val="auto"/>
                <w:w w:val="94"/>
              </w:rPr>
              <w:t>January 30, 2013</w:t>
            </w:r>
          </w:p>
        </w:tc>
      </w:tr>
      <w:tr>
        <w:trPr>
          <w:trHeight w:val="230"/>
        </w:trPr>
        <w:tc>
          <w:tcPr>
            <w:tcW w:w="2800" w:type="dxa"/>
            <w:vAlign w:val="bottom"/>
            <w:gridSpan w:val="2"/>
          </w:tcPr>
          <w:p>
            <w:pPr>
              <w:spacing w:after="0"/>
              <w:rPr>
                <w:sz w:val="20"/>
                <w:szCs w:val="20"/>
                <w:color w:val="auto"/>
              </w:rPr>
            </w:pPr>
            <w:r>
              <w:rPr>
                <w:rFonts w:ascii="Arial" w:cs="Arial" w:eastAsia="Arial" w:hAnsi="Arial"/>
                <w:sz w:val="18"/>
                <w:szCs w:val="18"/>
                <w:color w:val="auto"/>
              </w:rPr>
              <w:t>exhibit 4.2</w:t>
            </w:r>
          </w:p>
        </w:tc>
        <w:tc>
          <w:tcPr>
            <w:tcW w:w="1340" w:type="dxa"/>
            <w:vAlign w:val="bottom"/>
          </w:tcPr>
          <w:p>
            <w:pPr>
              <w:spacing w:after="0"/>
              <w:rPr>
                <w:sz w:val="20"/>
                <w:szCs w:val="20"/>
                <w:color w:val="auto"/>
              </w:rPr>
            </w:pPr>
          </w:p>
        </w:tc>
      </w:tr>
      <w:tr>
        <w:trPr>
          <w:trHeight w:val="323"/>
        </w:trPr>
        <w:tc>
          <w:tcPr>
            <w:tcW w:w="2800" w:type="dxa"/>
            <w:vAlign w:val="bottom"/>
            <w:gridSpan w:val="2"/>
          </w:tcPr>
          <w:p>
            <w:pPr>
              <w:spacing w:after="0"/>
              <w:rPr>
                <w:sz w:val="20"/>
                <w:szCs w:val="20"/>
                <w:color w:val="auto"/>
              </w:rPr>
            </w:pPr>
            <w:r>
              <w:rPr>
                <w:rFonts w:ascii="Arial" w:cs="Arial" w:eastAsia="Arial" w:hAnsi="Arial"/>
                <w:sz w:val="18"/>
                <w:szCs w:val="18"/>
                <w:color w:val="auto"/>
                <w:w w:val="97"/>
              </w:rPr>
              <w:t>Annual Report on Form 10-K for the</w:t>
            </w:r>
          </w:p>
        </w:tc>
        <w:tc>
          <w:tcPr>
            <w:tcW w:w="1340" w:type="dxa"/>
            <w:vAlign w:val="bottom"/>
          </w:tcPr>
          <w:p>
            <w:pPr>
              <w:spacing w:after="0"/>
              <w:rPr>
                <w:sz w:val="20"/>
                <w:szCs w:val="20"/>
                <w:color w:val="auto"/>
              </w:rPr>
            </w:pPr>
            <w:r>
              <w:rPr>
                <w:rFonts w:ascii="Arial" w:cs="Arial" w:eastAsia="Arial" w:hAnsi="Arial"/>
                <w:sz w:val="18"/>
                <w:szCs w:val="18"/>
                <w:color w:val="auto"/>
              </w:rPr>
              <w:t>December</w:t>
            </w:r>
          </w:p>
        </w:tc>
      </w:tr>
      <w:tr>
        <w:trPr>
          <w:trHeight w:val="216"/>
        </w:trPr>
        <w:tc>
          <w:tcPr>
            <w:tcW w:w="2800" w:type="dxa"/>
            <w:vAlign w:val="bottom"/>
            <w:gridSpan w:val="2"/>
          </w:tcPr>
          <w:p>
            <w:pPr>
              <w:spacing w:after="0"/>
              <w:rPr>
                <w:sz w:val="20"/>
                <w:szCs w:val="20"/>
                <w:color w:val="auto"/>
              </w:rPr>
            </w:pPr>
            <w:r>
              <w:rPr>
                <w:rFonts w:ascii="Arial" w:cs="Arial" w:eastAsia="Arial" w:hAnsi="Arial"/>
                <w:sz w:val="18"/>
                <w:szCs w:val="18"/>
                <w:color w:val="auto"/>
              </w:rPr>
              <w:t>fiscal year ended September 30,</w:t>
            </w:r>
          </w:p>
        </w:tc>
        <w:tc>
          <w:tcPr>
            <w:tcW w:w="1340" w:type="dxa"/>
            <w:vAlign w:val="bottom"/>
          </w:tcPr>
          <w:p>
            <w:pPr>
              <w:spacing w:after="0"/>
              <w:rPr>
                <w:sz w:val="20"/>
                <w:szCs w:val="20"/>
                <w:color w:val="auto"/>
              </w:rPr>
            </w:pPr>
            <w:r>
              <w:rPr>
                <w:rFonts w:ascii="Arial" w:cs="Arial" w:eastAsia="Arial" w:hAnsi="Arial"/>
                <w:sz w:val="18"/>
                <w:szCs w:val="18"/>
                <w:color w:val="auto"/>
              </w:rPr>
              <w:t>18, 2013</w:t>
            </w:r>
          </w:p>
        </w:tc>
      </w:tr>
      <w:tr>
        <w:trPr>
          <w:trHeight w:val="230"/>
        </w:trPr>
        <w:tc>
          <w:tcPr>
            <w:tcW w:w="2800" w:type="dxa"/>
            <w:vAlign w:val="bottom"/>
            <w:gridSpan w:val="2"/>
          </w:tcPr>
          <w:p>
            <w:pPr>
              <w:spacing w:after="0"/>
              <w:rPr>
                <w:sz w:val="20"/>
                <w:szCs w:val="20"/>
                <w:color w:val="auto"/>
              </w:rPr>
            </w:pPr>
            <w:r>
              <w:rPr>
                <w:rFonts w:ascii="Arial" w:cs="Arial" w:eastAsia="Arial" w:hAnsi="Arial"/>
                <w:sz w:val="18"/>
                <w:szCs w:val="18"/>
                <w:color w:val="auto"/>
              </w:rPr>
              <w:t>2013, as Exhibit 4.19</w:t>
            </w:r>
          </w:p>
        </w:tc>
        <w:tc>
          <w:tcPr>
            <w:tcW w:w="1340" w:type="dxa"/>
            <w:vAlign w:val="bottom"/>
          </w:tcPr>
          <w:p>
            <w:pPr>
              <w:spacing w:after="0"/>
              <w:rPr>
                <w:sz w:val="20"/>
                <w:szCs w:val="20"/>
                <w:color w:val="auto"/>
              </w:rPr>
            </w:pPr>
          </w:p>
        </w:tc>
      </w:tr>
      <w:tr>
        <w:trPr>
          <w:trHeight w:val="323"/>
        </w:trPr>
        <w:tc>
          <w:tcPr>
            <w:tcW w:w="2800" w:type="dxa"/>
            <w:vAlign w:val="bottom"/>
            <w:gridSpan w:val="2"/>
          </w:tcPr>
          <w:p>
            <w:pPr>
              <w:spacing w:after="0"/>
              <w:rPr>
                <w:sz w:val="20"/>
                <w:szCs w:val="20"/>
                <w:color w:val="auto"/>
              </w:rPr>
            </w:pPr>
            <w:r>
              <w:rPr>
                <w:rFonts w:ascii="Arial" w:cs="Arial" w:eastAsia="Arial" w:hAnsi="Arial"/>
                <w:sz w:val="18"/>
                <w:szCs w:val="18"/>
                <w:color w:val="auto"/>
              </w:rPr>
              <w:t>Current Report on Form 8-K, as</w:t>
            </w:r>
          </w:p>
        </w:tc>
        <w:tc>
          <w:tcPr>
            <w:tcW w:w="1340" w:type="dxa"/>
            <w:vAlign w:val="bottom"/>
          </w:tcPr>
          <w:p>
            <w:pPr>
              <w:spacing w:after="0"/>
              <w:rPr>
                <w:sz w:val="20"/>
                <w:szCs w:val="20"/>
                <w:color w:val="auto"/>
              </w:rPr>
            </w:pPr>
            <w:r>
              <w:rPr>
                <w:rFonts w:ascii="Arial" w:cs="Arial" w:eastAsia="Arial" w:hAnsi="Arial"/>
                <w:sz w:val="18"/>
                <w:szCs w:val="18"/>
                <w:color w:val="auto"/>
              </w:rPr>
              <w:t>April 6, 2016</w:t>
            </w:r>
          </w:p>
        </w:tc>
      </w:tr>
      <w:tr>
        <w:trPr>
          <w:trHeight w:val="230"/>
        </w:trPr>
        <w:tc>
          <w:tcPr>
            <w:tcW w:w="2800" w:type="dxa"/>
            <w:vAlign w:val="bottom"/>
            <w:gridSpan w:val="2"/>
          </w:tcPr>
          <w:p>
            <w:pPr>
              <w:spacing w:after="0"/>
              <w:rPr>
                <w:sz w:val="20"/>
                <w:szCs w:val="20"/>
                <w:color w:val="auto"/>
              </w:rPr>
            </w:pPr>
            <w:r>
              <w:rPr>
                <w:rFonts w:ascii="Arial" w:cs="Arial" w:eastAsia="Arial" w:hAnsi="Arial"/>
                <w:sz w:val="18"/>
                <w:szCs w:val="18"/>
                <w:color w:val="auto"/>
              </w:rPr>
              <w:t>Exhibit 4.1</w:t>
            </w:r>
          </w:p>
        </w:tc>
        <w:tc>
          <w:tcPr>
            <w:tcW w:w="1340" w:type="dxa"/>
            <w:vAlign w:val="bottom"/>
          </w:tcPr>
          <w:p>
            <w:pPr>
              <w:spacing w:after="0"/>
              <w:rPr>
                <w:sz w:val="20"/>
                <w:szCs w:val="20"/>
                <w:color w:val="auto"/>
              </w:rPr>
            </w:pPr>
          </w:p>
        </w:tc>
      </w:tr>
      <w:tr>
        <w:trPr>
          <w:trHeight w:val="418"/>
        </w:trPr>
        <w:tc>
          <w:tcPr>
            <w:tcW w:w="2800" w:type="dxa"/>
            <w:vAlign w:val="bottom"/>
            <w:gridSpan w:val="2"/>
          </w:tcPr>
          <w:p>
            <w:pPr>
              <w:spacing w:after="0"/>
              <w:rPr>
                <w:sz w:val="20"/>
                <w:szCs w:val="20"/>
                <w:color w:val="auto"/>
              </w:rPr>
            </w:pPr>
            <w:r>
              <w:rPr>
                <w:rFonts w:ascii="Arial" w:cs="Arial" w:eastAsia="Arial" w:hAnsi="Arial"/>
                <w:sz w:val="18"/>
                <w:szCs w:val="18"/>
                <w:color w:val="auto"/>
                <w:w w:val="96"/>
              </w:rPr>
              <w:t>Registration Statement on Form S-3</w:t>
            </w:r>
          </w:p>
        </w:tc>
        <w:tc>
          <w:tcPr>
            <w:tcW w:w="1340" w:type="dxa"/>
            <w:vAlign w:val="bottom"/>
          </w:tcPr>
          <w:p>
            <w:pPr>
              <w:spacing w:after="0"/>
              <w:rPr>
                <w:sz w:val="20"/>
                <w:szCs w:val="20"/>
                <w:color w:val="auto"/>
              </w:rPr>
            </w:pPr>
            <w:r>
              <w:rPr>
                <w:rFonts w:ascii="Arial" w:cs="Arial" w:eastAsia="Arial" w:hAnsi="Arial"/>
                <w:sz w:val="18"/>
                <w:szCs w:val="18"/>
                <w:color w:val="auto"/>
                <w:w w:val="94"/>
              </w:rPr>
              <w:t>October 28, 2016</w:t>
            </w:r>
          </w:p>
        </w:tc>
      </w:tr>
      <w:tr>
        <w:trPr>
          <w:trHeight w:val="230"/>
        </w:trPr>
        <w:tc>
          <w:tcPr>
            <w:tcW w:w="2800" w:type="dxa"/>
            <w:vAlign w:val="bottom"/>
            <w:gridSpan w:val="2"/>
          </w:tcPr>
          <w:p>
            <w:pPr>
              <w:spacing w:after="0"/>
              <w:rPr>
                <w:sz w:val="20"/>
                <w:szCs w:val="20"/>
                <w:color w:val="auto"/>
              </w:rPr>
            </w:pPr>
            <w:r>
              <w:rPr>
                <w:rFonts w:ascii="Arial" w:cs="Arial" w:eastAsia="Arial" w:hAnsi="Arial"/>
                <w:sz w:val="18"/>
                <w:szCs w:val="18"/>
                <w:color w:val="auto"/>
              </w:rPr>
              <w:t>(File No. 333-214315)</w:t>
            </w:r>
          </w:p>
        </w:tc>
        <w:tc>
          <w:tcPr>
            <w:tcW w:w="1340" w:type="dxa"/>
            <w:vAlign w:val="bottom"/>
          </w:tcPr>
          <w:p>
            <w:pPr>
              <w:spacing w:after="0"/>
              <w:rPr>
                <w:sz w:val="20"/>
                <w:szCs w:val="20"/>
                <w:color w:val="auto"/>
              </w:rPr>
            </w:pPr>
          </w:p>
        </w:tc>
      </w:tr>
      <w:tr>
        <w:trPr>
          <w:trHeight w:val="418"/>
        </w:trPr>
        <w:tc>
          <w:tcPr>
            <w:tcW w:w="2800" w:type="dxa"/>
            <w:vAlign w:val="bottom"/>
            <w:gridSpan w:val="2"/>
          </w:tcPr>
          <w:p>
            <w:pPr>
              <w:spacing w:after="0"/>
              <w:rPr>
                <w:sz w:val="20"/>
                <w:szCs w:val="20"/>
                <w:color w:val="auto"/>
              </w:rPr>
            </w:pPr>
            <w:r>
              <w:rPr>
                <w:rFonts w:ascii="Arial" w:cs="Arial" w:eastAsia="Arial" w:hAnsi="Arial"/>
                <w:sz w:val="18"/>
                <w:szCs w:val="18"/>
                <w:color w:val="auto"/>
              </w:rPr>
              <w:t>Current Report on Form 8-K, as</w:t>
            </w:r>
          </w:p>
        </w:tc>
        <w:tc>
          <w:tcPr>
            <w:tcW w:w="1340" w:type="dxa"/>
            <w:vAlign w:val="bottom"/>
          </w:tcPr>
          <w:p>
            <w:pPr>
              <w:spacing w:after="0"/>
              <w:rPr>
                <w:sz w:val="20"/>
                <w:szCs w:val="20"/>
                <w:color w:val="auto"/>
              </w:rPr>
            </w:pPr>
            <w:r>
              <w:rPr>
                <w:rFonts w:ascii="Arial" w:cs="Arial" w:eastAsia="Arial" w:hAnsi="Arial"/>
                <w:sz w:val="18"/>
                <w:szCs w:val="18"/>
                <w:color w:val="auto"/>
              </w:rPr>
              <w:t>March 23, 2017</w:t>
            </w:r>
          </w:p>
        </w:tc>
      </w:tr>
      <w:tr>
        <w:trPr>
          <w:trHeight w:val="230"/>
        </w:trPr>
        <w:tc>
          <w:tcPr>
            <w:tcW w:w="2800" w:type="dxa"/>
            <w:vAlign w:val="bottom"/>
            <w:gridSpan w:val="2"/>
          </w:tcPr>
          <w:p>
            <w:pPr>
              <w:spacing w:after="0"/>
              <w:rPr>
                <w:sz w:val="20"/>
                <w:szCs w:val="20"/>
                <w:color w:val="auto"/>
              </w:rPr>
            </w:pPr>
            <w:r>
              <w:rPr>
                <w:rFonts w:ascii="Arial" w:cs="Arial" w:eastAsia="Arial" w:hAnsi="Arial"/>
                <w:sz w:val="18"/>
                <w:szCs w:val="18"/>
                <w:color w:val="auto"/>
              </w:rPr>
              <w:t>Exhibit 4.1</w:t>
            </w:r>
          </w:p>
        </w:tc>
        <w:tc>
          <w:tcPr>
            <w:tcW w:w="1340" w:type="dxa"/>
            <w:vAlign w:val="bottom"/>
          </w:tcPr>
          <w:p>
            <w:pPr>
              <w:spacing w:after="0"/>
              <w:rPr>
                <w:sz w:val="20"/>
                <w:szCs w:val="20"/>
                <w:color w:val="auto"/>
              </w:rPr>
            </w:pPr>
          </w:p>
        </w:tc>
      </w:tr>
      <w:tr>
        <w:trPr>
          <w:trHeight w:val="634"/>
        </w:trPr>
        <w:tc>
          <w:tcPr>
            <w:tcW w:w="2800" w:type="dxa"/>
            <w:vAlign w:val="bottom"/>
            <w:gridSpan w:val="2"/>
          </w:tcPr>
          <w:p>
            <w:pPr>
              <w:spacing w:after="0"/>
              <w:rPr>
                <w:sz w:val="20"/>
                <w:szCs w:val="20"/>
                <w:color w:val="auto"/>
              </w:rPr>
            </w:pPr>
            <w:r>
              <w:rPr>
                <w:rFonts w:ascii="Arial" w:cs="Arial" w:eastAsia="Arial" w:hAnsi="Arial"/>
                <w:sz w:val="18"/>
                <w:szCs w:val="18"/>
                <w:color w:val="auto"/>
              </w:rPr>
              <w:t>Schedule 14C, as Exhibit D</w:t>
            </w:r>
          </w:p>
        </w:tc>
        <w:tc>
          <w:tcPr>
            <w:tcW w:w="1340" w:type="dxa"/>
            <w:vAlign w:val="bottom"/>
          </w:tcPr>
          <w:p>
            <w:pPr>
              <w:spacing w:after="0"/>
              <w:rPr>
                <w:sz w:val="20"/>
                <w:szCs w:val="20"/>
                <w:color w:val="auto"/>
              </w:rPr>
            </w:pPr>
            <w:r>
              <w:rPr>
                <w:rFonts w:ascii="Arial" w:cs="Arial" w:eastAsia="Arial" w:hAnsi="Arial"/>
                <w:sz w:val="18"/>
                <w:szCs w:val="18"/>
                <w:color w:val="auto"/>
              </w:rPr>
              <w:t>December 22,</w:t>
            </w:r>
          </w:p>
        </w:tc>
      </w:tr>
      <w:tr>
        <w:trPr>
          <w:trHeight w:val="230"/>
        </w:trPr>
        <w:tc>
          <w:tcPr>
            <w:tcW w:w="27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340" w:type="dxa"/>
            <w:vAlign w:val="bottom"/>
          </w:tcPr>
          <w:p>
            <w:pPr>
              <w:spacing w:after="0"/>
              <w:rPr>
                <w:sz w:val="20"/>
                <w:szCs w:val="20"/>
                <w:color w:val="auto"/>
              </w:rPr>
            </w:pPr>
            <w:r>
              <w:rPr>
                <w:rFonts w:ascii="Arial" w:cs="Arial" w:eastAsia="Arial" w:hAnsi="Arial"/>
                <w:sz w:val="18"/>
                <w:szCs w:val="18"/>
                <w:color w:val="auto"/>
              </w:rPr>
              <w:t>2000</w:t>
            </w:r>
          </w:p>
        </w:tc>
      </w:tr>
      <w:tr>
        <w:trPr>
          <w:trHeight w:val="338"/>
        </w:trPr>
        <w:tc>
          <w:tcPr>
            <w:tcW w:w="2800" w:type="dxa"/>
            <w:vAlign w:val="bottom"/>
            <w:gridSpan w:val="2"/>
          </w:tcPr>
          <w:p>
            <w:pPr>
              <w:spacing w:after="0"/>
              <w:rPr>
                <w:sz w:val="20"/>
                <w:szCs w:val="20"/>
                <w:color w:val="auto"/>
              </w:rPr>
            </w:pPr>
            <w:r>
              <w:rPr>
                <w:rFonts w:ascii="Arial" w:cs="Arial" w:eastAsia="Arial" w:hAnsi="Arial"/>
                <w:sz w:val="18"/>
                <w:szCs w:val="18"/>
                <w:color w:val="auto"/>
              </w:rPr>
              <w:t>Schedule 14C, as Annex B</w:t>
            </w:r>
          </w:p>
        </w:tc>
        <w:tc>
          <w:tcPr>
            <w:tcW w:w="1340" w:type="dxa"/>
            <w:vAlign w:val="bottom"/>
          </w:tcPr>
          <w:p>
            <w:pPr>
              <w:spacing w:after="0"/>
              <w:rPr>
                <w:sz w:val="20"/>
                <w:szCs w:val="20"/>
                <w:color w:val="auto"/>
              </w:rPr>
            </w:pPr>
            <w:r>
              <w:rPr>
                <w:rFonts w:ascii="Arial" w:cs="Arial" w:eastAsia="Arial" w:hAnsi="Arial"/>
                <w:sz w:val="18"/>
                <w:szCs w:val="18"/>
                <w:color w:val="auto"/>
                <w:w w:val="94"/>
              </w:rPr>
              <w:t>January 12, 2012</w:t>
            </w:r>
          </w:p>
        </w:tc>
      </w:tr>
      <w:tr>
        <w:trPr>
          <w:trHeight w:val="418"/>
        </w:trPr>
        <w:tc>
          <w:tcPr>
            <w:tcW w:w="2800" w:type="dxa"/>
            <w:vAlign w:val="bottom"/>
            <w:gridSpan w:val="2"/>
          </w:tcPr>
          <w:p>
            <w:pPr>
              <w:spacing w:after="0"/>
              <w:rPr>
                <w:sz w:val="20"/>
                <w:szCs w:val="20"/>
                <w:color w:val="auto"/>
              </w:rPr>
            </w:pPr>
            <w:r>
              <w:rPr>
                <w:rFonts w:ascii="Arial" w:cs="Arial" w:eastAsia="Arial" w:hAnsi="Arial"/>
                <w:sz w:val="18"/>
                <w:szCs w:val="18"/>
                <w:color w:val="auto"/>
              </w:rPr>
              <w:t>Schedule 14C, as Annex A</w:t>
            </w:r>
          </w:p>
        </w:tc>
        <w:tc>
          <w:tcPr>
            <w:tcW w:w="1340" w:type="dxa"/>
            <w:vAlign w:val="bottom"/>
          </w:tcPr>
          <w:p>
            <w:pPr>
              <w:spacing w:after="0"/>
              <w:rPr>
                <w:sz w:val="20"/>
                <w:szCs w:val="20"/>
                <w:color w:val="auto"/>
              </w:rPr>
            </w:pPr>
            <w:r>
              <w:rPr>
                <w:rFonts w:ascii="Arial" w:cs="Arial" w:eastAsia="Arial" w:hAnsi="Arial"/>
                <w:sz w:val="18"/>
                <w:szCs w:val="18"/>
                <w:color w:val="auto"/>
              </w:rPr>
              <w:t>December 20,</w:t>
            </w:r>
          </w:p>
        </w:tc>
      </w:tr>
      <w:tr>
        <w:trPr>
          <w:trHeight w:val="230"/>
        </w:trPr>
        <w:tc>
          <w:tcPr>
            <w:tcW w:w="27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340" w:type="dxa"/>
            <w:vAlign w:val="bottom"/>
          </w:tcPr>
          <w:p>
            <w:pPr>
              <w:spacing w:after="0"/>
              <w:rPr>
                <w:sz w:val="20"/>
                <w:szCs w:val="20"/>
                <w:color w:val="auto"/>
              </w:rPr>
            </w:pPr>
            <w:r>
              <w:rPr>
                <w:rFonts w:ascii="Arial" w:cs="Arial" w:eastAsia="Arial" w:hAnsi="Arial"/>
                <w:sz w:val="18"/>
                <w:szCs w:val="18"/>
                <w:color w:val="auto"/>
              </w:rPr>
              <w:t>2013</w:t>
            </w:r>
          </w:p>
        </w:tc>
      </w:tr>
      <w:tr>
        <w:trPr>
          <w:trHeight w:val="323"/>
        </w:trPr>
        <w:tc>
          <w:tcPr>
            <w:tcW w:w="2800" w:type="dxa"/>
            <w:vAlign w:val="bottom"/>
            <w:gridSpan w:val="2"/>
          </w:tcPr>
          <w:p>
            <w:pPr>
              <w:spacing w:after="0"/>
              <w:rPr>
                <w:sz w:val="20"/>
                <w:szCs w:val="20"/>
                <w:color w:val="auto"/>
              </w:rPr>
            </w:pPr>
            <w:r>
              <w:rPr>
                <w:rFonts w:ascii="Arial" w:cs="Arial" w:eastAsia="Arial" w:hAnsi="Arial"/>
                <w:sz w:val="18"/>
                <w:szCs w:val="18"/>
                <w:color w:val="auto"/>
              </w:rPr>
              <w:t>Current Report on Form 8-K, as</w:t>
            </w:r>
          </w:p>
        </w:tc>
        <w:tc>
          <w:tcPr>
            <w:tcW w:w="1340" w:type="dxa"/>
            <w:vAlign w:val="bottom"/>
          </w:tcPr>
          <w:p>
            <w:pPr>
              <w:spacing w:after="0"/>
              <w:rPr>
                <w:sz w:val="20"/>
                <w:szCs w:val="20"/>
                <w:color w:val="auto"/>
              </w:rPr>
            </w:pPr>
            <w:r>
              <w:rPr>
                <w:rFonts w:ascii="Arial" w:cs="Arial" w:eastAsia="Arial" w:hAnsi="Arial"/>
                <w:sz w:val="18"/>
                <w:szCs w:val="18"/>
                <w:color w:val="auto"/>
                <w:w w:val="89"/>
              </w:rPr>
              <w:t>February 12, 2014</w:t>
            </w:r>
          </w:p>
        </w:tc>
      </w:tr>
      <w:tr>
        <w:trPr>
          <w:trHeight w:val="230"/>
        </w:trPr>
        <w:tc>
          <w:tcPr>
            <w:tcW w:w="2800" w:type="dxa"/>
            <w:vAlign w:val="bottom"/>
            <w:gridSpan w:val="2"/>
          </w:tcPr>
          <w:p>
            <w:pPr>
              <w:spacing w:after="0"/>
              <w:rPr>
                <w:sz w:val="20"/>
                <w:szCs w:val="20"/>
                <w:color w:val="auto"/>
              </w:rPr>
            </w:pPr>
            <w:r>
              <w:rPr>
                <w:rFonts w:ascii="Arial" w:cs="Arial" w:eastAsia="Arial" w:hAnsi="Arial"/>
                <w:sz w:val="18"/>
                <w:szCs w:val="18"/>
                <w:color w:val="auto"/>
              </w:rPr>
              <w:t>Exhibit 10.1</w:t>
            </w:r>
          </w:p>
        </w:tc>
        <w:tc>
          <w:tcPr>
            <w:tcW w:w="1340" w:type="dxa"/>
            <w:vAlign w:val="bottom"/>
          </w:tcPr>
          <w:p>
            <w:pPr>
              <w:spacing w:after="0"/>
              <w:rPr>
                <w:sz w:val="20"/>
                <w:szCs w:val="20"/>
                <w:color w:val="auto"/>
              </w:rPr>
            </w:pPr>
          </w:p>
        </w:tc>
      </w:tr>
    </w:tbl>
    <w:p>
      <w:pPr>
        <w:spacing w:after="0" w:line="200" w:lineRule="exact"/>
        <w:rPr>
          <w:sz w:val="20"/>
          <w:szCs w:val="20"/>
          <w:color w:val="auto"/>
        </w:rPr>
      </w:pPr>
    </w:p>
    <w:p>
      <w:pPr>
        <w:sectPr>
          <w:pgSz w:w="11900" w:h="16838" w:orient="portrait"/>
          <w:cols w:equalWidth="0" w:num="2">
            <w:col w:w="7180" w:space="100"/>
            <w:col w:w="4140"/>
          </w:cols>
          <w:pgMar w:left="240" w:top="121" w:right="239" w:bottom="1440" w:gutter="0" w:footer="0" w:header="0"/>
          <w:type w:val="continuous"/>
        </w:sectPr>
      </w:pPr>
    </w:p>
    <w:p>
      <w:pPr>
        <w:spacing w:after="0" w:line="12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289165"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9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type w:val="continuous"/>
        </w:sectPr>
      </w:pPr>
    </w:p>
    <w:bookmarkStart w:id="57" w:name="page58"/>
    <w:bookmarkEnd w:id="57"/>
    <w:p>
      <w:pPr>
        <w:spacing w:after="0" w:line="6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20" w:type="dxa"/>
            <w:vAlign w:val="bottom"/>
            <w:gridSpan w:val="2"/>
          </w:tcPr>
          <w:p>
            <w:pPr>
              <w:spacing w:after="0"/>
              <w:rPr>
                <w:sz w:val="20"/>
                <w:szCs w:val="20"/>
                <w:color w:val="auto"/>
              </w:rPr>
            </w:pPr>
            <w:r>
              <w:rPr>
                <w:rFonts w:ascii="Arial" w:cs="Arial" w:eastAsia="Arial" w:hAnsi="Arial"/>
                <w:sz w:val="14"/>
                <w:szCs w:val="14"/>
                <w:b w:val="1"/>
                <w:bCs w:val="1"/>
                <w:color w:val="auto"/>
              </w:rPr>
              <w:t>Exhibit</w:t>
            </w: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240" w:type="dxa"/>
            <w:vAlign w:val="bottom"/>
            <w:gridSpan w:val="30"/>
            <w:vMerge w:val="restart"/>
          </w:tcPr>
          <w:p>
            <w:pPr>
              <w:spacing w:after="0"/>
              <w:rPr>
                <w:sz w:val="20"/>
                <w:szCs w:val="20"/>
                <w:color w:val="auto"/>
              </w:rPr>
            </w:pPr>
            <w:r>
              <w:rPr>
                <w:rFonts w:ascii="Arial" w:cs="Arial" w:eastAsia="Arial" w:hAnsi="Arial"/>
                <w:sz w:val="14"/>
                <w:szCs w:val="14"/>
                <w:b w:val="1"/>
                <w:bCs w:val="1"/>
                <w:color w:val="auto"/>
              </w:rPr>
              <w:t>Description</w:t>
            </w:r>
          </w:p>
        </w:tc>
        <w:tc>
          <w:tcPr>
            <w:tcW w:w="0" w:type="dxa"/>
            <w:vAlign w:val="bottom"/>
          </w:tcPr>
          <w:p>
            <w:pPr>
              <w:spacing w:after="0"/>
              <w:rPr>
                <w:sz w:val="1"/>
                <w:szCs w:val="1"/>
                <w:color w:val="auto"/>
              </w:rPr>
            </w:pPr>
          </w:p>
        </w:tc>
      </w:tr>
      <w:tr>
        <w:trPr>
          <w:trHeight w:val="171"/>
        </w:trPr>
        <w:tc>
          <w:tcPr>
            <w:tcW w:w="820" w:type="dxa"/>
            <w:vAlign w:val="bottom"/>
            <w:gridSpan w:val="2"/>
          </w:tcPr>
          <w:p>
            <w:pPr>
              <w:spacing w:after="0"/>
              <w:rPr>
                <w:sz w:val="20"/>
                <w:szCs w:val="20"/>
                <w:color w:val="auto"/>
              </w:rPr>
            </w:pPr>
            <w:r>
              <w:rPr>
                <w:rFonts w:ascii="Arial" w:cs="Arial" w:eastAsia="Arial" w:hAnsi="Arial"/>
                <w:sz w:val="14"/>
                <w:szCs w:val="14"/>
                <w:b w:val="1"/>
                <w:bCs w:val="1"/>
                <w:color w:val="auto"/>
              </w:rPr>
              <w:t>Number</w:t>
            </w: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240" w:type="dxa"/>
            <w:vAlign w:val="bottom"/>
            <w:gridSpan w:val="30"/>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800" w:type="dxa"/>
            <w:vAlign w:val="bottom"/>
            <w:tcBorders>
              <w:top w:val="single" w:sz="8" w:color="auto"/>
            </w:tcBorders>
          </w:tcPr>
          <w:p>
            <w:pPr>
              <w:spacing w:after="0" w:line="170" w:lineRule="exact"/>
              <w:rPr>
                <w:sz w:val="20"/>
                <w:szCs w:val="20"/>
                <w:color w:val="auto"/>
              </w:rPr>
            </w:pPr>
            <w:r>
              <w:rPr>
                <w:rFonts w:ascii="Arial" w:cs="Arial" w:eastAsia="Arial" w:hAnsi="Arial"/>
                <w:sz w:val="18"/>
                <w:szCs w:val="18"/>
                <w:color w:val="auto"/>
              </w:rPr>
              <w:t>10.5**</w:t>
            </w: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240" w:type="dxa"/>
            <w:vAlign w:val="bottom"/>
            <w:tcBorders>
              <w:top w:val="single" w:sz="8" w:color="auto"/>
            </w:tcBorders>
            <w:gridSpan w:val="30"/>
          </w:tcPr>
          <w:p>
            <w:pPr>
              <w:spacing w:after="0" w:line="170" w:lineRule="exact"/>
              <w:rPr>
                <w:rFonts w:ascii="Arial" w:cs="Arial" w:eastAsia="Arial" w:hAnsi="Arial"/>
                <w:sz w:val="18"/>
                <w:szCs w:val="18"/>
                <w:color w:val="0000EE"/>
              </w:rPr>
            </w:pPr>
            <w:hyperlink r:id="rId99">
              <w:r>
                <w:rPr>
                  <w:rFonts w:ascii="Arial" w:cs="Arial" w:eastAsia="Arial" w:hAnsi="Arial"/>
                  <w:sz w:val="18"/>
                  <w:szCs w:val="18"/>
                  <w:color w:val="0000EE"/>
                </w:rPr>
                <w:t>Form of Restricted Stock Unit Agreement for use with the 2013 Incentive</w:t>
              </w:r>
            </w:hyperlink>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Borders>
              <w:top w:val="single" w:sz="8" w:color="0000EE"/>
              <w:bottom w:val="single" w:sz="8" w:color="auto"/>
            </w:tcBorders>
            <w:gridSpan w:val="2"/>
          </w:tcPr>
          <w:p>
            <w:pPr>
              <w:spacing w:after="0" w:line="196" w:lineRule="exact"/>
              <w:rPr>
                <w:sz w:val="20"/>
                <w:szCs w:val="20"/>
                <w:color w:val="auto"/>
              </w:rPr>
            </w:pPr>
            <w:r>
              <w:rPr>
                <w:rFonts w:ascii="Arial" w:cs="Arial" w:eastAsia="Arial" w:hAnsi="Arial"/>
                <w:sz w:val="18"/>
                <w:szCs w:val="18"/>
                <w:color w:val="auto"/>
                <w:w w:val="83"/>
              </w:rPr>
              <w:t>Plan</w:t>
            </w:r>
          </w:p>
        </w:tc>
        <w:tc>
          <w:tcPr>
            <w:tcW w:w="4980" w:type="dxa"/>
            <w:vAlign w:val="bottom"/>
            <w:tcBorders>
              <w:top w:val="single" w:sz="8" w:color="0000EE"/>
            </w:tcBorders>
            <w:gridSpan w:val="15"/>
          </w:tcPr>
          <w:p>
            <w:pPr>
              <w:spacing w:after="0"/>
              <w:rPr>
                <w:sz w:val="17"/>
                <w:szCs w:val="17"/>
                <w:color w:val="auto"/>
              </w:rPr>
            </w:pPr>
          </w:p>
        </w:tc>
        <w:tc>
          <w:tcPr>
            <w:tcW w:w="960" w:type="dxa"/>
            <w:vAlign w:val="bottom"/>
            <w:gridSpan w:val="14"/>
          </w:tcPr>
          <w:p>
            <w:pPr>
              <w:spacing w:after="0"/>
              <w:rPr>
                <w:sz w:val="17"/>
                <w:szCs w:val="17"/>
                <w:color w:val="auto"/>
              </w:rPr>
            </w:pPr>
          </w:p>
        </w:tc>
        <w:tc>
          <w:tcPr>
            <w:tcW w:w="0" w:type="dxa"/>
            <w:vAlign w:val="bottom"/>
          </w:tcPr>
          <w:p>
            <w:pPr>
              <w:spacing w:after="0"/>
              <w:rPr>
                <w:sz w:val="1"/>
                <w:szCs w:val="1"/>
                <w:color w:val="auto"/>
              </w:rPr>
            </w:pPr>
          </w:p>
        </w:tc>
      </w:tr>
      <w:tr>
        <w:trPr>
          <w:trHeight w:val="318"/>
        </w:trPr>
        <w:tc>
          <w:tcPr>
            <w:tcW w:w="820" w:type="dxa"/>
            <w:vAlign w:val="bottom"/>
            <w:gridSpan w:val="2"/>
          </w:tcPr>
          <w:p>
            <w:pPr>
              <w:spacing w:after="0"/>
              <w:rPr>
                <w:sz w:val="20"/>
                <w:szCs w:val="20"/>
                <w:color w:val="auto"/>
              </w:rPr>
            </w:pPr>
            <w:r>
              <w:rPr>
                <w:rFonts w:ascii="Arial" w:cs="Arial" w:eastAsia="Arial" w:hAnsi="Arial"/>
                <w:sz w:val="18"/>
                <w:szCs w:val="18"/>
                <w:color w:val="auto"/>
              </w:rPr>
              <w:t>10.6**</w:t>
            </w:r>
          </w:p>
        </w:tc>
        <w:tc>
          <w:tcPr>
            <w:tcW w:w="100" w:type="dxa"/>
            <w:vAlign w:val="bottom"/>
          </w:tcPr>
          <w:p>
            <w:pPr>
              <w:spacing w:after="0"/>
              <w:rPr>
                <w:sz w:val="24"/>
                <w:szCs w:val="24"/>
                <w:color w:val="auto"/>
              </w:rPr>
            </w:pPr>
          </w:p>
        </w:tc>
        <w:tc>
          <w:tcPr>
            <w:tcW w:w="3920" w:type="dxa"/>
            <w:vAlign w:val="bottom"/>
            <w:tcBorders>
              <w:bottom w:val="single" w:sz="8" w:color="0000EE"/>
            </w:tcBorders>
            <w:gridSpan w:val="15"/>
          </w:tcPr>
          <w:p>
            <w:pPr>
              <w:spacing w:after="0"/>
              <w:rPr>
                <w:rFonts w:ascii="Arial" w:cs="Arial" w:eastAsia="Arial" w:hAnsi="Arial"/>
                <w:sz w:val="18"/>
                <w:szCs w:val="18"/>
                <w:color w:val="0000EE"/>
                <w:w w:val="89"/>
              </w:rPr>
            </w:pPr>
            <w:hyperlink r:id="rId100">
              <w:r>
                <w:rPr>
                  <w:rFonts w:ascii="Arial" w:cs="Arial" w:eastAsia="Arial" w:hAnsi="Arial"/>
                  <w:sz w:val="18"/>
                  <w:szCs w:val="18"/>
                  <w:color w:val="0000EE"/>
                  <w:w w:val="89"/>
                </w:rPr>
                <w:t>Executive Incentive Plan, adopted December 12, 2006</w:t>
              </w:r>
            </w:hyperlink>
          </w:p>
        </w:tc>
        <w:tc>
          <w:tcPr>
            <w:tcW w:w="2340" w:type="dxa"/>
            <w:vAlign w:val="bottom"/>
            <w:gridSpan w:val="16"/>
          </w:tcPr>
          <w:p>
            <w:pPr>
              <w:spacing w:after="0"/>
              <w:rPr>
                <w:sz w:val="24"/>
                <w:szCs w:val="24"/>
                <w:color w:val="auto"/>
              </w:rPr>
            </w:pPr>
          </w:p>
        </w:tc>
        <w:tc>
          <w:tcPr>
            <w:tcW w:w="0" w:type="dxa"/>
            <w:vAlign w:val="bottom"/>
          </w:tcPr>
          <w:p>
            <w:pPr>
              <w:spacing w:after="0"/>
              <w:rPr>
                <w:sz w:val="1"/>
                <w:szCs w:val="1"/>
                <w:color w:val="auto"/>
              </w:rPr>
            </w:pPr>
          </w:p>
        </w:tc>
      </w:tr>
      <w:tr>
        <w:trPr>
          <w:trHeight w:val="750"/>
        </w:trPr>
        <w:tc>
          <w:tcPr>
            <w:tcW w:w="820" w:type="dxa"/>
            <w:vAlign w:val="bottom"/>
            <w:gridSpan w:val="2"/>
          </w:tcPr>
          <w:p>
            <w:pPr>
              <w:spacing w:after="0"/>
              <w:rPr>
                <w:sz w:val="20"/>
                <w:szCs w:val="20"/>
                <w:color w:val="auto"/>
              </w:rPr>
            </w:pPr>
            <w:r>
              <w:rPr>
                <w:rFonts w:ascii="Arial" w:cs="Arial" w:eastAsia="Arial" w:hAnsi="Arial"/>
                <w:sz w:val="18"/>
                <w:szCs w:val="18"/>
                <w:color w:val="auto"/>
              </w:rPr>
              <w:t>10.7**</w:t>
            </w:r>
          </w:p>
        </w:tc>
        <w:tc>
          <w:tcPr>
            <w:tcW w:w="100" w:type="dxa"/>
            <w:vAlign w:val="bottom"/>
          </w:tcPr>
          <w:p>
            <w:pPr>
              <w:spacing w:after="0"/>
              <w:rPr>
                <w:sz w:val="24"/>
                <w:szCs w:val="24"/>
                <w:color w:val="auto"/>
              </w:rPr>
            </w:pPr>
          </w:p>
        </w:tc>
        <w:tc>
          <w:tcPr>
            <w:tcW w:w="5960" w:type="dxa"/>
            <w:vAlign w:val="bottom"/>
            <w:tcBorders>
              <w:bottom w:val="single" w:sz="8" w:color="0000EE"/>
            </w:tcBorders>
            <w:gridSpan w:val="27"/>
          </w:tcPr>
          <w:p>
            <w:pPr>
              <w:spacing w:after="0"/>
              <w:rPr>
                <w:rFonts w:ascii="Arial" w:cs="Arial" w:eastAsia="Arial" w:hAnsi="Arial"/>
                <w:sz w:val="18"/>
                <w:szCs w:val="18"/>
                <w:color w:val="0000EE"/>
                <w:w w:val="90"/>
              </w:rPr>
            </w:pPr>
            <w:hyperlink r:id="rId101">
              <w:r>
                <w:rPr>
                  <w:rFonts w:ascii="Arial" w:cs="Arial" w:eastAsia="Arial" w:hAnsi="Arial"/>
                  <w:sz w:val="18"/>
                  <w:szCs w:val="18"/>
                  <w:color w:val="0000EE"/>
                  <w:w w:val="90"/>
                </w:rPr>
                <w:t>Employment Agreement between Arrowhead and Dr. Christopher Anzalone, dated</w:t>
              </w:r>
            </w:hyperlink>
          </w:p>
        </w:tc>
        <w:tc>
          <w:tcPr>
            <w:tcW w:w="300" w:type="dxa"/>
            <w:vAlign w:val="bottom"/>
            <w:gridSpan w:val="4"/>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tcBorders>
              <w:bottom w:val="single" w:sz="8" w:color="0000EE"/>
            </w:tcBorders>
            <w:gridSpan w:val="3"/>
          </w:tcPr>
          <w:p>
            <w:pPr>
              <w:spacing w:after="0" w:line="196" w:lineRule="exact"/>
              <w:rPr>
                <w:rFonts w:ascii="Arial" w:cs="Arial" w:eastAsia="Arial" w:hAnsi="Arial"/>
                <w:sz w:val="18"/>
                <w:szCs w:val="18"/>
                <w:color w:val="0000EE"/>
                <w:w w:val="85"/>
              </w:rPr>
            </w:pPr>
            <w:hyperlink r:id="rId101">
              <w:r>
                <w:rPr>
                  <w:rFonts w:ascii="Arial" w:cs="Arial" w:eastAsia="Arial" w:hAnsi="Arial"/>
                  <w:sz w:val="18"/>
                  <w:szCs w:val="18"/>
                  <w:color w:val="0000EE"/>
                  <w:w w:val="85"/>
                </w:rPr>
                <w:t>June 11, 2008</w:t>
              </w:r>
            </w:hyperlink>
          </w:p>
        </w:tc>
        <w:tc>
          <w:tcPr>
            <w:tcW w:w="5260" w:type="dxa"/>
            <w:vAlign w:val="bottom"/>
            <w:gridSpan w:val="28"/>
          </w:tcPr>
          <w:p>
            <w:pPr>
              <w:spacing w:after="0"/>
              <w:rPr>
                <w:sz w:val="17"/>
                <w:szCs w:val="17"/>
                <w:color w:val="auto"/>
              </w:rPr>
            </w:pPr>
          </w:p>
        </w:tc>
        <w:tc>
          <w:tcPr>
            <w:tcW w:w="0" w:type="dxa"/>
            <w:vAlign w:val="bottom"/>
          </w:tcPr>
          <w:p>
            <w:pPr>
              <w:spacing w:after="0"/>
              <w:rPr>
                <w:sz w:val="1"/>
                <w:szCs w:val="1"/>
                <w:color w:val="auto"/>
              </w:rPr>
            </w:pPr>
          </w:p>
        </w:tc>
      </w:tr>
      <w:tr>
        <w:trPr>
          <w:trHeight w:val="318"/>
        </w:trPr>
        <w:tc>
          <w:tcPr>
            <w:tcW w:w="820" w:type="dxa"/>
            <w:vAlign w:val="bottom"/>
            <w:gridSpan w:val="2"/>
          </w:tcPr>
          <w:p>
            <w:pPr>
              <w:spacing w:after="0"/>
              <w:rPr>
                <w:sz w:val="20"/>
                <w:szCs w:val="20"/>
                <w:color w:val="auto"/>
              </w:rPr>
            </w:pPr>
            <w:r>
              <w:rPr>
                <w:rFonts w:ascii="Arial" w:cs="Arial" w:eastAsia="Arial" w:hAnsi="Arial"/>
                <w:sz w:val="18"/>
                <w:szCs w:val="18"/>
                <w:color w:val="auto"/>
              </w:rPr>
              <w:t>10.8**</w:t>
            </w:r>
          </w:p>
        </w:tc>
        <w:tc>
          <w:tcPr>
            <w:tcW w:w="100" w:type="dxa"/>
            <w:vAlign w:val="bottom"/>
          </w:tcPr>
          <w:p>
            <w:pPr>
              <w:spacing w:after="0"/>
              <w:rPr>
                <w:sz w:val="24"/>
                <w:szCs w:val="24"/>
                <w:color w:val="auto"/>
              </w:rPr>
            </w:pPr>
          </w:p>
        </w:tc>
        <w:tc>
          <w:tcPr>
            <w:tcW w:w="5860" w:type="dxa"/>
            <w:vAlign w:val="bottom"/>
            <w:tcBorders>
              <w:bottom w:val="single" w:sz="8" w:color="0000EE"/>
            </w:tcBorders>
            <w:gridSpan w:val="25"/>
          </w:tcPr>
          <w:p>
            <w:pPr>
              <w:spacing w:after="0"/>
              <w:rPr>
                <w:rFonts w:ascii="Arial" w:cs="Arial" w:eastAsia="Arial" w:hAnsi="Arial"/>
                <w:sz w:val="18"/>
                <w:szCs w:val="18"/>
                <w:color w:val="0000EE"/>
                <w:w w:val="90"/>
              </w:rPr>
            </w:pPr>
            <w:hyperlink r:id="rId102">
              <w:r>
                <w:rPr>
                  <w:rFonts w:ascii="Arial" w:cs="Arial" w:eastAsia="Arial" w:hAnsi="Arial"/>
                  <w:sz w:val="18"/>
                  <w:szCs w:val="18"/>
                  <w:color w:val="0000EE"/>
                  <w:w w:val="90"/>
                </w:rPr>
                <w:t>Amendment to Employment Agreement between Arrowhead and Dr. Christopher</w:t>
              </w:r>
            </w:hyperlink>
          </w:p>
        </w:tc>
        <w:tc>
          <w:tcPr>
            <w:tcW w:w="400" w:type="dxa"/>
            <w:vAlign w:val="bottom"/>
            <w:gridSpan w:val="6"/>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60" w:type="dxa"/>
            <w:vAlign w:val="bottom"/>
            <w:gridSpan w:val="31"/>
          </w:tcPr>
          <w:p>
            <w:pPr>
              <w:spacing w:after="0" w:line="196" w:lineRule="exact"/>
              <w:rPr>
                <w:rFonts w:ascii="Arial" w:cs="Arial" w:eastAsia="Arial" w:hAnsi="Arial"/>
                <w:sz w:val="18"/>
                <w:szCs w:val="18"/>
                <w:color w:val="0000EE"/>
              </w:rPr>
            </w:pPr>
            <w:hyperlink r:id="rId102">
              <w:r>
                <w:rPr>
                  <w:rFonts w:ascii="Arial" w:cs="Arial" w:eastAsia="Arial" w:hAnsi="Arial"/>
                  <w:sz w:val="18"/>
                  <w:szCs w:val="18"/>
                  <w:color w:val="0000EE"/>
                </w:rPr>
                <w:t>Anzalone, effective May 12, 2009</w:t>
              </w:r>
            </w:hyperlink>
          </w:p>
        </w:tc>
        <w:tc>
          <w:tcPr>
            <w:tcW w:w="0" w:type="dxa"/>
            <w:vAlign w:val="bottom"/>
          </w:tcPr>
          <w:p>
            <w:pPr>
              <w:spacing w:after="0"/>
              <w:rPr>
                <w:sz w:val="1"/>
                <w:szCs w:val="1"/>
                <w:color w:val="auto"/>
              </w:rPr>
            </w:pPr>
          </w:p>
        </w:tc>
      </w:tr>
      <w:tr>
        <w:trPr>
          <w:trHeight w:val="20"/>
        </w:trPr>
        <w:tc>
          <w:tcPr>
            <w:tcW w:w="82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40" w:type="dxa"/>
            <w:vAlign w:val="bottom"/>
            <w:gridSpan w:val="4"/>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6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112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34"/>
        </w:trPr>
        <w:tc>
          <w:tcPr>
            <w:tcW w:w="820" w:type="dxa"/>
            <w:vAlign w:val="bottom"/>
            <w:gridSpan w:val="2"/>
          </w:tcPr>
          <w:p>
            <w:pPr>
              <w:spacing w:after="0"/>
              <w:rPr>
                <w:sz w:val="20"/>
                <w:szCs w:val="20"/>
                <w:color w:val="auto"/>
              </w:rPr>
            </w:pPr>
            <w:r>
              <w:rPr>
                <w:rFonts w:ascii="Arial" w:cs="Arial" w:eastAsia="Arial" w:hAnsi="Arial"/>
                <w:sz w:val="18"/>
                <w:szCs w:val="18"/>
                <w:color w:val="auto"/>
              </w:rPr>
              <w:t>10.9</w:t>
            </w:r>
          </w:p>
        </w:tc>
        <w:tc>
          <w:tcPr>
            <w:tcW w:w="100" w:type="dxa"/>
            <w:vAlign w:val="bottom"/>
          </w:tcPr>
          <w:p>
            <w:pPr>
              <w:spacing w:after="0"/>
              <w:rPr>
                <w:sz w:val="24"/>
                <w:szCs w:val="24"/>
                <w:color w:val="auto"/>
              </w:rPr>
            </w:pPr>
          </w:p>
        </w:tc>
        <w:tc>
          <w:tcPr>
            <w:tcW w:w="6260" w:type="dxa"/>
            <w:vAlign w:val="bottom"/>
            <w:gridSpan w:val="31"/>
          </w:tcPr>
          <w:p>
            <w:pPr>
              <w:spacing w:after="0"/>
              <w:rPr>
                <w:rFonts w:ascii="Arial" w:cs="Arial" w:eastAsia="Arial" w:hAnsi="Arial"/>
                <w:sz w:val="18"/>
                <w:szCs w:val="18"/>
                <w:color w:val="0000EE"/>
                <w:w w:val="95"/>
              </w:rPr>
            </w:pPr>
            <w:hyperlink r:id="rId103">
              <w:r>
                <w:rPr>
                  <w:rFonts w:ascii="Arial" w:cs="Arial" w:eastAsia="Arial" w:hAnsi="Arial"/>
                  <w:sz w:val="18"/>
                  <w:szCs w:val="18"/>
                  <w:color w:val="0000EE"/>
                  <w:w w:val="95"/>
                </w:rPr>
                <w:t>Non-Exclusive License Agreement between Arrowhead Research Corporation and</w:t>
              </w:r>
            </w:hyperlink>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940" w:type="dxa"/>
            <w:vAlign w:val="bottom"/>
            <w:tcBorders>
              <w:top w:val="single" w:sz="8" w:color="0000EE"/>
            </w:tcBorders>
            <w:gridSpan w:val="26"/>
          </w:tcPr>
          <w:p>
            <w:pPr>
              <w:spacing w:after="0" w:line="196" w:lineRule="exact"/>
              <w:rPr>
                <w:rFonts w:ascii="Arial" w:cs="Arial" w:eastAsia="Arial" w:hAnsi="Arial"/>
                <w:sz w:val="18"/>
                <w:szCs w:val="18"/>
                <w:color w:val="0000EE"/>
              </w:rPr>
            </w:pPr>
            <w:hyperlink r:id="rId103">
              <w:r>
                <w:rPr>
                  <w:rFonts w:ascii="Arial" w:cs="Arial" w:eastAsia="Arial" w:hAnsi="Arial"/>
                  <w:sz w:val="18"/>
                  <w:szCs w:val="18"/>
                  <w:color w:val="0000EE"/>
                </w:rPr>
                <w:t>Roche entities, dated October 21, 2011†</w:t>
              </w:r>
            </w:hyperlink>
          </w:p>
        </w:tc>
        <w:tc>
          <w:tcPr>
            <w:tcW w:w="320" w:type="dxa"/>
            <w:vAlign w:val="bottom"/>
            <w:gridSpan w:val="5"/>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82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40" w:type="dxa"/>
            <w:vAlign w:val="bottom"/>
            <w:gridSpan w:val="4"/>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6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00" w:type="dxa"/>
            <w:vAlign w:val="bottom"/>
            <w:gridSpan w:val="2"/>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112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34"/>
        </w:trPr>
        <w:tc>
          <w:tcPr>
            <w:tcW w:w="820" w:type="dxa"/>
            <w:vAlign w:val="bottom"/>
            <w:gridSpan w:val="2"/>
          </w:tcPr>
          <w:p>
            <w:pPr>
              <w:spacing w:after="0"/>
              <w:rPr>
                <w:sz w:val="20"/>
                <w:szCs w:val="20"/>
                <w:color w:val="auto"/>
              </w:rPr>
            </w:pPr>
            <w:r>
              <w:rPr>
                <w:rFonts w:ascii="Arial" w:cs="Arial" w:eastAsia="Arial" w:hAnsi="Arial"/>
                <w:sz w:val="18"/>
                <w:szCs w:val="18"/>
                <w:color w:val="auto"/>
              </w:rPr>
              <w:t>10.10</w:t>
            </w:r>
          </w:p>
        </w:tc>
        <w:tc>
          <w:tcPr>
            <w:tcW w:w="100" w:type="dxa"/>
            <w:vAlign w:val="bottom"/>
          </w:tcPr>
          <w:p>
            <w:pPr>
              <w:spacing w:after="0"/>
              <w:rPr>
                <w:sz w:val="24"/>
                <w:szCs w:val="24"/>
                <w:color w:val="auto"/>
              </w:rPr>
            </w:pPr>
          </w:p>
        </w:tc>
        <w:tc>
          <w:tcPr>
            <w:tcW w:w="5700" w:type="dxa"/>
            <w:vAlign w:val="bottom"/>
            <w:tcBorders>
              <w:bottom w:val="single" w:sz="8" w:color="0000EE"/>
            </w:tcBorders>
            <w:gridSpan w:val="20"/>
          </w:tcPr>
          <w:p>
            <w:pPr>
              <w:spacing w:after="0"/>
              <w:rPr>
                <w:rFonts w:ascii="Arial" w:cs="Arial" w:eastAsia="Arial" w:hAnsi="Arial"/>
                <w:sz w:val="18"/>
                <w:szCs w:val="18"/>
                <w:color w:val="0000EE"/>
                <w:w w:val="90"/>
              </w:rPr>
            </w:pPr>
            <w:hyperlink r:id="rId104">
              <w:r>
                <w:rPr>
                  <w:rFonts w:ascii="Arial" w:cs="Arial" w:eastAsia="Arial" w:hAnsi="Arial"/>
                  <w:sz w:val="18"/>
                  <w:szCs w:val="18"/>
                  <w:color w:val="0000EE"/>
                  <w:w w:val="90"/>
                </w:rPr>
                <w:t>License and Collaboration Agreement between F. Hoffmann-La Roche Ltd and</w:t>
              </w:r>
            </w:hyperlink>
          </w:p>
        </w:tc>
        <w:tc>
          <w:tcPr>
            <w:tcW w:w="560" w:type="dxa"/>
            <w:vAlign w:val="bottom"/>
            <w:gridSpan w:val="11"/>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60" w:type="dxa"/>
            <w:vAlign w:val="bottom"/>
            <w:gridSpan w:val="31"/>
          </w:tcPr>
          <w:p>
            <w:pPr>
              <w:spacing w:after="0" w:line="196" w:lineRule="exact"/>
              <w:rPr>
                <w:rFonts w:ascii="Arial" w:cs="Arial" w:eastAsia="Arial" w:hAnsi="Arial"/>
                <w:sz w:val="18"/>
                <w:szCs w:val="18"/>
                <w:color w:val="0000EE"/>
                <w:w w:val="97"/>
              </w:rPr>
            </w:pPr>
            <w:hyperlink r:id="rId104">
              <w:r>
                <w:rPr>
                  <w:rFonts w:ascii="Arial" w:cs="Arial" w:eastAsia="Arial" w:hAnsi="Arial"/>
                  <w:sz w:val="18"/>
                  <w:szCs w:val="18"/>
                  <w:color w:val="0000EE"/>
                  <w:w w:val="97"/>
                </w:rPr>
                <w:t>Hoffman-La Roche Inc. and Alnylam Pharmaceuticals, Inc., dated July 8, 2007 †</w:t>
              </w:r>
            </w:hyperlink>
          </w:p>
        </w:tc>
        <w:tc>
          <w:tcPr>
            <w:tcW w:w="0" w:type="dxa"/>
            <w:vAlign w:val="bottom"/>
          </w:tcPr>
          <w:p>
            <w:pPr>
              <w:spacing w:after="0"/>
              <w:rPr>
                <w:sz w:val="1"/>
                <w:szCs w:val="1"/>
                <w:color w:val="auto"/>
              </w:rPr>
            </w:pPr>
          </w:p>
        </w:tc>
      </w:tr>
      <w:tr>
        <w:trPr>
          <w:trHeight w:val="534"/>
        </w:trPr>
        <w:tc>
          <w:tcPr>
            <w:tcW w:w="820" w:type="dxa"/>
            <w:vAlign w:val="bottom"/>
            <w:gridSpan w:val="2"/>
          </w:tcPr>
          <w:p>
            <w:pPr>
              <w:spacing w:after="0"/>
              <w:rPr>
                <w:sz w:val="20"/>
                <w:szCs w:val="20"/>
                <w:color w:val="auto"/>
              </w:rPr>
            </w:pPr>
            <w:r>
              <w:rPr>
                <w:rFonts w:ascii="Arial" w:cs="Arial" w:eastAsia="Arial" w:hAnsi="Arial"/>
                <w:sz w:val="18"/>
                <w:szCs w:val="18"/>
                <w:color w:val="auto"/>
              </w:rPr>
              <w:t>10.11</w:t>
            </w:r>
          </w:p>
        </w:tc>
        <w:tc>
          <w:tcPr>
            <w:tcW w:w="100" w:type="dxa"/>
            <w:vAlign w:val="bottom"/>
          </w:tcPr>
          <w:p>
            <w:pPr>
              <w:spacing w:after="0"/>
              <w:rPr>
                <w:sz w:val="24"/>
                <w:szCs w:val="24"/>
                <w:color w:val="auto"/>
              </w:rPr>
            </w:pPr>
          </w:p>
        </w:tc>
        <w:tc>
          <w:tcPr>
            <w:tcW w:w="5640" w:type="dxa"/>
            <w:vAlign w:val="bottom"/>
            <w:tcBorders>
              <w:top w:val="single" w:sz="8" w:color="0000EE"/>
              <w:bottom w:val="single" w:sz="8" w:color="0000EE"/>
            </w:tcBorders>
            <w:gridSpan w:val="19"/>
          </w:tcPr>
          <w:p>
            <w:pPr>
              <w:spacing w:after="0"/>
              <w:rPr>
                <w:rFonts w:ascii="Arial" w:cs="Arial" w:eastAsia="Arial" w:hAnsi="Arial"/>
                <w:sz w:val="18"/>
                <w:szCs w:val="18"/>
                <w:color w:val="0000EE"/>
                <w:w w:val="90"/>
              </w:rPr>
            </w:pPr>
            <w:hyperlink r:id="rId105">
              <w:r>
                <w:rPr>
                  <w:rFonts w:ascii="Arial" w:cs="Arial" w:eastAsia="Arial" w:hAnsi="Arial"/>
                  <w:sz w:val="18"/>
                  <w:szCs w:val="18"/>
                  <w:color w:val="0000EE"/>
                  <w:w w:val="90"/>
                </w:rPr>
                <w:t>Collaboration Agreement by and among Alnylam Pharmaceuticals, Inc. and F.</w:t>
              </w:r>
            </w:hyperlink>
          </w:p>
        </w:tc>
        <w:tc>
          <w:tcPr>
            <w:tcW w:w="180" w:type="dxa"/>
            <w:vAlign w:val="bottom"/>
            <w:tcBorders>
              <w:top w:val="single" w:sz="8" w:color="0000EE"/>
            </w:tcBorders>
            <w:gridSpan w:val="5"/>
          </w:tcPr>
          <w:p>
            <w:pPr>
              <w:spacing w:after="0"/>
              <w:rPr>
                <w:sz w:val="24"/>
                <w:szCs w:val="24"/>
                <w:color w:val="auto"/>
              </w:rPr>
            </w:pPr>
          </w:p>
        </w:tc>
        <w:tc>
          <w:tcPr>
            <w:tcW w:w="440" w:type="dxa"/>
            <w:vAlign w:val="bottom"/>
            <w:gridSpan w:val="7"/>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60" w:type="dxa"/>
            <w:vAlign w:val="bottom"/>
            <w:gridSpan w:val="31"/>
          </w:tcPr>
          <w:p>
            <w:pPr>
              <w:spacing w:after="0" w:line="196" w:lineRule="exact"/>
              <w:rPr>
                <w:rFonts w:ascii="Arial" w:cs="Arial" w:eastAsia="Arial" w:hAnsi="Arial"/>
                <w:sz w:val="18"/>
                <w:szCs w:val="18"/>
                <w:color w:val="0000EE"/>
                <w:w w:val="98"/>
              </w:rPr>
            </w:pPr>
            <w:hyperlink r:id="rId105">
              <w:r>
                <w:rPr>
                  <w:rFonts w:ascii="Arial" w:cs="Arial" w:eastAsia="Arial" w:hAnsi="Arial"/>
                  <w:sz w:val="18"/>
                  <w:szCs w:val="18"/>
                  <w:color w:val="0000EE"/>
                  <w:w w:val="98"/>
                </w:rPr>
                <w:t>Hoffmann-La Roche Ltd and Hoffman-La Roche Inc., dated October 29, 2009 †</w:t>
              </w:r>
            </w:hyperlink>
          </w:p>
        </w:tc>
        <w:tc>
          <w:tcPr>
            <w:tcW w:w="0" w:type="dxa"/>
            <w:vAlign w:val="bottom"/>
          </w:tcPr>
          <w:p>
            <w:pPr>
              <w:spacing w:after="0"/>
              <w:rPr>
                <w:sz w:val="1"/>
                <w:szCs w:val="1"/>
                <w:color w:val="auto"/>
              </w:rPr>
            </w:pPr>
          </w:p>
        </w:tc>
      </w:tr>
      <w:tr>
        <w:trPr>
          <w:trHeight w:val="534"/>
        </w:trPr>
        <w:tc>
          <w:tcPr>
            <w:tcW w:w="820" w:type="dxa"/>
            <w:vAlign w:val="bottom"/>
            <w:gridSpan w:val="2"/>
          </w:tcPr>
          <w:p>
            <w:pPr>
              <w:spacing w:after="0"/>
              <w:rPr>
                <w:sz w:val="20"/>
                <w:szCs w:val="20"/>
                <w:color w:val="auto"/>
              </w:rPr>
            </w:pPr>
            <w:r>
              <w:rPr>
                <w:rFonts w:ascii="Arial" w:cs="Arial" w:eastAsia="Arial" w:hAnsi="Arial"/>
                <w:sz w:val="18"/>
                <w:szCs w:val="18"/>
                <w:color w:val="auto"/>
              </w:rPr>
              <w:t>10.12</w:t>
            </w:r>
          </w:p>
        </w:tc>
        <w:tc>
          <w:tcPr>
            <w:tcW w:w="100" w:type="dxa"/>
            <w:vAlign w:val="bottom"/>
          </w:tcPr>
          <w:p>
            <w:pPr>
              <w:spacing w:after="0"/>
              <w:rPr>
                <w:sz w:val="24"/>
                <w:szCs w:val="24"/>
                <w:color w:val="auto"/>
              </w:rPr>
            </w:pPr>
          </w:p>
        </w:tc>
        <w:tc>
          <w:tcPr>
            <w:tcW w:w="5760" w:type="dxa"/>
            <w:vAlign w:val="bottom"/>
            <w:tcBorders>
              <w:top w:val="single" w:sz="8" w:color="0000EE"/>
            </w:tcBorders>
            <w:gridSpan w:val="23"/>
          </w:tcPr>
          <w:p>
            <w:pPr>
              <w:spacing w:after="0"/>
              <w:rPr>
                <w:rFonts w:ascii="Arial" w:cs="Arial" w:eastAsia="Arial" w:hAnsi="Arial"/>
                <w:sz w:val="18"/>
                <w:szCs w:val="18"/>
                <w:color w:val="0000EE"/>
                <w:w w:val="94"/>
              </w:rPr>
            </w:pPr>
            <w:hyperlink r:id="rId106">
              <w:r>
                <w:rPr>
                  <w:rFonts w:ascii="Arial" w:cs="Arial" w:eastAsia="Arial" w:hAnsi="Arial"/>
                  <w:sz w:val="18"/>
                  <w:szCs w:val="18"/>
                  <w:color w:val="0000EE"/>
                  <w:w w:val="94"/>
                </w:rPr>
                <w:t>Office Lease Agreement between South Lake Avenue Investors LLC and the</w:t>
              </w:r>
            </w:hyperlink>
          </w:p>
        </w:tc>
        <w:tc>
          <w:tcPr>
            <w:tcW w:w="500" w:type="dxa"/>
            <w:vAlign w:val="bottom"/>
            <w:gridSpan w:val="8"/>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520" w:type="dxa"/>
            <w:vAlign w:val="bottom"/>
            <w:tcBorders>
              <w:top w:val="single" w:sz="8" w:color="0000EE"/>
            </w:tcBorders>
            <w:gridSpan w:val="18"/>
          </w:tcPr>
          <w:p>
            <w:pPr>
              <w:spacing w:after="0" w:line="196" w:lineRule="exact"/>
              <w:rPr>
                <w:rFonts w:ascii="Arial" w:cs="Arial" w:eastAsia="Arial" w:hAnsi="Arial"/>
                <w:sz w:val="18"/>
                <w:szCs w:val="18"/>
                <w:color w:val="0000EE"/>
              </w:rPr>
            </w:pPr>
            <w:hyperlink r:id="rId106">
              <w:r>
                <w:rPr>
                  <w:rFonts w:ascii="Arial" w:cs="Arial" w:eastAsia="Arial" w:hAnsi="Arial"/>
                  <w:sz w:val="18"/>
                  <w:szCs w:val="18"/>
                  <w:color w:val="0000EE"/>
                </w:rPr>
                <w:t>Company, dated April 12, 2012</w:t>
              </w:r>
            </w:hyperlink>
          </w:p>
        </w:tc>
        <w:tc>
          <w:tcPr>
            <w:tcW w:w="740" w:type="dxa"/>
            <w:vAlign w:val="bottom"/>
            <w:gridSpan w:val="13"/>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82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40" w:type="dxa"/>
            <w:vAlign w:val="bottom"/>
            <w:gridSpan w:val="4"/>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6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86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132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gridSpan w:val="5"/>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820" w:type="dxa"/>
            <w:vAlign w:val="bottom"/>
            <w:gridSpan w:val="2"/>
          </w:tcPr>
          <w:p>
            <w:pPr>
              <w:spacing w:after="0"/>
              <w:rPr>
                <w:sz w:val="20"/>
                <w:szCs w:val="20"/>
                <w:color w:val="auto"/>
              </w:rPr>
            </w:pPr>
            <w:r>
              <w:rPr>
                <w:rFonts w:ascii="Arial" w:cs="Arial" w:eastAsia="Arial" w:hAnsi="Arial"/>
                <w:sz w:val="18"/>
                <w:szCs w:val="18"/>
                <w:color w:val="auto"/>
              </w:rPr>
              <w:t>10.13</w:t>
            </w:r>
          </w:p>
        </w:tc>
        <w:tc>
          <w:tcPr>
            <w:tcW w:w="100" w:type="dxa"/>
            <w:vAlign w:val="bottom"/>
          </w:tcPr>
          <w:p>
            <w:pPr>
              <w:spacing w:after="0"/>
              <w:rPr>
                <w:sz w:val="24"/>
                <w:szCs w:val="24"/>
                <w:color w:val="auto"/>
              </w:rPr>
            </w:pPr>
          </w:p>
        </w:tc>
        <w:tc>
          <w:tcPr>
            <w:tcW w:w="5740" w:type="dxa"/>
            <w:vAlign w:val="bottom"/>
            <w:tcBorders>
              <w:bottom w:val="single" w:sz="8" w:color="0000EE"/>
            </w:tcBorders>
            <w:gridSpan w:val="22"/>
          </w:tcPr>
          <w:p>
            <w:pPr>
              <w:spacing w:after="0"/>
              <w:rPr>
                <w:rFonts w:ascii="Arial" w:cs="Arial" w:eastAsia="Arial" w:hAnsi="Arial"/>
                <w:sz w:val="18"/>
                <w:szCs w:val="18"/>
                <w:color w:val="0000EE"/>
                <w:w w:val="90"/>
              </w:rPr>
            </w:pPr>
            <w:hyperlink r:id="rId107">
              <w:r>
                <w:rPr>
                  <w:rFonts w:ascii="Arial" w:cs="Arial" w:eastAsia="Arial" w:hAnsi="Arial"/>
                  <w:sz w:val="18"/>
                  <w:szCs w:val="18"/>
                  <w:color w:val="0000EE"/>
                  <w:w w:val="90"/>
                </w:rPr>
                <w:t>License Agreement by and between Alnylam Pharmaceuticals, Inc., Arrowhead</w:t>
              </w:r>
            </w:hyperlink>
          </w:p>
        </w:tc>
        <w:tc>
          <w:tcPr>
            <w:tcW w:w="520" w:type="dxa"/>
            <w:vAlign w:val="bottom"/>
            <w:gridSpan w:val="9"/>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860" w:type="dxa"/>
            <w:vAlign w:val="bottom"/>
            <w:tcBorders>
              <w:bottom w:val="single" w:sz="8" w:color="0000EE"/>
            </w:tcBorders>
            <w:gridSpan w:val="14"/>
          </w:tcPr>
          <w:p>
            <w:pPr>
              <w:spacing w:after="0" w:line="196" w:lineRule="exact"/>
              <w:rPr>
                <w:rFonts w:ascii="Arial" w:cs="Arial" w:eastAsia="Arial" w:hAnsi="Arial"/>
                <w:sz w:val="18"/>
                <w:szCs w:val="18"/>
                <w:color w:val="0000EE"/>
                <w:w w:val="90"/>
              </w:rPr>
            </w:pPr>
            <w:hyperlink r:id="rId107">
              <w:r>
                <w:rPr>
                  <w:rFonts w:ascii="Arial" w:cs="Arial" w:eastAsia="Arial" w:hAnsi="Arial"/>
                  <w:sz w:val="18"/>
                  <w:szCs w:val="18"/>
                  <w:color w:val="0000EE"/>
                  <w:w w:val="90"/>
                </w:rPr>
                <w:t>Research Corporation and Arrowhead Madison, Inc.†</w:t>
              </w:r>
            </w:hyperlink>
          </w:p>
        </w:tc>
        <w:tc>
          <w:tcPr>
            <w:tcW w:w="2400" w:type="dxa"/>
            <w:vAlign w:val="bottom"/>
            <w:gridSpan w:val="17"/>
          </w:tcPr>
          <w:p>
            <w:pPr>
              <w:spacing w:after="0"/>
              <w:rPr>
                <w:sz w:val="17"/>
                <w:szCs w:val="17"/>
                <w:color w:val="auto"/>
              </w:rPr>
            </w:pPr>
          </w:p>
        </w:tc>
        <w:tc>
          <w:tcPr>
            <w:tcW w:w="0" w:type="dxa"/>
            <w:vAlign w:val="bottom"/>
          </w:tcPr>
          <w:p>
            <w:pPr>
              <w:spacing w:after="0"/>
              <w:rPr>
                <w:sz w:val="1"/>
                <w:szCs w:val="1"/>
                <w:color w:val="auto"/>
              </w:rPr>
            </w:pPr>
          </w:p>
        </w:tc>
      </w:tr>
      <w:tr>
        <w:trPr>
          <w:trHeight w:val="318"/>
        </w:trPr>
        <w:tc>
          <w:tcPr>
            <w:tcW w:w="820" w:type="dxa"/>
            <w:vAlign w:val="bottom"/>
            <w:gridSpan w:val="2"/>
          </w:tcPr>
          <w:p>
            <w:pPr>
              <w:spacing w:after="0"/>
              <w:rPr>
                <w:sz w:val="20"/>
                <w:szCs w:val="20"/>
                <w:color w:val="auto"/>
              </w:rPr>
            </w:pPr>
            <w:r>
              <w:rPr>
                <w:rFonts w:ascii="Arial" w:cs="Arial" w:eastAsia="Arial" w:hAnsi="Arial"/>
                <w:sz w:val="18"/>
                <w:szCs w:val="18"/>
                <w:color w:val="auto"/>
              </w:rPr>
              <w:t>10.14</w:t>
            </w:r>
          </w:p>
        </w:tc>
        <w:tc>
          <w:tcPr>
            <w:tcW w:w="100" w:type="dxa"/>
            <w:vAlign w:val="bottom"/>
          </w:tcPr>
          <w:p>
            <w:pPr>
              <w:spacing w:after="0"/>
              <w:rPr>
                <w:sz w:val="24"/>
                <w:szCs w:val="24"/>
                <w:color w:val="auto"/>
              </w:rPr>
            </w:pPr>
          </w:p>
        </w:tc>
        <w:tc>
          <w:tcPr>
            <w:tcW w:w="5960" w:type="dxa"/>
            <w:vAlign w:val="bottom"/>
            <w:tcBorders>
              <w:bottom w:val="single" w:sz="8" w:color="0000EE"/>
            </w:tcBorders>
            <w:gridSpan w:val="27"/>
          </w:tcPr>
          <w:p>
            <w:pPr>
              <w:spacing w:after="0"/>
              <w:rPr>
                <w:rFonts w:ascii="Arial" w:cs="Arial" w:eastAsia="Arial" w:hAnsi="Arial"/>
                <w:sz w:val="18"/>
                <w:szCs w:val="18"/>
                <w:color w:val="0000EE"/>
                <w:w w:val="89"/>
              </w:rPr>
            </w:pPr>
            <w:hyperlink r:id="rId108">
              <w:r>
                <w:rPr>
                  <w:rFonts w:ascii="Arial" w:cs="Arial" w:eastAsia="Arial" w:hAnsi="Arial"/>
                  <w:sz w:val="18"/>
                  <w:szCs w:val="18"/>
                  <w:color w:val="0000EE"/>
                  <w:w w:val="89"/>
                </w:rPr>
                <w:t>Lease Agreement between University Research Park, Incorporated and Arrowhead</w:t>
              </w:r>
            </w:hyperlink>
          </w:p>
        </w:tc>
        <w:tc>
          <w:tcPr>
            <w:tcW w:w="300" w:type="dxa"/>
            <w:vAlign w:val="bottom"/>
            <w:gridSpan w:val="4"/>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60" w:type="dxa"/>
            <w:vAlign w:val="bottom"/>
            <w:tcBorders>
              <w:bottom w:val="single" w:sz="8" w:color="0000EE"/>
            </w:tcBorders>
            <w:gridSpan w:val="9"/>
          </w:tcPr>
          <w:p>
            <w:pPr>
              <w:spacing w:after="0" w:line="196" w:lineRule="exact"/>
              <w:rPr>
                <w:rFonts w:ascii="Arial" w:cs="Arial" w:eastAsia="Arial" w:hAnsi="Arial"/>
                <w:sz w:val="18"/>
                <w:szCs w:val="18"/>
                <w:color w:val="0000EE"/>
                <w:w w:val="89"/>
              </w:rPr>
            </w:pPr>
            <w:hyperlink r:id="rId108">
              <w:r>
                <w:rPr>
                  <w:rFonts w:ascii="Arial" w:cs="Arial" w:eastAsia="Arial" w:hAnsi="Arial"/>
                  <w:sz w:val="18"/>
                  <w:szCs w:val="18"/>
                  <w:color w:val="0000EE"/>
                  <w:w w:val="89"/>
                </w:rPr>
                <w:t>Madison, Inc., dated January 8, 2016</w:t>
              </w:r>
            </w:hyperlink>
          </w:p>
        </w:tc>
        <w:tc>
          <w:tcPr>
            <w:tcW w:w="3600" w:type="dxa"/>
            <w:vAlign w:val="bottom"/>
            <w:gridSpan w:val="22"/>
          </w:tcPr>
          <w:p>
            <w:pPr>
              <w:spacing w:after="0"/>
              <w:rPr>
                <w:sz w:val="17"/>
                <w:szCs w:val="17"/>
                <w:color w:val="auto"/>
              </w:rPr>
            </w:pPr>
          </w:p>
        </w:tc>
        <w:tc>
          <w:tcPr>
            <w:tcW w:w="0" w:type="dxa"/>
            <w:vAlign w:val="bottom"/>
          </w:tcPr>
          <w:p>
            <w:pPr>
              <w:spacing w:after="0"/>
              <w:rPr>
                <w:sz w:val="1"/>
                <w:szCs w:val="1"/>
                <w:color w:val="auto"/>
              </w:rPr>
            </w:pPr>
          </w:p>
        </w:tc>
      </w:tr>
      <w:tr>
        <w:trPr>
          <w:trHeight w:val="412"/>
        </w:trPr>
        <w:tc>
          <w:tcPr>
            <w:tcW w:w="820" w:type="dxa"/>
            <w:vAlign w:val="bottom"/>
            <w:gridSpan w:val="2"/>
          </w:tcPr>
          <w:p>
            <w:pPr>
              <w:spacing w:after="0"/>
              <w:rPr>
                <w:sz w:val="20"/>
                <w:szCs w:val="20"/>
                <w:color w:val="auto"/>
              </w:rPr>
            </w:pPr>
            <w:r>
              <w:rPr>
                <w:rFonts w:ascii="Arial" w:cs="Arial" w:eastAsia="Arial" w:hAnsi="Arial"/>
                <w:sz w:val="18"/>
                <w:szCs w:val="18"/>
                <w:color w:val="auto"/>
              </w:rPr>
              <w:t>10.15</w:t>
            </w:r>
          </w:p>
        </w:tc>
        <w:tc>
          <w:tcPr>
            <w:tcW w:w="100" w:type="dxa"/>
            <w:vAlign w:val="bottom"/>
          </w:tcPr>
          <w:p>
            <w:pPr>
              <w:spacing w:after="0"/>
              <w:rPr>
                <w:sz w:val="24"/>
                <w:szCs w:val="24"/>
                <w:color w:val="auto"/>
              </w:rPr>
            </w:pPr>
          </w:p>
        </w:tc>
        <w:tc>
          <w:tcPr>
            <w:tcW w:w="5720" w:type="dxa"/>
            <w:vAlign w:val="bottom"/>
            <w:tcBorders>
              <w:bottom w:val="single" w:sz="8" w:color="0000EE"/>
            </w:tcBorders>
            <w:gridSpan w:val="21"/>
          </w:tcPr>
          <w:p>
            <w:pPr>
              <w:spacing w:after="0"/>
              <w:rPr>
                <w:rFonts w:ascii="Arial" w:cs="Arial" w:eastAsia="Arial" w:hAnsi="Arial"/>
                <w:sz w:val="18"/>
                <w:szCs w:val="18"/>
                <w:color w:val="0000EE"/>
                <w:w w:val="88"/>
              </w:rPr>
            </w:pPr>
            <w:hyperlink r:id="rId109">
              <w:r>
                <w:rPr>
                  <w:rFonts w:ascii="Arial" w:cs="Arial" w:eastAsia="Arial" w:hAnsi="Arial"/>
                  <w:sz w:val="18"/>
                  <w:szCs w:val="18"/>
                  <w:color w:val="0000EE"/>
                  <w:w w:val="88"/>
                </w:rPr>
                <w:t>Securities Purchase Agreement between the Company and the purchasers listed</w:t>
              </w:r>
            </w:hyperlink>
          </w:p>
        </w:tc>
        <w:tc>
          <w:tcPr>
            <w:tcW w:w="540" w:type="dxa"/>
            <w:vAlign w:val="bottom"/>
            <w:gridSpan w:val="10"/>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60" w:type="dxa"/>
            <w:vAlign w:val="bottom"/>
            <w:gridSpan w:val="31"/>
          </w:tcPr>
          <w:p>
            <w:pPr>
              <w:spacing w:after="0" w:line="196" w:lineRule="exact"/>
              <w:rPr>
                <w:rFonts w:ascii="Arial" w:cs="Arial" w:eastAsia="Arial" w:hAnsi="Arial"/>
                <w:sz w:val="18"/>
                <w:szCs w:val="18"/>
                <w:color w:val="0000EE"/>
              </w:rPr>
            </w:pPr>
            <w:hyperlink r:id="rId109">
              <w:r>
                <w:rPr>
                  <w:rFonts w:ascii="Arial" w:cs="Arial" w:eastAsia="Arial" w:hAnsi="Arial"/>
                  <w:sz w:val="18"/>
                  <w:szCs w:val="18"/>
                  <w:color w:val="0000EE"/>
                </w:rPr>
                <w:t>thereon, dated August 8, 2016</w:t>
              </w:r>
            </w:hyperlink>
          </w:p>
        </w:tc>
        <w:tc>
          <w:tcPr>
            <w:tcW w:w="0" w:type="dxa"/>
            <w:vAlign w:val="bottom"/>
          </w:tcPr>
          <w:p>
            <w:pPr>
              <w:spacing w:after="0"/>
              <w:rPr>
                <w:sz w:val="1"/>
                <w:szCs w:val="1"/>
                <w:color w:val="auto"/>
              </w:rPr>
            </w:pPr>
          </w:p>
        </w:tc>
      </w:tr>
      <w:tr>
        <w:trPr>
          <w:trHeight w:val="20"/>
        </w:trPr>
        <w:tc>
          <w:tcPr>
            <w:tcW w:w="82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40" w:type="dxa"/>
            <w:vAlign w:val="bottom"/>
            <w:gridSpan w:val="4"/>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680" w:type="dxa"/>
            <w:vAlign w:val="bottom"/>
            <w:shd w:val="clear" w:color="auto" w:fill="0000EE"/>
          </w:tcPr>
          <w:p>
            <w:pPr>
              <w:spacing w:after="0" w:line="20" w:lineRule="exact"/>
              <w:rPr>
                <w:sz w:val="1"/>
                <w:szCs w:val="1"/>
                <w:color w:val="auto"/>
              </w:rPr>
            </w:pPr>
          </w:p>
        </w:tc>
        <w:tc>
          <w:tcPr>
            <w:tcW w:w="1360" w:type="dxa"/>
            <w:vAlign w:val="bottom"/>
            <w:gridSpan w:val="5"/>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gridSpan w:val="3"/>
          </w:tcPr>
          <w:p>
            <w:pPr>
              <w:spacing w:after="0" w:line="20" w:lineRule="exact"/>
              <w:rPr>
                <w:sz w:val="1"/>
                <w:szCs w:val="1"/>
                <w:color w:val="auto"/>
              </w:rPr>
            </w:pPr>
          </w:p>
        </w:tc>
        <w:tc>
          <w:tcPr>
            <w:tcW w:w="1600" w:type="dxa"/>
            <w:vAlign w:val="bottom"/>
            <w:gridSpan w:val="1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820" w:type="dxa"/>
            <w:vAlign w:val="bottom"/>
            <w:gridSpan w:val="2"/>
          </w:tcPr>
          <w:p>
            <w:pPr>
              <w:spacing w:after="0"/>
              <w:rPr>
                <w:sz w:val="20"/>
                <w:szCs w:val="20"/>
                <w:color w:val="auto"/>
              </w:rPr>
            </w:pPr>
            <w:r>
              <w:rPr>
                <w:rFonts w:ascii="Arial" w:cs="Arial" w:eastAsia="Arial" w:hAnsi="Arial"/>
                <w:sz w:val="18"/>
                <w:szCs w:val="18"/>
                <w:color w:val="auto"/>
              </w:rPr>
              <w:t>10.16</w:t>
            </w:r>
          </w:p>
        </w:tc>
        <w:tc>
          <w:tcPr>
            <w:tcW w:w="100" w:type="dxa"/>
            <w:vAlign w:val="bottom"/>
          </w:tcPr>
          <w:p>
            <w:pPr>
              <w:spacing w:after="0"/>
              <w:rPr>
                <w:sz w:val="24"/>
                <w:szCs w:val="24"/>
                <w:color w:val="auto"/>
              </w:rPr>
            </w:pPr>
          </w:p>
        </w:tc>
        <w:tc>
          <w:tcPr>
            <w:tcW w:w="6040" w:type="dxa"/>
            <w:vAlign w:val="bottom"/>
            <w:tcBorders>
              <w:bottom w:val="single" w:sz="8" w:color="0000EE"/>
            </w:tcBorders>
            <w:gridSpan w:val="29"/>
          </w:tcPr>
          <w:p>
            <w:pPr>
              <w:spacing w:after="0"/>
              <w:rPr>
                <w:rFonts w:ascii="Arial" w:cs="Arial" w:eastAsia="Arial" w:hAnsi="Arial"/>
                <w:sz w:val="18"/>
                <w:szCs w:val="18"/>
                <w:color w:val="0000EE"/>
                <w:w w:val="90"/>
              </w:rPr>
            </w:pPr>
            <w:hyperlink r:id="rId110">
              <w:r>
                <w:rPr>
                  <w:rFonts w:ascii="Arial" w:cs="Arial" w:eastAsia="Arial" w:hAnsi="Arial"/>
                  <w:sz w:val="18"/>
                  <w:szCs w:val="18"/>
                  <w:color w:val="0000EE"/>
                  <w:w w:val="90"/>
                </w:rPr>
                <w:t>First Collaboration and Licensing Agreement between Arrowhead Pharmaceuticals,</w:t>
              </w:r>
            </w:hyperlink>
          </w:p>
        </w:tc>
        <w:tc>
          <w:tcPr>
            <w:tcW w:w="220" w:type="dxa"/>
            <w:vAlign w:val="bottom"/>
            <w:gridSpan w:val="2"/>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0" w:type="dxa"/>
            <w:vAlign w:val="bottom"/>
            <w:tcBorders>
              <w:bottom w:val="single" w:sz="8" w:color="0000EE"/>
            </w:tcBorders>
            <w:gridSpan w:val="13"/>
          </w:tcPr>
          <w:p>
            <w:pPr>
              <w:spacing w:after="0" w:line="196" w:lineRule="exact"/>
              <w:rPr>
                <w:rFonts w:ascii="Arial" w:cs="Arial" w:eastAsia="Arial" w:hAnsi="Arial"/>
                <w:sz w:val="18"/>
                <w:szCs w:val="18"/>
                <w:color w:val="0000EE"/>
                <w:w w:val="89"/>
              </w:rPr>
            </w:pPr>
            <w:hyperlink r:id="rId110">
              <w:r>
                <w:rPr>
                  <w:rFonts w:ascii="Arial" w:cs="Arial" w:eastAsia="Arial" w:hAnsi="Arial"/>
                  <w:sz w:val="18"/>
                  <w:szCs w:val="18"/>
                  <w:color w:val="0000EE"/>
                  <w:w w:val="89"/>
                </w:rPr>
                <w:t>Inc. and Amgen, Inc., dated September 28, 2016†</w:t>
              </w:r>
            </w:hyperlink>
          </w:p>
        </w:tc>
        <w:tc>
          <w:tcPr>
            <w:tcW w:w="2660" w:type="dxa"/>
            <w:vAlign w:val="bottom"/>
            <w:gridSpan w:val="18"/>
          </w:tcPr>
          <w:p>
            <w:pPr>
              <w:spacing w:after="0"/>
              <w:rPr>
                <w:sz w:val="17"/>
                <w:szCs w:val="17"/>
                <w:color w:val="auto"/>
              </w:rPr>
            </w:pPr>
          </w:p>
        </w:tc>
        <w:tc>
          <w:tcPr>
            <w:tcW w:w="0" w:type="dxa"/>
            <w:vAlign w:val="bottom"/>
          </w:tcPr>
          <w:p>
            <w:pPr>
              <w:spacing w:after="0"/>
              <w:rPr>
                <w:sz w:val="1"/>
                <w:szCs w:val="1"/>
                <w:color w:val="auto"/>
              </w:rPr>
            </w:pPr>
          </w:p>
        </w:tc>
      </w:tr>
      <w:tr>
        <w:trPr>
          <w:trHeight w:val="628"/>
        </w:trPr>
        <w:tc>
          <w:tcPr>
            <w:tcW w:w="820" w:type="dxa"/>
            <w:vAlign w:val="bottom"/>
            <w:gridSpan w:val="2"/>
          </w:tcPr>
          <w:p>
            <w:pPr>
              <w:spacing w:after="0"/>
              <w:rPr>
                <w:sz w:val="20"/>
                <w:szCs w:val="20"/>
                <w:color w:val="auto"/>
              </w:rPr>
            </w:pPr>
            <w:r>
              <w:rPr>
                <w:rFonts w:ascii="Arial" w:cs="Arial" w:eastAsia="Arial" w:hAnsi="Arial"/>
                <w:sz w:val="18"/>
                <w:szCs w:val="18"/>
                <w:color w:val="auto"/>
              </w:rPr>
              <w:t>10.17</w:t>
            </w:r>
          </w:p>
        </w:tc>
        <w:tc>
          <w:tcPr>
            <w:tcW w:w="100" w:type="dxa"/>
            <w:vAlign w:val="bottom"/>
          </w:tcPr>
          <w:p>
            <w:pPr>
              <w:spacing w:after="0"/>
              <w:rPr>
                <w:sz w:val="24"/>
                <w:szCs w:val="24"/>
                <w:color w:val="auto"/>
              </w:rPr>
            </w:pPr>
          </w:p>
        </w:tc>
        <w:tc>
          <w:tcPr>
            <w:tcW w:w="6240" w:type="dxa"/>
            <w:vAlign w:val="bottom"/>
            <w:tcBorders>
              <w:bottom w:val="single" w:sz="8" w:color="0000EE"/>
            </w:tcBorders>
            <w:gridSpan w:val="30"/>
          </w:tcPr>
          <w:p>
            <w:pPr>
              <w:spacing w:after="0"/>
              <w:rPr>
                <w:rFonts w:ascii="Arial" w:cs="Arial" w:eastAsia="Arial" w:hAnsi="Arial"/>
                <w:sz w:val="18"/>
                <w:szCs w:val="18"/>
                <w:color w:val="0000EE"/>
                <w:w w:val="90"/>
              </w:rPr>
            </w:pPr>
            <w:hyperlink r:id="rId111">
              <w:r>
                <w:rPr>
                  <w:rFonts w:ascii="Arial" w:cs="Arial" w:eastAsia="Arial" w:hAnsi="Arial"/>
                  <w:sz w:val="18"/>
                  <w:szCs w:val="18"/>
                  <w:color w:val="0000EE"/>
                  <w:w w:val="90"/>
                </w:rPr>
                <w:t>Second Collaboration and Licensing Agreement between Arrowhead Pharmaceuticals,</w:t>
              </w:r>
            </w:hyperlink>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580" w:type="dxa"/>
            <w:vAlign w:val="bottom"/>
            <w:tcBorders>
              <w:bottom w:val="single" w:sz="8" w:color="0000EE"/>
            </w:tcBorders>
            <w:gridSpan w:val="12"/>
          </w:tcPr>
          <w:p>
            <w:pPr>
              <w:spacing w:after="0" w:line="196" w:lineRule="exact"/>
              <w:rPr>
                <w:rFonts w:ascii="Arial" w:cs="Arial" w:eastAsia="Arial" w:hAnsi="Arial"/>
                <w:sz w:val="18"/>
                <w:szCs w:val="18"/>
                <w:color w:val="0000EE"/>
                <w:w w:val="89"/>
              </w:rPr>
            </w:pPr>
            <w:hyperlink r:id="rId111">
              <w:r>
                <w:rPr>
                  <w:rFonts w:ascii="Arial" w:cs="Arial" w:eastAsia="Arial" w:hAnsi="Arial"/>
                  <w:sz w:val="18"/>
                  <w:szCs w:val="18"/>
                  <w:color w:val="0000EE"/>
                  <w:w w:val="89"/>
                </w:rPr>
                <w:t>Inc. and Amgen, Inc., dated September 28, 2016†</w:t>
              </w:r>
            </w:hyperlink>
          </w:p>
        </w:tc>
        <w:tc>
          <w:tcPr>
            <w:tcW w:w="2680" w:type="dxa"/>
            <w:vAlign w:val="bottom"/>
            <w:gridSpan w:val="19"/>
          </w:tcPr>
          <w:p>
            <w:pPr>
              <w:spacing w:after="0"/>
              <w:rPr>
                <w:sz w:val="17"/>
                <w:szCs w:val="17"/>
                <w:color w:val="auto"/>
              </w:rPr>
            </w:pPr>
          </w:p>
        </w:tc>
        <w:tc>
          <w:tcPr>
            <w:tcW w:w="0" w:type="dxa"/>
            <w:vAlign w:val="bottom"/>
          </w:tcPr>
          <w:p>
            <w:pPr>
              <w:spacing w:after="0"/>
              <w:rPr>
                <w:sz w:val="1"/>
                <w:szCs w:val="1"/>
                <w:color w:val="auto"/>
              </w:rPr>
            </w:pPr>
          </w:p>
        </w:tc>
      </w:tr>
      <w:tr>
        <w:trPr>
          <w:trHeight w:val="628"/>
        </w:trPr>
        <w:tc>
          <w:tcPr>
            <w:tcW w:w="820" w:type="dxa"/>
            <w:vAlign w:val="bottom"/>
            <w:gridSpan w:val="2"/>
          </w:tcPr>
          <w:p>
            <w:pPr>
              <w:spacing w:after="0"/>
              <w:rPr>
                <w:sz w:val="20"/>
                <w:szCs w:val="20"/>
                <w:color w:val="auto"/>
              </w:rPr>
            </w:pPr>
            <w:r>
              <w:rPr>
                <w:rFonts w:ascii="Arial" w:cs="Arial" w:eastAsia="Arial" w:hAnsi="Arial"/>
                <w:sz w:val="18"/>
                <w:szCs w:val="18"/>
                <w:color w:val="auto"/>
              </w:rPr>
              <w:t>10.18</w:t>
            </w:r>
          </w:p>
        </w:tc>
        <w:tc>
          <w:tcPr>
            <w:tcW w:w="100" w:type="dxa"/>
            <w:vAlign w:val="bottom"/>
          </w:tcPr>
          <w:p>
            <w:pPr>
              <w:spacing w:after="0"/>
              <w:rPr>
                <w:sz w:val="24"/>
                <w:szCs w:val="24"/>
                <w:color w:val="auto"/>
              </w:rPr>
            </w:pPr>
          </w:p>
        </w:tc>
        <w:tc>
          <w:tcPr>
            <w:tcW w:w="6000" w:type="dxa"/>
            <w:vAlign w:val="bottom"/>
            <w:tcBorders>
              <w:bottom w:val="single" w:sz="8" w:color="0000EE"/>
            </w:tcBorders>
            <w:gridSpan w:val="28"/>
          </w:tcPr>
          <w:p>
            <w:pPr>
              <w:spacing w:after="0"/>
              <w:rPr>
                <w:rFonts w:ascii="Arial" w:cs="Arial" w:eastAsia="Arial" w:hAnsi="Arial"/>
                <w:sz w:val="18"/>
                <w:szCs w:val="18"/>
                <w:color w:val="0000EE"/>
                <w:w w:val="89"/>
              </w:rPr>
            </w:pPr>
            <w:hyperlink r:id="rId112">
              <w:r>
                <w:rPr>
                  <w:rFonts w:ascii="Arial" w:cs="Arial" w:eastAsia="Arial" w:hAnsi="Arial"/>
                  <w:sz w:val="18"/>
                  <w:szCs w:val="18"/>
                  <w:color w:val="0000EE"/>
                  <w:w w:val="89"/>
                </w:rPr>
                <w:t>Common Stock Purchase Agreement between the Company and Amgen Inc., dated</w:t>
              </w:r>
            </w:hyperlink>
          </w:p>
        </w:tc>
        <w:tc>
          <w:tcPr>
            <w:tcW w:w="260" w:type="dxa"/>
            <w:vAlign w:val="bottom"/>
            <w:gridSpan w:val="3"/>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40" w:type="dxa"/>
            <w:vAlign w:val="bottom"/>
            <w:tcBorders>
              <w:bottom w:val="single" w:sz="8" w:color="0000EE"/>
            </w:tcBorders>
            <w:gridSpan w:val="4"/>
          </w:tcPr>
          <w:p>
            <w:pPr>
              <w:spacing w:after="0" w:line="196" w:lineRule="exact"/>
              <w:rPr>
                <w:rFonts w:ascii="Arial" w:cs="Arial" w:eastAsia="Arial" w:hAnsi="Arial"/>
                <w:sz w:val="18"/>
                <w:szCs w:val="18"/>
                <w:color w:val="0000EE"/>
                <w:w w:val="87"/>
              </w:rPr>
            </w:pPr>
            <w:hyperlink r:id="rId112">
              <w:r>
                <w:rPr>
                  <w:rFonts w:ascii="Arial" w:cs="Arial" w:eastAsia="Arial" w:hAnsi="Arial"/>
                  <w:sz w:val="18"/>
                  <w:szCs w:val="18"/>
                  <w:color w:val="0000EE"/>
                  <w:w w:val="87"/>
                </w:rPr>
                <w:t>September 28, 2016</w:t>
              </w:r>
            </w:hyperlink>
          </w:p>
        </w:tc>
        <w:tc>
          <w:tcPr>
            <w:tcW w:w="4820" w:type="dxa"/>
            <w:vAlign w:val="bottom"/>
            <w:gridSpan w:val="27"/>
          </w:tcPr>
          <w:p>
            <w:pPr>
              <w:spacing w:after="0"/>
              <w:rPr>
                <w:sz w:val="17"/>
                <w:szCs w:val="17"/>
                <w:color w:val="auto"/>
              </w:rPr>
            </w:pPr>
          </w:p>
        </w:tc>
        <w:tc>
          <w:tcPr>
            <w:tcW w:w="0" w:type="dxa"/>
            <w:vAlign w:val="bottom"/>
          </w:tcPr>
          <w:p>
            <w:pPr>
              <w:spacing w:after="0"/>
              <w:rPr>
                <w:sz w:val="1"/>
                <w:szCs w:val="1"/>
                <w:color w:val="auto"/>
              </w:rPr>
            </w:pPr>
          </w:p>
        </w:tc>
      </w:tr>
      <w:tr>
        <w:trPr>
          <w:trHeight w:val="412"/>
        </w:trPr>
        <w:tc>
          <w:tcPr>
            <w:tcW w:w="820" w:type="dxa"/>
            <w:vAlign w:val="bottom"/>
            <w:gridSpan w:val="2"/>
          </w:tcPr>
          <w:p>
            <w:pPr>
              <w:spacing w:after="0"/>
              <w:rPr>
                <w:sz w:val="20"/>
                <w:szCs w:val="20"/>
                <w:color w:val="auto"/>
              </w:rPr>
            </w:pPr>
            <w:r>
              <w:rPr>
                <w:rFonts w:ascii="Arial" w:cs="Arial" w:eastAsia="Arial" w:hAnsi="Arial"/>
                <w:sz w:val="18"/>
                <w:szCs w:val="18"/>
                <w:color w:val="auto"/>
              </w:rPr>
              <w:t>21.1</w:t>
            </w:r>
          </w:p>
        </w:tc>
        <w:tc>
          <w:tcPr>
            <w:tcW w:w="100" w:type="dxa"/>
            <w:vAlign w:val="bottom"/>
          </w:tcPr>
          <w:p>
            <w:pPr>
              <w:spacing w:after="0"/>
              <w:rPr>
                <w:sz w:val="24"/>
                <w:szCs w:val="24"/>
                <w:color w:val="auto"/>
              </w:rPr>
            </w:pPr>
          </w:p>
        </w:tc>
        <w:tc>
          <w:tcPr>
            <w:tcW w:w="6260" w:type="dxa"/>
            <w:vAlign w:val="bottom"/>
            <w:gridSpan w:val="31"/>
          </w:tcPr>
          <w:p>
            <w:pPr>
              <w:spacing w:after="0"/>
              <w:rPr>
                <w:rFonts w:ascii="Arial" w:cs="Arial" w:eastAsia="Arial" w:hAnsi="Arial"/>
                <w:sz w:val="18"/>
                <w:szCs w:val="18"/>
                <w:color w:val="0000EE"/>
              </w:rPr>
            </w:pPr>
            <w:hyperlink w:anchor="page84">
              <w:r>
                <w:rPr>
                  <w:rFonts w:ascii="Arial" w:cs="Arial" w:eastAsia="Arial" w:hAnsi="Arial"/>
                  <w:sz w:val="18"/>
                  <w:szCs w:val="18"/>
                  <w:color w:val="0000EE"/>
                </w:rPr>
                <w:t>List of Subsidiaries*</w:t>
              </w:r>
            </w:hyperlink>
          </w:p>
        </w:tc>
        <w:tc>
          <w:tcPr>
            <w:tcW w:w="0" w:type="dxa"/>
            <w:vAlign w:val="bottom"/>
          </w:tcPr>
          <w:p>
            <w:pPr>
              <w:spacing w:after="0"/>
              <w:rPr>
                <w:sz w:val="1"/>
                <w:szCs w:val="1"/>
                <w:color w:val="auto"/>
              </w:rPr>
            </w:pPr>
          </w:p>
        </w:tc>
      </w:tr>
      <w:tr>
        <w:trPr>
          <w:trHeight w:val="20"/>
        </w:trPr>
        <w:tc>
          <w:tcPr>
            <w:tcW w:w="82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80" w:type="dxa"/>
            <w:vAlign w:val="bottom"/>
            <w:gridSpan w:val="5"/>
            <w:shd w:val="clear" w:color="auto" w:fill="0000EE"/>
          </w:tcPr>
          <w:p>
            <w:pPr>
              <w:spacing w:after="0" w:line="20" w:lineRule="exact"/>
              <w:rPr>
                <w:sz w:val="1"/>
                <w:szCs w:val="1"/>
                <w:color w:val="auto"/>
              </w:rPr>
            </w:pPr>
          </w:p>
        </w:tc>
        <w:tc>
          <w:tcPr>
            <w:tcW w:w="2040" w:type="dxa"/>
            <w:vAlign w:val="bottom"/>
            <w:gridSpan w:val="6"/>
          </w:tcPr>
          <w:p>
            <w:pPr>
              <w:spacing w:after="0" w:line="20" w:lineRule="exact"/>
              <w:rPr>
                <w:sz w:val="1"/>
                <w:szCs w:val="1"/>
                <w:color w:val="auto"/>
              </w:rPr>
            </w:pPr>
          </w:p>
        </w:tc>
        <w:tc>
          <w:tcPr>
            <w:tcW w:w="880" w:type="dxa"/>
            <w:vAlign w:val="bottom"/>
            <w:gridSpan w:val="5"/>
          </w:tcPr>
          <w:p>
            <w:pPr>
              <w:spacing w:after="0" w:line="20" w:lineRule="exact"/>
              <w:rPr>
                <w:sz w:val="1"/>
                <w:szCs w:val="1"/>
                <w:color w:val="auto"/>
              </w:rPr>
            </w:pPr>
          </w:p>
        </w:tc>
        <w:tc>
          <w:tcPr>
            <w:tcW w:w="1860" w:type="dxa"/>
            <w:vAlign w:val="bottom"/>
            <w:gridSpan w:val="15"/>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820" w:type="dxa"/>
            <w:vAlign w:val="bottom"/>
            <w:gridSpan w:val="2"/>
          </w:tcPr>
          <w:p>
            <w:pPr>
              <w:spacing w:after="0"/>
              <w:rPr>
                <w:sz w:val="20"/>
                <w:szCs w:val="20"/>
                <w:color w:val="auto"/>
              </w:rPr>
            </w:pPr>
            <w:r>
              <w:rPr>
                <w:rFonts w:ascii="Arial" w:cs="Arial" w:eastAsia="Arial" w:hAnsi="Arial"/>
                <w:sz w:val="18"/>
                <w:szCs w:val="18"/>
                <w:color w:val="auto"/>
              </w:rPr>
              <w:t>23.1</w:t>
            </w:r>
          </w:p>
        </w:tc>
        <w:tc>
          <w:tcPr>
            <w:tcW w:w="100" w:type="dxa"/>
            <w:vAlign w:val="bottom"/>
          </w:tcPr>
          <w:p>
            <w:pPr>
              <w:spacing w:after="0"/>
              <w:rPr>
                <w:sz w:val="24"/>
                <w:szCs w:val="24"/>
                <w:color w:val="auto"/>
              </w:rPr>
            </w:pPr>
          </w:p>
        </w:tc>
        <w:tc>
          <w:tcPr>
            <w:tcW w:w="6260" w:type="dxa"/>
            <w:vAlign w:val="bottom"/>
            <w:gridSpan w:val="31"/>
          </w:tcPr>
          <w:p>
            <w:pPr>
              <w:spacing w:after="0"/>
              <w:rPr>
                <w:rFonts w:ascii="Arial" w:cs="Arial" w:eastAsia="Arial" w:hAnsi="Arial"/>
                <w:sz w:val="18"/>
                <w:szCs w:val="18"/>
                <w:color w:val="0000EE"/>
              </w:rPr>
            </w:pPr>
            <w:hyperlink w:anchor="page85">
              <w:r>
                <w:rPr>
                  <w:rFonts w:ascii="Arial" w:cs="Arial" w:eastAsia="Arial" w:hAnsi="Arial"/>
                  <w:sz w:val="18"/>
                  <w:szCs w:val="18"/>
                  <w:color w:val="0000EE"/>
                </w:rPr>
                <w:t>Consent of Independent Public Registered Accounting Firm*</w:t>
              </w:r>
            </w:hyperlink>
          </w:p>
        </w:tc>
        <w:tc>
          <w:tcPr>
            <w:tcW w:w="0" w:type="dxa"/>
            <w:vAlign w:val="bottom"/>
          </w:tcPr>
          <w:p>
            <w:pPr>
              <w:spacing w:after="0"/>
              <w:rPr>
                <w:sz w:val="1"/>
                <w:szCs w:val="1"/>
                <w:color w:val="auto"/>
              </w:rPr>
            </w:pPr>
          </w:p>
        </w:tc>
      </w:tr>
      <w:tr>
        <w:trPr>
          <w:trHeight w:val="318"/>
        </w:trPr>
        <w:tc>
          <w:tcPr>
            <w:tcW w:w="820" w:type="dxa"/>
            <w:vAlign w:val="bottom"/>
            <w:gridSpan w:val="2"/>
          </w:tcPr>
          <w:p>
            <w:pPr>
              <w:spacing w:after="0"/>
              <w:rPr>
                <w:sz w:val="20"/>
                <w:szCs w:val="20"/>
                <w:color w:val="auto"/>
              </w:rPr>
            </w:pPr>
            <w:r>
              <w:rPr>
                <w:rFonts w:ascii="Arial" w:cs="Arial" w:eastAsia="Arial" w:hAnsi="Arial"/>
                <w:sz w:val="18"/>
                <w:szCs w:val="18"/>
                <w:color w:val="auto"/>
              </w:rPr>
              <w:t>24.1</w:t>
            </w:r>
          </w:p>
        </w:tc>
        <w:tc>
          <w:tcPr>
            <w:tcW w:w="100" w:type="dxa"/>
            <w:vAlign w:val="bottom"/>
          </w:tcPr>
          <w:p>
            <w:pPr>
              <w:spacing w:after="0"/>
              <w:rPr>
                <w:sz w:val="24"/>
                <w:szCs w:val="24"/>
                <w:color w:val="auto"/>
              </w:rPr>
            </w:pPr>
          </w:p>
        </w:tc>
        <w:tc>
          <w:tcPr>
            <w:tcW w:w="4400" w:type="dxa"/>
            <w:vAlign w:val="bottom"/>
            <w:tcBorders>
              <w:top w:val="single" w:sz="8" w:color="0000EE"/>
            </w:tcBorders>
            <w:gridSpan w:val="16"/>
          </w:tcPr>
          <w:p>
            <w:pPr>
              <w:spacing w:after="0"/>
              <w:rPr>
                <w:rFonts w:ascii="Arial" w:cs="Arial" w:eastAsia="Arial" w:hAnsi="Arial"/>
                <w:sz w:val="18"/>
                <w:szCs w:val="18"/>
                <w:color w:val="0000EE"/>
              </w:rPr>
            </w:pPr>
            <w:hyperlink w:anchor="page59">
              <w:r>
                <w:rPr>
                  <w:rFonts w:ascii="Arial" w:cs="Arial" w:eastAsia="Arial" w:hAnsi="Arial"/>
                  <w:sz w:val="18"/>
                  <w:szCs w:val="18"/>
                  <w:color w:val="0000EE"/>
                </w:rPr>
                <w:t>Power of Attorney (contained on signature page)</w:t>
              </w:r>
            </w:hyperlink>
          </w:p>
        </w:tc>
        <w:tc>
          <w:tcPr>
            <w:tcW w:w="1860" w:type="dxa"/>
            <w:vAlign w:val="bottom"/>
            <w:gridSpan w:val="15"/>
          </w:tcPr>
          <w:p>
            <w:pPr>
              <w:spacing w:after="0"/>
              <w:rPr>
                <w:sz w:val="24"/>
                <w:szCs w:val="24"/>
                <w:color w:val="auto"/>
              </w:rPr>
            </w:pPr>
          </w:p>
        </w:tc>
        <w:tc>
          <w:tcPr>
            <w:tcW w:w="0" w:type="dxa"/>
            <w:vAlign w:val="bottom"/>
          </w:tcPr>
          <w:p>
            <w:pPr>
              <w:spacing w:after="0"/>
              <w:rPr>
                <w:sz w:val="1"/>
                <w:szCs w:val="1"/>
                <w:color w:val="auto"/>
              </w:rPr>
            </w:pPr>
          </w:p>
        </w:tc>
      </w:tr>
      <w:tr>
        <w:trPr>
          <w:trHeight w:val="574"/>
        </w:trPr>
        <w:tc>
          <w:tcPr>
            <w:tcW w:w="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0" w:type="dxa"/>
            <w:vAlign w:val="bottom"/>
            <w:gridSpan w:val="2"/>
          </w:tcPr>
          <w:p>
            <w:pPr>
              <w:spacing w:after="0"/>
              <w:rPr>
                <w:sz w:val="24"/>
                <w:szCs w:val="24"/>
                <w:color w:val="auto"/>
              </w:rPr>
            </w:pPr>
          </w:p>
        </w:tc>
        <w:tc>
          <w:tcPr>
            <w:tcW w:w="3500" w:type="dxa"/>
            <w:vAlign w:val="bottom"/>
            <w:tcBorders>
              <w:top w:val="single" w:sz="8" w:color="0000EE"/>
            </w:tcBorders>
            <w:gridSpan w:val="10"/>
          </w:tcPr>
          <w:p>
            <w:pPr>
              <w:spacing w:after="0"/>
              <w:rPr>
                <w:sz w:val="24"/>
                <w:szCs w:val="24"/>
                <w:color w:val="auto"/>
              </w:rPr>
            </w:pPr>
          </w:p>
        </w:tc>
        <w:tc>
          <w:tcPr>
            <w:tcW w:w="1780" w:type="dxa"/>
            <w:vAlign w:val="bottom"/>
            <w:gridSpan w:val="6"/>
          </w:tcPr>
          <w:p>
            <w:pPr>
              <w:jc w:val="right"/>
              <w:ind w:right="420"/>
              <w:spacing w:after="0"/>
              <w:rPr>
                <w:sz w:val="20"/>
                <w:szCs w:val="20"/>
                <w:color w:val="auto"/>
              </w:rPr>
            </w:pPr>
            <w:r>
              <w:rPr>
                <w:rFonts w:ascii="Arial" w:cs="Arial" w:eastAsia="Arial" w:hAnsi="Arial"/>
                <w:sz w:val="18"/>
                <w:szCs w:val="18"/>
                <w:color w:val="auto"/>
              </w:rPr>
              <w:t>55</w:t>
            </w: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55880</wp:posOffset>
            </wp:positionV>
            <wp:extent cx="7289165"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11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jc w:val="center"/>
        <w:spacing w:after="0"/>
        <w:rPr>
          <w:sz w:val="20"/>
          <w:szCs w:val="20"/>
          <w:color w:val="auto"/>
        </w:rPr>
      </w:pPr>
      <w:r>
        <w:rPr>
          <w:rFonts w:ascii="Arial" w:cs="Arial" w:eastAsia="Arial" w:hAnsi="Arial"/>
          <w:sz w:val="14"/>
          <w:szCs w:val="14"/>
          <w:b w:val="1"/>
          <w:bCs w:val="1"/>
          <w:color w:val="auto"/>
        </w:rPr>
        <w:t>Incorporated by Reference Herein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6350</wp:posOffset>
            </wp:positionV>
            <wp:extent cx="2632710" cy="889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114">
                      <a:extLst>
                        <a:ext uri="{28A0092B-C50C-407E-A947-70E740481C1C}"/>
                      </a:extLst>
                    </a:blip>
                    <a:srcRect/>
                    <a:stretch>
                      <a:fillRect/>
                    </a:stretch>
                  </pic:blipFill>
                  <pic:spPr bwMode="auto">
                    <a:xfrm>
                      <a:off x="0" y="0"/>
                      <a:ext cx="2632710" cy="8890"/>
                    </a:xfrm>
                    <a:prstGeom prst="rect">
                      <a:avLst/>
                    </a:prstGeom>
                    <a:noFill/>
                  </pic:spPr>
                </pic:pic>
              </a:graphicData>
            </a:graphic>
          </wp:anchor>
        </w:drawing>
      </w:r>
    </w:p>
    <w:p>
      <w:pPr>
        <w:spacing w:after="0" w:line="49"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2780" w:type="dxa"/>
            <w:vAlign w:val="bottom"/>
            <w:gridSpan w:val="2"/>
          </w:tcPr>
          <w:p>
            <w:pPr>
              <w:ind w:left="1160"/>
              <w:spacing w:after="0"/>
              <w:rPr>
                <w:sz w:val="20"/>
                <w:szCs w:val="20"/>
                <w:color w:val="auto"/>
              </w:rPr>
            </w:pPr>
            <w:r>
              <w:rPr>
                <w:rFonts w:ascii="Arial" w:cs="Arial" w:eastAsia="Arial" w:hAnsi="Arial"/>
                <w:sz w:val="14"/>
                <w:szCs w:val="14"/>
                <w:b w:val="1"/>
                <w:bCs w:val="1"/>
                <w:color w:val="auto"/>
              </w:rPr>
              <w:t>Form</w:t>
            </w:r>
          </w:p>
        </w:tc>
        <w:tc>
          <w:tcPr>
            <w:tcW w:w="1340" w:type="dxa"/>
            <w:vAlign w:val="bottom"/>
          </w:tcPr>
          <w:p>
            <w:pPr>
              <w:ind w:left="520"/>
              <w:spacing w:after="0"/>
              <w:rPr>
                <w:sz w:val="20"/>
                <w:szCs w:val="20"/>
                <w:color w:val="auto"/>
              </w:rPr>
            </w:pPr>
            <w:r>
              <w:rPr>
                <w:rFonts w:ascii="Arial" w:cs="Arial" w:eastAsia="Arial" w:hAnsi="Arial"/>
                <w:sz w:val="14"/>
                <w:szCs w:val="14"/>
                <w:b w:val="1"/>
                <w:bCs w:val="1"/>
                <w:color w:val="auto"/>
              </w:rPr>
              <w:t>Date</w:t>
            </w:r>
          </w:p>
        </w:tc>
      </w:tr>
      <w:tr>
        <w:trPr>
          <w:trHeight w:val="195"/>
        </w:trPr>
        <w:tc>
          <w:tcPr>
            <w:tcW w:w="20" w:type="dxa"/>
            <w:vAlign w:val="bottom"/>
          </w:tcPr>
          <w:p>
            <w:pPr>
              <w:spacing w:after="0"/>
              <w:rPr>
                <w:sz w:val="16"/>
                <w:szCs w:val="16"/>
                <w:color w:val="auto"/>
              </w:rPr>
            </w:pPr>
          </w:p>
        </w:tc>
        <w:tc>
          <w:tcPr>
            <w:tcW w:w="270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Current Report on Form 8-K, as</w:t>
            </w:r>
          </w:p>
        </w:tc>
        <w:tc>
          <w:tcPr>
            <w:tcW w:w="80" w:type="dxa"/>
            <w:vAlign w:val="bottom"/>
          </w:tcPr>
          <w:p>
            <w:pPr>
              <w:spacing w:after="0"/>
              <w:rPr>
                <w:sz w:val="16"/>
                <w:szCs w:val="16"/>
                <w:color w:val="auto"/>
              </w:rPr>
            </w:pPr>
          </w:p>
        </w:tc>
        <w:tc>
          <w:tcPr>
            <w:tcW w:w="134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w w:val="89"/>
              </w:rPr>
              <w:t>February 12, 2014</w:t>
            </w:r>
          </w:p>
        </w:tc>
      </w:tr>
      <w:tr>
        <w:trPr>
          <w:trHeight w:val="230"/>
        </w:trPr>
        <w:tc>
          <w:tcPr>
            <w:tcW w:w="2800" w:type="dxa"/>
            <w:vAlign w:val="bottom"/>
            <w:gridSpan w:val="3"/>
          </w:tcPr>
          <w:p>
            <w:pPr>
              <w:spacing w:after="0"/>
              <w:rPr>
                <w:sz w:val="20"/>
                <w:szCs w:val="20"/>
                <w:color w:val="auto"/>
              </w:rPr>
            </w:pPr>
            <w:r>
              <w:rPr>
                <w:rFonts w:ascii="Arial" w:cs="Arial" w:eastAsia="Arial" w:hAnsi="Arial"/>
                <w:sz w:val="18"/>
                <w:szCs w:val="18"/>
                <w:color w:val="auto"/>
              </w:rPr>
              <w:t>Exhibit 10.2</w:t>
            </w:r>
          </w:p>
        </w:tc>
        <w:tc>
          <w:tcPr>
            <w:tcW w:w="1340" w:type="dxa"/>
            <w:vAlign w:val="bottom"/>
          </w:tcPr>
          <w:p>
            <w:pPr>
              <w:spacing w:after="0"/>
              <w:rPr>
                <w:sz w:val="20"/>
                <w:szCs w:val="20"/>
                <w:color w:val="auto"/>
              </w:rPr>
            </w:pPr>
          </w:p>
        </w:tc>
      </w:tr>
      <w:tr>
        <w:trPr>
          <w:trHeight w:val="323"/>
        </w:trPr>
        <w:tc>
          <w:tcPr>
            <w:tcW w:w="2800" w:type="dxa"/>
            <w:vAlign w:val="bottom"/>
            <w:gridSpan w:val="3"/>
          </w:tcPr>
          <w:p>
            <w:pPr>
              <w:spacing w:after="0"/>
              <w:rPr>
                <w:sz w:val="20"/>
                <w:szCs w:val="20"/>
                <w:color w:val="auto"/>
              </w:rPr>
            </w:pPr>
            <w:r>
              <w:rPr>
                <w:rFonts w:ascii="Arial" w:cs="Arial" w:eastAsia="Arial" w:hAnsi="Arial"/>
                <w:sz w:val="18"/>
                <w:szCs w:val="18"/>
                <w:color w:val="auto"/>
                <w:w w:val="97"/>
              </w:rPr>
              <w:t>Annual Report on Form 10-K for the</w:t>
            </w:r>
          </w:p>
        </w:tc>
        <w:tc>
          <w:tcPr>
            <w:tcW w:w="1340" w:type="dxa"/>
            <w:vAlign w:val="bottom"/>
          </w:tcPr>
          <w:p>
            <w:pPr>
              <w:spacing w:after="0"/>
              <w:rPr>
                <w:sz w:val="20"/>
                <w:szCs w:val="20"/>
                <w:color w:val="auto"/>
              </w:rPr>
            </w:pPr>
            <w:r>
              <w:rPr>
                <w:rFonts w:ascii="Arial" w:cs="Arial" w:eastAsia="Arial" w:hAnsi="Arial"/>
                <w:sz w:val="18"/>
                <w:szCs w:val="18"/>
                <w:color w:val="auto"/>
              </w:rPr>
              <w:t>December 14,</w:t>
            </w:r>
          </w:p>
        </w:tc>
      </w:tr>
      <w:tr>
        <w:trPr>
          <w:trHeight w:val="216"/>
        </w:trPr>
        <w:tc>
          <w:tcPr>
            <w:tcW w:w="2800" w:type="dxa"/>
            <w:vAlign w:val="bottom"/>
            <w:gridSpan w:val="3"/>
          </w:tcPr>
          <w:p>
            <w:pPr>
              <w:spacing w:after="0"/>
              <w:rPr>
                <w:sz w:val="20"/>
                <w:szCs w:val="20"/>
                <w:color w:val="auto"/>
              </w:rPr>
            </w:pPr>
            <w:r>
              <w:rPr>
                <w:rFonts w:ascii="Arial" w:cs="Arial" w:eastAsia="Arial" w:hAnsi="Arial"/>
                <w:sz w:val="18"/>
                <w:szCs w:val="18"/>
                <w:color w:val="auto"/>
              </w:rPr>
              <w:t>fiscal year ended September 30,</w:t>
            </w:r>
          </w:p>
        </w:tc>
        <w:tc>
          <w:tcPr>
            <w:tcW w:w="1340" w:type="dxa"/>
            <w:vAlign w:val="bottom"/>
          </w:tcPr>
          <w:p>
            <w:pPr>
              <w:spacing w:after="0"/>
              <w:rPr>
                <w:sz w:val="20"/>
                <w:szCs w:val="20"/>
                <w:color w:val="auto"/>
              </w:rPr>
            </w:pPr>
            <w:r>
              <w:rPr>
                <w:rFonts w:ascii="Arial" w:cs="Arial" w:eastAsia="Arial" w:hAnsi="Arial"/>
                <w:sz w:val="18"/>
                <w:szCs w:val="18"/>
                <w:color w:val="auto"/>
              </w:rPr>
              <w:t>2006</w:t>
            </w:r>
          </w:p>
        </w:tc>
      </w:tr>
      <w:tr>
        <w:trPr>
          <w:trHeight w:val="230"/>
        </w:trPr>
        <w:tc>
          <w:tcPr>
            <w:tcW w:w="2800" w:type="dxa"/>
            <w:vAlign w:val="bottom"/>
            <w:gridSpan w:val="3"/>
          </w:tcPr>
          <w:p>
            <w:pPr>
              <w:spacing w:after="0"/>
              <w:rPr>
                <w:sz w:val="20"/>
                <w:szCs w:val="20"/>
                <w:color w:val="auto"/>
              </w:rPr>
            </w:pPr>
            <w:r>
              <w:rPr>
                <w:rFonts w:ascii="Arial" w:cs="Arial" w:eastAsia="Arial" w:hAnsi="Arial"/>
                <w:sz w:val="18"/>
                <w:szCs w:val="18"/>
                <w:color w:val="auto"/>
              </w:rPr>
              <w:t>2006, as Exhibit 10.11</w:t>
            </w:r>
          </w:p>
        </w:tc>
        <w:tc>
          <w:tcPr>
            <w:tcW w:w="1340" w:type="dxa"/>
            <w:vAlign w:val="bottom"/>
          </w:tcPr>
          <w:p>
            <w:pPr>
              <w:spacing w:after="0"/>
              <w:rPr>
                <w:sz w:val="20"/>
                <w:szCs w:val="20"/>
                <w:color w:val="auto"/>
              </w:rPr>
            </w:pPr>
          </w:p>
        </w:tc>
      </w:tr>
      <w:tr>
        <w:trPr>
          <w:trHeight w:val="323"/>
        </w:trPr>
        <w:tc>
          <w:tcPr>
            <w:tcW w:w="2800" w:type="dxa"/>
            <w:vAlign w:val="bottom"/>
            <w:gridSpan w:val="3"/>
          </w:tcPr>
          <w:p>
            <w:pPr>
              <w:spacing w:after="0"/>
              <w:rPr>
                <w:sz w:val="20"/>
                <w:szCs w:val="20"/>
                <w:color w:val="auto"/>
              </w:rPr>
            </w:pPr>
            <w:r>
              <w:rPr>
                <w:rFonts w:ascii="Arial" w:cs="Arial" w:eastAsia="Arial" w:hAnsi="Arial"/>
                <w:sz w:val="18"/>
                <w:szCs w:val="18"/>
                <w:color w:val="auto"/>
              </w:rPr>
              <w:t>Current Report on Form 8-K, as</w:t>
            </w:r>
          </w:p>
        </w:tc>
        <w:tc>
          <w:tcPr>
            <w:tcW w:w="1340" w:type="dxa"/>
            <w:vAlign w:val="bottom"/>
          </w:tcPr>
          <w:p>
            <w:pPr>
              <w:spacing w:after="0"/>
              <w:rPr>
                <w:sz w:val="20"/>
                <w:szCs w:val="20"/>
                <w:color w:val="auto"/>
              </w:rPr>
            </w:pPr>
            <w:r>
              <w:rPr>
                <w:rFonts w:ascii="Arial" w:cs="Arial" w:eastAsia="Arial" w:hAnsi="Arial"/>
                <w:sz w:val="18"/>
                <w:szCs w:val="18"/>
                <w:color w:val="auto"/>
              </w:rPr>
              <w:t>June 13, 2008</w:t>
            </w:r>
          </w:p>
        </w:tc>
      </w:tr>
      <w:tr>
        <w:trPr>
          <w:trHeight w:val="230"/>
        </w:trPr>
        <w:tc>
          <w:tcPr>
            <w:tcW w:w="2800" w:type="dxa"/>
            <w:vAlign w:val="bottom"/>
            <w:gridSpan w:val="3"/>
          </w:tcPr>
          <w:p>
            <w:pPr>
              <w:spacing w:after="0"/>
              <w:rPr>
                <w:sz w:val="20"/>
                <w:szCs w:val="20"/>
                <w:color w:val="auto"/>
              </w:rPr>
            </w:pPr>
            <w:r>
              <w:rPr>
                <w:rFonts w:ascii="Arial" w:cs="Arial" w:eastAsia="Arial" w:hAnsi="Arial"/>
                <w:sz w:val="18"/>
                <w:szCs w:val="18"/>
                <w:color w:val="auto"/>
              </w:rPr>
              <w:t>Exhibit 10.1</w:t>
            </w:r>
          </w:p>
        </w:tc>
        <w:tc>
          <w:tcPr>
            <w:tcW w:w="1340" w:type="dxa"/>
            <w:vAlign w:val="bottom"/>
          </w:tcPr>
          <w:p>
            <w:pPr>
              <w:spacing w:after="0"/>
              <w:rPr>
                <w:sz w:val="20"/>
                <w:szCs w:val="20"/>
                <w:color w:val="auto"/>
              </w:rPr>
            </w:pPr>
          </w:p>
        </w:tc>
      </w:tr>
      <w:tr>
        <w:trPr>
          <w:trHeight w:val="323"/>
        </w:trPr>
        <w:tc>
          <w:tcPr>
            <w:tcW w:w="2800" w:type="dxa"/>
            <w:vAlign w:val="bottom"/>
            <w:gridSpan w:val="3"/>
          </w:tcPr>
          <w:p>
            <w:pPr>
              <w:spacing w:after="0"/>
              <w:rPr>
                <w:sz w:val="20"/>
                <w:szCs w:val="20"/>
                <w:color w:val="auto"/>
              </w:rPr>
            </w:pPr>
            <w:r>
              <w:rPr>
                <w:rFonts w:ascii="Arial" w:cs="Arial" w:eastAsia="Arial" w:hAnsi="Arial"/>
                <w:sz w:val="18"/>
                <w:szCs w:val="18"/>
                <w:color w:val="auto"/>
                <w:w w:val="97"/>
              </w:rPr>
              <w:t>Annual Report on Form 10-K for the</w:t>
            </w:r>
          </w:p>
        </w:tc>
        <w:tc>
          <w:tcPr>
            <w:tcW w:w="1340" w:type="dxa"/>
            <w:vAlign w:val="bottom"/>
          </w:tcPr>
          <w:p>
            <w:pPr>
              <w:spacing w:after="0"/>
              <w:rPr>
                <w:sz w:val="20"/>
                <w:szCs w:val="20"/>
                <w:color w:val="auto"/>
              </w:rPr>
            </w:pPr>
            <w:r>
              <w:rPr>
                <w:rFonts w:ascii="Arial" w:cs="Arial" w:eastAsia="Arial" w:hAnsi="Arial"/>
                <w:sz w:val="18"/>
                <w:szCs w:val="18"/>
                <w:color w:val="auto"/>
              </w:rPr>
              <w:t>December 22,</w:t>
            </w:r>
          </w:p>
        </w:tc>
      </w:tr>
      <w:tr>
        <w:trPr>
          <w:trHeight w:val="216"/>
        </w:trPr>
        <w:tc>
          <w:tcPr>
            <w:tcW w:w="2800" w:type="dxa"/>
            <w:vAlign w:val="bottom"/>
            <w:gridSpan w:val="3"/>
          </w:tcPr>
          <w:p>
            <w:pPr>
              <w:spacing w:after="0"/>
              <w:rPr>
                <w:sz w:val="20"/>
                <w:szCs w:val="20"/>
                <w:color w:val="auto"/>
              </w:rPr>
            </w:pPr>
            <w:r>
              <w:rPr>
                <w:rFonts w:ascii="Arial" w:cs="Arial" w:eastAsia="Arial" w:hAnsi="Arial"/>
                <w:sz w:val="18"/>
                <w:szCs w:val="18"/>
                <w:color w:val="auto"/>
              </w:rPr>
              <w:t>fiscal year ended September 30,</w:t>
            </w:r>
          </w:p>
        </w:tc>
        <w:tc>
          <w:tcPr>
            <w:tcW w:w="1340" w:type="dxa"/>
            <w:vAlign w:val="bottom"/>
          </w:tcPr>
          <w:p>
            <w:pPr>
              <w:spacing w:after="0"/>
              <w:rPr>
                <w:sz w:val="20"/>
                <w:szCs w:val="20"/>
                <w:color w:val="auto"/>
              </w:rPr>
            </w:pPr>
            <w:r>
              <w:rPr>
                <w:rFonts w:ascii="Arial" w:cs="Arial" w:eastAsia="Arial" w:hAnsi="Arial"/>
                <w:sz w:val="18"/>
                <w:szCs w:val="18"/>
                <w:color w:val="auto"/>
              </w:rPr>
              <w:t>2009</w:t>
            </w:r>
          </w:p>
        </w:tc>
      </w:tr>
      <w:tr>
        <w:trPr>
          <w:trHeight w:val="230"/>
        </w:trPr>
        <w:tc>
          <w:tcPr>
            <w:tcW w:w="2800" w:type="dxa"/>
            <w:vAlign w:val="bottom"/>
            <w:gridSpan w:val="3"/>
          </w:tcPr>
          <w:p>
            <w:pPr>
              <w:spacing w:after="0"/>
              <w:rPr>
                <w:sz w:val="20"/>
                <w:szCs w:val="20"/>
                <w:color w:val="auto"/>
              </w:rPr>
            </w:pPr>
            <w:r>
              <w:rPr>
                <w:rFonts w:ascii="Arial" w:cs="Arial" w:eastAsia="Arial" w:hAnsi="Arial"/>
                <w:sz w:val="18"/>
                <w:szCs w:val="18"/>
                <w:color w:val="auto"/>
              </w:rPr>
              <w:t>2009, as Exhibit 10.8</w:t>
            </w:r>
          </w:p>
        </w:tc>
        <w:tc>
          <w:tcPr>
            <w:tcW w:w="1340" w:type="dxa"/>
            <w:vAlign w:val="bottom"/>
          </w:tcPr>
          <w:p>
            <w:pPr>
              <w:spacing w:after="0"/>
              <w:rPr>
                <w:sz w:val="20"/>
                <w:szCs w:val="20"/>
                <w:color w:val="auto"/>
              </w:rPr>
            </w:pPr>
          </w:p>
        </w:tc>
      </w:tr>
      <w:tr>
        <w:trPr>
          <w:trHeight w:val="323"/>
        </w:trPr>
        <w:tc>
          <w:tcPr>
            <w:tcW w:w="2800" w:type="dxa"/>
            <w:vAlign w:val="bottom"/>
            <w:gridSpan w:val="3"/>
          </w:tcPr>
          <w:p>
            <w:pPr>
              <w:spacing w:after="0"/>
              <w:rPr>
                <w:sz w:val="20"/>
                <w:szCs w:val="20"/>
                <w:color w:val="auto"/>
              </w:rPr>
            </w:pPr>
            <w:r>
              <w:rPr>
                <w:rFonts w:ascii="Arial" w:cs="Arial" w:eastAsia="Arial" w:hAnsi="Arial"/>
                <w:sz w:val="18"/>
                <w:szCs w:val="18"/>
                <w:color w:val="auto"/>
                <w:w w:val="97"/>
              </w:rPr>
              <w:t>Annual Report on Form 10-K for the</w:t>
            </w:r>
          </w:p>
        </w:tc>
        <w:tc>
          <w:tcPr>
            <w:tcW w:w="1340" w:type="dxa"/>
            <w:vAlign w:val="bottom"/>
          </w:tcPr>
          <w:p>
            <w:pPr>
              <w:spacing w:after="0"/>
              <w:rPr>
                <w:sz w:val="20"/>
                <w:szCs w:val="20"/>
                <w:color w:val="auto"/>
              </w:rPr>
            </w:pPr>
            <w:r>
              <w:rPr>
                <w:rFonts w:ascii="Arial" w:cs="Arial" w:eastAsia="Arial" w:hAnsi="Arial"/>
                <w:sz w:val="18"/>
                <w:szCs w:val="18"/>
                <w:color w:val="auto"/>
              </w:rPr>
              <w:t>December 20,</w:t>
            </w:r>
          </w:p>
        </w:tc>
      </w:tr>
      <w:tr>
        <w:trPr>
          <w:trHeight w:val="216"/>
        </w:trPr>
        <w:tc>
          <w:tcPr>
            <w:tcW w:w="2800" w:type="dxa"/>
            <w:vAlign w:val="bottom"/>
            <w:gridSpan w:val="3"/>
          </w:tcPr>
          <w:p>
            <w:pPr>
              <w:spacing w:after="0"/>
              <w:rPr>
                <w:sz w:val="20"/>
                <w:szCs w:val="20"/>
                <w:color w:val="auto"/>
              </w:rPr>
            </w:pPr>
            <w:r>
              <w:rPr>
                <w:rFonts w:ascii="Arial" w:cs="Arial" w:eastAsia="Arial" w:hAnsi="Arial"/>
                <w:sz w:val="18"/>
                <w:szCs w:val="18"/>
                <w:color w:val="auto"/>
              </w:rPr>
              <w:t>fiscal year ended September 30,</w:t>
            </w:r>
          </w:p>
        </w:tc>
        <w:tc>
          <w:tcPr>
            <w:tcW w:w="1340" w:type="dxa"/>
            <w:vAlign w:val="bottom"/>
          </w:tcPr>
          <w:p>
            <w:pPr>
              <w:spacing w:after="0"/>
              <w:rPr>
                <w:sz w:val="20"/>
                <w:szCs w:val="20"/>
                <w:color w:val="auto"/>
              </w:rPr>
            </w:pPr>
            <w:r>
              <w:rPr>
                <w:rFonts w:ascii="Arial" w:cs="Arial" w:eastAsia="Arial" w:hAnsi="Arial"/>
                <w:sz w:val="18"/>
                <w:szCs w:val="18"/>
                <w:color w:val="auto"/>
              </w:rPr>
              <w:t>2011</w:t>
            </w:r>
          </w:p>
        </w:tc>
      </w:tr>
      <w:tr>
        <w:trPr>
          <w:trHeight w:val="230"/>
        </w:trPr>
        <w:tc>
          <w:tcPr>
            <w:tcW w:w="2800" w:type="dxa"/>
            <w:vAlign w:val="bottom"/>
            <w:gridSpan w:val="3"/>
          </w:tcPr>
          <w:p>
            <w:pPr>
              <w:spacing w:after="0"/>
              <w:rPr>
                <w:sz w:val="20"/>
                <w:szCs w:val="20"/>
                <w:color w:val="auto"/>
              </w:rPr>
            </w:pPr>
            <w:r>
              <w:rPr>
                <w:rFonts w:ascii="Arial" w:cs="Arial" w:eastAsia="Arial" w:hAnsi="Arial"/>
                <w:sz w:val="18"/>
                <w:szCs w:val="18"/>
                <w:color w:val="auto"/>
              </w:rPr>
              <w:t>2011, as Exhibit 10.33</w:t>
            </w:r>
          </w:p>
        </w:tc>
        <w:tc>
          <w:tcPr>
            <w:tcW w:w="1340" w:type="dxa"/>
            <w:vAlign w:val="bottom"/>
          </w:tcPr>
          <w:p>
            <w:pPr>
              <w:spacing w:after="0"/>
              <w:rPr>
                <w:sz w:val="20"/>
                <w:szCs w:val="20"/>
                <w:color w:val="auto"/>
              </w:rPr>
            </w:pPr>
          </w:p>
        </w:tc>
      </w:tr>
      <w:tr>
        <w:trPr>
          <w:trHeight w:val="323"/>
        </w:trPr>
        <w:tc>
          <w:tcPr>
            <w:tcW w:w="2800" w:type="dxa"/>
            <w:vAlign w:val="bottom"/>
            <w:gridSpan w:val="3"/>
          </w:tcPr>
          <w:p>
            <w:pPr>
              <w:spacing w:after="0"/>
              <w:rPr>
                <w:sz w:val="20"/>
                <w:szCs w:val="20"/>
                <w:color w:val="auto"/>
              </w:rPr>
            </w:pPr>
            <w:r>
              <w:rPr>
                <w:rFonts w:ascii="Arial" w:cs="Arial" w:eastAsia="Arial" w:hAnsi="Arial"/>
                <w:sz w:val="18"/>
                <w:szCs w:val="18"/>
                <w:color w:val="auto"/>
                <w:w w:val="97"/>
              </w:rPr>
              <w:t>Annual Report on Form 10-K for the</w:t>
            </w:r>
          </w:p>
        </w:tc>
        <w:tc>
          <w:tcPr>
            <w:tcW w:w="1340" w:type="dxa"/>
            <w:vAlign w:val="bottom"/>
          </w:tcPr>
          <w:p>
            <w:pPr>
              <w:spacing w:after="0"/>
              <w:rPr>
                <w:sz w:val="20"/>
                <w:szCs w:val="20"/>
                <w:color w:val="auto"/>
              </w:rPr>
            </w:pPr>
            <w:r>
              <w:rPr>
                <w:rFonts w:ascii="Arial" w:cs="Arial" w:eastAsia="Arial" w:hAnsi="Arial"/>
                <w:sz w:val="18"/>
                <w:szCs w:val="18"/>
                <w:color w:val="auto"/>
              </w:rPr>
              <w:t>December 20,</w:t>
            </w:r>
          </w:p>
        </w:tc>
      </w:tr>
      <w:tr>
        <w:trPr>
          <w:trHeight w:val="216"/>
        </w:trPr>
        <w:tc>
          <w:tcPr>
            <w:tcW w:w="2800" w:type="dxa"/>
            <w:vAlign w:val="bottom"/>
            <w:gridSpan w:val="3"/>
          </w:tcPr>
          <w:p>
            <w:pPr>
              <w:spacing w:after="0"/>
              <w:rPr>
                <w:sz w:val="20"/>
                <w:szCs w:val="20"/>
                <w:color w:val="auto"/>
              </w:rPr>
            </w:pPr>
            <w:r>
              <w:rPr>
                <w:rFonts w:ascii="Arial" w:cs="Arial" w:eastAsia="Arial" w:hAnsi="Arial"/>
                <w:sz w:val="18"/>
                <w:szCs w:val="18"/>
                <w:color w:val="auto"/>
              </w:rPr>
              <w:t>fiscal year ended September 30,</w:t>
            </w:r>
          </w:p>
        </w:tc>
        <w:tc>
          <w:tcPr>
            <w:tcW w:w="1340" w:type="dxa"/>
            <w:vAlign w:val="bottom"/>
          </w:tcPr>
          <w:p>
            <w:pPr>
              <w:spacing w:after="0"/>
              <w:rPr>
                <w:sz w:val="20"/>
                <w:szCs w:val="20"/>
                <w:color w:val="auto"/>
              </w:rPr>
            </w:pPr>
            <w:r>
              <w:rPr>
                <w:rFonts w:ascii="Arial" w:cs="Arial" w:eastAsia="Arial" w:hAnsi="Arial"/>
                <w:sz w:val="18"/>
                <w:szCs w:val="18"/>
                <w:color w:val="auto"/>
              </w:rPr>
              <w:t>2011</w:t>
            </w:r>
          </w:p>
        </w:tc>
      </w:tr>
      <w:tr>
        <w:trPr>
          <w:trHeight w:val="230"/>
        </w:trPr>
        <w:tc>
          <w:tcPr>
            <w:tcW w:w="2800" w:type="dxa"/>
            <w:vAlign w:val="bottom"/>
            <w:gridSpan w:val="3"/>
          </w:tcPr>
          <w:p>
            <w:pPr>
              <w:spacing w:after="0"/>
              <w:rPr>
                <w:sz w:val="20"/>
                <w:szCs w:val="20"/>
                <w:color w:val="auto"/>
              </w:rPr>
            </w:pPr>
            <w:r>
              <w:rPr>
                <w:rFonts w:ascii="Arial" w:cs="Arial" w:eastAsia="Arial" w:hAnsi="Arial"/>
                <w:sz w:val="18"/>
                <w:szCs w:val="18"/>
                <w:color w:val="auto"/>
              </w:rPr>
              <w:t>2011, as Exhibit 10.35</w:t>
            </w:r>
          </w:p>
        </w:tc>
        <w:tc>
          <w:tcPr>
            <w:tcW w:w="1340" w:type="dxa"/>
            <w:vAlign w:val="bottom"/>
          </w:tcPr>
          <w:p>
            <w:pPr>
              <w:spacing w:after="0"/>
              <w:rPr>
                <w:sz w:val="20"/>
                <w:szCs w:val="20"/>
                <w:color w:val="auto"/>
              </w:rPr>
            </w:pPr>
          </w:p>
        </w:tc>
      </w:tr>
      <w:tr>
        <w:trPr>
          <w:trHeight w:val="323"/>
        </w:trPr>
        <w:tc>
          <w:tcPr>
            <w:tcW w:w="2800" w:type="dxa"/>
            <w:vAlign w:val="bottom"/>
            <w:gridSpan w:val="3"/>
          </w:tcPr>
          <w:p>
            <w:pPr>
              <w:spacing w:after="0"/>
              <w:rPr>
                <w:sz w:val="20"/>
                <w:szCs w:val="20"/>
                <w:color w:val="auto"/>
              </w:rPr>
            </w:pPr>
            <w:r>
              <w:rPr>
                <w:rFonts w:ascii="Arial" w:cs="Arial" w:eastAsia="Arial" w:hAnsi="Arial"/>
                <w:sz w:val="18"/>
                <w:szCs w:val="18"/>
                <w:color w:val="auto"/>
                <w:w w:val="97"/>
              </w:rPr>
              <w:t>Annual Report on Form 10-K for the</w:t>
            </w:r>
          </w:p>
        </w:tc>
        <w:tc>
          <w:tcPr>
            <w:tcW w:w="1340" w:type="dxa"/>
            <w:vAlign w:val="bottom"/>
          </w:tcPr>
          <w:p>
            <w:pPr>
              <w:spacing w:after="0"/>
              <w:rPr>
                <w:sz w:val="20"/>
                <w:szCs w:val="20"/>
                <w:color w:val="auto"/>
              </w:rPr>
            </w:pPr>
            <w:r>
              <w:rPr>
                <w:rFonts w:ascii="Arial" w:cs="Arial" w:eastAsia="Arial" w:hAnsi="Arial"/>
                <w:sz w:val="18"/>
                <w:szCs w:val="18"/>
                <w:color w:val="auto"/>
              </w:rPr>
              <w:t>December 20,</w:t>
            </w:r>
          </w:p>
        </w:tc>
      </w:tr>
      <w:tr>
        <w:trPr>
          <w:trHeight w:val="216"/>
        </w:trPr>
        <w:tc>
          <w:tcPr>
            <w:tcW w:w="2800" w:type="dxa"/>
            <w:vAlign w:val="bottom"/>
            <w:gridSpan w:val="3"/>
          </w:tcPr>
          <w:p>
            <w:pPr>
              <w:spacing w:after="0"/>
              <w:rPr>
                <w:sz w:val="20"/>
                <w:szCs w:val="20"/>
                <w:color w:val="auto"/>
              </w:rPr>
            </w:pPr>
            <w:r>
              <w:rPr>
                <w:rFonts w:ascii="Arial" w:cs="Arial" w:eastAsia="Arial" w:hAnsi="Arial"/>
                <w:sz w:val="18"/>
                <w:szCs w:val="18"/>
                <w:color w:val="auto"/>
              </w:rPr>
              <w:t>fiscal year ended September 30,</w:t>
            </w:r>
          </w:p>
        </w:tc>
        <w:tc>
          <w:tcPr>
            <w:tcW w:w="1340" w:type="dxa"/>
            <w:vAlign w:val="bottom"/>
          </w:tcPr>
          <w:p>
            <w:pPr>
              <w:spacing w:after="0"/>
              <w:rPr>
                <w:sz w:val="20"/>
                <w:szCs w:val="20"/>
                <w:color w:val="auto"/>
              </w:rPr>
            </w:pPr>
            <w:r>
              <w:rPr>
                <w:rFonts w:ascii="Arial" w:cs="Arial" w:eastAsia="Arial" w:hAnsi="Arial"/>
                <w:sz w:val="18"/>
                <w:szCs w:val="18"/>
                <w:color w:val="auto"/>
              </w:rPr>
              <w:t>2011</w:t>
            </w:r>
          </w:p>
        </w:tc>
      </w:tr>
      <w:tr>
        <w:trPr>
          <w:trHeight w:val="230"/>
        </w:trPr>
        <w:tc>
          <w:tcPr>
            <w:tcW w:w="2800" w:type="dxa"/>
            <w:vAlign w:val="bottom"/>
            <w:gridSpan w:val="3"/>
          </w:tcPr>
          <w:p>
            <w:pPr>
              <w:spacing w:after="0"/>
              <w:rPr>
                <w:sz w:val="20"/>
                <w:szCs w:val="20"/>
                <w:color w:val="auto"/>
              </w:rPr>
            </w:pPr>
            <w:r>
              <w:rPr>
                <w:rFonts w:ascii="Arial" w:cs="Arial" w:eastAsia="Arial" w:hAnsi="Arial"/>
                <w:sz w:val="18"/>
                <w:szCs w:val="18"/>
                <w:color w:val="auto"/>
              </w:rPr>
              <w:t>2011, as Exhibit 10.36</w:t>
            </w:r>
          </w:p>
        </w:tc>
        <w:tc>
          <w:tcPr>
            <w:tcW w:w="1340" w:type="dxa"/>
            <w:vAlign w:val="bottom"/>
          </w:tcPr>
          <w:p>
            <w:pPr>
              <w:spacing w:after="0"/>
              <w:rPr>
                <w:sz w:val="20"/>
                <w:szCs w:val="20"/>
                <w:color w:val="auto"/>
              </w:rPr>
            </w:pPr>
          </w:p>
        </w:tc>
      </w:tr>
      <w:tr>
        <w:trPr>
          <w:trHeight w:val="323"/>
        </w:trPr>
        <w:tc>
          <w:tcPr>
            <w:tcW w:w="2800" w:type="dxa"/>
            <w:vAlign w:val="bottom"/>
            <w:gridSpan w:val="3"/>
          </w:tcPr>
          <w:p>
            <w:pPr>
              <w:spacing w:after="0"/>
              <w:rPr>
                <w:sz w:val="20"/>
                <w:szCs w:val="20"/>
                <w:color w:val="auto"/>
              </w:rPr>
            </w:pPr>
            <w:r>
              <w:rPr>
                <w:rFonts w:ascii="Arial" w:cs="Arial" w:eastAsia="Arial" w:hAnsi="Arial"/>
                <w:sz w:val="18"/>
                <w:szCs w:val="18"/>
                <w:color w:val="auto"/>
                <w:w w:val="99"/>
              </w:rPr>
              <w:t>Quarterly Report on Form 10-Q, as</w:t>
            </w:r>
          </w:p>
        </w:tc>
        <w:tc>
          <w:tcPr>
            <w:tcW w:w="1340" w:type="dxa"/>
            <w:vAlign w:val="bottom"/>
          </w:tcPr>
          <w:p>
            <w:pPr>
              <w:spacing w:after="0"/>
              <w:rPr>
                <w:sz w:val="20"/>
                <w:szCs w:val="20"/>
                <w:color w:val="auto"/>
              </w:rPr>
            </w:pPr>
            <w:r>
              <w:rPr>
                <w:rFonts w:ascii="Arial" w:cs="Arial" w:eastAsia="Arial" w:hAnsi="Arial"/>
                <w:sz w:val="18"/>
                <w:szCs w:val="18"/>
                <w:color w:val="auto"/>
              </w:rPr>
              <w:t>May 8, 2012</w:t>
            </w:r>
          </w:p>
        </w:tc>
      </w:tr>
      <w:tr>
        <w:trPr>
          <w:trHeight w:val="230"/>
        </w:trPr>
        <w:tc>
          <w:tcPr>
            <w:tcW w:w="2800" w:type="dxa"/>
            <w:vAlign w:val="bottom"/>
            <w:gridSpan w:val="3"/>
          </w:tcPr>
          <w:p>
            <w:pPr>
              <w:spacing w:after="0"/>
              <w:rPr>
                <w:sz w:val="20"/>
                <w:szCs w:val="20"/>
                <w:color w:val="auto"/>
              </w:rPr>
            </w:pPr>
            <w:r>
              <w:rPr>
                <w:rFonts w:ascii="Arial" w:cs="Arial" w:eastAsia="Arial" w:hAnsi="Arial"/>
                <w:sz w:val="18"/>
                <w:szCs w:val="18"/>
                <w:color w:val="auto"/>
              </w:rPr>
              <w:t>Exhibit 10.1</w:t>
            </w:r>
          </w:p>
        </w:tc>
        <w:tc>
          <w:tcPr>
            <w:tcW w:w="1340" w:type="dxa"/>
            <w:vAlign w:val="bottom"/>
          </w:tcPr>
          <w:p>
            <w:pPr>
              <w:spacing w:after="0"/>
              <w:rPr>
                <w:sz w:val="20"/>
                <w:szCs w:val="20"/>
                <w:color w:val="auto"/>
              </w:rPr>
            </w:pPr>
          </w:p>
        </w:tc>
      </w:tr>
      <w:tr>
        <w:trPr>
          <w:trHeight w:val="323"/>
        </w:trPr>
        <w:tc>
          <w:tcPr>
            <w:tcW w:w="2800" w:type="dxa"/>
            <w:vAlign w:val="bottom"/>
            <w:gridSpan w:val="3"/>
          </w:tcPr>
          <w:p>
            <w:pPr>
              <w:spacing w:after="0"/>
              <w:rPr>
                <w:sz w:val="20"/>
                <w:szCs w:val="20"/>
                <w:color w:val="auto"/>
              </w:rPr>
            </w:pPr>
            <w:r>
              <w:rPr>
                <w:rFonts w:ascii="Arial" w:cs="Arial" w:eastAsia="Arial" w:hAnsi="Arial"/>
                <w:sz w:val="18"/>
                <w:szCs w:val="18"/>
                <w:color w:val="auto"/>
                <w:w w:val="99"/>
              </w:rPr>
              <w:t>Quarterly Report on Form 10-Q, as</w:t>
            </w:r>
          </w:p>
        </w:tc>
        <w:tc>
          <w:tcPr>
            <w:tcW w:w="1340" w:type="dxa"/>
            <w:vAlign w:val="bottom"/>
          </w:tcPr>
          <w:p>
            <w:pPr>
              <w:spacing w:after="0"/>
              <w:rPr>
                <w:sz w:val="20"/>
                <w:szCs w:val="20"/>
                <w:color w:val="auto"/>
              </w:rPr>
            </w:pPr>
            <w:r>
              <w:rPr>
                <w:rFonts w:ascii="Arial" w:cs="Arial" w:eastAsia="Arial" w:hAnsi="Arial"/>
                <w:sz w:val="18"/>
                <w:szCs w:val="18"/>
                <w:color w:val="auto"/>
              </w:rPr>
              <w:t>August 12, 2014</w:t>
            </w:r>
          </w:p>
        </w:tc>
      </w:tr>
      <w:tr>
        <w:trPr>
          <w:trHeight w:val="230"/>
        </w:trPr>
        <w:tc>
          <w:tcPr>
            <w:tcW w:w="2800" w:type="dxa"/>
            <w:vAlign w:val="bottom"/>
            <w:gridSpan w:val="3"/>
          </w:tcPr>
          <w:p>
            <w:pPr>
              <w:spacing w:after="0"/>
              <w:rPr>
                <w:sz w:val="20"/>
                <w:szCs w:val="20"/>
                <w:color w:val="auto"/>
              </w:rPr>
            </w:pPr>
            <w:r>
              <w:rPr>
                <w:rFonts w:ascii="Arial" w:cs="Arial" w:eastAsia="Arial" w:hAnsi="Arial"/>
                <w:sz w:val="18"/>
                <w:szCs w:val="18"/>
                <w:color w:val="auto"/>
              </w:rPr>
              <w:t>Exhibit 10.1</w:t>
            </w:r>
          </w:p>
        </w:tc>
        <w:tc>
          <w:tcPr>
            <w:tcW w:w="1340" w:type="dxa"/>
            <w:vAlign w:val="bottom"/>
          </w:tcPr>
          <w:p>
            <w:pPr>
              <w:spacing w:after="0"/>
              <w:rPr>
                <w:sz w:val="20"/>
                <w:szCs w:val="20"/>
                <w:color w:val="auto"/>
              </w:rPr>
            </w:pPr>
          </w:p>
        </w:tc>
      </w:tr>
      <w:tr>
        <w:trPr>
          <w:trHeight w:val="323"/>
        </w:trPr>
        <w:tc>
          <w:tcPr>
            <w:tcW w:w="2800" w:type="dxa"/>
            <w:vAlign w:val="bottom"/>
            <w:gridSpan w:val="3"/>
          </w:tcPr>
          <w:p>
            <w:pPr>
              <w:spacing w:after="0"/>
              <w:rPr>
                <w:sz w:val="20"/>
                <w:szCs w:val="20"/>
                <w:color w:val="auto"/>
              </w:rPr>
            </w:pPr>
            <w:r>
              <w:rPr>
                <w:rFonts w:ascii="Arial" w:cs="Arial" w:eastAsia="Arial" w:hAnsi="Arial"/>
                <w:sz w:val="18"/>
                <w:szCs w:val="18"/>
                <w:color w:val="auto"/>
                <w:w w:val="99"/>
              </w:rPr>
              <w:t>Quarterly Report on Form 10-Q, as</w:t>
            </w:r>
          </w:p>
        </w:tc>
        <w:tc>
          <w:tcPr>
            <w:tcW w:w="1340" w:type="dxa"/>
            <w:vAlign w:val="bottom"/>
          </w:tcPr>
          <w:p>
            <w:pPr>
              <w:spacing w:after="0"/>
              <w:rPr>
                <w:sz w:val="20"/>
                <w:szCs w:val="20"/>
                <w:color w:val="auto"/>
              </w:rPr>
            </w:pPr>
            <w:r>
              <w:rPr>
                <w:rFonts w:ascii="Arial" w:cs="Arial" w:eastAsia="Arial" w:hAnsi="Arial"/>
                <w:sz w:val="18"/>
                <w:szCs w:val="18"/>
                <w:color w:val="auto"/>
                <w:w w:val="96"/>
              </w:rPr>
              <w:t>February 9, 2016</w:t>
            </w:r>
          </w:p>
        </w:tc>
      </w:tr>
      <w:tr>
        <w:trPr>
          <w:trHeight w:val="230"/>
        </w:trPr>
        <w:tc>
          <w:tcPr>
            <w:tcW w:w="2800" w:type="dxa"/>
            <w:vAlign w:val="bottom"/>
            <w:gridSpan w:val="3"/>
          </w:tcPr>
          <w:p>
            <w:pPr>
              <w:spacing w:after="0"/>
              <w:rPr>
                <w:sz w:val="20"/>
                <w:szCs w:val="20"/>
                <w:color w:val="auto"/>
              </w:rPr>
            </w:pPr>
            <w:r>
              <w:rPr>
                <w:rFonts w:ascii="Arial" w:cs="Arial" w:eastAsia="Arial" w:hAnsi="Arial"/>
                <w:sz w:val="18"/>
                <w:szCs w:val="18"/>
                <w:color w:val="auto"/>
              </w:rPr>
              <w:t>Exhibit 10.1</w:t>
            </w:r>
          </w:p>
        </w:tc>
        <w:tc>
          <w:tcPr>
            <w:tcW w:w="1340" w:type="dxa"/>
            <w:vAlign w:val="bottom"/>
          </w:tcPr>
          <w:p>
            <w:pPr>
              <w:spacing w:after="0"/>
              <w:rPr>
                <w:sz w:val="20"/>
                <w:szCs w:val="20"/>
                <w:color w:val="auto"/>
              </w:rPr>
            </w:pPr>
          </w:p>
        </w:tc>
      </w:tr>
      <w:tr>
        <w:trPr>
          <w:trHeight w:val="418"/>
        </w:trPr>
        <w:tc>
          <w:tcPr>
            <w:tcW w:w="2800" w:type="dxa"/>
            <w:vAlign w:val="bottom"/>
            <w:gridSpan w:val="3"/>
          </w:tcPr>
          <w:p>
            <w:pPr>
              <w:spacing w:after="0"/>
              <w:rPr>
                <w:sz w:val="20"/>
                <w:szCs w:val="20"/>
                <w:color w:val="auto"/>
              </w:rPr>
            </w:pPr>
            <w:r>
              <w:rPr>
                <w:rFonts w:ascii="Arial" w:cs="Arial" w:eastAsia="Arial" w:hAnsi="Arial"/>
                <w:sz w:val="18"/>
                <w:szCs w:val="18"/>
                <w:color w:val="auto"/>
              </w:rPr>
              <w:t>Current Report on Form 8-K, as</w:t>
            </w:r>
          </w:p>
        </w:tc>
        <w:tc>
          <w:tcPr>
            <w:tcW w:w="1340" w:type="dxa"/>
            <w:vAlign w:val="bottom"/>
          </w:tcPr>
          <w:p>
            <w:pPr>
              <w:spacing w:after="0"/>
              <w:rPr>
                <w:sz w:val="20"/>
                <w:szCs w:val="20"/>
                <w:color w:val="auto"/>
              </w:rPr>
            </w:pPr>
            <w:r>
              <w:rPr>
                <w:rFonts w:ascii="Arial" w:cs="Arial" w:eastAsia="Arial" w:hAnsi="Arial"/>
                <w:sz w:val="18"/>
                <w:szCs w:val="18"/>
                <w:color w:val="auto"/>
              </w:rPr>
              <w:t>August 10, 2016</w:t>
            </w:r>
          </w:p>
        </w:tc>
      </w:tr>
      <w:tr>
        <w:trPr>
          <w:trHeight w:val="230"/>
        </w:trPr>
        <w:tc>
          <w:tcPr>
            <w:tcW w:w="2800" w:type="dxa"/>
            <w:vAlign w:val="bottom"/>
            <w:gridSpan w:val="3"/>
          </w:tcPr>
          <w:p>
            <w:pPr>
              <w:spacing w:after="0"/>
              <w:rPr>
                <w:sz w:val="20"/>
                <w:szCs w:val="20"/>
                <w:color w:val="auto"/>
              </w:rPr>
            </w:pPr>
            <w:r>
              <w:rPr>
                <w:rFonts w:ascii="Arial" w:cs="Arial" w:eastAsia="Arial" w:hAnsi="Arial"/>
                <w:sz w:val="18"/>
                <w:szCs w:val="18"/>
                <w:color w:val="auto"/>
              </w:rPr>
              <w:t>Exhibit 10.1</w:t>
            </w:r>
          </w:p>
        </w:tc>
        <w:tc>
          <w:tcPr>
            <w:tcW w:w="1340" w:type="dxa"/>
            <w:vAlign w:val="bottom"/>
          </w:tcPr>
          <w:p>
            <w:pPr>
              <w:spacing w:after="0"/>
              <w:rPr>
                <w:sz w:val="20"/>
                <w:szCs w:val="20"/>
                <w:color w:val="auto"/>
              </w:rPr>
            </w:pPr>
          </w:p>
        </w:tc>
      </w:tr>
      <w:tr>
        <w:trPr>
          <w:trHeight w:val="418"/>
        </w:trPr>
        <w:tc>
          <w:tcPr>
            <w:tcW w:w="2800" w:type="dxa"/>
            <w:vAlign w:val="bottom"/>
            <w:gridSpan w:val="3"/>
          </w:tcPr>
          <w:p>
            <w:pPr>
              <w:spacing w:after="0"/>
              <w:rPr>
                <w:sz w:val="20"/>
                <w:szCs w:val="20"/>
                <w:color w:val="auto"/>
              </w:rPr>
            </w:pPr>
            <w:r>
              <w:rPr>
                <w:rFonts w:ascii="Arial" w:cs="Arial" w:eastAsia="Arial" w:hAnsi="Arial"/>
                <w:sz w:val="18"/>
                <w:szCs w:val="18"/>
                <w:color w:val="auto"/>
                <w:w w:val="97"/>
              </w:rPr>
              <w:t>Annual Report on Form 10-K for the</w:t>
            </w:r>
          </w:p>
        </w:tc>
        <w:tc>
          <w:tcPr>
            <w:tcW w:w="1340" w:type="dxa"/>
            <w:vAlign w:val="bottom"/>
          </w:tcPr>
          <w:p>
            <w:pPr>
              <w:spacing w:after="0"/>
              <w:rPr>
                <w:sz w:val="20"/>
                <w:szCs w:val="20"/>
                <w:color w:val="auto"/>
              </w:rPr>
            </w:pPr>
            <w:r>
              <w:rPr>
                <w:rFonts w:ascii="Arial" w:cs="Arial" w:eastAsia="Arial" w:hAnsi="Arial"/>
                <w:sz w:val="18"/>
                <w:szCs w:val="18"/>
                <w:color w:val="auto"/>
              </w:rPr>
              <w:t>December 14,</w:t>
            </w:r>
          </w:p>
        </w:tc>
      </w:tr>
      <w:tr>
        <w:trPr>
          <w:trHeight w:val="216"/>
        </w:trPr>
        <w:tc>
          <w:tcPr>
            <w:tcW w:w="2800" w:type="dxa"/>
            <w:vAlign w:val="bottom"/>
            <w:gridSpan w:val="3"/>
          </w:tcPr>
          <w:p>
            <w:pPr>
              <w:spacing w:after="0"/>
              <w:rPr>
                <w:sz w:val="20"/>
                <w:szCs w:val="20"/>
                <w:color w:val="auto"/>
              </w:rPr>
            </w:pPr>
            <w:r>
              <w:rPr>
                <w:rFonts w:ascii="Arial" w:cs="Arial" w:eastAsia="Arial" w:hAnsi="Arial"/>
                <w:sz w:val="18"/>
                <w:szCs w:val="18"/>
                <w:color w:val="auto"/>
              </w:rPr>
              <w:t>fiscal year ended September 30,</w:t>
            </w:r>
          </w:p>
        </w:tc>
        <w:tc>
          <w:tcPr>
            <w:tcW w:w="1340" w:type="dxa"/>
            <w:vAlign w:val="bottom"/>
          </w:tcPr>
          <w:p>
            <w:pPr>
              <w:spacing w:after="0"/>
              <w:rPr>
                <w:sz w:val="20"/>
                <w:szCs w:val="20"/>
                <w:color w:val="auto"/>
              </w:rPr>
            </w:pPr>
            <w:r>
              <w:rPr>
                <w:rFonts w:ascii="Arial" w:cs="Arial" w:eastAsia="Arial" w:hAnsi="Arial"/>
                <w:sz w:val="18"/>
                <w:szCs w:val="18"/>
                <w:color w:val="auto"/>
              </w:rPr>
              <w:t>2016</w:t>
            </w:r>
          </w:p>
        </w:tc>
      </w:tr>
      <w:tr>
        <w:trPr>
          <w:trHeight w:val="230"/>
        </w:trPr>
        <w:tc>
          <w:tcPr>
            <w:tcW w:w="2800" w:type="dxa"/>
            <w:vAlign w:val="bottom"/>
            <w:gridSpan w:val="3"/>
          </w:tcPr>
          <w:p>
            <w:pPr>
              <w:spacing w:after="0"/>
              <w:rPr>
                <w:sz w:val="20"/>
                <w:szCs w:val="20"/>
                <w:color w:val="auto"/>
              </w:rPr>
            </w:pPr>
            <w:r>
              <w:rPr>
                <w:rFonts w:ascii="Arial" w:cs="Arial" w:eastAsia="Arial" w:hAnsi="Arial"/>
                <w:sz w:val="18"/>
                <w:szCs w:val="18"/>
                <w:color w:val="auto"/>
              </w:rPr>
              <w:t>2016, as Exhibit 10.18</w:t>
            </w:r>
          </w:p>
        </w:tc>
        <w:tc>
          <w:tcPr>
            <w:tcW w:w="1340" w:type="dxa"/>
            <w:vAlign w:val="bottom"/>
          </w:tcPr>
          <w:p>
            <w:pPr>
              <w:spacing w:after="0"/>
              <w:rPr>
                <w:sz w:val="20"/>
                <w:szCs w:val="20"/>
                <w:color w:val="auto"/>
              </w:rPr>
            </w:pPr>
          </w:p>
        </w:tc>
      </w:tr>
      <w:tr>
        <w:trPr>
          <w:trHeight w:val="418"/>
        </w:trPr>
        <w:tc>
          <w:tcPr>
            <w:tcW w:w="2800" w:type="dxa"/>
            <w:vAlign w:val="bottom"/>
            <w:gridSpan w:val="3"/>
          </w:tcPr>
          <w:p>
            <w:pPr>
              <w:spacing w:after="0"/>
              <w:rPr>
                <w:sz w:val="20"/>
                <w:szCs w:val="20"/>
                <w:color w:val="auto"/>
              </w:rPr>
            </w:pPr>
            <w:r>
              <w:rPr>
                <w:rFonts w:ascii="Arial" w:cs="Arial" w:eastAsia="Arial" w:hAnsi="Arial"/>
                <w:sz w:val="18"/>
                <w:szCs w:val="18"/>
                <w:color w:val="auto"/>
                <w:w w:val="97"/>
              </w:rPr>
              <w:t>Annual Report on Form 10-K for the</w:t>
            </w:r>
          </w:p>
        </w:tc>
        <w:tc>
          <w:tcPr>
            <w:tcW w:w="1340" w:type="dxa"/>
            <w:vAlign w:val="bottom"/>
          </w:tcPr>
          <w:p>
            <w:pPr>
              <w:spacing w:after="0"/>
              <w:rPr>
                <w:sz w:val="20"/>
                <w:szCs w:val="20"/>
                <w:color w:val="auto"/>
              </w:rPr>
            </w:pPr>
            <w:r>
              <w:rPr>
                <w:rFonts w:ascii="Arial" w:cs="Arial" w:eastAsia="Arial" w:hAnsi="Arial"/>
                <w:sz w:val="18"/>
                <w:szCs w:val="18"/>
                <w:color w:val="auto"/>
              </w:rPr>
              <w:t>December 14,</w:t>
            </w:r>
          </w:p>
        </w:tc>
      </w:tr>
      <w:tr>
        <w:trPr>
          <w:trHeight w:val="216"/>
        </w:trPr>
        <w:tc>
          <w:tcPr>
            <w:tcW w:w="2800" w:type="dxa"/>
            <w:vAlign w:val="bottom"/>
            <w:gridSpan w:val="3"/>
          </w:tcPr>
          <w:p>
            <w:pPr>
              <w:spacing w:after="0"/>
              <w:rPr>
                <w:sz w:val="20"/>
                <w:szCs w:val="20"/>
                <w:color w:val="auto"/>
              </w:rPr>
            </w:pPr>
            <w:r>
              <w:rPr>
                <w:rFonts w:ascii="Arial" w:cs="Arial" w:eastAsia="Arial" w:hAnsi="Arial"/>
                <w:sz w:val="18"/>
                <w:szCs w:val="18"/>
                <w:color w:val="auto"/>
              </w:rPr>
              <w:t>fiscal year ended September 30,</w:t>
            </w:r>
          </w:p>
        </w:tc>
        <w:tc>
          <w:tcPr>
            <w:tcW w:w="1340" w:type="dxa"/>
            <w:vAlign w:val="bottom"/>
          </w:tcPr>
          <w:p>
            <w:pPr>
              <w:spacing w:after="0"/>
              <w:rPr>
                <w:sz w:val="20"/>
                <w:szCs w:val="20"/>
                <w:color w:val="auto"/>
              </w:rPr>
            </w:pPr>
            <w:r>
              <w:rPr>
                <w:rFonts w:ascii="Arial" w:cs="Arial" w:eastAsia="Arial" w:hAnsi="Arial"/>
                <w:sz w:val="18"/>
                <w:szCs w:val="18"/>
                <w:color w:val="auto"/>
              </w:rPr>
              <w:t>2016</w:t>
            </w:r>
          </w:p>
        </w:tc>
      </w:tr>
      <w:tr>
        <w:trPr>
          <w:trHeight w:val="230"/>
        </w:trPr>
        <w:tc>
          <w:tcPr>
            <w:tcW w:w="2800" w:type="dxa"/>
            <w:vAlign w:val="bottom"/>
            <w:gridSpan w:val="3"/>
          </w:tcPr>
          <w:p>
            <w:pPr>
              <w:spacing w:after="0"/>
              <w:rPr>
                <w:sz w:val="20"/>
                <w:szCs w:val="20"/>
                <w:color w:val="auto"/>
              </w:rPr>
            </w:pPr>
            <w:r>
              <w:rPr>
                <w:rFonts w:ascii="Arial" w:cs="Arial" w:eastAsia="Arial" w:hAnsi="Arial"/>
                <w:sz w:val="18"/>
                <w:szCs w:val="18"/>
                <w:color w:val="auto"/>
              </w:rPr>
              <w:t>2016, as Exhibit 10.19</w:t>
            </w:r>
          </w:p>
        </w:tc>
        <w:tc>
          <w:tcPr>
            <w:tcW w:w="1340" w:type="dxa"/>
            <w:vAlign w:val="bottom"/>
          </w:tcPr>
          <w:p>
            <w:pPr>
              <w:spacing w:after="0"/>
              <w:rPr>
                <w:sz w:val="20"/>
                <w:szCs w:val="20"/>
                <w:color w:val="auto"/>
              </w:rPr>
            </w:pPr>
          </w:p>
        </w:tc>
      </w:tr>
      <w:tr>
        <w:trPr>
          <w:trHeight w:val="418"/>
        </w:trPr>
        <w:tc>
          <w:tcPr>
            <w:tcW w:w="2800" w:type="dxa"/>
            <w:vAlign w:val="bottom"/>
            <w:gridSpan w:val="3"/>
          </w:tcPr>
          <w:p>
            <w:pPr>
              <w:spacing w:after="0"/>
              <w:rPr>
                <w:sz w:val="20"/>
                <w:szCs w:val="20"/>
                <w:color w:val="auto"/>
              </w:rPr>
            </w:pPr>
            <w:r>
              <w:rPr>
                <w:rFonts w:ascii="Arial" w:cs="Arial" w:eastAsia="Arial" w:hAnsi="Arial"/>
                <w:sz w:val="18"/>
                <w:szCs w:val="18"/>
                <w:color w:val="auto"/>
                <w:w w:val="93"/>
              </w:rPr>
              <w:t>Amendment No. 1 to the Registration</w:t>
            </w:r>
          </w:p>
        </w:tc>
        <w:tc>
          <w:tcPr>
            <w:tcW w:w="1340" w:type="dxa"/>
            <w:vAlign w:val="bottom"/>
          </w:tcPr>
          <w:p>
            <w:pPr>
              <w:spacing w:after="0"/>
              <w:rPr>
                <w:sz w:val="20"/>
                <w:szCs w:val="20"/>
                <w:color w:val="auto"/>
              </w:rPr>
            </w:pPr>
            <w:r>
              <w:rPr>
                <w:rFonts w:ascii="Arial" w:cs="Arial" w:eastAsia="Arial" w:hAnsi="Arial"/>
                <w:sz w:val="18"/>
                <w:szCs w:val="18"/>
                <w:color w:val="auto"/>
              </w:rPr>
              <w:t>November 25,</w:t>
            </w:r>
          </w:p>
        </w:tc>
      </w:tr>
      <w:tr>
        <w:trPr>
          <w:trHeight w:val="216"/>
        </w:trPr>
        <w:tc>
          <w:tcPr>
            <w:tcW w:w="2800" w:type="dxa"/>
            <w:vAlign w:val="bottom"/>
            <w:gridSpan w:val="3"/>
          </w:tcPr>
          <w:p>
            <w:pPr>
              <w:spacing w:after="0"/>
              <w:rPr>
                <w:sz w:val="20"/>
                <w:szCs w:val="20"/>
                <w:color w:val="auto"/>
              </w:rPr>
            </w:pPr>
            <w:r>
              <w:rPr>
                <w:rFonts w:ascii="Arial" w:cs="Arial" w:eastAsia="Arial" w:hAnsi="Arial"/>
                <w:sz w:val="18"/>
                <w:szCs w:val="18"/>
                <w:color w:val="auto"/>
              </w:rPr>
              <w:t>Statement on Form S-3 (File No.</w:t>
            </w:r>
          </w:p>
        </w:tc>
        <w:tc>
          <w:tcPr>
            <w:tcW w:w="1340" w:type="dxa"/>
            <w:vAlign w:val="bottom"/>
          </w:tcPr>
          <w:p>
            <w:pPr>
              <w:spacing w:after="0"/>
              <w:rPr>
                <w:sz w:val="20"/>
                <w:szCs w:val="20"/>
                <w:color w:val="auto"/>
              </w:rPr>
            </w:pPr>
            <w:r>
              <w:rPr>
                <w:rFonts w:ascii="Arial" w:cs="Arial" w:eastAsia="Arial" w:hAnsi="Arial"/>
                <w:sz w:val="18"/>
                <w:szCs w:val="18"/>
                <w:color w:val="auto"/>
              </w:rPr>
              <w:t>2016</w:t>
            </w:r>
          </w:p>
        </w:tc>
      </w:tr>
      <w:tr>
        <w:trPr>
          <w:trHeight w:val="230"/>
        </w:trPr>
        <w:tc>
          <w:tcPr>
            <w:tcW w:w="2720" w:type="dxa"/>
            <w:vAlign w:val="bottom"/>
            <w:gridSpan w:val="2"/>
          </w:tcPr>
          <w:p>
            <w:pPr>
              <w:spacing w:after="0"/>
              <w:rPr>
                <w:sz w:val="20"/>
                <w:szCs w:val="20"/>
                <w:color w:val="auto"/>
              </w:rPr>
            </w:pPr>
            <w:r>
              <w:rPr>
                <w:rFonts w:ascii="Arial" w:cs="Arial" w:eastAsia="Arial" w:hAnsi="Arial"/>
                <w:sz w:val="18"/>
                <w:szCs w:val="18"/>
                <w:color w:val="auto"/>
              </w:rPr>
              <w:t>333-214311)</w:t>
            </w:r>
          </w:p>
        </w:tc>
        <w:tc>
          <w:tcPr>
            <w:tcW w:w="80" w:type="dxa"/>
            <w:vAlign w:val="bottom"/>
          </w:tcPr>
          <w:p>
            <w:pPr>
              <w:spacing w:after="0"/>
              <w:rPr>
                <w:sz w:val="20"/>
                <w:szCs w:val="20"/>
                <w:color w:val="auto"/>
              </w:rPr>
            </w:pPr>
          </w:p>
        </w:tc>
        <w:tc>
          <w:tcPr>
            <w:tcW w:w="1340" w:type="dxa"/>
            <w:vAlign w:val="bottom"/>
          </w:tcPr>
          <w:p>
            <w:pPr>
              <w:spacing w:after="0"/>
              <w:rPr>
                <w:sz w:val="20"/>
                <w:szCs w:val="20"/>
                <w:color w:val="auto"/>
              </w:rPr>
            </w:pPr>
          </w:p>
        </w:tc>
      </w:tr>
    </w:tbl>
    <w:p>
      <w:pPr>
        <w:sectPr>
          <w:pgSz w:w="11900" w:h="16838" w:orient="portrait"/>
          <w:cols w:equalWidth="0" w:num="2">
            <w:col w:w="7180" w:space="100"/>
            <w:col w:w="4140"/>
          </w:cols>
          <w:pgMar w:left="240" w:top="184" w:right="239" w:bottom="1440" w:gutter="0" w:footer="0" w:header="0"/>
        </w:sectPr>
      </w:pPr>
    </w:p>
    <w:bookmarkStart w:id="58" w:name="page59"/>
    <w:bookmarkEnd w:id="58"/>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82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Exhibit</w:t>
            </w: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9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220" w:type="dxa"/>
            <w:vAlign w:val="bottom"/>
            <w:tcBorders>
              <w:bottom w:val="single" w:sz="8" w:color="auto"/>
            </w:tcBorders>
            <w:gridSpan w:val="3"/>
          </w:tcPr>
          <w:p>
            <w:pPr>
              <w:ind w:left="1020"/>
              <w:spacing w:after="0"/>
              <w:rPr>
                <w:sz w:val="20"/>
                <w:szCs w:val="20"/>
                <w:color w:val="auto"/>
              </w:rPr>
            </w:pPr>
            <w:r>
              <w:rPr>
                <w:rFonts w:ascii="Arial" w:cs="Arial" w:eastAsia="Arial" w:hAnsi="Arial"/>
                <w:sz w:val="14"/>
                <w:szCs w:val="14"/>
                <w:b w:val="1"/>
                <w:bCs w:val="1"/>
                <w:color w:val="auto"/>
                <w:w w:val="96"/>
              </w:rPr>
              <w:t>Incorporated by Reference Herein</w:t>
            </w:r>
          </w:p>
        </w:tc>
        <w:tc>
          <w:tcPr>
            <w:tcW w:w="92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38"/>
        </w:trPr>
        <w:tc>
          <w:tcPr>
            <w:tcW w:w="820" w:type="dxa"/>
            <w:vAlign w:val="bottom"/>
            <w:gridSpan w:val="2"/>
            <w:vMerge w:val="continue"/>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tcPr>
          <w:p>
            <w:pPr>
              <w:spacing w:after="0"/>
              <w:rPr>
                <w:sz w:val="3"/>
                <w:szCs w:val="3"/>
                <w:color w:val="auto"/>
              </w:rPr>
            </w:pPr>
          </w:p>
        </w:tc>
        <w:tc>
          <w:tcPr>
            <w:tcW w:w="6340" w:type="dxa"/>
            <w:vAlign w:val="bottom"/>
            <w:gridSpan w:val="10"/>
            <w:vMerge w:val="restart"/>
          </w:tcPr>
          <w:p>
            <w:pPr>
              <w:spacing w:after="0"/>
              <w:rPr>
                <w:sz w:val="20"/>
                <w:szCs w:val="20"/>
                <w:color w:val="auto"/>
              </w:rPr>
            </w:pPr>
            <w:r>
              <w:rPr>
                <w:rFonts w:ascii="Arial" w:cs="Arial" w:eastAsia="Arial" w:hAnsi="Arial"/>
                <w:sz w:val="14"/>
                <w:szCs w:val="14"/>
                <w:b w:val="1"/>
                <w:bCs w:val="1"/>
                <w:color w:val="auto"/>
              </w:rPr>
              <w:t>Description</w:t>
            </w:r>
          </w:p>
        </w:tc>
        <w:tc>
          <w:tcPr>
            <w:tcW w:w="3220" w:type="dxa"/>
            <w:vAlign w:val="bottom"/>
            <w:gridSpan w:val="3"/>
            <w:vMerge w:val="restart"/>
          </w:tcPr>
          <w:p>
            <w:pPr>
              <w:ind w:left="1180"/>
              <w:spacing w:after="0"/>
              <w:rPr>
                <w:sz w:val="20"/>
                <w:szCs w:val="20"/>
                <w:color w:val="auto"/>
              </w:rPr>
            </w:pPr>
            <w:r>
              <w:rPr>
                <w:rFonts w:ascii="Arial" w:cs="Arial" w:eastAsia="Arial" w:hAnsi="Arial"/>
                <w:sz w:val="14"/>
                <w:szCs w:val="14"/>
                <w:b w:val="1"/>
                <w:bCs w:val="1"/>
                <w:color w:val="auto"/>
              </w:rPr>
              <w:t>Form</w:t>
            </w:r>
          </w:p>
        </w:tc>
        <w:tc>
          <w:tcPr>
            <w:tcW w:w="920" w:type="dxa"/>
            <w:vAlign w:val="bottom"/>
            <w:vMerge w:val="restart"/>
          </w:tcPr>
          <w:p>
            <w:pPr>
              <w:ind w:left="100"/>
              <w:spacing w:after="0"/>
              <w:rPr>
                <w:sz w:val="20"/>
                <w:szCs w:val="20"/>
                <w:color w:val="auto"/>
              </w:rPr>
            </w:pPr>
            <w:r>
              <w:rPr>
                <w:rFonts w:ascii="Arial" w:cs="Arial" w:eastAsia="Arial" w:hAnsi="Arial"/>
                <w:sz w:val="14"/>
                <w:szCs w:val="14"/>
                <w:b w:val="1"/>
                <w:bCs w:val="1"/>
                <w:color w:val="auto"/>
              </w:rPr>
              <w:t>Date</w:t>
            </w:r>
          </w:p>
        </w:tc>
        <w:tc>
          <w:tcPr>
            <w:tcW w:w="0" w:type="dxa"/>
            <w:vAlign w:val="bottom"/>
          </w:tcPr>
          <w:p>
            <w:pPr>
              <w:spacing w:after="0" w:line="20" w:lineRule="exact"/>
              <w:rPr>
                <w:sz w:val="1"/>
                <w:szCs w:val="1"/>
                <w:color w:val="auto"/>
              </w:rPr>
            </w:pPr>
          </w:p>
        </w:tc>
      </w:tr>
      <w:tr>
        <w:trPr>
          <w:trHeight w:val="171"/>
        </w:trPr>
        <w:tc>
          <w:tcPr>
            <w:tcW w:w="820" w:type="dxa"/>
            <w:vAlign w:val="bottom"/>
            <w:gridSpan w:val="2"/>
          </w:tcPr>
          <w:p>
            <w:pPr>
              <w:spacing w:after="0"/>
              <w:rPr>
                <w:sz w:val="20"/>
                <w:szCs w:val="20"/>
                <w:color w:val="auto"/>
              </w:rPr>
            </w:pPr>
            <w:r>
              <w:rPr>
                <w:rFonts w:ascii="Arial" w:cs="Arial" w:eastAsia="Arial" w:hAnsi="Arial"/>
                <w:sz w:val="14"/>
                <w:szCs w:val="14"/>
                <w:b w:val="1"/>
                <w:bCs w:val="1"/>
                <w:color w:val="auto"/>
              </w:rPr>
              <w:t>Number</w:t>
            </w: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340" w:type="dxa"/>
            <w:vAlign w:val="bottom"/>
            <w:gridSpan w:val="10"/>
            <w:vMerge w:val="continue"/>
          </w:tcPr>
          <w:p>
            <w:pPr>
              <w:spacing w:after="0"/>
              <w:rPr>
                <w:sz w:val="14"/>
                <w:szCs w:val="14"/>
                <w:color w:val="auto"/>
              </w:rPr>
            </w:pPr>
          </w:p>
        </w:tc>
        <w:tc>
          <w:tcPr>
            <w:tcW w:w="3220" w:type="dxa"/>
            <w:vAlign w:val="bottom"/>
            <w:gridSpan w:val="3"/>
            <w:vMerge w:val="continue"/>
          </w:tcPr>
          <w:p>
            <w:pPr>
              <w:spacing w:after="0"/>
              <w:rPr>
                <w:sz w:val="14"/>
                <w:szCs w:val="14"/>
                <w:color w:val="auto"/>
              </w:rPr>
            </w:pPr>
          </w:p>
        </w:tc>
        <w:tc>
          <w:tcPr>
            <w:tcW w:w="9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800" w:type="dxa"/>
            <w:vAlign w:val="bottom"/>
            <w:tcBorders>
              <w:top w:val="single" w:sz="8" w:color="auto"/>
            </w:tcBorders>
          </w:tcPr>
          <w:p>
            <w:pPr>
              <w:spacing w:after="0" w:line="170" w:lineRule="exact"/>
              <w:rPr>
                <w:sz w:val="20"/>
                <w:szCs w:val="20"/>
                <w:color w:val="auto"/>
              </w:rPr>
            </w:pPr>
            <w:r>
              <w:rPr>
                <w:rFonts w:ascii="Arial" w:cs="Arial" w:eastAsia="Arial" w:hAnsi="Arial"/>
                <w:sz w:val="18"/>
                <w:szCs w:val="18"/>
                <w:color w:val="auto"/>
              </w:rPr>
              <w:t>31.1</w:t>
            </w:r>
          </w:p>
        </w:tc>
        <w:tc>
          <w:tcPr>
            <w:tcW w:w="100" w:type="dxa"/>
            <w:vAlign w:val="bottom"/>
          </w:tcPr>
          <w:p>
            <w:pPr>
              <w:spacing w:after="0"/>
              <w:rPr>
                <w:sz w:val="14"/>
                <w:szCs w:val="14"/>
                <w:color w:val="auto"/>
              </w:rPr>
            </w:pPr>
          </w:p>
        </w:tc>
        <w:tc>
          <w:tcPr>
            <w:tcW w:w="20" w:type="dxa"/>
            <w:vAlign w:val="bottom"/>
            <w:tcBorders>
              <w:bottom w:val="single" w:sz="8" w:color="0000EE"/>
            </w:tcBorders>
          </w:tcPr>
          <w:p>
            <w:pPr>
              <w:spacing w:after="0"/>
              <w:rPr>
                <w:sz w:val="14"/>
                <w:szCs w:val="14"/>
                <w:color w:val="auto"/>
              </w:rPr>
            </w:pPr>
          </w:p>
        </w:tc>
        <w:tc>
          <w:tcPr>
            <w:tcW w:w="5060" w:type="dxa"/>
            <w:vAlign w:val="bottom"/>
            <w:tcBorders>
              <w:top w:val="single" w:sz="8" w:color="auto"/>
              <w:bottom w:val="single" w:sz="8" w:color="0000EE"/>
            </w:tcBorders>
            <w:gridSpan w:val="5"/>
          </w:tcPr>
          <w:p>
            <w:pPr>
              <w:spacing w:after="0" w:line="170" w:lineRule="exact"/>
              <w:rPr>
                <w:rFonts w:ascii="Arial" w:cs="Arial" w:eastAsia="Arial" w:hAnsi="Arial"/>
                <w:sz w:val="18"/>
                <w:szCs w:val="18"/>
                <w:color w:val="0000EE"/>
                <w:w w:val="91"/>
              </w:rPr>
            </w:pPr>
            <w:hyperlink w:anchor="page86">
              <w:r>
                <w:rPr>
                  <w:rFonts w:ascii="Arial" w:cs="Arial" w:eastAsia="Arial" w:hAnsi="Arial"/>
                  <w:sz w:val="18"/>
                  <w:szCs w:val="18"/>
                  <w:color w:val="0000EE"/>
                  <w:w w:val="91"/>
                </w:rPr>
                <w:t>Certification of Chief Executive Officer pursuant to Section 302 of the</w:t>
              </w:r>
            </w:hyperlink>
          </w:p>
        </w:tc>
        <w:tc>
          <w:tcPr>
            <w:tcW w:w="1200" w:type="dxa"/>
            <w:vAlign w:val="bottom"/>
            <w:tcBorders>
              <w:top w:val="single" w:sz="8" w:color="auto"/>
            </w:tcBorders>
            <w:gridSpan w:val="4"/>
          </w:tcPr>
          <w:p>
            <w:pPr>
              <w:spacing w:after="0"/>
              <w:rPr>
                <w:sz w:val="14"/>
                <w:szCs w:val="14"/>
                <w:color w:val="auto"/>
              </w:rPr>
            </w:pPr>
          </w:p>
        </w:tc>
        <w:tc>
          <w:tcPr>
            <w:tcW w:w="80" w:type="dxa"/>
            <w:vAlign w:val="bottom"/>
          </w:tcPr>
          <w:p>
            <w:pPr>
              <w:spacing w:after="0"/>
              <w:rPr>
                <w:sz w:val="14"/>
                <w:szCs w:val="14"/>
                <w:color w:val="auto"/>
              </w:rPr>
            </w:pPr>
          </w:p>
        </w:tc>
        <w:tc>
          <w:tcPr>
            <w:tcW w:w="2720" w:type="dxa"/>
            <w:vAlign w:val="bottom"/>
            <w:tcBorders>
              <w:top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420" w:type="dxa"/>
            <w:vAlign w:val="bottom"/>
            <w:tcBorders>
              <w:top w:val="single" w:sz="8" w:color="auto"/>
            </w:tcBorders>
          </w:tcPr>
          <w:p>
            <w:pPr>
              <w:spacing w:after="0"/>
              <w:rPr>
                <w:sz w:val="14"/>
                <w:szCs w:val="14"/>
                <w:color w:val="auto"/>
              </w:rPr>
            </w:pPr>
          </w:p>
        </w:tc>
        <w:tc>
          <w:tcPr>
            <w:tcW w:w="920" w:type="dxa"/>
            <w:vAlign w:val="bottom"/>
            <w:tcBorders>
              <w:top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140" w:type="dxa"/>
            <w:vAlign w:val="bottom"/>
            <w:tcBorders>
              <w:bottom w:val="single" w:sz="8" w:color="auto"/>
            </w:tcBorders>
            <w:gridSpan w:val="5"/>
          </w:tcPr>
          <w:p>
            <w:pPr>
              <w:spacing w:after="0" w:line="196" w:lineRule="exact"/>
              <w:rPr>
                <w:sz w:val="20"/>
                <w:szCs w:val="20"/>
                <w:color w:val="auto"/>
              </w:rPr>
            </w:pPr>
            <w:r>
              <w:rPr>
                <w:rFonts w:ascii="Arial" w:cs="Arial" w:eastAsia="Arial" w:hAnsi="Arial"/>
                <w:sz w:val="18"/>
                <w:szCs w:val="18"/>
                <w:color w:val="auto"/>
                <w:w w:val="91"/>
              </w:rPr>
              <w:t>Sarbanes-Oxley Act of 2002*</w:t>
            </w:r>
          </w:p>
        </w:tc>
        <w:tc>
          <w:tcPr>
            <w:tcW w:w="4220" w:type="dxa"/>
            <w:vAlign w:val="bottom"/>
            <w:gridSpan w:val="6"/>
          </w:tcPr>
          <w:p>
            <w:pPr>
              <w:spacing w:after="0"/>
              <w:rPr>
                <w:sz w:val="17"/>
                <w:szCs w:val="17"/>
                <w:color w:val="auto"/>
              </w:rPr>
            </w:pPr>
          </w:p>
        </w:tc>
        <w:tc>
          <w:tcPr>
            <w:tcW w:w="27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18"/>
        </w:trPr>
        <w:tc>
          <w:tcPr>
            <w:tcW w:w="820" w:type="dxa"/>
            <w:vAlign w:val="bottom"/>
            <w:gridSpan w:val="2"/>
          </w:tcPr>
          <w:p>
            <w:pPr>
              <w:spacing w:after="0"/>
              <w:rPr>
                <w:sz w:val="20"/>
                <w:szCs w:val="20"/>
                <w:color w:val="auto"/>
              </w:rPr>
            </w:pPr>
            <w:r>
              <w:rPr>
                <w:rFonts w:ascii="Arial" w:cs="Arial" w:eastAsia="Arial" w:hAnsi="Arial"/>
                <w:sz w:val="18"/>
                <w:szCs w:val="18"/>
                <w:color w:val="auto"/>
              </w:rPr>
              <w:t>31.2</w:t>
            </w:r>
          </w:p>
        </w:tc>
        <w:tc>
          <w:tcPr>
            <w:tcW w:w="100" w:type="dxa"/>
            <w:vAlign w:val="bottom"/>
          </w:tcPr>
          <w:p>
            <w:pPr>
              <w:spacing w:after="0"/>
              <w:rPr>
                <w:sz w:val="24"/>
                <w:szCs w:val="24"/>
                <w:color w:val="auto"/>
              </w:rPr>
            </w:pPr>
          </w:p>
        </w:tc>
        <w:tc>
          <w:tcPr>
            <w:tcW w:w="6360" w:type="dxa"/>
            <w:vAlign w:val="bottom"/>
            <w:gridSpan w:val="11"/>
          </w:tcPr>
          <w:p>
            <w:pPr>
              <w:spacing w:after="0"/>
              <w:rPr>
                <w:rFonts w:ascii="Arial" w:cs="Arial" w:eastAsia="Arial" w:hAnsi="Arial"/>
                <w:sz w:val="18"/>
                <w:szCs w:val="18"/>
                <w:color w:val="0000EE"/>
                <w:w w:val="93"/>
              </w:rPr>
            </w:pPr>
            <w:hyperlink w:anchor="page87">
              <w:r>
                <w:rPr>
                  <w:rFonts w:ascii="Arial" w:cs="Arial" w:eastAsia="Arial" w:hAnsi="Arial"/>
                  <w:sz w:val="18"/>
                  <w:szCs w:val="18"/>
                  <w:color w:val="0000EE"/>
                  <w:w w:val="93"/>
                </w:rPr>
                <w:t>Certification of Chief Financial Officer pursuant to Section 302 of the Sarbanes-Oxley</w:t>
              </w:r>
            </w:hyperlink>
          </w:p>
        </w:tc>
        <w:tc>
          <w:tcPr>
            <w:tcW w:w="27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20" w:type="dxa"/>
            <w:vAlign w:val="bottom"/>
            <w:tcBorders>
              <w:top w:val="single" w:sz="8" w:color="0000EE"/>
            </w:tcBorders>
            <w:gridSpan w:val="8"/>
          </w:tcPr>
          <w:p>
            <w:pPr>
              <w:spacing w:after="0" w:line="196" w:lineRule="exact"/>
              <w:rPr>
                <w:rFonts w:ascii="Arial" w:cs="Arial" w:eastAsia="Arial" w:hAnsi="Arial"/>
                <w:sz w:val="18"/>
                <w:szCs w:val="18"/>
                <w:color w:val="0000EE"/>
              </w:rPr>
            </w:pPr>
            <w:hyperlink w:anchor="page87">
              <w:r>
                <w:rPr>
                  <w:rFonts w:ascii="Arial" w:cs="Arial" w:eastAsia="Arial" w:hAnsi="Arial"/>
                  <w:sz w:val="18"/>
                  <w:szCs w:val="18"/>
                  <w:color w:val="0000EE"/>
                </w:rPr>
                <w:t>Act of 2002*</w:t>
              </w:r>
            </w:hyperlink>
          </w:p>
        </w:tc>
        <w:tc>
          <w:tcPr>
            <w:tcW w:w="140" w:type="dxa"/>
            <w:vAlign w:val="bottom"/>
            <w:gridSpan w:val="3"/>
          </w:tcPr>
          <w:p>
            <w:pPr>
              <w:spacing w:after="0"/>
              <w:rPr>
                <w:sz w:val="17"/>
                <w:szCs w:val="17"/>
                <w:color w:val="auto"/>
              </w:rPr>
            </w:pPr>
          </w:p>
        </w:tc>
        <w:tc>
          <w:tcPr>
            <w:tcW w:w="27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82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40" w:type="dxa"/>
            <w:vAlign w:val="bottom"/>
            <w:gridSpan w:val="2"/>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260" w:type="dxa"/>
            <w:vAlign w:val="bottom"/>
            <w:gridSpan w:val="3"/>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7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820" w:type="dxa"/>
            <w:vAlign w:val="bottom"/>
            <w:gridSpan w:val="2"/>
          </w:tcPr>
          <w:p>
            <w:pPr>
              <w:spacing w:after="0"/>
              <w:rPr>
                <w:sz w:val="20"/>
                <w:szCs w:val="20"/>
                <w:color w:val="auto"/>
              </w:rPr>
            </w:pPr>
            <w:r>
              <w:rPr>
                <w:rFonts w:ascii="Arial" w:cs="Arial" w:eastAsia="Arial" w:hAnsi="Arial"/>
                <w:sz w:val="18"/>
                <w:szCs w:val="18"/>
                <w:color w:val="auto"/>
              </w:rPr>
              <w:t>32.1</w:t>
            </w:r>
          </w:p>
        </w:tc>
        <w:tc>
          <w:tcPr>
            <w:tcW w:w="100" w:type="dxa"/>
            <w:vAlign w:val="bottom"/>
          </w:tcPr>
          <w:p>
            <w:pPr>
              <w:spacing w:after="0"/>
              <w:rPr>
                <w:sz w:val="24"/>
                <w:szCs w:val="24"/>
                <w:color w:val="auto"/>
              </w:rPr>
            </w:pPr>
          </w:p>
        </w:tc>
        <w:tc>
          <w:tcPr>
            <w:tcW w:w="6360" w:type="dxa"/>
            <w:vAlign w:val="bottom"/>
            <w:gridSpan w:val="11"/>
          </w:tcPr>
          <w:p>
            <w:pPr>
              <w:spacing w:after="0"/>
              <w:rPr>
                <w:rFonts w:ascii="Arial" w:cs="Arial" w:eastAsia="Arial" w:hAnsi="Arial"/>
                <w:sz w:val="18"/>
                <w:szCs w:val="18"/>
                <w:color w:val="0000EE"/>
                <w:w w:val="99"/>
              </w:rPr>
            </w:pPr>
            <w:hyperlink w:anchor="page88">
              <w:r>
                <w:rPr>
                  <w:rFonts w:ascii="Arial" w:cs="Arial" w:eastAsia="Arial" w:hAnsi="Arial"/>
                  <w:sz w:val="18"/>
                  <w:szCs w:val="18"/>
                  <w:color w:val="0000EE"/>
                  <w:w w:val="99"/>
                </w:rPr>
                <w:t>Certification by Chief Executive Officer pursuant to Section 906 of the Sarbanes-</w:t>
              </w:r>
            </w:hyperlink>
          </w:p>
        </w:tc>
        <w:tc>
          <w:tcPr>
            <w:tcW w:w="27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60" w:type="dxa"/>
            <w:vAlign w:val="bottom"/>
            <w:tcBorders>
              <w:top w:val="single" w:sz="8" w:color="0000EE"/>
            </w:tcBorders>
            <w:gridSpan w:val="7"/>
          </w:tcPr>
          <w:p>
            <w:pPr>
              <w:spacing w:after="0" w:line="196" w:lineRule="exact"/>
              <w:rPr>
                <w:rFonts w:ascii="Arial" w:cs="Arial" w:eastAsia="Arial" w:hAnsi="Arial"/>
                <w:sz w:val="18"/>
                <w:szCs w:val="18"/>
                <w:color w:val="0000EE"/>
              </w:rPr>
            </w:pPr>
            <w:hyperlink w:anchor="page88">
              <w:r>
                <w:rPr>
                  <w:rFonts w:ascii="Arial" w:cs="Arial" w:eastAsia="Arial" w:hAnsi="Arial"/>
                  <w:sz w:val="18"/>
                  <w:szCs w:val="18"/>
                  <w:color w:val="0000EE"/>
                </w:rPr>
                <w:t>Oxley Act of 2002***</w:t>
              </w:r>
            </w:hyperlink>
          </w:p>
        </w:tc>
        <w:tc>
          <w:tcPr>
            <w:tcW w:w="500" w:type="dxa"/>
            <w:vAlign w:val="bottom"/>
            <w:gridSpan w:val="4"/>
          </w:tcPr>
          <w:p>
            <w:pPr>
              <w:spacing w:after="0"/>
              <w:rPr>
                <w:sz w:val="17"/>
                <w:szCs w:val="17"/>
                <w:color w:val="auto"/>
              </w:rPr>
            </w:pPr>
          </w:p>
        </w:tc>
        <w:tc>
          <w:tcPr>
            <w:tcW w:w="27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82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20" w:type="dxa"/>
            <w:vAlign w:val="bottom"/>
            <w:gridSpan w:val="3"/>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4660" w:type="dxa"/>
            <w:vAlign w:val="bottom"/>
            <w:gridSpan w:val="5"/>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7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820" w:type="dxa"/>
            <w:vAlign w:val="bottom"/>
            <w:gridSpan w:val="2"/>
          </w:tcPr>
          <w:p>
            <w:pPr>
              <w:spacing w:after="0"/>
              <w:rPr>
                <w:sz w:val="20"/>
                <w:szCs w:val="20"/>
                <w:color w:val="auto"/>
              </w:rPr>
            </w:pPr>
            <w:r>
              <w:rPr>
                <w:rFonts w:ascii="Arial" w:cs="Arial" w:eastAsia="Arial" w:hAnsi="Arial"/>
                <w:sz w:val="18"/>
                <w:szCs w:val="18"/>
                <w:color w:val="auto"/>
              </w:rPr>
              <w:t>32.2</w:t>
            </w:r>
          </w:p>
        </w:tc>
        <w:tc>
          <w:tcPr>
            <w:tcW w:w="100" w:type="dxa"/>
            <w:vAlign w:val="bottom"/>
          </w:tcPr>
          <w:p>
            <w:pPr>
              <w:spacing w:after="0"/>
              <w:rPr>
                <w:sz w:val="24"/>
                <w:szCs w:val="24"/>
                <w:color w:val="auto"/>
              </w:rPr>
            </w:pPr>
          </w:p>
        </w:tc>
        <w:tc>
          <w:tcPr>
            <w:tcW w:w="6260" w:type="dxa"/>
            <w:vAlign w:val="bottom"/>
            <w:tcBorders>
              <w:bottom w:val="single" w:sz="8" w:color="0000EE"/>
            </w:tcBorders>
            <w:gridSpan w:val="9"/>
          </w:tcPr>
          <w:p>
            <w:pPr>
              <w:spacing w:after="0"/>
              <w:rPr>
                <w:rFonts w:ascii="Arial" w:cs="Arial" w:eastAsia="Arial" w:hAnsi="Arial"/>
                <w:sz w:val="18"/>
                <w:szCs w:val="18"/>
                <w:color w:val="0000EE"/>
                <w:w w:val="91"/>
              </w:rPr>
            </w:pPr>
            <w:hyperlink w:anchor="page89">
              <w:r>
                <w:rPr>
                  <w:rFonts w:ascii="Arial" w:cs="Arial" w:eastAsia="Arial" w:hAnsi="Arial"/>
                  <w:sz w:val="18"/>
                  <w:szCs w:val="18"/>
                  <w:color w:val="0000EE"/>
                  <w:w w:val="91"/>
                </w:rPr>
                <w:t>Certification by Chief Financial Officer pursuant to Section 906 of the Sarbanes-Oxley</w:t>
              </w:r>
            </w:hyperlink>
          </w:p>
        </w:tc>
        <w:tc>
          <w:tcPr>
            <w:tcW w:w="100" w:type="dxa"/>
            <w:vAlign w:val="bottom"/>
            <w:gridSpan w:val="2"/>
          </w:tcPr>
          <w:p>
            <w:pPr>
              <w:spacing w:after="0"/>
              <w:rPr>
                <w:sz w:val="24"/>
                <w:szCs w:val="24"/>
                <w:color w:val="auto"/>
              </w:rPr>
            </w:pPr>
          </w:p>
        </w:tc>
        <w:tc>
          <w:tcPr>
            <w:tcW w:w="27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360" w:type="dxa"/>
            <w:vAlign w:val="bottom"/>
            <w:gridSpan w:val="11"/>
          </w:tcPr>
          <w:p>
            <w:pPr>
              <w:spacing w:after="0" w:line="196" w:lineRule="exact"/>
              <w:rPr>
                <w:rFonts w:ascii="Arial" w:cs="Arial" w:eastAsia="Arial" w:hAnsi="Arial"/>
                <w:sz w:val="18"/>
                <w:szCs w:val="18"/>
                <w:color w:val="0000EE"/>
              </w:rPr>
            </w:pPr>
            <w:hyperlink w:anchor="page89">
              <w:r>
                <w:rPr>
                  <w:rFonts w:ascii="Arial" w:cs="Arial" w:eastAsia="Arial" w:hAnsi="Arial"/>
                  <w:sz w:val="18"/>
                  <w:szCs w:val="18"/>
                  <w:color w:val="0000EE"/>
                </w:rPr>
                <w:t>Act of 2002***</w:t>
              </w:r>
            </w:hyperlink>
          </w:p>
        </w:tc>
        <w:tc>
          <w:tcPr>
            <w:tcW w:w="27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82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20" w:type="dxa"/>
            <w:vAlign w:val="bottom"/>
            <w:gridSpan w:val="3"/>
            <w:shd w:val="clear" w:color="auto" w:fill="0000EE"/>
          </w:tcPr>
          <w:p>
            <w:pPr>
              <w:spacing w:after="0" w:line="20" w:lineRule="exact"/>
              <w:rPr>
                <w:sz w:val="1"/>
                <w:szCs w:val="1"/>
                <w:color w:val="auto"/>
              </w:rPr>
            </w:pPr>
          </w:p>
        </w:tc>
        <w:tc>
          <w:tcPr>
            <w:tcW w:w="5240" w:type="dxa"/>
            <w:vAlign w:val="bottom"/>
            <w:gridSpan w:val="8"/>
          </w:tcPr>
          <w:p>
            <w:pPr>
              <w:spacing w:after="0" w:line="20" w:lineRule="exact"/>
              <w:rPr>
                <w:sz w:val="1"/>
                <w:szCs w:val="1"/>
                <w:color w:val="auto"/>
              </w:rPr>
            </w:pPr>
          </w:p>
        </w:tc>
        <w:tc>
          <w:tcPr>
            <w:tcW w:w="27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820" w:type="dxa"/>
            <w:vAlign w:val="bottom"/>
            <w:gridSpan w:val="2"/>
          </w:tcPr>
          <w:p>
            <w:pPr>
              <w:spacing w:after="0"/>
              <w:rPr>
                <w:sz w:val="20"/>
                <w:szCs w:val="20"/>
                <w:color w:val="auto"/>
              </w:rPr>
            </w:pPr>
            <w:r>
              <w:rPr>
                <w:rFonts w:ascii="Arial" w:cs="Arial" w:eastAsia="Arial" w:hAnsi="Arial"/>
                <w:sz w:val="18"/>
                <w:szCs w:val="18"/>
                <w:color w:val="auto"/>
              </w:rPr>
              <w:t>101.INS</w:t>
            </w:r>
          </w:p>
        </w:tc>
        <w:tc>
          <w:tcPr>
            <w:tcW w:w="100" w:type="dxa"/>
            <w:vAlign w:val="bottom"/>
          </w:tcPr>
          <w:p>
            <w:pPr>
              <w:spacing w:after="0"/>
              <w:rPr>
                <w:sz w:val="24"/>
                <w:szCs w:val="24"/>
                <w:color w:val="auto"/>
              </w:rPr>
            </w:pPr>
          </w:p>
        </w:tc>
        <w:tc>
          <w:tcPr>
            <w:tcW w:w="6360" w:type="dxa"/>
            <w:vAlign w:val="bottom"/>
            <w:gridSpan w:val="11"/>
          </w:tcPr>
          <w:p>
            <w:pPr>
              <w:spacing w:after="0"/>
              <w:rPr>
                <w:sz w:val="20"/>
                <w:szCs w:val="20"/>
                <w:color w:val="auto"/>
              </w:rPr>
            </w:pPr>
            <w:r>
              <w:rPr>
                <w:rFonts w:ascii="Arial" w:cs="Arial" w:eastAsia="Arial" w:hAnsi="Arial"/>
                <w:sz w:val="18"/>
                <w:szCs w:val="18"/>
                <w:color w:val="auto"/>
              </w:rPr>
              <w:t>XBRL Instance Document*</w:t>
            </w:r>
          </w:p>
        </w:tc>
        <w:tc>
          <w:tcPr>
            <w:tcW w:w="27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8"/>
        </w:trPr>
        <w:tc>
          <w:tcPr>
            <w:tcW w:w="820" w:type="dxa"/>
            <w:vAlign w:val="bottom"/>
            <w:gridSpan w:val="2"/>
          </w:tcPr>
          <w:p>
            <w:pPr>
              <w:spacing w:after="0"/>
              <w:rPr>
                <w:sz w:val="20"/>
                <w:szCs w:val="20"/>
                <w:color w:val="auto"/>
              </w:rPr>
            </w:pPr>
            <w:r>
              <w:rPr>
                <w:rFonts w:ascii="Arial" w:cs="Arial" w:eastAsia="Arial" w:hAnsi="Arial"/>
                <w:sz w:val="18"/>
                <w:szCs w:val="18"/>
                <w:color w:val="auto"/>
              </w:rPr>
              <w:t>101.SCH</w:t>
            </w:r>
          </w:p>
        </w:tc>
        <w:tc>
          <w:tcPr>
            <w:tcW w:w="100" w:type="dxa"/>
            <w:vAlign w:val="bottom"/>
          </w:tcPr>
          <w:p>
            <w:pPr>
              <w:spacing w:after="0"/>
              <w:rPr>
                <w:sz w:val="24"/>
                <w:szCs w:val="24"/>
                <w:color w:val="auto"/>
              </w:rPr>
            </w:pPr>
          </w:p>
        </w:tc>
        <w:tc>
          <w:tcPr>
            <w:tcW w:w="6360" w:type="dxa"/>
            <w:vAlign w:val="bottom"/>
            <w:gridSpan w:val="11"/>
          </w:tcPr>
          <w:p>
            <w:pPr>
              <w:spacing w:after="0"/>
              <w:rPr>
                <w:sz w:val="20"/>
                <w:szCs w:val="20"/>
                <w:color w:val="auto"/>
              </w:rPr>
            </w:pPr>
            <w:r>
              <w:rPr>
                <w:rFonts w:ascii="Arial" w:cs="Arial" w:eastAsia="Arial" w:hAnsi="Arial"/>
                <w:sz w:val="18"/>
                <w:szCs w:val="18"/>
                <w:color w:val="auto"/>
              </w:rPr>
              <w:t>XBRL Schema Document*</w:t>
            </w:r>
          </w:p>
        </w:tc>
        <w:tc>
          <w:tcPr>
            <w:tcW w:w="27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8"/>
        </w:trPr>
        <w:tc>
          <w:tcPr>
            <w:tcW w:w="820" w:type="dxa"/>
            <w:vAlign w:val="bottom"/>
            <w:gridSpan w:val="2"/>
          </w:tcPr>
          <w:p>
            <w:pPr>
              <w:spacing w:after="0"/>
              <w:rPr>
                <w:sz w:val="20"/>
                <w:szCs w:val="20"/>
                <w:color w:val="auto"/>
              </w:rPr>
            </w:pPr>
            <w:r>
              <w:rPr>
                <w:rFonts w:ascii="Arial" w:cs="Arial" w:eastAsia="Arial" w:hAnsi="Arial"/>
                <w:sz w:val="18"/>
                <w:szCs w:val="18"/>
                <w:color w:val="auto"/>
              </w:rPr>
              <w:t>101.CAL</w:t>
            </w:r>
          </w:p>
        </w:tc>
        <w:tc>
          <w:tcPr>
            <w:tcW w:w="100" w:type="dxa"/>
            <w:vAlign w:val="bottom"/>
          </w:tcPr>
          <w:p>
            <w:pPr>
              <w:spacing w:after="0"/>
              <w:rPr>
                <w:sz w:val="24"/>
                <w:szCs w:val="24"/>
                <w:color w:val="auto"/>
              </w:rPr>
            </w:pPr>
          </w:p>
        </w:tc>
        <w:tc>
          <w:tcPr>
            <w:tcW w:w="6360" w:type="dxa"/>
            <w:vAlign w:val="bottom"/>
            <w:gridSpan w:val="11"/>
          </w:tcPr>
          <w:p>
            <w:pPr>
              <w:spacing w:after="0"/>
              <w:rPr>
                <w:sz w:val="20"/>
                <w:szCs w:val="20"/>
                <w:color w:val="auto"/>
              </w:rPr>
            </w:pPr>
            <w:r>
              <w:rPr>
                <w:rFonts w:ascii="Arial" w:cs="Arial" w:eastAsia="Arial" w:hAnsi="Arial"/>
                <w:sz w:val="18"/>
                <w:szCs w:val="18"/>
                <w:color w:val="auto"/>
              </w:rPr>
              <w:t>XBRL Calculation Linkbase Document*</w:t>
            </w:r>
          </w:p>
        </w:tc>
        <w:tc>
          <w:tcPr>
            <w:tcW w:w="27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8"/>
        </w:trPr>
        <w:tc>
          <w:tcPr>
            <w:tcW w:w="820" w:type="dxa"/>
            <w:vAlign w:val="bottom"/>
            <w:gridSpan w:val="2"/>
          </w:tcPr>
          <w:p>
            <w:pPr>
              <w:spacing w:after="0"/>
              <w:rPr>
                <w:sz w:val="20"/>
                <w:szCs w:val="20"/>
                <w:color w:val="auto"/>
              </w:rPr>
            </w:pPr>
            <w:r>
              <w:rPr>
                <w:rFonts w:ascii="Arial" w:cs="Arial" w:eastAsia="Arial" w:hAnsi="Arial"/>
                <w:sz w:val="18"/>
                <w:szCs w:val="18"/>
                <w:color w:val="auto"/>
              </w:rPr>
              <w:t>101.LAB</w:t>
            </w:r>
          </w:p>
        </w:tc>
        <w:tc>
          <w:tcPr>
            <w:tcW w:w="100" w:type="dxa"/>
            <w:vAlign w:val="bottom"/>
          </w:tcPr>
          <w:p>
            <w:pPr>
              <w:spacing w:after="0"/>
              <w:rPr>
                <w:sz w:val="24"/>
                <w:szCs w:val="24"/>
                <w:color w:val="auto"/>
              </w:rPr>
            </w:pPr>
          </w:p>
        </w:tc>
        <w:tc>
          <w:tcPr>
            <w:tcW w:w="6360" w:type="dxa"/>
            <w:vAlign w:val="bottom"/>
            <w:gridSpan w:val="11"/>
          </w:tcPr>
          <w:p>
            <w:pPr>
              <w:spacing w:after="0"/>
              <w:rPr>
                <w:sz w:val="20"/>
                <w:szCs w:val="20"/>
                <w:color w:val="auto"/>
              </w:rPr>
            </w:pPr>
            <w:r>
              <w:rPr>
                <w:rFonts w:ascii="Arial" w:cs="Arial" w:eastAsia="Arial" w:hAnsi="Arial"/>
                <w:sz w:val="18"/>
                <w:szCs w:val="18"/>
                <w:color w:val="auto"/>
              </w:rPr>
              <w:t>XBRL Label Linkbase Document*</w:t>
            </w:r>
          </w:p>
        </w:tc>
        <w:tc>
          <w:tcPr>
            <w:tcW w:w="27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8"/>
        </w:trPr>
        <w:tc>
          <w:tcPr>
            <w:tcW w:w="820" w:type="dxa"/>
            <w:vAlign w:val="bottom"/>
            <w:gridSpan w:val="2"/>
          </w:tcPr>
          <w:p>
            <w:pPr>
              <w:spacing w:after="0"/>
              <w:rPr>
                <w:sz w:val="20"/>
                <w:szCs w:val="20"/>
                <w:color w:val="auto"/>
              </w:rPr>
            </w:pPr>
            <w:r>
              <w:rPr>
                <w:rFonts w:ascii="Arial" w:cs="Arial" w:eastAsia="Arial" w:hAnsi="Arial"/>
                <w:sz w:val="18"/>
                <w:szCs w:val="18"/>
                <w:color w:val="auto"/>
              </w:rPr>
              <w:t>101.PRE</w:t>
            </w:r>
          </w:p>
        </w:tc>
        <w:tc>
          <w:tcPr>
            <w:tcW w:w="100" w:type="dxa"/>
            <w:vAlign w:val="bottom"/>
          </w:tcPr>
          <w:p>
            <w:pPr>
              <w:spacing w:after="0"/>
              <w:rPr>
                <w:sz w:val="24"/>
                <w:szCs w:val="24"/>
                <w:color w:val="auto"/>
              </w:rPr>
            </w:pPr>
          </w:p>
        </w:tc>
        <w:tc>
          <w:tcPr>
            <w:tcW w:w="6360" w:type="dxa"/>
            <w:vAlign w:val="bottom"/>
            <w:gridSpan w:val="11"/>
          </w:tcPr>
          <w:p>
            <w:pPr>
              <w:spacing w:after="0"/>
              <w:rPr>
                <w:sz w:val="20"/>
                <w:szCs w:val="20"/>
                <w:color w:val="auto"/>
              </w:rPr>
            </w:pPr>
            <w:r>
              <w:rPr>
                <w:rFonts w:ascii="Arial" w:cs="Arial" w:eastAsia="Arial" w:hAnsi="Arial"/>
                <w:sz w:val="18"/>
                <w:szCs w:val="18"/>
                <w:color w:val="auto"/>
              </w:rPr>
              <w:t>XBRL Presentation Linkbase Document*</w:t>
            </w:r>
          </w:p>
        </w:tc>
        <w:tc>
          <w:tcPr>
            <w:tcW w:w="27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8"/>
        </w:trPr>
        <w:tc>
          <w:tcPr>
            <w:tcW w:w="820" w:type="dxa"/>
            <w:vAlign w:val="bottom"/>
            <w:gridSpan w:val="2"/>
          </w:tcPr>
          <w:p>
            <w:pPr>
              <w:spacing w:after="0"/>
              <w:rPr>
                <w:sz w:val="20"/>
                <w:szCs w:val="20"/>
                <w:color w:val="auto"/>
              </w:rPr>
            </w:pPr>
            <w:r>
              <w:rPr>
                <w:rFonts w:ascii="Arial" w:cs="Arial" w:eastAsia="Arial" w:hAnsi="Arial"/>
                <w:sz w:val="18"/>
                <w:szCs w:val="18"/>
                <w:color w:val="auto"/>
              </w:rPr>
              <w:t>101.DEF</w:t>
            </w:r>
          </w:p>
        </w:tc>
        <w:tc>
          <w:tcPr>
            <w:tcW w:w="100" w:type="dxa"/>
            <w:vAlign w:val="bottom"/>
          </w:tcPr>
          <w:p>
            <w:pPr>
              <w:spacing w:after="0"/>
              <w:rPr>
                <w:sz w:val="24"/>
                <w:szCs w:val="24"/>
                <w:color w:val="auto"/>
              </w:rPr>
            </w:pPr>
          </w:p>
        </w:tc>
        <w:tc>
          <w:tcPr>
            <w:tcW w:w="6360" w:type="dxa"/>
            <w:vAlign w:val="bottom"/>
            <w:gridSpan w:val="11"/>
          </w:tcPr>
          <w:p>
            <w:pPr>
              <w:spacing w:after="0"/>
              <w:rPr>
                <w:sz w:val="20"/>
                <w:szCs w:val="20"/>
                <w:color w:val="auto"/>
              </w:rPr>
            </w:pPr>
            <w:r>
              <w:rPr>
                <w:rFonts w:ascii="Arial" w:cs="Arial" w:eastAsia="Arial" w:hAnsi="Arial"/>
                <w:sz w:val="18"/>
                <w:szCs w:val="18"/>
                <w:color w:val="auto"/>
              </w:rPr>
              <w:t>XBRL Definition Linkbase Document*</w:t>
            </w:r>
          </w:p>
        </w:tc>
        <w:tc>
          <w:tcPr>
            <w:tcW w:w="27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15" w:lineRule="exact"/>
        <w:rPr>
          <w:sz w:val="20"/>
          <w:szCs w:val="20"/>
          <w:color w:val="auto"/>
        </w:rPr>
      </w:pPr>
    </w:p>
    <w:p>
      <w:pPr>
        <w:ind w:left="380" w:hanging="372"/>
        <w:spacing w:after="0"/>
        <w:tabs>
          <w:tab w:leader="none" w:pos="3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Filed herewith</w:t>
      </w:r>
    </w:p>
    <w:p>
      <w:pPr>
        <w:spacing w:after="0" w:line="23" w:lineRule="exact"/>
        <w:rPr>
          <w:sz w:val="20"/>
          <w:szCs w:val="20"/>
          <w:color w:val="auto"/>
        </w:rPr>
      </w:pPr>
    </w:p>
    <w:p>
      <w:pPr>
        <w:ind w:left="380" w:hanging="372"/>
        <w:spacing w:after="0"/>
        <w:tabs>
          <w:tab w:leader="none" w:pos="3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Indicates compensation plan, contract or arrangement.</w:t>
      </w:r>
    </w:p>
    <w:p>
      <w:pPr>
        <w:spacing w:after="0" w:line="35" w:lineRule="exact"/>
        <w:rPr>
          <w:rFonts w:ascii="Arial" w:cs="Arial" w:eastAsia="Arial" w:hAnsi="Arial"/>
          <w:sz w:val="18"/>
          <w:szCs w:val="18"/>
          <w:color w:val="auto"/>
        </w:rPr>
      </w:pPr>
    </w:p>
    <w:p>
      <w:pPr>
        <w:ind w:left="380" w:hanging="372"/>
        <w:spacing w:after="0"/>
        <w:tabs>
          <w:tab w:leader="none" w:pos="3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Furnished herewith</w:t>
      </w:r>
    </w:p>
    <w:p>
      <w:pPr>
        <w:spacing w:after="0" w:line="23" w:lineRule="exact"/>
        <w:rPr>
          <w:sz w:val="20"/>
          <w:szCs w:val="20"/>
          <w:color w:val="auto"/>
        </w:rPr>
      </w:pPr>
    </w:p>
    <w:p>
      <w:pPr>
        <w:ind w:left="380" w:right="80" w:hanging="372"/>
        <w:spacing w:after="0" w:line="276" w:lineRule="auto"/>
        <w:tabs>
          <w:tab w:leader="none" w:pos="3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Confidential treatment has been requested with respect to certain portions of this exhibit. Omitted portions have been filed separately with the Securities and Exchange Commission.</w:t>
      </w:r>
    </w:p>
    <w:p>
      <w:pPr>
        <w:spacing w:after="0" w:line="200" w:lineRule="exact"/>
        <w:rPr>
          <w:sz w:val="20"/>
          <w:szCs w:val="20"/>
          <w:color w:val="auto"/>
        </w:rPr>
      </w:pPr>
    </w:p>
    <w:p>
      <w:pPr>
        <w:spacing w:after="0" w:line="224"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u w:val="single" w:color="auto"/>
          <w:color w:val="auto"/>
        </w:rPr>
        <w:t>SIGNATURE</w:t>
      </w:r>
    </w:p>
    <w:p>
      <w:pPr>
        <w:spacing w:after="0" w:line="229" w:lineRule="exact"/>
        <w:rPr>
          <w:sz w:val="20"/>
          <w:szCs w:val="20"/>
          <w:color w:val="auto"/>
        </w:rPr>
      </w:pPr>
    </w:p>
    <w:p>
      <w:pPr>
        <w:ind w:right="180" w:firstLine="305"/>
        <w:spacing w:after="0" w:line="277" w:lineRule="auto"/>
        <w:rPr>
          <w:sz w:val="20"/>
          <w:szCs w:val="20"/>
          <w:color w:val="auto"/>
        </w:rPr>
      </w:pPr>
      <w:r>
        <w:rPr>
          <w:rFonts w:ascii="Arial" w:cs="Arial" w:eastAsia="Arial" w:hAnsi="Arial"/>
          <w:sz w:val="18"/>
          <w:szCs w:val="18"/>
          <w:color w:val="auto"/>
        </w:rPr>
        <w:t>Pursuant to the requirements of Section 13 or 15(d) of the Securities Exchange Act of 1934, the Registrant has duly caused this Report on Form 10-K to be signed on its behalf by the undersigned, thereunto duly authorized, on this 12th day of December 2017.</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Dated: December 12, 2017</w:t>
      </w:r>
    </w:p>
    <w:p>
      <w:pPr>
        <w:spacing w:after="0" w:line="252" w:lineRule="exact"/>
        <w:rPr>
          <w:sz w:val="20"/>
          <w:szCs w:val="20"/>
          <w:color w:val="auto"/>
        </w:rPr>
      </w:pPr>
    </w:p>
    <w:p>
      <w:pPr>
        <w:ind w:left="6840"/>
        <w:spacing w:after="0"/>
        <w:rPr>
          <w:sz w:val="20"/>
          <w:szCs w:val="20"/>
          <w:color w:val="auto"/>
        </w:rPr>
      </w:pPr>
      <w:r>
        <w:rPr>
          <w:rFonts w:ascii="Arial" w:cs="Arial" w:eastAsia="Arial" w:hAnsi="Arial"/>
          <w:sz w:val="18"/>
          <w:szCs w:val="18"/>
          <w:color w:val="auto"/>
        </w:rPr>
        <w:t>ARROWHEAD PHARMACEUTICALS, INC.</w:t>
      </w:r>
    </w:p>
    <w:p>
      <w:pPr>
        <w:spacing w:after="0" w:line="252" w:lineRule="exact"/>
        <w:rPr>
          <w:sz w:val="20"/>
          <w:szCs w:val="20"/>
          <w:color w:val="auto"/>
        </w:rPr>
      </w:pPr>
    </w:p>
    <w:p>
      <w:pPr>
        <w:ind w:left="6840"/>
        <w:spacing w:after="0"/>
        <w:tabs>
          <w:tab w:leader="none" w:pos="72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Christopher Anzalone</w:t>
      </w:r>
    </w:p>
    <w:p>
      <w:pPr>
        <w:spacing w:after="0" w:line="23" w:lineRule="exact"/>
        <w:rPr>
          <w:sz w:val="20"/>
          <w:szCs w:val="20"/>
          <w:color w:val="auto"/>
        </w:rPr>
      </w:pPr>
    </w:p>
    <w:p>
      <w:pPr>
        <w:ind w:left="7280"/>
        <w:spacing w:after="0"/>
        <w:rPr>
          <w:sz w:val="20"/>
          <w:szCs w:val="20"/>
          <w:color w:val="auto"/>
        </w:rPr>
      </w:pPr>
      <w:r>
        <w:rPr>
          <w:rFonts w:ascii="Arial" w:cs="Arial" w:eastAsia="Arial" w:hAnsi="Arial"/>
          <w:sz w:val="18"/>
          <w:szCs w:val="18"/>
          <w:color w:val="auto"/>
        </w:rPr>
        <w:t>Christopher Anzalone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4627245</wp:posOffset>
            </wp:positionH>
            <wp:positionV relativeFrom="paragraph">
              <wp:posOffset>-130810</wp:posOffset>
            </wp:positionV>
            <wp:extent cx="2624455" cy="889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115">
                      <a:extLst>
                        <a:ext uri="{28A0092B-C50C-407E-A947-70E740481C1C}"/>
                      </a:extLst>
                    </a:blip>
                    <a:srcRect/>
                    <a:stretch>
                      <a:fillRect/>
                    </a:stretch>
                  </pic:blipFill>
                  <pic:spPr bwMode="auto">
                    <a:xfrm>
                      <a:off x="0" y="0"/>
                      <a:ext cx="2624455" cy="8890"/>
                    </a:xfrm>
                    <a:prstGeom prst="rect">
                      <a:avLst/>
                    </a:prstGeom>
                    <a:noFill/>
                  </pic:spPr>
                </pic:pic>
              </a:graphicData>
            </a:graphic>
          </wp:anchor>
        </w:drawing>
      </w:r>
    </w:p>
    <w:p>
      <w:pPr>
        <w:spacing w:after="0" w:line="3" w:lineRule="exact"/>
        <w:rPr>
          <w:sz w:val="20"/>
          <w:szCs w:val="20"/>
          <w:color w:val="auto"/>
        </w:rPr>
      </w:pPr>
    </w:p>
    <w:p>
      <w:pPr>
        <w:ind w:left="7280"/>
        <w:spacing w:after="0"/>
        <w:rPr>
          <w:sz w:val="20"/>
          <w:szCs w:val="20"/>
          <w:color w:val="auto"/>
        </w:rPr>
      </w:pPr>
      <w:r>
        <w:rPr>
          <w:rFonts w:ascii="Arial" w:cs="Arial" w:eastAsia="Arial" w:hAnsi="Arial"/>
          <w:sz w:val="18"/>
          <w:szCs w:val="18"/>
          <w:color w:val="auto"/>
        </w:rPr>
        <w:t>Chief Executive Officer</w:t>
      </w:r>
    </w:p>
    <w:p>
      <w:pPr>
        <w:spacing w:after="0" w:line="211" w:lineRule="exact"/>
        <w:rPr>
          <w:sz w:val="20"/>
          <w:szCs w:val="20"/>
          <w:color w:val="auto"/>
        </w:rPr>
      </w:pPr>
    </w:p>
    <w:p>
      <w:pPr>
        <w:ind w:right="300" w:firstLine="518"/>
        <w:spacing w:after="0" w:line="277" w:lineRule="auto"/>
        <w:rPr>
          <w:sz w:val="20"/>
          <w:szCs w:val="20"/>
          <w:color w:val="auto"/>
        </w:rPr>
      </w:pPr>
      <w:r>
        <w:rPr>
          <w:rFonts w:ascii="Arial" w:cs="Arial" w:eastAsia="Arial" w:hAnsi="Arial"/>
          <w:sz w:val="18"/>
          <w:szCs w:val="18"/>
          <w:color w:val="auto"/>
        </w:rPr>
        <w:t>Pursuant to the requirements of the Securities Exchange Act of 1934, this Report on Form 10-K has been signed below by the following persons on behalf of the Registrant and in the capacities and on the dates indicated:</w:t>
      </w:r>
    </w:p>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3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Signature</w:t>
            </w:r>
          </w:p>
        </w:tc>
        <w:tc>
          <w:tcPr>
            <w:tcW w:w="160" w:type="dxa"/>
            <w:vAlign w:val="bottom"/>
          </w:tcPr>
          <w:p>
            <w:pPr>
              <w:spacing w:after="0"/>
              <w:rPr>
                <w:sz w:val="14"/>
                <w:szCs w:val="14"/>
                <w:color w:val="auto"/>
              </w:rPr>
            </w:pPr>
          </w:p>
        </w:tc>
        <w:tc>
          <w:tcPr>
            <w:tcW w:w="5400" w:type="dxa"/>
            <w:vAlign w:val="bottom"/>
            <w:tcBorders>
              <w:bottom w:val="single" w:sz="8" w:color="auto"/>
            </w:tcBorders>
          </w:tcPr>
          <w:p>
            <w:pPr>
              <w:ind w:left="2560"/>
              <w:spacing w:after="0"/>
              <w:rPr>
                <w:sz w:val="20"/>
                <w:szCs w:val="20"/>
                <w:color w:val="auto"/>
              </w:rPr>
            </w:pPr>
            <w:r>
              <w:rPr>
                <w:rFonts w:ascii="Arial" w:cs="Arial" w:eastAsia="Arial" w:hAnsi="Arial"/>
                <w:sz w:val="14"/>
                <w:szCs w:val="14"/>
                <w:b w:val="1"/>
                <w:bCs w:val="1"/>
                <w:color w:val="auto"/>
              </w:rPr>
              <w:t>Title</w:t>
            </w:r>
          </w:p>
        </w:tc>
        <w:tc>
          <w:tcPr>
            <w:tcW w:w="140" w:type="dxa"/>
            <w:vAlign w:val="bottom"/>
          </w:tcPr>
          <w:p>
            <w:pPr>
              <w:spacing w:after="0"/>
              <w:rPr>
                <w:sz w:val="14"/>
                <w:szCs w:val="14"/>
                <w:color w:val="auto"/>
              </w:rPr>
            </w:pPr>
          </w:p>
        </w:tc>
        <w:tc>
          <w:tcPr>
            <w:tcW w:w="23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8"/>
              </w:rPr>
              <w:t>Date</w:t>
            </w:r>
          </w:p>
        </w:tc>
        <w:tc>
          <w:tcPr>
            <w:tcW w:w="20" w:type="dxa"/>
            <w:vAlign w:val="bottom"/>
          </w:tcPr>
          <w:p>
            <w:pPr>
              <w:spacing w:after="0"/>
              <w:rPr>
                <w:sz w:val="14"/>
                <w:szCs w:val="14"/>
                <w:color w:val="auto"/>
              </w:rPr>
            </w:pPr>
          </w:p>
        </w:tc>
      </w:tr>
      <w:tr>
        <w:trPr>
          <w:trHeight w:val="331"/>
        </w:trPr>
        <w:tc>
          <w:tcPr>
            <w:tcW w:w="33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1"/>
              </w:rPr>
              <w:t>/s/ Christopher Anzalone</w:t>
            </w:r>
          </w:p>
        </w:tc>
        <w:tc>
          <w:tcPr>
            <w:tcW w:w="160" w:type="dxa"/>
            <w:vAlign w:val="bottom"/>
          </w:tcPr>
          <w:p>
            <w:pPr>
              <w:spacing w:after="0"/>
              <w:rPr>
                <w:sz w:val="24"/>
                <w:szCs w:val="24"/>
                <w:color w:val="auto"/>
              </w:rPr>
            </w:pPr>
          </w:p>
        </w:tc>
        <w:tc>
          <w:tcPr>
            <w:tcW w:w="5540" w:type="dxa"/>
            <w:vAlign w:val="bottom"/>
            <w:gridSpan w:val="2"/>
          </w:tcPr>
          <w:p>
            <w:pPr>
              <w:spacing w:after="0"/>
              <w:rPr>
                <w:sz w:val="20"/>
                <w:szCs w:val="20"/>
                <w:color w:val="auto"/>
              </w:rPr>
            </w:pPr>
            <w:r>
              <w:rPr>
                <w:rFonts w:ascii="Arial" w:cs="Arial" w:eastAsia="Arial" w:hAnsi="Arial"/>
                <w:sz w:val="18"/>
                <w:szCs w:val="18"/>
                <w:color w:val="auto"/>
              </w:rPr>
              <w:t>Chief Executive Officer, President and</w:t>
            </w:r>
          </w:p>
        </w:tc>
        <w:tc>
          <w:tcPr>
            <w:tcW w:w="2380" w:type="dxa"/>
            <w:vAlign w:val="bottom"/>
          </w:tcPr>
          <w:p>
            <w:pPr>
              <w:jc w:val="center"/>
              <w:spacing w:after="0"/>
              <w:rPr>
                <w:sz w:val="20"/>
                <w:szCs w:val="20"/>
                <w:color w:val="auto"/>
              </w:rPr>
            </w:pPr>
            <w:r>
              <w:rPr>
                <w:rFonts w:ascii="Arial" w:cs="Arial" w:eastAsia="Arial" w:hAnsi="Arial"/>
                <w:sz w:val="18"/>
                <w:szCs w:val="18"/>
                <w:color w:val="auto"/>
                <w:w w:val="89"/>
              </w:rPr>
              <w:t>December 12, 2017</w:t>
            </w:r>
          </w:p>
        </w:tc>
        <w:tc>
          <w:tcPr>
            <w:tcW w:w="20" w:type="dxa"/>
            <w:vAlign w:val="bottom"/>
          </w:tcPr>
          <w:p>
            <w:pPr>
              <w:spacing w:after="0"/>
              <w:rPr>
                <w:sz w:val="24"/>
                <w:szCs w:val="24"/>
                <w:color w:val="auto"/>
              </w:rPr>
            </w:pPr>
          </w:p>
        </w:tc>
      </w:tr>
      <w:tr>
        <w:trPr>
          <w:trHeight w:val="228"/>
        </w:trPr>
        <w:tc>
          <w:tcPr>
            <w:tcW w:w="3340" w:type="dxa"/>
            <w:vAlign w:val="bottom"/>
          </w:tcPr>
          <w:p>
            <w:pPr>
              <w:jc w:val="center"/>
              <w:spacing w:after="0"/>
              <w:rPr>
                <w:sz w:val="20"/>
                <w:szCs w:val="20"/>
                <w:color w:val="auto"/>
              </w:rPr>
            </w:pPr>
            <w:r>
              <w:rPr>
                <w:rFonts w:ascii="Arial" w:cs="Arial" w:eastAsia="Arial" w:hAnsi="Arial"/>
                <w:sz w:val="18"/>
                <w:szCs w:val="18"/>
                <w:b w:val="1"/>
                <w:bCs w:val="1"/>
                <w:color w:val="auto"/>
                <w:w w:val="90"/>
              </w:rPr>
              <w:t>Christopher Anzalone</w:t>
            </w:r>
          </w:p>
        </w:tc>
        <w:tc>
          <w:tcPr>
            <w:tcW w:w="160" w:type="dxa"/>
            <w:vAlign w:val="bottom"/>
          </w:tcPr>
          <w:p>
            <w:pPr>
              <w:spacing w:after="0"/>
              <w:rPr>
                <w:sz w:val="19"/>
                <w:szCs w:val="19"/>
                <w:color w:val="auto"/>
              </w:rPr>
            </w:pPr>
          </w:p>
        </w:tc>
        <w:tc>
          <w:tcPr>
            <w:tcW w:w="5540" w:type="dxa"/>
            <w:vAlign w:val="bottom"/>
            <w:gridSpan w:val="2"/>
          </w:tcPr>
          <w:p>
            <w:pPr>
              <w:spacing w:after="0"/>
              <w:rPr>
                <w:sz w:val="20"/>
                <w:szCs w:val="20"/>
                <w:color w:val="auto"/>
              </w:rPr>
            </w:pPr>
            <w:r>
              <w:rPr>
                <w:rFonts w:ascii="Arial" w:cs="Arial" w:eastAsia="Arial" w:hAnsi="Arial"/>
                <w:sz w:val="18"/>
                <w:szCs w:val="18"/>
                <w:color w:val="auto"/>
              </w:rPr>
              <w:t>Director (Principal Executive Officer)</w:t>
            </w:r>
          </w:p>
        </w:tc>
        <w:tc>
          <w:tcPr>
            <w:tcW w:w="238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319"/>
        </w:trPr>
        <w:tc>
          <w:tcPr>
            <w:tcW w:w="33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3"/>
              </w:rPr>
              <w:t>/s/ Kenneth A. Myszkowski</w:t>
            </w:r>
          </w:p>
        </w:tc>
        <w:tc>
          <w:tcPr>
            <w:tcW w:w="160" w:type="dxa"/>
            <w:vAlign w:val="bottom"/>
          </w:tcPr>
          <w:p>
            <w:pPr>
              <w:spacing w:after="0"/>
              <w:rPr>
                <w:sz w:val="24"/>
                <w:szCs w:val="24"/>
                <w:color w:val="auto"/>
              </w:rPr>
            </w:pPr>
          </w:p>
        </w:tc>
        <w:tc>
          <w:tcPr>
            <w:tcW w:w="5540" w:type="dxa"/>
            <w:vAlign w:val="bottom"/>
            <w:gridSpan w:val="2"/>
          </w:tcPr>
          <w:p>
            <w:pPr>
              <w:spacing w:after="0"/>
              <w:rPr>
                <w:sz w:val="20"/>
                <w:szCs w:val="20"/>
                <w:color w:val="auto"/>
              </w:rPr>
            </w:pPr>
            <w:r>
              <w:rPr>
                <w:rFonts w:ascii="Arial" w:cs="Arial" w:eastAsia="Arial" w:hAnsi="Arial"/>
                <w:sz w:val="18"/>
                <w:szCs w:val="18"/>
                <w:color w:val="auto"/>
              </w:rPr>
              <w:t>Chief Financial Officer (Principal</w:t>
            </w:r>
          </w:p>
        </w:tc>
        <w:tc>
          <w:tcPr>
            <w:tcW w:w="2380" w:type="dxa"/>
            <w:vAlign w:val="bottom"/>
          </w:tcPr>
          <w:p>
            <w:pPr>
              <w:jc w:val="center"/>
              <w:spacing w:after="0"/>
              <w:rPr>
                <w:sz w:val="20"/>
                <w:szCs w:val="20"/>
                <w:color w:val="auto"/>
              </w:rPr>
            </w:pPr>
            <w:r>
              <w:rPr>
                <w:rFonts w:ascii="Arial" w:cs="Arial" w:eastAsia="Arial" w:hAnsi="Arial"/>
                <w:sz w:val="18"/>
                <w:szCs w:val="18"/>
                <w:color w:val="auto"/>
                <w:w w:val="89"/>
              </w:rPr>
              <w:t>December 12, 2017</w:t>
            </w:r>
          </w:p>
        </w:tc>
        <w:tc>
          <w:tcPr>
            <w:tcW w:w="20" w:type="dxa"/>
            <w:vAlign w:val="bottom"/>
          </w:tcPr>
          <w:p>
            <w:pPr>
              <w:spacing w:after="0"/>
              <w:rPr>
                <w:sz w:val="24"/>
                <w:szCs w:val="24"/>
                <w:color w:val="auto"/>
              </w:rPr>
            </w:pPr>
          </w:p>
        </w:tc>
      </w:tr>
      <w:tr>
        <w:trPr>
          <w:trHeight w:val="228"/>
        </w:trPr>
        <w:tc>
          <w:tcPr>
            <w:tcW w:w="3340" w:type="dxa"/>
            <w:vAlign w:val="bottom"/>
          </w:tcPr>
          <w:p>
            <w:pPr>
              <w:jc w:val="center"/>
              <w:spacing w:after="0"/>
              <w:rPr>
                <w:sz w:val="20"/>
                <w:szCs w:val="20"/>
                <w:color w:val="auto"/>
              </w:rPr>
            </w:pPr>
            <w:r>
              <w:rPr>
                <w:rFonts w:ascii="Arial" w:cs="Arial" w:eastAsia="Arial" w:hAnsi="Arial"/>
                <w:sz w:val="18"/>
                <w:szCs w:val="18"/>
                <w:b w:val="1"/>
                <w:bCs w:val="1"/>
                <w:color w:val="auto"/>
                <w:w w:val="92"/>
              </w:rPr>
              <w:t>Kenneth A. Myszkowski</w:t>
            </w:r>
          </w:p>
        </w:tc>
        <w:tc>
          <w:tcPr>
            <w:tcW w:w="160" w:type="dxa"/>
            <w:vAlign w:val="bottom"/>
          </w:tcPr>
          <w:p>
            <w:pPr>
              <w:spacing w:after="0"/>
              <w:rPr>
                <w:sz w:val="19"/>
                <w:szCs w:val="19"/>
                <w:color w:val="auto"/>
              </w:rPr>
            </w:pPr>
          </w:p>
        </w:tc>
        <w:tc>
          <w:tcPr>
            <w:tcW w:w="5540" w:type="dxa"/>
            <w:vAlign w:val="bottom"/>
            <w:gridSpan w:val="2"/>
          </w:tcPr>
          <w:p>
            <w:pPr>
              <w:spacing w:after="0"/>
              <w:rPr>
                <w:sz w:val="20"/>
                <w:szCs w:val="20"/>
                <w:color w:val="auto"/>
              </w:rPr>
            </w:pPr>
            <w:r>
              <w:rPr>
                <w:rFonts w:ascii="Arial" w:cs="Arial" w:eastAsia="Arial" w:hAnsi="Arial"/>
                <w:sz w:val="18"/>
                <w:szCs w:val="18"/>
                <w:color w:val="auto"/>
              </w:rPr>
              <w:t>Financial and Accounting Officer)</w:t>
            </w:r>
          </w:p>
        </w:tc>
        <w:tc>
          <w:tcPr>
            <w:tcW w:w="238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319"/>
        </w:trPr>
        <w:tc>
          <w:tcPr>
            <w:tcW w:w="33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0"/>
              </w:rPr>
              <w:t>/s/ Douglass Given</w:t>
            </w:r>
          </w:p>
        </w:tc>
        <w:tc>
          <w:tcPr>
            <w:tcW w:w="160" w:type="dxa"/>
            <w:vAlign w:val="bottom"/>
          </w:tcPr>
          <w:p>
            <w:pPr>
              <w:spacing w:after="0"/>
              <w:rPr>
                <w:sz w:val="24"/>
                <w:szCs w:val="24"/>
                <w:color w:val="auto"/>
              </w:rPr>
            </w:pPr>
          </w:p>
        </w:tc>
        <w:tc>
          <w:tcPr>
            <w:tcW w:w="5540" w:type="dxa"/>
            <w:vAlign w:val="bottom"/>
            <w:gridSpan w:val="2"/>
          </w:tcPr>
          <w:p>
            <w:pPr>
              <w:spacing w:after="0"/>
              <w:rPr>
                <w:sz w:val="20"/>
                <w:szCs w:val="20"/>
                <w:color w:val="auto"/>
              </w:rPr>
            </w:pPr>
            <w:r>
              <w:rPr>
                <w:rFonts w:ascii="Arial" w:cs="Arial" w:eastAsia="Arial" w:hAnsi="Arial"/>
                <w:sz w:val="18"/>
                <w:szCs w:val="18"/>
                <w:color w:val="auto"/>
              </w:rPr>
              <w:t>Director, Chairman of the Board of Directors</w:t>
            </w:r>
          </w:p>
        </w:tc>
        <w:tc>
          <w:tcPr>
            <w:tcW w:w="2380" w:type="dxa"/>
            <w:vAlign w:val="bottom"/>
          </w:tcPr>
          <w:p>
            <w:pPr>
              <w:jc w:val="center"/>
              <w:spacing w:after="0"/>
              <w:rPr>
                <w:sz w:val="20"/>
                <w:szCs w:val="20"/>
                <w:color w:val="auto"/>
              </w:rPr>
            </w:pPr>
            <w:r>
              <w:rPr>
                <w:rFonts w:ascii="Arial" w:cs="Arial" w:eastAsia="Arial" w:hAnsi="Arial"/>
                <w:sz w:val="18"/>
                <w:szCs w:val="18"/>
                <w:color w:val="auto"/>
                <w:w w:val="89"/>
              </w:rPr>
              <w:t>December 12, 2017</w:t>
            </w:r>
          </w:p>
        </w:tc>
        <w:tc>
          <w:tcPr>
            <w:tcW w:w="20" w:type="dxa"/>
            <w:vAlign w:val="bottom"/>
          </w:tcPr>
          <w:p>
            <w:pPr>
              <w:spacing w:after="0"/>
              <w:rPr>
                <w:sz w:val="24"/>
                <w:szCs w:val="24"/>
                <w:color w:val="auto"/>
              </w:rPr>
            </w:pPr>
          </w:p>
        </w:tc>
      </w:tr>
      <w:tr>
        <w:trPr>
          <w:trHeight w:val="228"/>
        </w:trPr>
        <w:tc>
          <w:tcPr>
            <w:tcW w:w="3340" w:type="dxa"/>
            <w:vAlign w:val="bottom"/>
          </w:tcPr>
          <w:p>
            <w:pPr>
              <w:jc w:val="center"/>
              <w:spacing w:after="0"/>
              <w:rPr>
                <w:sz w:val="20"/>
                <w:szCs w:val="20"/>
                <w:color w:val="auto"/>
              </w:rPr>
            </w:pPr>
            <w:r>
              <w:rPr>
                <w:rFonts w:ascii="Arial" w:cs="Arial" w:eastAsia="Arial" w:hAnsi="Arial"/>
                <w:sz w:val="18"/>
                <w:szCs w:val="18"/>
                <w:b w:val="1"/>
                <w:bCs w:val="1"/>
                <w:color w:val="auto"/>
                <w:w w:val="88"/>
              </w:rPr>
              <w:t>Douglass Given</w:t>
            </w:r>
          </w:p>
        </w:tc>
        <w:tc>
          <w:tcPr>
            <w:tcW w:w="160" w:type="dxa"/>
            <w:vAlign w:val="bottom"/>
          </w:tcPr>
          <w:p>
            <w:pPr>
              <w:spacing w:after="0"/>
              <w:rPr>
                <w:sz w:val="19"/>
                <w:szCs w:val="19"/>
                <w:color w:val="auto"/>
              </w:rPr>
            </w:pPr>
          </w:p>
        </w:tc>
        <w:tc>
          <w:tcPr>
            <w:tcW w:w="54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38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319"/>
        </w:trPr>
        <w:tc>
          <w:tcPr>
            <w:tcW w:w="33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3"/>
              </w:rPr>
              <w:t>/s/ Mauro Ferrari</w:t>
            </w:r>
          </w:p>
        </w:tc>
        <w:tc>
          <w:tcPr>
            <w:tcW w:w="160" w:type="dxa"/>
            <w:vAlign w:val="bottom"/>
          </w:tcPr>
          <w:p>
            <w:pPr>
              <w:spacing w:after="0"/>
              <w:rPr>
                <w:sz w:val="24"/>
                <w:szCs w:val="24"/>
                <w:color w:val="auto"/>
              </w:rPr>
            </w:pPr>
          </w:p>
        </w:tc>
        <w:tc>
          <w:tcPr>
            <w:tcW w:w="5540" w:type="dxa"/>
            <w:vAlign w:val="bottom"/>
            <w:gridSpan w:val="2"/>
          </w:tcPr>
          <w:p>
            <w:pPr>
              <w:spacing w:after="0"/>
              <w:rPr>
                <w:sz w:val="20"/>
                <w:szCs w:val="20"/>
                <w:color w:val="auto"/>
              </w:rPr>
            </w:pPr>
            <w:r>
              <w:rPr>
                <w:rFonts w:ascii="Arial" w:cs="Arial" w:eastAsia="Arial" w:hAnsi="Arial"/>
                <w:sz w:val="18"/>
                <w:szCs w:val="18"/>
                <w:color w:val="auto"/>
              </w:rPr>
              <w:t>Director</w:t>
            </w:r>
          </w:p>
        </w:tc>
        <w:tc>
          <w:tcPr>
            <w:tcW w:w="2380" w:type="dxa"/>
            <w:vAlign w:val="bottom"/>
          </w:tcPr>
          <w:p>
            <w:pPr>
              <w:jc w:val="center"/>
              <w:spacing w:after="0"/>
              <w:rPr>
                <w:sz w:val="20"/>
                <w:szCs w:val="20"/>
                <w:color w:val="auto"/>
              </w:rPr>
            </w:pPr>
            <w:r>
              <w:rPr>
                <w:rFonts w:ascii="Arial" w:cs="Arial" w:eastAsia="Arial" w:hAnsi="Arial"/>
                <w:sz w:val="18"/>
                <w:szCs w:val="18"/>
                <w:color w:val="auto"/>
                <w:w w:val="89"/>
              </w:rPr>
              <w:t>December 12, 2017</w:t>
            </w:r>
          </w:p>
        </w:tc>
        <w:tc>
          <w:tcPr>
            <w:tcW w:w="20" w:type="dxa"/>
            <w:vAlign w:val="bottom"/>
          </w:tcPr>
          <w:p>
            <w:pPr>
              <w:spacing w:after="0"/>
              <w:rPr>
                <w:sz w:val="24"/>
                <w:szCs w:val="24"/>
                <w:color w:val="auto"/>
              </w:rPr>
            </w:pPr>
          </w:p>
        </w:tc>
      </w:tr>
      <w:tr>
        <w:trPr>
          <w:trHeight w:val="228"/>
        </w:trPr>
        <w:tc>
          <w:tcPr>
            <w:tcW w:w="3340" w:type="dxa"/>
            <w:vAlign w:val="bottom"/>
          </w:tcPr>
          <w:p>
            <w:pPr>
              <w:jc w:val="center"/>
              <w:spacing w:after="0"/>
              <w:rPr>
                <w:sz w:val="20"/>
                <w:szCs w:val="20"/>
                <w:color w:val="auto"/>
              </w:rPr>
            </w:pPr>
            <w:r>
              <w:rPr>
                <w:rFonts w:ascii="Arial" w:cs="Arial" w:eastAsia="Arial" w:hAnsi="Arial"/>
                <w:sz w:val="18"/>
                <w:szCs w:val="18"/>
                <w:b w:val="1"/>
                <w:bCs w:val="1"/>
                <w:color w:val="auto"/>
                <w:w w:val="98"/>
              </w:rPr>
              <w:t>Mauro Ferrari</w:t>
            </w:r>
          </w:p>
        </w:tc>
        <w:tc>
          <w:tcPr>
            <w:tcW w:w="160" w:type="dxa"/>
            <w:vAlign w:val="bottom"/>
          </w:tcPr>
          <w:p>
            <w:pPr>
              <w:spacing w:after="0"/>
              <w:rPr>
                <w:sz w:val="19"/>
                <w:szCs w:val="19"/>
                <w:color w:val="auto"/>
              </w:rPr>
            </w:pPr>
          </w:p>
        </w:tc>
        <w:tc>
          <w:tcPr>
            <w:tcW w:w="54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38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535"/>
        </w:trPr>
        <w:tc>
          <w:tcPr>
            <w:tcW w:w="3340" w:type="dxa"/>
            <w:vAlign w:val="bottom"/>
          </w:tcPr>
          <w:p>
            <w:pPr>
              <w:spacing w:after="0"/>
              <w:rPr>
                <w:sz w:val="24"/>
                <w:szCs w:val="24"/>
                <w:color w:val="auto"/>
              </w:rPr>
            </w:pPr>
          </w:p>
        </w:tc>
        <w:tc>
          <w:tcPr>
            <w:tcW w:w="5560" w:type="dxa"/>
            <w:vAlign w:val="bottom"/>
            <w:gridSpan w:val="2"/>
          </w:tcPr>
          <w:p>
            <w:pPr>
              <w:jc w:val="right"/>
              <w:ind w:right="3013"/>
              <w:spacing w:after="0"/>
              <w:rPr>
                <w:sz w:val="20"/>
                <w:szCs w:val="20"/>
                <w:color w:val="auto"/>
              </w:rPr>
            </w:pPr>
            <w:r>
              <w:rPr>
                <w:rFonts w:ascii="Arial" w:cs="Arial" w:eastAsia="Arial" w:hAnsi="Arial"/>
                <w:sz w:val="18"/>
                <w:szCs w:val="18"/>
                <w:color w:val="auto"/>
              </w:rPr>
              <w:t>56</w:t>
            </w:r>
          </w:p>
        </w:tc>
        <w:tc>
          <w:tcPr>
            <w:tcW w:w="140" w:type="dxa"/>
            <w:vAlign w:val="bottom"/>
          </w:tcPr>
          <w:p>
            <w:pPr>
              <w:spacing w:after="0"/>
              <w:rPr>
                <w:sz w:val="24"/>
                <w:szCs w:val="24"/>
                <w:color w:val="auto"/>
              </w:rPr>
            </w:pPr>
          </w:p>
        </w:tc>
        <w:tc>
          <w:tcPr>
            <w:tcW w:w="238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15"/>
        </w:trPr>
        <w:tc>
          <w:tcPr>
            <w:tcW w:w="334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540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238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116">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11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184" w:right="219" w:bottom="1440" w:gutter="0" w:footer="0" w:header="0"/>
        </w:sectPr>
      </w:pPr>
    </w:p>
    <w:bookmarkStart w:id="59" w:name="page60"/>
    <w:bookmarkEnd w:id="59"/>
    <w:tbl>
      <w:tblPr>
        <w:tblLayout w:type="fixed"/>
        <w:tblInd w:w="0" w:type="dxa"/>
        <w:tblCellMar>
          <w:top w:w="0" w:type="dxa"/>
          <w:left w:w="0" w:type="dxa"/>
          <w:bottom w:w="0" w:type="dxa"/>
          <w:right w:w="0" w:type="dxa"/>
        </w:tblCellMar>
      </w:tblPr>
      <w:tr>
        <w:trPr>
          <w:trHeight w:val="171"/>
        </w:trPr>
        <w:tc>
          <w:tcPr>
            <w:tcW w:w="4980" w:type="dxa"/>
            <w:vAlign w:val="bottom"/>
          </w:tcPr>
          <w:p>
            <w:pPr>
              <w:jc w:val="center"/>
              <w:spacing w:after="0"/>
              <w:rPr>
                <w:sz w:val="20"/>
                <w:szCs w:val="20"/>
                <w:color w:val="auto"/>
              </w:rPr>
            </w:pPr>
            <w:r>
              <w:rPr>
                <w:rFonts w:ascii="Arial" w:cs="Arial" w:eastAsia="Arial" w:hAnsi="Arial"/>
                <w:sz w:val="14"/>
                <w:szCs w:val="14"/>
                <w:b w:val="1"/>
                <w:bCs w:val="1"/>
                <w:color w:val="auto"/>
                <w:w w:val="92"/>
              </w:rPr>
              <w:t>Signature</w:t>
            </w:r>
          </w:p>
        </w:tc>
        <w:tc>
          <w:tcPr>
            <w:tcW w:w="260" w:type="dxa"/>
            <w:vAlign w:val="bottom"/>
          </w:tcPr>
          <w:p>
            <w:pPr>
              <w:spacing w:after="0"/>
              <w:rPr>
                <w:sz w:val="14"/>
                <w:szCs w:val="14"/>
                <w:color w:val="auto"/>
              </w:rPr>
            </w:pPr>
          </w:p>
        </w:tc>
        <w:tc>
          <w:tcPr>
            <w:tcW w:w="2040" w:type="dxa"/>
            <w:vAlign w:val="bottom"/>
            <w:gridSpan w:val="2"/>
          </w:tcPr>
          <w:p>
            <w:pPr>
              <w:ind w:left="740"/>
              <w:spacing w:after="0"/>
              <w:rPr>
                <w:sz w:val="20"/>
                <w:szCs w:val="20"/>
                <w:color w:val="auto"/>
              </w:rPr>
            </w:pPr>
            <w:r>
              <w:rPr>
                <w:rFonts w:ascii="Arial" w:cs="Arial" w:eastAsia="Arial" w:hAnsi="Arial"/>
                <w:sz w:val="14"/>
                <w:szCs w:val="14"/>
                <w:b w:val="1"/>
                <w:bCs w:val="1"/>
                <w:color w:val="auto"/>
              </w:rPr>
              <w:t>Title</w:t>
            </w:r>
          </w:p>
        </w:tc>
        <w:tc>
          <w:tcPr>
            <w:tcW w:w="4140" w:type="dxa"/>
            <w:vAlign w:val="bottom"/>
          </w:tcPr>
          <w:p>
            <w:pPr>
              <w:jc w:val="center"/>
              <w:spacing w:after="0"/>
              <w:rPr>
                <w:sz w:val="20"/>
                <w:szCs w:val="20"/>
                <w:color w:val="auto"/>
              </w:rPr>
            </w:pPr>
            <w:r>
              <w:rPr>
                <w:rFonts w:ascii="Arial" w:cs="Arial" w:eastAsia="Arial" w:hAnsi="Arial"/>
                <w:sz w:val="14"/>
                <w:szCs w:val="14"/>
                <w:b w:val="1"/>
                <w:bCs w:val="1"/>
                <w:color w:val="auto"/>
                <w:w w:val="98"/>
              </w:rPr>
              <w:t>Date</w:t>
            </w:r>
          </w:p>
        </w:tc>
        <w:tc>
          <w:tcPr>
            <w:tcW w:w="20" w:type="dxa"/>
            <w:vAlign w:val="bottom"/>
          </w:tcPr>
          <w:p>
            <w:pPr>
              <w:spacing w:after="0"/>
              <w:rPr>
                <w:sz w:val="14"/>
                <w:szCs w:val="14"/>
                <w:color w:val="auto"/>
              </w:rPr>
            </w:pPr>
          </w:p>
        </w:tc>
      </w:tr>
      <w:tr>
        <w:trPr>
          <w:trHeight w:val="210"/>
        </w:trPr>
        <w:tc>
          <w:tcPr>
            <w:tcW w:w="498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8"/>
                <w:szCs w:val="18"/>
                <w:color w:val="auto"/>
                <w:w w:val="90"/>
              </w:rPr>
              <w:t>/s/ Edward W. Frykman</w:t>
            </w:r>
          </w:p>
        </w:tc>
        <w:tc>
          <w:tcPr>
            <w:tcW w:w="260" w:type="dxa"/>
            <w:vAlign w:val="bottom"/>
          </w:tcPr>
          <w:p>
            <w:pPr>
              <w:spacing w:after="0"/>
              <w:rPr>
                <w:sz w:val="18"/>
                <w:szCs w:val="18"/>
                <w:color w:val="auto"/>
              </w:rPr>
            </w:pPr>
          </w:p>
        </w:tc>
        <w:tc>
          <w:tcPr>
            <w:tcW w:w="176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Director</w:t>
            </w:r>
          </w:p>
        </w:tc>
        <w:tc>
          <w:tcPr>
            <w:tcW w:w="280" w:type="dxa"/>
            <w:vAlign w:val="bottom"/>
          </w:tcPr>
          <w:p>
            <w:pPr>
              <w:spacing w:after="0"/>
              <w:rPr>
                <w:sz w:val="18"/>
                <w:szCs w:val="18"/>
                <w:color w:val="auto"/>
              </w:rPr>
            </w:pPr>
          </w:p>
        </w:tc>
        <w:tc>
          <w:tcPr>
            <w:tcW w:w="414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89"/>
              </w:rPr>
              <w:t>December 12, 2017</w:t>
            </w:r>
          </w:p>
        </w:tc>
        <w:tc>
          <w:tcPr>
            <w:tcW w:w="20" w:type="dxa"/>
            <w:vAlign w:val="bottom"/>
          </w:tcPr>
          <w:p>
            <w:pPr>
              <w:spacing w:after="0"/>
              <w:rPr>
                <w:sz w:val="18"/>
                <w:szCs w:val="18"/>
                <w:color w:val="auto"/>
              </w:rPr>
            </w:pPr>
          </w:p>
        </w:tc>
      </w:tr>
      <w:tr>
        <w:trPr>
          <w:trHeight w:val="228"/>
        </w:trPr>
        <w:tc>
          <w:tcPr>
            <w:tcW w:w="4980" w:type="dxa"/>
            <w:vAlign w:val="bottom"/>
          </w:tcPr>
          <w:p>
            <w:pPr>
              <w:jc w:val="center"/>
              <w:spacing w:after="0"/>
              <w:rPr>
                <w:sz w:val="20"/>
                <w:szCs w:val="20"/>
                <w:color w:val="auto"/>
              </w:rPr>
            </w:pPr>
            <w:r>
              <w:rPr>
                <w:rFonts w:ascii="Arial" w:cs="Arial" w:eastAsia="Arial" w:hAnsi="Arial"/>
                <w:sz w:val="18"/>
                <w:szCs w:val="18"/>
                <w:b w:val="1"/>
                <w:bCs w:val="1"/>
                <w:color w:val="auto"/>
                <w:w w:val="95"/>
              </w:rPr>
              <w:t>Edward W. Frykman</w:t>
            </w:r>
          </w:p>
        </w:tc>
        <w:tc>
          <w:tcPr>
            <w:tcW w:w="260" w:type="dxa"/>
            <w:vAlign w:val="bottom"/>
          </w:tcPr>
          <w:p>
            <w:pPr>
              <w:spacing w:after="0"/>
              <w:rPr>
                <w:sz w:val="19"/>
                <w:szCs w:val="19"/>
                <w:color w:val="auto"/>
              </w:rPr>
            </w:pPr>
          </w:p>
        </w:tc>
        <w:tc>
          <w:tcPr>
            <w:tcW w:w="17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414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319"/>
        </w:trPr>
        <w:tc>
          <w:tcPr>
            <w:tcW w:w="49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0"/>
              </w:rPr>
              <w:t>/s/ Michael S. Perry</w:t>
            </w:r>
          </w:p>
        </w:tc>
        <w:tc>
          <w:tcPr>
            <w:tcW w:w="2300" w:type="dxa"/>
            <w:vAlign w:val="bottom"/>
            <w:gridSpan w:val="3"/>
          </w:tcPr>
          <w:p>
            <w:pPr>
              <w:ind w:left="260"/>
              <w:spacing w:after="0"/>
              <w:rPr>
                <w:sz w:val="20"/>
                <w:szCs w:val="20"/>
                <w:color w:val="auto"/>
              </w:rPr>
            </w:pPr>
            <w:r>
              <w:rPr>
                <w:rFonts w:ascii="Arial" w:cs="Arial" w:eastAsia="Arial" w:hAnsi="Arial"/>
                <w:sz w:val="18"/>
                <w:szCs w:val="18"/>
                <w:color w:val="auto"/>
              </w:rPr>
              <w:t>Director</w:t>
            </w:r>
          </w:p>
        </w:tc>
        <w:tc>
          <w:tcPr>
            <w:tcW w:w="4140" w:type="dxa"/>
            <w:vAlign w:val="bottom"/>
          </w:tcPr>
          <w:p>
            <w:pPr>
              <w:jc w:val="center"/>
              <w:spacing w:after="0"/>
              <w:rPr>
                <w:sz w:val="20"/>
                <w:szCs w:val="20"/>
                <w:color w:val="auto"/>
              </w:rPr>
            </w:pPr>
            <w:r>
              <w:rPr>
                <w:rFonts w:ascii="Arial" w:cs="Arial" w:eastAsia="Arial" w:hAnsi="Arial"/>
                <w:sz w:val="18"/>
                <w:szCs w:val="18"/>
                <w:color w:val="auto"/>
                <w:w w:val="89"/>
              </w:rPr>
              <w:t>December 12, 2017</w:t>
            </w:r>
          </w:p>
        </w:tc>
        <w:tc>
          <w:tcPr>
            <w:tcW w:w="20" w:type="dxa"/>
            <w:vAlign w:val="bottom"/>
          </w:tcPr>
          <w:p>
            <w:pPr>
              <w:spacing w:after="0"/>
              <w:rPr>
                <w:sz w:val="24"/>
                <w:szCs w:val="24"/>
                <w:color w:val="auto"/>
              </w:rPr>
            </w:pPr>
          </w:p>
        </w:tc>
      </w:tr>
      <w:tr>
        <w:trPr>
          <w:trHeight w:val="228"/>
        </w:trPr>
        <w:tc>
          <w:tcPr>
            <w:tcW w:w="4980" w:type="dxa"/>
            <w:vAlign w:val="bottom"/>
          </w:tcPr>
          <w:p>
            <w:pPr>
              <w:jc w:val="center"/>
              <w:spacing w:after="0"/>
              <w:rPr>
                <w:sz w:val="20"/>
                <w:szCs w:val="20"/>
                <w:color w:val="auto"/>
              </w:rPr>
            </w:pPr>
            <w:r>
              <w:rPr>
                <w:rFonts w:ascii="Arial" w:cs="Arial" w:eastAsia="Arial" w:hAnsi="Arial"/>
                <w:sz w:val="18"/>
                <w:szCs w:val="18"/>
                <w:b w:val="1"/>
                <w:bCs w:val="1"/>
                <w:color w:val="auto"/>
                <w:w w:val="93"/>
              </w:rPr>
              <w:t>Michael S. Perry</w:t>
            </w:r>
          </w:p>
        </w:tc>
        <w:tc>
          <w:tcPr>
            <w:tcW w:w="260" w:type="dxa"/>
            <w:vAlign w:val="bottom"/>
          </w:tcPr>
          <w:p>
            <w:pPr>
              <w:spacing w:after="0"/>
              <w:rPr>
                <w:sz w:val="19"/>
                <w:szCs w:val="19"/>
                <w:color w:val="auto"/>
              </w:rPr>
            </w:pPr>
          </w:p>
        </w:tc>
        <w:tc>
          <w:tcPr>
            <w:tcW w:w="17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414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630"/>
        </w:trPr>
        <w:tc>
          <w:tcPr>
            <w:tcW w:w="4980" w:type="dxa"/>
            <w:vAlign w:val="bottom"/>
          </w:tcPr>
          <w:p>
            <w:pPr>
              <w:spacing w:after="0"/>
              <w:rPr>
                <w:sz w:val="24"/>
                <w:szCs w:val="24"/>
                <w:color w:val="auto"/>
              </w:rPr>
            </w:pPr>
          </w:p>
        </w:tc>
        <w:tc>
          <w:tcPr>
            <w:tcW w:w="2020" w:type="dxa"/>
            <w:vAlign w:val="bottom"/>
            <w:gridSpan w:val="2"/>
          </w:tcPr>
          <w:p>
            <w:pPr>
              <w:jc w:val="right"/>
              <w:ind w:right="1119"/>
              <w:spacing w:after="0"/>
              <w:rPr>
                <w:sz w:val="20"/>
                <w:szCs w:val="20"/>
                <w:color w:val="auto"/>
              </w:rPr>
            </w:pPr>
            <w:r>
              <w:rPr>
                <w:rFonts w:ascii="Arial" w:cs="Arial" w:eastAsia="Arial" w:hAnsi="Arial"/>
                <w:sz w:val="18"/>
                <w:szCs w:val="18"/>
                <w:color w:val="auto"/>
              </w:rPr>
              <w:t>57</w:t>
            </w:r>
          </w:p>
        </w:tc>
        <w:tc>
          <w:tcPr>
            <w:tcW w:w="280" w:type="dxa"/>
            <w:vAlign w:val="bottom"/>
          </w:tcPr>
          <w:p>
            <w:pPr>
              <w:spacing w:after="0"/>
              <w:rPr>
                <w:sz w:val="24"/>
                <w:szCs w:val="24"/>
                <w:color w:val="auto"/>
              </w:rPr>
            </w:pPr>
          </w:p>
        </w:tc>
        <w:tc>
          <w:tcPr>
            <w:tcW w:w="414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15"/>
        </w:trPr>
        <w:tc>
          <w:tcPr>
            <w:tcW w:w="498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176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414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118">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11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184" w:right="219" w:bottom="1440" w:gutter="0" w:footer="0" w:header="0"/>
        </w:sectPr>
      </w:pPr>
    </w:p>
    <w:bookmarkStart w:id="60" w:name="page61"/>
    <w:bookmarkEnd w:id="60"/>
    <w:tbl>
      <w:tblPr>
        <w:tblLayout w:type="fixed"/>
        <w:tblInd w:w="0" w:type="dxa"/>
        <w:tblCellMar>
          <w:top w:w="0" w:type="dxa"/>
          <w:left w:w="0" w:type="dxa"/>
          <w:bottom w:w="0" w:type="dxa"/>
          <w:right w:w="0" w:type="dxa"/>
        </w:tblCellMar>
      </w:tblPr>
      <w:tr>
        <w:trPr>
          <w:trHeight w:val="234"/>
        </w:trPr>
        <w:tc>
          <w:tcPr>
            <w:tcW w:w="1080" w:type="dxa"/>
            <w:vAlign w:val="bottom"/>
          </w:tcPr>
          <w:p>
            <w:pPr>
              <w:spacing w:after="0"/>
              <w:rPr>
                <w:sz w:val="20"/>
                <w:szCs w:val="20"/>
                <w:color w:val="auto"/>
              </w:rPr>
            </w:pPr>
          </w:p>
        </w:tc>
        <w:tc>
          <w:tcPr>
            <w:tcW w:w="9600" w:type="dxa"/>
            <w:vAlign w:val="bottom"/>
            <w:gridSpan w:val="7"/>
          </w:tcPr>
          <w:p>
            <w:pPr>
              <w:ind w:left="2300"/>
              <w:spacing w:after="0"/>
              <w:rPr>
                <w:sz w:val="20"/>
                <w:szCs w:val="20"/>
                <w:color w:val="auto"/>
              </w:rPr>
            </w:pPr>
            <w:r>
              <w:rPr>
                <w:rFonts w:ascii="Arial" w:cs="Arial" w:eastAsia="Arial" w:hAnsi="Arial"/>
                <w:sz w:val="18"/>
                <w:szCs w:val="18"/>
                <w:b w:val="1"/>
                <w:bCs w:val="1"/>
                <w:color w:val="auto"/>
              </w:rPr>
              <w:t>INDEX TO FINANCIAL STATEMENTS AND SCHEDULE</w:t>
            </w:r>
          </w:p>
        </w:tc>
        <w:tc>
          <w:tcPr>
            <w:tcW w:w="640" w:type="dxa"/>
            <w:vAlign w:val="bottom"/>
          </w:tcPr>
          <w:p>
            <w:pPr>
              <w:spacing w:after="0"/>
              <w:rPr>
                <w:sz w:val="20"/>
                <w:szCs w:val="20"/>
                <w:color w:val="auto"/>
              </w:rPr>
            </w:pPr>
          </w:p>
        </w:tc>
      </w:tr>
      <w:tr>
        <w:trPr>
          <w:trHeight w:val="419"/>
        </w:trPr>
        <w:tc>
          <w:tcPr>
            <w:tcW w:w="4300" w:type="dxa"/>
            <w:vAlign w:val="bottom"/>
            <w:tcBorders>
              <w:bottom w:val="single" w:sz="8" w:color="0000EE"/>
            </w:tcBorders>
            <w:gridSpan w:val="2"/>
          </w:tcPr>
          <w:p>
            <w:pPr>
              <w:spacing w:after="0"/>
              <w:rPr>
                <w:rFonts w:ascii="Arial" w:cs="Arial" w:eastAsia="Arial" w:hAnsi="Arial"/>
                <w:sz w:val="18"/>
                <w:szCs w:val="18"/>
                <w:color w:val="0000EE"/>
                <w:w w:val="91"/>
              </w:rPr>
            </w:pPr>
            <w:hyperlink w:anchor="page62">
              <w:r>
                <w:rPr>
                  <w:rFonts w:ascii="Arial" w:cs="Arial" w:eastAsia="Arial" w:hAnsi="Arial"/>
                  <w:sz w:val="18"/>
                  <w:szCs w:val="18"/>
                  <w:color w:val="0000EE"/>
                  <w:w w:val="91"/>
                </w:rPr>
                <w:t>Reports of Independent Registered Public Accounting Firm</w:t>
              </w:r>
            </w:hyperlink>
          </w:p>
        </w:tc>
        <w:tc>
          <w:tcPr>
            <w:tcW w:w="6380" w:type="dxa"/>
            <w:vAlign w:val="bottom"/>
            <w:gridSpan w:val="6"/>
          </w:tcPr>
          <w:p>
            <w:pPr>
              <w:spacing w:after="0"/>
              <w:rPr>
                <w:sz w:val="24"/>
                <w:szCs w:val="24"/>
                <w:color w:val="auto"/>
              </w:rPr>
            </w:pPr>
          </w:p>
        </w:tc>
        <w:tc>
          <w:tcPr>
            <w:tcW w:w="640" w:type="dxa"/>
            <w:vAlign w:val="bottom"/>
          </w:tcPr>
          <w:p>
            <w:pPr>
              <w:ind w:left="380"/>
              <w:spacing w:after="0"/>
              <w:rPr>
                <w:sz w:val="20"/>
                <w:szCs w:val="20"/>
                <w:color w:val="auto"/>
              </w:rPr>
            </w:pPr>
            <w:r>
              <w:rPr>
                <w:rFonts w:ascii="Arial" w:cs="Arial" w:eastAsia="Arial" w:hAnsi="Arial"/>
                <w:sz w:val="18"/>
                <w:szCs w:val="18"/>
                <w:color w:val="auto"/>
                <w:w w:val="88"/>
              </w:rPr>
              <w:t>F-2</w:t>
            </w:r>
          </w:p>
        </w:tc>
      </w:tr>
      <w:tr>
        <w:trPr>
          <w:trHeight w:val="196"/>
        </w:trPr>
        <w:tc>
          <w:tcPr>
            <w:tcW w:w="10680" w:type="dxa"/>
            <w:vAlign w:val="bottom"/>
            <w:gridSpan w:val="8"/>
          </w:tcPr>
          <w:p>
            <w:pPr>
              <w:spacing w:after="0" w:line="196" w:lineRule="exact"/>
              <w:rPr>
                <w:rFonts w:ascii="Arial" w:cs="Arial" w:eastAsia="Arial" w:hAnsi="Arial"/>
                <w:sz w:val="18"/>
                <w:szCs w:val="18"/>
                <w:color w:val="0000EE"/>
              </w:rPr>
            </w:pPr>
            <w:hyperlink w:anchor="page64">
              <w:r>
                <w:rPr>
                  <w:rFonts w:ascii="Arial" w:cs="Arial" w:eastAsia="Arial" w:hAnsi="Arial"/>
                  <w:sz w:val="18"/>
                  <w:szCs w:val="18"/>
                  <w:color w:val="0000EE"/>
                </w:rPr>
                <w:t>Consolidated Balance Sheets of Arrowhead Pharmaceuticals, Inc., September 30, 2017 and 2016</w:t>
              </w:r>
            </w:hyperlink>
          </w:p>
        </w:tc>
        <w:tc>
          <w:tcPr>
            <w:tcW w:w="640" w:type="dxa"/>
            <w:vAlign w:val="bottom"/>
          </w:tcPr>
          <w:p>
            <w:pPr>
              <w:ind w:left="380"/>
              <w:spacing w:after="0" w:line="196" w:lineRule="exact"/>
              <w:rPr>
                <w:sz w:val="20"/>
                <w:szCs w:val="20"/>
                <w:color w:val="auto"/>
              </w:rPr>
            </w:pPr>
            <w:r>
              <w:rPr>
                <w:rFonts w:ascii="Arial" w:cs="Arial" w:eastAsia="Arial" w:hAnsi="Arial"/>
                <w:sz w:val="18"/>
                <w:szCs w:val="18"/>
                <w:color w:val="auto"/>
                <w:w w:val="88"/>
              </w:rPr>
              <w:t>F-4</w:t>
            </w:r>
          </w:p>
        </w:tc>
      </w:tr>
      <w:tr>
        <w:trPr>
          <w:trHeight w:val="20"/>
        </w:trPr>
        <w:tc>
          <w:tcPr>
            <w:tcW w:w="1080" w:type="dxa"/>
            <w:vAlign w:val="bottom"/>
            <w:shd w:val="clear" w:color="auto" w:fill="0000EE"/>
          </w:tcPr>
          <w:p>
            <w:pPr>
              <w:spacing w:after="0" w:line="20" w:lineRule="exact"/>
              <w:rPr>
                <w:sz w:val="1"/>
                <w:szCs w:val="1"/>
                <w:color w:val="auto"/>
              </w:rPr>
            </w:pPr>
          </w:p>
        </w:tc>
        <w:tc>
          <w:tcPr>
            <w:tcW w:w="4720" w:type="dxa"/>
            <w:vAlign w:val="bottom"/>
            <w:gridSpan w:val="2"/>
            <w:shd w:val="clear" w:color="auto" w:fill="0000EE"/>
          </w:tcPr>
          <w:p>
            <w:pPr>
              <w:spacing w:after="0" w:line="20" w:lineRule="exact"/>
              <w:rPr>
                <w:sz w:val="1"/>
                <w:szCs w:val="1"/>
                <w:color w:val="auto"/>
              </w:rPr>
            </w:pPr>
          </w:p>
        </w:tc>
        <w:tc>
          <w:tcPr>
            <w:tcW w:w="1180" w:type="dxa"/>
            <w:vAlign w:val="bottom"/>
            <w:shd w:val="clear" w:color="auto" w:fill="0000EE"/>
          </w:tcPr>
          <w:p>
            <w:pPr>
              <w:spacing w:after="0" w:line="20" w:lineRule="exact"/>
              <w:rPr>
                <w:sz w:val="1"/>
                <w:szCs w:val="1"/>
                <w:color w:val="auto"/>
              </w:rPr>
            </w:pPr>
          </w:p>
        </w:tc>
        <w:tc>
          <w:tcPr>
            <w:tcW w:w="26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r>
      <w:tr>
        <w:trPr>
          <w:trHeight w:val="196"/>
        </w:trPr>
        <w:tc>
          <w:tcPr>
            <w:tcW w:w="10680" w:type="dxa"/>
            <w:vAlign w:val="bottom"/>
            <w:gridSpan w:val="8"/>
          </w:tcPr>
          <w:p>
            <w:pPr>
              <w:spacing w:after="0" w:line="196" w:lineRule="exact"/>
              <w:rPr>
                <w:rFonts w:ascii="Arial" w:cs="Arial" w:eastAsia="Arial" w:hAnsi="Arial"/>
                <w:sz w:val="18"/>
                <w:szCs w:val="18"/>
                <w:color w:val="0000EE"/>
                <w:w w:val="93"/>
              </w:rPr>
            </w:pPr>
            <w:hyperlink w:anchor="page65">
              <w:r>
                <w:rPr>
                  <w:rFonts w:ascii="Arial" w:cs="Arial" w:eastAsia="Arial" w:hAnsi="Arial"/>
                  <w:sz w:val="18"/>
                  <w:szCs w:val="18"/>
                  <w:color w:val="0000EE"/>
                  <w:w w:val="93"/>
                </w:rPr>
                <w:t>Consolidated Statements of Operations and Comprehensive Loss of Arrowhead Pharmaceuticals, Inc. for the years ended September 30, 2017,</w:t>
              </w:r>
            </w:hyperlink>
          </w:p>
        </w:tc>
        <w:tc>
          <w:tcPr>
            <w:tcW w:w="640" w:type="dxa"/>
            <w:vAlign w:val="bottom"/>
          </w:tcPr>
          <w:p>
            <w:pPr>
              <w:spacing w:after="0"/>
              <w:rPr>
                <w:sz w:val="17"/>
                <w:szCs w:val="17"/>
                <w:color w:val="auto"/>
              </w:rPr>
            </w:pPr>
          </w:p>
        </w:tc>
      </w:tr>
      <w:tr>
        <w:trPr>
          <w:trHeight w:val="196"/>
        </w:trPr>
        <w:tc>
          <w:tcPr>
            <w:tcW w:w="1080" w:type="dxa"/>
            <w:vAlign w:val="bottom"/>
            <w:tcBorders>
              <w:top w:val="single" w:sz="8" w:color="0000EE"/>
              <w:bottom w:val="single" w:sz="8" w:color="0000EE"/>
            </w:tcBorders>
          </w:tcPr>
          <w:p>
            <w:pPr>
              <w:spacing w:after="0" w:line="196" w:lineRule="exact"/>
              <w:rPr>
                <w:rFonts w:ascii="Arial" w:cs="Arial" w:eastAsia="Arial" w:hAnsi="Arial"/>
                <w:sz w:val="18"/>
                <w:szCs w:val="18"/>
                <w:color w:val="0000EE"/>
                <w:w w:val="88"/>
              </w:rPr>
            </w:pPr>
            <w:hyperlink w:anchor="page65">
              <w:r>
                <w:rPr>
                  <w:rFonts w:ascii="Arial" w:cs="Arial" w:eastAsia="Arial" w:hAnsi="Arial"/>
                  <w:sz w:val="18"/>
                  <w:szCs w:val="18"/>
                  <w:color w:val="0000EE"/>
                  <w:w w:val="88"/>
                </w:rPr>
                <w:t>2016 and 2015</w:t>
              </w:r>
            </w:hyperlink>
          </w:p>
        </w:tc>
        <w:tc>
          <w:tcPr>
            <w:tcW w:w="9200" w:type="dxa"/>
            <w:vAlign w:val="bottom"/>
            <w:tcBorders>
              <w:top w:val="single" w:sz="8" w:color="0000EE"/>
            </w:tcBorders>
            <w:gridSpan w:val="6"/>
          </w:tcPr>
          <w:p>
            <w:pPr>
              <w:spacing w:after="0"/>
              <w:rPr>
                <w:sz w:val="17"/>
                <w:szCs w:val="17"/>
                <w:color w:val="auto"/>
              </w:rPr>
            </w:pPr>
          </w:p>
        </w:tc>
        <w:tc>
          <w:tcPr>
            <w:tcW w:w="400" w:type="dxa"/>
            <w:vAlign w:val="bottom"/>
          </w:tcPr>
          <w:p>
            <w:pPr>
              <w:spacing w:after="0"/>
              <w:rPr>
                <w:sz w:val="17"/>
                <w:szCs w:val="17"/>
                <w:color w:val="auto"/>
              </w:rPr>
            </w:pPr>
          </w:p>
        </w:tc>
        <w:tc>
          <w:tcPr>
            <w:tcW w:w="640" w:type="dxa"/>
            <w:vAlign w:val="bottom"/>
          </w:tcPr>
          <w:p>
            <w:pPr>
              <w:ind w:left="380"/>
              <w:spacing w:after="0" w:line="196" w:lineRule="exact"/>
              <w:rPr>
                <w:sz w:val="20"/>
                <w:szCs w:val="20"/>
                <w:color w:val="auto"/>
              </w:rPr>
            </w:pPr>
            <w:r>
              <w:rPr>
                <w:rFonts w:ascii="Arial" w:cs="Arial" w:eastAsia="Arial" w:hAnsi="Arial"/>
                <w:sz w:val="18"/>
                <w:szCs w:val="18"/>
                <w:color w:val="auto"/>
                <w:w w:val="88"/>
              </w:rPr>
              <w:t>F-5</w:t>
            </w:r>
          </w:p>
        </w:tc>
      </w:tr>
      <w:tr>
        <w:trPr>
          <w:trHeight w:val="196"/>
        </w:trPr>
        <w:tc>
          <w:tcPr>
            <w:tcW w:w="10680" w:type="dxa"/>
            <w:vAlign w:val="bottom"/>
            <w:gridSpan w:val="8"/>
          </w:tcPr>
          <w:p>
            <w:pPr>
              <w:spacing w:after="0" w:line="196" w:lineRule="exact"/>
              <w:rPr>
                <w:rFonts w:ascii="Arial" w:cs="Arial" w:eastAsia="Arial" w:hAnsi="Arial"/>
                <w:sz w:val="18"/>
                <w:szCs w:val="18"/>
                <w:color w:val="0000EE"/>
                <w:w w:val="94"/>
              </w:rPr>
            </w:pPr>
            <w:hyperlink w:anchor="page66">
              <w:r>
                <w:rPr>
                  <w:rFonts w:ascii="Arial" w:cs="Arial" w:eastAsia="Arial" w:hAnsi="Arial"/>
                  <w:sz w:val="18"/>
                  <w:szCs w:val="18"/>
                  <w:color w:val="0000EE"/>
                  <w:w w:val="94"/>
                </w:rPr>
                <w:t>Consolidated Statement of Stockholders’ Equity of Arrowhead Pharmaceuticals, Inc. for the years ended September 30, 2017, 2016, and 2015</w:t>
              </w:r>
            </w:hyperlink>
          </w:p>
        </w:tc>
        <w:tc>
          <w:tcPr>
            <w:tcW w:w="640" w:type="dxa"/>
            <w:vAlign w:val="bottom"/>
          </w:tcPr>
          <w:p>
            <w:pPr>
              <w:ind w:left="380"/>
              <w:spacing w:after="0" w:line="196" w:lineRule="exact"/>
              <w:rPr>
                <w:sz w:val="20"/>
                <w:szCs w:val="20"/>
                <w:color w:val="auto"/>
              </w:rPr>
            </w:pPr>
            <w:r>
              <w:rPr>
                <w:rFonts w:ascii="Arial" w:cs="Arial" w:eastAsia="Arial" w:hAnsi="Arial"/>
                <w:sz w:val="18"/>
                <w:szCs w:val="18"/>
                <w:color w:val="auto"/>
                <w:w w:val="88"/>
              </w:rPr>
              <w:t>F-6</w:t>
            </w:r>
          </w:p>
        </w:tc>
      </w:tr>
      <w:tr>
        <w:trPr>
          <w:trHeight w:val="196"/>
        </w:trPr>
        <w:tc>
          <w:tcPr>
            <w:tcW w:w="10240" w:type="dxa"/>
            <w:vAlign w:val="bottom"/>
            <w:tcBorders>
              <w:top w:val="single" w:sz="8" w:color="0000EE"/>
            </w:tcBorders>
            <w:gridSpan w:val="6"/>
          </w:tcPr>
          <w:p>
            <w:pPr>
              <w:spacing w:after="0" w:line="196" w:lineRule="exact"/>
              <w:rPr>
                <w:rFonts w:ascii="Arial" w:cs="Arial" w:eastAsia="Arial" w:hAnsi="Arial"/>
                <w:sz w:val="18"/>
                <w:szCs w:val="18"/>
                <w:color w:val="0000EE"/>
                <w:w w:val="95"/>
              </w:rPr>
            </w:pPr>
            <w:hyperlink w:anchor="page67">
              <w:r>
                <w:rPr>
                  <w:rFonts w:ascii="Arial" w:cs="Arial" w:eastAsia="Arial" w:hAnsi="Arial"/>
                  <w:sz w:val="18"/>
                  <w:szCs w:val="18"/>
                  <w:color w:val="0000EE"/>
                  <w:w w:val="95"/>
                </w:rPr>
                <w:t>Consolidated Statements of Cash Flows of Arrowhead Pharmaceuticals, Inc. for the years ended September 30, 2017, 2016 and 2015</w:t>
              </w:r>
            </w:hyperlink>
          </w:p>
        </w:tc>
        <w:tc>
          <w:tcPr>
            <w:tcW w:w="440" w:type="dxa"/>
            <w:vAlign w:val="bottom"/>
            <w:gridSpan w:val="2"/>
          </w:tcPr>
          <w:p>
            <w:pPr>
              <w:spacing w:after="0"/>
              <w:rPr>
                <w:sz w:val="17"/>
                <w:szCs w:val="17"/>
                <w:color w:val="auto"/>
              </w:rPr>
            </w:pPr>
          </w:p>
        </w:tc>
        <w:tc>
          <w:tcPr>
            <w:tcW w:w="640" w:type="dxa"/>
            <w:vAlign w:val="bottom"/>
          </w:tcPr>
          <w:p>
            <w:pPr>
              <w:ind w:left="380"/>
              <w:spacing w:after="0" w:line="196" w:lineRule="exact"/>
              <w:rPr>
                <w:sz w:val="20"/>
                <w:szCs w:val="20"/>
                <w:color w:val="auto"/>
              </w:rPr>
            </w:pPr>
            <w:r>
              <w:rPr>
                <w:rFonts w:ascii="Arial" w:cs="Arial" w:eastAsia="Arial" w:hAnsi="Arial"/>
                <w:sz w:val="18"/>
                <w:szCs w:val="18"/>
                <w:color w:val="auto"/>
                <w:w w:val="88"/>
              </w:rPr>
              <w:t>F-7</w:t>
            </w:r>
          </w:p>
        </w:tc>
      </w:tr>
      <w:tr>
        <w:trPr>
          <w:trHeight w:val="196"/>
        </w:trPr>
        <w:tc>
          <w:tcPr>
            <w:tcW w:w="5800" w:type="dxa"/>
            <w:vAlign w:val="bottom"/>
            <w:tcBorders>
              <w:top w:val="single" w:sz="8" w:color="0000EE"/>
              <w:bottom w:val="single" w:sz="8" w:color="0000EE"/>
            </w:tcBorders>
            <w:gridSpan w:val="3"/>
          </w:tcPr>
          <w:p>
            <w:pPr>
              <w:spacing w:after="0" w:line="196" w:lineRule="exact"/>
              <w:rPr>
                <w:rFonts w:ascii="Arial" w:cs="Arial" w:eastAsia="Arial" w:hAnsi="Arial"/>
                <w:sz w:val="18"/>
                <w:szCs w:val="18"/>
                <w:color w:val="0000EE"/>
                <w:w w:val="90"/>
              </w:rPr>
            </w:pPr>
            <w:hyperlink w:anchor="page68">
              <w:r>
                <w:rPr>
                  <w:rFonts w:ascii="Arial" w:cs="Arial" w:eastAsia="Arial" w:hAnsi="Arial"/>
                  <w:sz w:val="18"/>
                  <w:szCs w:val="18"/>
                  <w:color w:val="0000EE"/>
                  <w:w w:val="90"/>
                </w:rPr>
                <w:t>Notes to Consolidated Financial Statements of Arrowhead Pharmaceuticals, Inc.</w:t>
              </w:r>
            </w:hyperlink>
          </w:p>
        </w:tc>
        <w:tc>
          <w:tcPr>
            <w:tcW w:w="3780" w:type="dxa"/>
            <w:vAlign w:val="bottom"/>
            <w:tcBorders>
              <w:top w:val="single" w:sz="8" w:color="0000EE"/>
            </w:tcBorders>
            <w:gridSpan w:val="2"/>
          </w:tcPr>
          <w:p>
            <w:pPr>
              <w:spacing w:after="0"/>
              <w:rPr>
                <w:sz w:val="17"/>
                <w:szCs w:val="17"/>
                <w:color w:val="auto"/>
              </w:rPr>
            </w:pPr>
          </w:p>
        </w:tc>
        <w:tc>
          <w:tcPr>
            <w:tcW w:w="1100" w:type="dxa"/>
            <w:vAlign w:val="bottom"/>
            <w:gridSpan w:val="3"/>
          </w:tcPr>
          <w:p>
            <w:pPr>
              <w:spacing w:after="0"/>
              <w:rPr>
                <w:sz w:val="17"/>
                <w:szCs w:val="17"/>
                <w:color w:val="auto"/>
              </w:rPr>
            </w:pPr>
          </w:p>
        </w:tc>
        <w:tc>
          <w:tcPr>
            <w:tcW w:w="640" w:type="dxa"/>
            <w:vAlign w:val="bottom"/>
          </w:tcPr>
          <w:p>
            <w:pPr>
              <w:ind w:left="380"/>
              <w:spacing w:after="0" w:line="196" w:lineRule="exact"/>
              <w:rPr>
                <w:sz w:val="20"/>
                <w:szCs w:val="20"/>
                <w:color w:val="auto"/>
              </w:rPr>
            </w:pPr>
            <w:r>
              <w:rPr>
                <w:rFonts w:ascii="Arial" w:cs="Arial" w:eastAsia="Arial" w:hAnsi="Arial"/>
                <w:sz w:val="18"/>
                <w:szCs w:val="18"/>
                <w:color w:val="auto"/>
                <w:w w:val="88"/>
              </w:rPr>
              <w:t>F-8</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12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20"/>
          </w:cols>
          <w:pgMar w:left="240" w:top="121" w:right="339" w:bottom="1440" w:gutter="0" w:footer="0" w:header="0"/>
        </w:sectPr>
      </w:pPr>
    </w:p>
    <w:bookmarkStart w:id="61" w:name="page62"/>
    <w:bookmarkEnd w:id="61"/>
    <w:p>
      <w:pPr>
        <w:jc w:val="center"/>
        <w:ind w:right="-19"/>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spacing w:after="0"/>
        <w:rPr>
          <w:sz w:val="20"/>
          <w:szCs w:val="20"/>
          <w:color w:val="auto"/>
        </w:rPr>
      </w:pPr>
      <w:r>
        <w:rPr>
          <w:rFonts w:ascii="Arial" w:cs="Arial" w:eastAsia="Arial" w:hAnsi="Arial"/>
          <w:sz w:val="18"/>
          <w:szCs w:val="18"/>
          <w:color w:val="auto"/>
        </w:rPr>
        <w:t>To the Board of Directors and Stockholders of Arrowhead Pharmaceuticals, Inc.</w:t>
      </w:r>
    </w:p>
    <w:p>
      <w:pPr>
        <w:spacing w:after="0" w:line="225"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We have audited the accompanying consolidated balance sheets of Arrowhead Pharmaceuticals, Inc. and Subsidiaries (the “Company”) as of September 30, 2017 and 2016, and the related consolidated statements of operations and comprehensive loss, stockholders’ equity, and cash flows for each of the years in the three year period ended September 30, 2017. The Company’s management is responsible for these consolidated financial statements. Our responsibility is to express an opinion on these consolidated financial statements based on our audits.</w:t>
      </w:r>
    </w:p>
    <w:p>
      <w:pPr>
        <w:spacing w:after="0" w:line="187" w:lineRule="exact"/>
        <w:rPr>
          <w:sz w:val="20"/>
          <w:szCs w:val="20"/>
          <w:color w:val="auto"/>
        </w:rPr>
      </w:pPr>
    </w:p>
    <w:p>
      <w:pPr>
        <w:spacing w:after="0" w:line="276" w:lineRule="auto"/>
        <w:rPr>
          <w:sz w:val="20"/>
          <w:szCs w:val="20"/>
          <w:color w:val="auto"/>
        </w:rPr>
      </w:pPr>
      <w:r>
        <w:rPr>
          <w:rFonts w:ascii="Arial" w:cs="Arial" w:eastAsia="Arial" w:hAnsi="Arial"/>
          <w:sz w:val="17"/>
          <w:szCs w:val="17"/>
          <w:color w:val="auto"/>
        </w:rPr>
        <w:t>We conducted our audits in accordance with the standards of the Public Company Accounting Oversight Board (United States). Those standards require that we plan and perform the audit to obtain reasonable assurance about whether the consolidated financial statements are free of material misstatement. An audit includes examining, on a test basis, evidence supporting the amounts and disclosures in the consolidated financial statements. An audit also includes assessing the accounting principles used and significant estimates made by management, as well as evaluating the overall financial statement presentation. We believe that our audits provide a reasonable basis for our opinion.</w:t>
      </w:r>
    </w:p>
    <w:p>
      <w:pPr>
        <w:spacing w:after="0" w:line="173" w:lineRule="exact"/>
        <w:rPr>
          <w:sz w:val="20"/>
          <w:szCs w:val="20"/>
          <w:color w:val="auto"/>
        </w:rPr>
      </w:pPr>
    </w:p>
    <w:p>
      <w:pPr>
        <w:jc w:val="both"/>
        <w:ind w:right="40"/>
        <w:spacing w:after="0" w:line="312" w:lineRule="auto"/>
        <w:rPr>
          <w:sz w:val="20"/>
          <w:szCs w:val="20"/>
          <w:color w:val="auto"/>
        </w:rPr>
      </w:pPr>
      <w:r>
        <w:rPr>
          <w:rFonts w:ascii="Arial" w:cs="Arial" w:eastAsia="Arial" w:hAnsi="Arial"/>
          <w:sz w:val="16"/>
          <w:szCs w:val="16"/>
          <w:color w:val="auto"/>
        </w:rPr>
        <w:t>In our opinion, the consolidated financial statements referred to above present fairly, in all material respects, the consolidated financial position of Arrowhead Pharmaceuticals, Inc. and Subsidiaries as of September 30, 2017 and 2016, and the results of their operations and their cash flows for each of the years in the three year period ended September 30, 2017, in conformity with accounting principles generally accepted in the United States of America.</w:t>
      </w:r>
    </w:p>
    <w:p>
      <w:pPr>
        <w:spacing w:after="0" w:line="147" w:lineRule="exact"/>
        <w:rPr>
          <w:sz w:val="20"/>
          <w:szCs w:val="20"/>
          <w:color w:val="auto"/>
        </w:rPr>
      </w:pPr>
    </w:p>
    <w:p>
      <w:pPr>
        <w:ind w:right="180"/>
        <w:spacing w:after="0" w:line="259" w:lineRule="auto"/>
        <w:rPr>
          <w:sz w:val="20"/>
          <w:szCs w:val="20"/>
          <w:color w:val="auto"/>
        </w:rPr>
      </w:pPr>
      <w:r>
        <w:rPr>
          <w:rFonts w:ascii="Arial" w:cs="Arial" w:eastAsia="Arial" w:hAnsi="Arial"/>
          <w:sz w:val="18"/>
          <w:szCs w:val="18"/>
          <w:color w:val="auto"/>
        </w:rPr>
        <w:t xml:space="preserve">We also have audited, in accordance with the standards of the Public Company Accounting Oversight Board (United States), Arrowhead Pharmaceuticals, Inc.’s internal control over financial reporting as of September 30, 2017, based on criteria established in </w:t>
      </w:r>
      <w:r>
        <w:rPr>
          <w:rFonts w:ascii="Arial" w:cs="Arial" w:eastAsia="Arial" w:hAnsi="Arial"/>
          <w:sz w:val="18"/>
          <w:szCs w:val="18"/>
          <w:i w:val="1"/>
          <w:iCs w:val="1"/>
          <w:color w:val="auto"/>
        </w:rPr>
        <w:t>Internal Control – Integrated Framework</w:t>
      </w:r>
      <w:r>
        <w:rPr>
          <w:rFonts w:ascii="Arial" w:cs="Arial" w:eastAsia="Arial" w:hAnsi="Arial"/>
          <w:sz w:val="18"/>
          <w:szCs w:val="18"/>
          <w:color w:val="auto"/>
        </w:rPr>
        <w:t xml:space="preserve"> issued by the Committee of Sponsoring Organizations of the Treadway Commission (2013 Framework) and our report dated December 12, 2017, expressed an unqualified opinion thereon.</w:t>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/s/ Rose, Snyder &amp; Jacobs LLP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Encino, California</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December 12, 2017</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12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62" w:name="page63"/>
    <w:bookmarkEnd w:id="62"/>
    <w:p>
      <w:pPr>
        <w:ind w:left="2640"/>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To the Board of Directors and Stockholders of Arrowhead Pharmaceuticals, Inc.</w:t>
      </w:r>
    </w:p>
    <w:p>
      <w:pPr>
        <w:spacing w:after="0" w:line="225" w:lineRule="exact"/>
        <w:rPr>
          <w:sz w:val="20"/>
          <w:szCs w:val="20"/>
          <w:color w:val="auto"/>
        </w:rPr>
      </w:pPr>
    </w:p>
    <w:p>
      <w:pPr>
        <w:ind w:right="20"/>
        <w:spacing w:after="0" w:line="297" w:lineRule="auto"/>
        <w:rPr>
          <w:sz w:val="20"/>
          <w:szCs w:val="20"/>
          <w:color w:val="auto"/>
        </w:rPr>
      </w:pPr>
      <w:r>
        <w:rPr>
          <w:rFonts w:ascii="Arial" w:cs="Arial" w:eastAsia="Arial" w:hAnsi="Arial"/>
          <w:sz w:val="16"/>
          <w:szCs w:val="16"/>
          <w:color w:val="auto"/>
        </w:rPr>
        <w:t xml:space="preserve">We have audited Arrowhead Pharmaceuticals, Inc. and Subsidiaries’ (the “Company”) internal control over financial reporting as of September 30, 2017, based on criteria established in </w:t>
      </w:r>
      <w:r>
        <w:rPr>
          <w:rFonts w:ascii="Arial" w:cs="Arial" w:eastAsia="Arial" w:hAnsi="Arial"/>
          <w:sz w:val="16"/>
          <w:szCs w:val="16"/>
          <w:i w:val="1"/>
          <w:iCs w:val="1"/>
          <w:color w:val="auto"/>
        </w:rPr>
        <w:t>Internal Control – Integrated Framework</w:t>
      </w:r>
      <w:r>
        <w:rPr>
          <w:rFonts w:ascii="Arial" w:cs="Arial" w:eastAsia="Arial" w:hAnsi="Arial"/>
          <w:sz w:val="16"/>
          <w:szCs w:val="16"/>
          <w:color w:val="auto"/>
        </w:rPr>
        <w:t xml:space="preserve"> issued by the Committee of Sponsoring Organizations of the Treadway Commission (2013 Framework). Arrowhead Pharmaceuticals, Inc.’s management is responsible for maintaining effective internal control over financial reporting, and for its assessment of the effectiveness of internal control over financial reporting included in the accompanying Management’s Annual Report on Internal Control over Financial Reporting. Our responsibility is to express an opinion on the company’s internal control over financial reporting based on our audit.</w:t>
      </w:r>
    </w:p>
    <w:p>
      <w:pPr>
        <w:spacing w:after="0" w:line="158"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We conducted our audit in accordance with the standards of the Public Company Accounting Oversight Board (United States). Those standards require that we plan and perform the audit to obtain reasonable assurance about whether effective internal control over financial reporting was maintained in all material respects. Our audit of internal control over financial reporting included obtaining an understanding of internal control over financial reporting, assessing the risk that a material weakness exists, and testing and evaluating the design and operating effectiveness of internal control based on the assessed risk. Our audit also included performing such other procedures as we considered necessary in the circumstances. We believe that our audit provides a reasonable basis for our opinion.</w:t>
      </w:r>
    </w:p>
    <w:p>
      <w:pPr>
        <w:spacing w:after="0" w:line="193" w:lineRule="exact"/>
        <w:rPr>
          <w:sz w:val="20"/>
          <w:szCs w:val="20"/>
          <w:color w:val="auto"/>
        </w:rPr>
      </w:pPr>
    </w:p>
    <w:p>
      <w:pPr>
        <w:ind w:right="40"/>
        <w:spacing w:after="0" w:line="291" w:lineRule="auto"/>
        <w:rPr>
          <w:sz w:val="20"/>
          <w:szCs w:val="20"/>
          <w:color w:val="auto"/>
        </w:rPr>
      </w:pPr>
      <w:r>
        <w:rPr>
          <w:rFonts w:ascii="Arial" w:cs="Arial" w:eastAsia="Arial" w:hAnsi="Arial"/>
          <w:sz w:val="16"/>
          <w:szCs w:val="16"/>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167" w:lineRule="exact"/>
        <w:rPr>
          <w:sz w:val="20"/>
          <w:szCs w:val="20"/>
          <w:color w:val="auto"/>
        </w:rPr>
      </w:pPr>
    </w:p>
    <w:p>
      <w:pPr>
        <w:ind w:right="100"/>
        <w:spacing w:after="0" w:line="264" w:lineRule="auto"/>
        <w:rPr>
          <w:sz w:val="20"/>
          <w:szCs w:val="20"/>
          <w:color w:val="auto"/>
        </w:rPr>
      </w:pPr>
      <w:r>
        <w:rPr>
          <w:rFonts w:ascii="Arial" w:cs="Arial" w:eastAsia="Arial" w:hAnsi="Arial"/>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81" w:lineRule="exact"/>
        <w:rPr>
          <w:sz w:val="20"/>
          <w:szCs w:val="20"/>
          <w:color w:val="auto"/>
        </w:rPr>
      </w:pPr>
    </w:p>
    <w:p>
      <w:pPr>
        <w:ind w:right="100"/>
        <w:spacing w:after="0" w:line="264" w:lineRule="auto"/>
        <w:rPr>
          <w:sz w:val="20"/>
          <w:szCs w:val="20"/>
          <w:color w:val="auto"/>
        </w:rPr>
      </w:pPr>
      <w:r>
        <w:rPr>
          <w:rFonts w:ascii="Arial" w:cs="Arial" w:eastAsia="Arial" w:hAnsi="Arial"/>
          <w:sz w:val="18"/>
          <w:szCs w:val="18"/>
          <w:color w:val="auto"/>
        </w:rPr>
        <w:t xml:space="preserve">In our opinion, Arrowhead Pharmaceuticals, Inc. and Subsidiaries maintained, in all material respects, effective internal control over financial reporting as of September 30, 2017, based on criteria established in </w:t>
      </w:r>
      <w:r>
        <w:rPr>
          <w:rFonts w:ascii="Arial" w:cs="Arial" w:eastAsia="Arial" w:hAnsi="Arial"/>
          <w:sz w:val="18"/>
          <w:szCs w:val="18"/>
          <w:i w:val="1"/>
          <w:iCs w:val="1"/>
          <w:color w:val="auto"/>
        </w:rPr>
        <w:t>Internal Control – Integrated Framework</w:t>
      </w:r>
      <w:r>
        <w:rPr>
          <w:rFonts w:ascii="Arial" w:cs="Arial" w:eastAsia="Arial" w:hAnsi="Arial"/>
          <w:sz w:val="18"/>
          <w:szCs w:val="18"/>
          <w:color w:val="auto"/>
        </w:rPr>
        <w:t xml:space="preserve"> issued by the Committee of Sponsoring Organizations of the Treadway Commission (2013 Framework).</w:t>
      </w:r>
    </w:p>
    <w:p>
      <w:pPr>
        <w:spacing w:after="0" w:line="181" w:lineRule="exact"/>
        <w:rPr>
          <w:sz w:val="20"/>
          <w:szCs w:val="20"/>
          <w:color w:val="auto"/>
        </w:rPr>
      </w:pPr>
    </w:p>
    <w:p>
      <w:pPr>
        <w:ind w:right="80"/>
        <w:spacing w:after="0" w:line="264" w:lineRule="auto"/>
        <w:rPr>
          <w:sz w:val="20"/>
          <w:szCs w:val="20"/>
          <w:color w:val="auto"/>
        </w:rPr>
      </w:pPr>
      <w:r>
        <w:rPr>
          <w:rFonts w:ascii="Arial" w:cs="Arial" w:eastAsia="Arial" w:hAnsi="Arial"/>
          <w:sz w:val="18"/>
          <w:szCs w:val="18"/>
          <w:color w:val="auto"/>
        </w:rPr>
        <w:t>We have also audited, in accordance with the standards of the Public Company Accounting Oversight Board (United States), the consolidated balance sheets and the related consolidated statements of operations and comprehensive loss, stockholders’ equity, and cash flows of Arrowhead Pharmaceuticals, Inc. and Subsidiaries, and our report dated December 12, 2017, expressed an unqualified opinion.</w:t>
      </w:r>
    </w:p>
    <w:p>
      <w:pPr>
        <w:spacing w:after="0" w:line="397" w:lineRule="exact"/>
        <w:rPr>
          <w:sz w:val="20"/>
          <w:szCs w:val="20"/>
          <w:color w:val="auto"/>
        </w:rPr>
      </w:pPr>
    </w:p>
    <w:p>
      <w:pPr>
        <w:spacing w:after="0"/>
        <w:rPr>
          <w:sz w:val="20"/>
          <w:szCs w:val="20"/>
          <w:color w:val="auto"/>
        </w:rPr>
      </w:pPr>
      <w:r>
        <w:rPr>
          <w:rFonts w:ascii="Arial" w:cs="Arial" w:eastAsia="Arial" w:hAnsi="Arial"/>
          <w:sz w:val="18"/>
          <w:szCs w:val="18"/>
          <w:color w:val="auto"/>
        </w:rPr>
        <w:t>/s/ Rose, Snyder &amp; Jacobs LLP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Encino, California</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December 12, 2017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12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63" w:name="page64"/>
    <w:bookmarkEnd w:id="63"/>
    <w:tbl>
      <w:tblPr>
        <w:tblLayout w:type="fixed"/>
        <w:tblInd w:w="0" w:type="dxa"/>
        <w:tblCellMar>
          <w:top w:w="0" w:type="dxa"/>
          <w:left w:w="0" w:type="dxa"/>
          <w:bottom w:w="0" w:type="dxa"/>
          <w:right w:w="0" w:type="dxa"/>
        </w:tblCellMar>
      </w:tblPr>
      <w:tr>
        <w:trPr>
          <w:trHeight w:val="234"/>
        </w:trPr>
        <w:tc>
          <w:tcPr>
            <w:tcW w:w="700" w:type="dxa"/>
            <w:vAlign w:val="bottom"/>
          </w:tcPr>
          <w:p>
            <w:pPr>
              <w:spacing w:after="0"/>
              <w:rPr>
                <w:sz w:val="20"/>
                <w:szCs w:val="20"/>
                <w:color w:val="auto"/>
              </w:rPr>
            </w:pPr>
          </w:p>
        </w:tc>
        <w:tc>
          <w:tcPr>
            <w:tcW w:w="7120" w:type="dxa"/>
            <w:vAlign w:val="bottom"/>
          </w:tcPr>
          <w:p>
            <w:pPr>
              <w:jc w:val="center"/>
              <w:ind w:left="2822"/>
              <w:spacing w:after="0"/>
              <w:rPr>
                <w:sz w:val="20"/>
                <w:szCs w:val="20"/>
                <w:color w:val="auto"/>
              </w:rPr>
            </w:pPr>
            <w:r>
              <w:rPr>
                <w:rFonts w:ascii="Arial" w:cs="Arial" w:eastAsia="Arial" w:hAnsi="Arial"/>
                <w:sz w:val="18"/>
                <w:szCs w:val="18"/>
                <w:b w:val="1"/>
                <w:bCs w:val="1"/>
                <w:color w:val="auto"/>
              </w:rPr>
              <w:t>PART I. FINANCIAL INFORMATION</w:t>
            </w:r>
          </w:p>
        </w:tc>
        <w:tc>
          <w:tcPr>
            <w:tcW w:w="14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32"/>
        </w:trPr>
        <w:tc>
          <w:tcPr>
            <w:tcW w:w="700" w:type="dxa"/>
            <w:vAlign w:val="bottom"/>
          </w:tcPr>
          <w:p>
            <w:pPr>
              <w:spacing w:after="0"/>
              <w:rPr>
                <w:sz w:val="20"/>
                <w:szCs w:val="20"/>
                <w:color w:val="auto"/>
              </w:rPr>
            </w:pPr>
            <w:r>
              <w:rPr>
                <w:rFonts w:ascii="Arial" w:cs="Arial" w:eastAsia="Arial" w:hAnsi="Arial"/>
                <w:sz w:val="18"/>
                <w:szCs w:val="18"/>
                <w:b w:val="1"/>
                <w:bCs w:val="1"/>
                <w:color w:val="auto"/>
              </w:rPr>
              <w:t>ITEM 1.</w:t>
            </w:r>
          </w:p>
        </w:tc>
        <w:tc>
          <w:tcPr>
            <w:tcW w:w="7120" w:type="dxa"/>
            <w:vAlign w:val="bottom"/>
          </w:tcPr>
          <w:p>
            <w:pPr>
              <w:ind w:left="460"/>
              <w:spacing w:after="0"/>
              <w:rPr>
                <w:sz w:val="20"/>
                <w:szCs w:val="20"/>
                <w:color w:val="auto"/>
              </w:rPr>
            </w:pPr>
            <w:r>
              <w:rPr>
                <w:rFonts w:ascii="Arial" w:cs="Arial" w:eastAsia="Arial" w:hAnsi="Arial"/>
                <w:sz w:val="18"/>
                <w:szCs w:val="18"/>
                <w:b w:val="1"/>
                <w:bCs w:val="1"/>
                <w:color w:val="auto"/>
              </w:rPr>
              <w:t>FINANCIAL STATEMENTS</w:t>
            </w:r>
          </w:p>
        </w:tc>
        <w:tc>
          <w:tcPr>
            <w:tcW w:w="14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14"/>
        </w:trPr>
        <w:tc>
          <w:tcPr>
            <w:tcW w:w="700" w:type="dxa"/>
            <w:vAlign w:val="bottom"/>
          </w:tcPr>
          <w:p>
            <w:pPr>
              <w:spacing w:after="0"/>
              <w:rPr>
                <w:sz w:val="24"/>
                <w:szCs w:val="24"/>
                <w:color w:val="auto"/>
              </w:rPr>
            </w:pPr>
          </w:p>
        </w:tc>
        <w:tc>
          <w:tcPr>
            <w:tcW w:w="7120" w:type="dxa"/>
            <w:vAlign w:val="bottom"/>
          </w:tcPr>
          <w:p>
            <w:pPr>
              <w:jc w:val="center"/>
              <w:ind w:left="2822"/>
              <w:spacing w:after="0"/>
              <w:rPr>
                <w:sz w:val="20"/>
                <w:szCs w:val="20"/>
                <w:color w:val="auto"/>
              </w:rPr>
            </w:pPr>
            <w:r>
              <w:rPr>
                <w:rFonts w:ascii="Arial" w:cs="Arial" w:eastAsia="Arial" w:hAnsi="Arial"/>
                <w:sz w:val="18"/>
                <w:szCs w:val="18"/>
                <w:b w:val="1"/>
                <w:bCs w:val="1"/>
                <w:color w:val="auto"/>
                <w:w w:val="91"/>
              </w:rPr>
              <w:t>Arrowhead Pharmaceuticals, Inc.</w:t>
            </w:r>
          </w:p>
        </w:tc>
        <w:tc>
          <w:tcPr>
            <w:tcW w:w="14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34"/>
        </w:trPr>
        <w:tc>
          <w:tcPr>
            <w:tcW w:w="700" w:type="dxa"/>
            <w:vAlign w:val="bottom"/>
          </w:tcPr>
          <w:p>
            <w:pPr>
              <w:spacing w:after="0"/>
              <w:rPr>
                <w:sz w:val="20"/>
                <w:szCs w:val="20"/>
                <w:color w:val="auto"/>
              </w:rPr>
            </w:pPr>
          </w:p>
        </w:tc>
        <w:tc>
          <w:tcPr>
            <w:tcW w:w="7120" w:type="dxa"/>
            <w:vAlign w:val="bottom"/>
          </w:tcPr>
          <w:p>
            <w:pPr>
              <w:jc w:val="center"/>
              <w:ind w:left="2842"/>
              <w:spacing w:after="0"/>
              <w:rPr>
                <w:sz w:val="20"/>
                <w:szCs w:val="20"/>
                <w:color w:val="auto"/>
              </w:rPr>
            </w:pPr>
            <w:r>
              <w:rPr>
                <w:rFonts w:ascii="Arial" w:cs="Arial" w:eastAsia="Arial" w:hAnsi="Arial"/>
                <w:sz w:val="18"/>
                <w:szCs w:val="18"/>
                <w:b w:val="1"/>
                <w:bCs w:val="1"/>
                <w:color w:val="auto"/>
                <w:w w:val="87"/>
              </w:rPr>
              <w:t>Consolidated Balance Sheets</w:t>
            </w:r>
          </w:p>
        </w:tc>
        <w:tc>
          <w:tcPr>
            <w:tcW w:w="14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635"/>
        </w:trPr>
        <w:tc>
          <w:tcPr>
            <w:tcW w:w="700" w:type="dxa"/>
            <w:vAlign w:val="bottom"/>
          </w:tcPr>
          <w:p>
            <w:pPr>
              <w:spacing w:after="0"/>
              <w:rPr>
                <w:sz w:val="24"/>
                <w:szCs w:val="24"/>
                <w:color w:val="auto"/>
              </w:rPr>
            </w:pPr>
          </w:p>
        </w:tc>
        <w:tc>
          <w:tcPr>
            <w:tcW w:w="7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740" w:type="dxa"/>
            <w:vAlign w:val="bottom"/>
            <w:gridSpan w:val="2"/>
          </w:tcPr>
          <w:p>
            <w:pPr>
              <w:jc w:val="right"/>
              <w:ind w:right="480"/>
              <w:spacing w:after="0"/>
              <w:rPr>
                <w:sz w:val="20"/>
                <w:szCs w:val="20"/>
                <w:color w:val="auto"/>
              </w:rPr>
            </w:pPr>
            <w:r>
              <w:rPr>
                <w:rFonts w:ascii="Arial" w:cs="Arial" w:eastAsia="Arial" w:hAnsi="Arial"/>
                <w:sz w:val="14"/>
                <w:szCs w:val="14"/>
                <w:b w:val="1"/>
                <w:bCs w:val="1"/>
                <w:color w:val="auto"/>
                <w:w w:val="94"/>
              </w:rPr>
              <w:t>September 30, 2017</w:t>
            </w:r>
          </w:p>
        </w:tc>
        <w:tc>
          <w:tcPr>
            <w:tcW w:w="140" w:type="dxa"/>
            <w:vAlign w:val="bottom"/>
          </w:tcPr>
          <w:p>
            <w:pPr>
              <w:spacing w:after="0"/>
              <w:rPr>
                <w:sz w:val="24"/>
                <w:szCs w:val="24"/>
                <w:color w:val="auto"/>
              </w:rPr>
            </w:pPr>
          </w:p>
        </w:tc>
        <w:tc>
          <w:tcPr>
            <w:tcW w:w="158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auto"/>
                <w:w w:val="94"/>
              </w:rPr>
              <w:t>September 30, 2016</w:t>
            </w:r>
          </w:p>
        </w:tc>
      </w:tr>
      <w:tr>
        <w:trPr>
          <w:trHeight w:val="156"/>
        </w:trPr>
        <w:tc>
          <w:tcPr>
            <w:tcW w:w="700" w:type="dxa"/>
            <w:vAlign w:val="bottom"/>
            <w:tcBorders>
              <w:top w:val="single" w:sz="8" w:color="CFF0FC"/>
            </w:tcBorders>
            <w:shd w:val="clear" w:color="auto" w:fill="CFF0FC"/>
          </w:tcPr>
          <w:p>
            <w:pPr>
              <w:spacing w:after="0"/>
              <w:rPr>
                <w:sz w:val="13"/>
                <w:szCs w:val="13"/>
                <w:color w:val="auto"/>
              </w:rPr>
            </w:pPr>
          </w:p>
        </w:tc>
        <w:tc>
          <w:tcPr>
            <w:tcW w:w="7120" w:type="dxa"/>
            <w:vAlign w:val="bottom"/>
            <w:tcBorders>
              <w:top w:val="single" w:sz="8" w:color="CFF0FC"/>
            </w:tcBorders>
            <w:shd w:val="clear" w:color="auto" w:fill="CFF0FC"/>
          </w:tcPr>
          <w:p>
            <w:pPr>
              <w:ind w:left="2940"/>
              <w:spacing w:after="0" w:line="155" w:lineRule="exact"/>
              <w:rPr>
                <w:sz w:val="20"/>
                <w:szCs w:val="20"/>
                <w:color w:val="auto"/>
              </w:rPr>
            </w:pPr>
            <w:r>
              <w:rPr>
                <w:rFonts w:ascii="Arial" w:cs="Arial" w:eastAsia="Arial" w:hAnsi="Arial"/>
                <w:sz w:val="14"/>
                <w:szCs w:val="14"/>
                <w:b w:val="1"/>
                <w:bCs w:val="1"/>
                <w:color w:val="auto"/>
              </w:rPr>
              <w:t>ASSETS</w:t>
            </w:r>
          </w:p>
        </w:tc>
        <w:tc>
          <w:tcPr>
            <w:tcW w:w="140" w:type="dxa"/>
            <w:vAlign w:val="bottom"/>
            <w:tcBorders>
              <w:top w:val="single" w:sz="8" w:color="auto"/>
            </w:tcBorders>
            <w:shd w:val="clear" w:color="auto" w:fill="CFF0FC"/>
          </w:tcPr>
          <w:p>
            <w:pPr>
              <w:spacing w:after="0"/>
              <w:rPr>
                <w:sz w:val="13"/>
                <w:szCs w:val="13"/>
                <w:color w:val="auto"/>
              </w:rPr>
            </w:pPr>
          </w:p>
        </w:tc>
        <w:tc>
          <w:tcPr>
            <w:tcW w:w="1460" w:type="dxa"/>
            <w:vAlign w:val="bottom"/>
            <w:tcBorders>
              <w:top w:val="single" w:sz="8" w:color="auto"/>
            </w:tcBorders>
            <w:shd w:val="clear" w:color="auto" w:fill="CFF0FC"/>
          </w:tcPr>
          <w:p>
            <w:pPr>
              <w:spacing w:after="0"/>
              <w:rPr>
                <w:sz w:val="13"/>
                <w:szCs w:val="13"/>
                <w:color w:val="auto"/>
              </w:rPr>
            </w:pPr>
          </w:p>
        </w:tc>
        <w:tc>
          <w:tcPr>
            <w:tcW w:w="280" w:type="dxa"/>
            <w:vAlign w:val="bottom"/>
            <w:tcBorders>
              <w:top w:val="single" w:sz="8" w:color="CFF0FC"/>
            </w:tcBorders>
            <w:shd w:val="clear" w:color="auto" w:fill="CFF0FC"/>
          </w:tcPr>
          <w:p>
            <w:pPr>
              <w:spacing w:after="0"/>
              <w:rPr>
                <w:sz w:val="13"/>
                <w:szCs w:val="13"/>
                <w:color w:val="auto"/>
              </w:rPr>
            </w:pPr>
          </w:p>
        </w:tc>
        <w:tc>
          <w:tcPr>
            <w:tcW w:w="140" w:type="dxa"/>
            <w:vAlign w:val="bottom"/>
            <w:tcBorders>
              <w:top w:val="single" w:sz="8" w:color="auto"/>
            </w:tcBorders>
            <w:shd w:val="clear" w:color="auto" w:fill="CFF0FC"/>
          </w:tcPr>
          <w:p>
            <w:pPr>
              <w:spacing w:after="0"/>
              <w:rPr>
                <w:sz w:val="13"/>
                <w:szCs w:val="13"/>
                <w:color w:val="auto"/>
              </w:rPr>
            </w:pPr>
          </w:p>
        </w:tc>
        <w:tc>
          <w:tcPr>
            <w:tcW w:w="1480" w:type="dxa"/>
            <w:vAlign w:val="bottom"/>
            <w:tcBorders>
              <w:top w:val="single" w:sz="8" w:color="auto"/>
            </w:tcBorders>
            <w:shd w:val="clear" w:color="auto" w:fill="CFF0FC"/>
          </w:tcPr>
          <w:p>
            <w:pPr>
              <w:spacing w:after="0"/>
              <w:rPr>
                <w:sz w:val="13"/>
                <w:szCs w:val="13"/>
                <w:color w:val="auto"/>
              </w:rPr>
            </w:pPr>
          </w:p>
        </w:tc>
        <w:tc>
          <w:tcPr>
            <w:tcW w:w="100" w:type="dxa"/>
            <w:vAlign w:val="bottom"/>
            <w:tcBorders>
              <w:top w:val="single" w:sz="8" w:color="CFF0FC"/>
            </w:tcBorders>
            <w:shd w:val="clear" w:color="auto" w:fill="CFF0FC"/>
          </w:tcPr>
          <w:p>
            <w:pPr>
              <w:spacing w:after="0"/>
              <w:rPr>
                <w:sz w:val="13"/>
                <w:szCs w:val="13"/>
                <w:color w:val="auto"/>
              </w:rPr>
            </w:pPr>
          </w:p>
        </w:tc>
      </w:tr>
      <w:tr>
        <w:trPr>
          <w:trHeight w:val="162"/>
        </w:trPr>
        <w:tc>
          <w:tcPr>
            <w:tcW w:w="7820" w:type="dxa"/>
            <w:vAlign w:val="bottom"/>
            <w:gridSpan w:val="2"/>
          </w:tcPr>
          <w:p>
            <w:pPr>
              <w:ind w:left="140"/>
              <w:spacing w:after="0"/>
              <w:rPr>
                <w:sz w:val="20"/>
                <w:szCs w:val="20"/>
                <w:color w:val="auto"/>
              </w:rPr>
            </w:pPr>
            <w:r>
              <w:rPr>
                <w:rFonts w:ascii="Arial" w:cs="Arial" w:eastAsia="Arial" w:hAnsi="Arial"/>
                <w:sz w:val="14"/>
                <w:szCs w:val="14"/>
                <w:color w:val="auto"/>
              </w:rPr>
              <w:t>CURRENT ASSETS</w:t>
            </w:r>
          </w:p>
        </w:tc>
        <w:tc>
          <w:tcPr>
            <w:tcW w:w="14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62"/>
        </w:trPr>
        <w:tc>
          <w:tcPr>
            <w:tcW w:w="7820" w:type="dxa"/>
            <w:vAlign w:val="bottom"/>
            <w:gridSpan w:val="2"/>
            <w:shd w:val="clear" w:color="auto" w:fill="CFF0FC"/>
          </w:tcPr>
          <w:p>
            <w:pPr>
              <w:ind w:left="500"/>
              <w:spacing w:after="0"/>
              <w:rPr>
                <w:sz w:val="20"/>
                <w:szCs w:val="20"/>
                <w:color w:val="auto"/>
              </w:rPr>
            </w:pPr>
            <w:r>
              <w:rPr>
                <w:rFonts w:ascii="Arial" w:cs="Arial" w:eastAsia="Arial" w:hAnsi="Arial"/>
                <w:sz w:val="14"/>
                <w:szCs w:val="14"/>
                <w:color w:val="auto"/>
              </w:rPr>
              <w:t>Cash and cash equivalents</w:t>
            </w:r>
          </w:p>
        </w:tc>
        <w:tc>
          <w:tcPr>
            <w:tcW w:w="140" w:type="dxa"/>
            <w:vAlign w:val="bottom"/>
            <w:shd w:val="clear" w:color="auto" w:fill="CFF0FC"/>
          </w:tcPr>
          <w:p>
            <w:pPr>
              <w:jc w:val="right"/>
              <w:spacing w:after="0"/>
              <w:rPr>
                <w:sz w:val="20"/>
                <w:szCs w:val="20"/>
                <w:color w:val="auto"/>
              </w:rPr>
            </w:pPr>
            <w:r>
              <w:rPr>
                <w:rFonts w:ascii="Arial" w:cs="Arial" w:eastAsia="Arial" w:hAnsi="Arial"/>
                <w:sz w:val="14"/>
                <w:szCs w:val="14"/>
                <w:color w:val="auto"/>
                <w:w w:val="76"/>
              </w:rPr>
              <w:t>$</w:t>
            </w:r>
          </w:p>
        </w:tc>
        <w:tc>
          <w:tcPr>
            <w:tcW w:w="14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24,838,567</w:t>
            </w:r>
          </w:p>
        </w:tc>
        <w:tc>
          <w:tcPr>
            <w:tcW w:w="280" w:type="dxa"/>
            <w:vAlign w:val="bottom"/>
            <w:shd w:val="clear" w:color="auto" w:fill="CFF0FC"/>
          </w:tcPr>
          <w:p>
            <w:pPr>
              <w:spacing w:after="0"/>
              <w:rPr>
                <w:sz w:val="14"/>
                <w:szCs w:val="14"/>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4"/>
                <w:szCs w:val="14"/>
                <w:color w:val="auto"/>
                <w:w w:val="76"/>
              </w:rPr>
              <w:t>$</w:t>
            </w:r>
          </w:p>
        </w:tc>
        <w:tc>
          <w:tcPr>
            <w:tcW w:w="14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85,366,448</w:t>
            </w:r>
          </w:p>
        </w:tc>
        <w:tc>
          <w:tcPr>
            <w:tcW w:w="100" w:type="dxa"/>
            <w:vAlign w:val="bottom"/>
            <w:shd w:val="clear" w:color="auto" w:fill="CFF0FC"/>
          </w:tcPr>
          <w:p>
            <w:pPr>
              <w:spacing w:after="0"/>
              <w:rPr>
                <w:sz w:val="14"/>
                <w:szCs w:val="14"/>
                <w:color w:val="auto"/>
              </w:rPr>
            </w:pPr>
          </w:p>
        </w:tc>
      </w:tr>
      <w:tr>
        <w:trPr>
          <w:trHeight w:val="162"/>
        </w:trPr>
        <w:tc>
          <w:tcPr>
            <w:tcW w:w="7820" w:type="dxa"/>
            <w:vAlign w:val="bottom"/>
            <w:gridSpan w:val="2"/>
          </w:tcPr>
          <w:p>
            <w:pPr>
              <w:ind w:left="500"/>
              <w:spacing w:after="0"/>
              <w:rPr>
                <w:sz w:val="20"/>
                <w:szCs w:val="20"/>
                <w:color w:val="auto"/>
              </w:rPr>
            </w:pPr>
            <w:r>
              <w:rPr>
                <w:rFonts w:ascii="Arial" w:cs="Arial" w:eastAsia="Arial" w:hAnsi="Arial"/>
                <w:sz w:val="14"/>
                <w:szCs w:val="14"/>
                <w:color w:val="auto"/>
              </w:rPr>
              <w:t>Accounts receivable</w:t>
            </w:r>
          </w:p>
        </w:tc>
        <w:tc>
          <w:tcPr>
            <w:tcW w:w="140" w:type="dxa"/>
            <w:vAlign w:val="bottom"/>
          </w:tcPr>
          <w:p>
            <w:pPr>
              <w:spacing w:after="0"/>
              <w:rPr>
                <w:sz w:val="14"/>
                <w:szCs w:val="14"/>
                <w:color w:val="auto"/>
              </w:rPr>
            </w:pPr>
          </w:p>
        </w:tc>
        <w:tc>
          <w:tcPr>
            <w:tcW w:w="1460" w:type="dxa"/>
            <w:vAlign w:val="bottom"/>
          </w:tcPr>
          <w:p>
            <w:pPr>
              <w:jc w:val="right"/>
              <w:spacing w:after="0"/>
              <w:rPr>
                <w:sz w:val="20"/>
                <w:szCs w:val="20"/>
                <w:color w:val="auto"/>
              </w:rPr>
            </w:pPr>
            <w:r>
              <w:rPr>
                <w:rFonts w:ascii="Arial" w:cs="Arial" w:eastAsia="Arial" w:hAnsi="Arial"/>
                <w:sz w:val="14"/>
                <w:szCs w:val="14"/>
                <w:color w:val="auto"/>
              </w:rPr>
              <w:t>67,797</w:t>
            </w:r>
          </w:p>
        </w:tc>
        <w:tc>
          <w:tcPr>
            <w:tcW w:w="2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80" w:type="dxa"/>
            <w:vAlign w:val="bottom"/>
          </w:tcPr>
          <w:p>
            <w:pPr>
              <w:jc w:val="right"/>
              <w:spacing w:after="0"/>
              <w:rPr>
                <w:sz w:val="20"/>
                <w:szCs w:val="20"/>
                <w:color w:val="auto"/>
              </w:rPr>
            </w:pPr>
            <w:r>
              <w:rPr>
                <w:rFonts w:ascii="Arial" w:cs="Arial" w:eastAsia="Arial" w:hAnsi="Arial"/>
                <w:sz w:val="14"/>
                <w:szCs w:val="14"/>
                <w:color w:val="auto"/>
              </w:rPr>
              <w:t>75,000</w:t>
            </w:r>
          </w:p>
        </w:tc>
        <w:tc>
          <w:tcPr>
            <w:tcW w:w="100" w:type="dxa"/>
            <w:vAlign w:val="bottom"/>
          </w:tcPr>
          <w:p>
            <w:pPr>
              <w:spacing w:after="0"/>
              <w:rPr>
                <w:sz w:val="14"/>
                <w:szCs w:val="14"/>
                <w:color w:val="auto"/>
              </w:rPr>
            </w:pPr>
          </w:p>
        </w:tc>
      </w:tr>
      <w:tr>
        <w:trPr>
          <w:trHeight w:val="162"/>
        </w:trPr>
        <w:tc>
          <w:tcPr>
            <w:tcW w:w="7820" w:type="dxa"/>
            <w:vAlign w:val="bottom"/>
            <w:gridSpan w:val="2"/>
            <w:shd w:val="clear" w:color="auto" w:fill="CFF0FC"/>
          </w:tcPr>
          <w:p>
            <w:pPr>
              <w:ind w:left="500"/>
              <w:spacing w:after="0"/>
              <w:rPr>
                <w:sz w:val="20"/>
                <w:szCs w:val="20"/>
                <w:color w:val="auto"/>
              </w:rPr>
            </w:pPr>
            <w:r>
              <w:rPr>
                <w:rFonts w:ascii="Arial" w:cs="Arial" w:eastAsia="Arial" w:hAnsi="Arial"/>
                <w:sz w:val="14"/>
                <w:szCs w:val="14"/>
                <w:color w:val="auto"/>
              </w:rPr>
              <w:t>Prepaid expenses</w:t>
            </w:r>
          </w:p>
        </w:tc>
        <w:tc>
          <w:tcPr>
            <w:tcW w:w="140" w:type="dxa"/>
            <w:vAlign w:val="bottom"/>
            <w:shd w:val="clear" w:color="auto" w:fill="CFF0FC"/>
          </w:tcPr>
          <w:p>
            <w:pPr>
              <w:spacing w:after="0"/>
              <w:rPr>
                <w:sz w:val="14"/>
                <w:szCs w:val="14"/>
                <w:color w:val="auto"/>
              </w:rPr>
            </w:pPr>
          </w:p>
        </w:tc>
        <w:tc>
          <w:tcPr>
            <w:tcW w:w="14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867,363</w:t>
            </w:r>
          </w:p>
        </w:tc>
        <w:tc>
          <w:tcPr>
            <w:tcW w:w="28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4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1,289,923</w:t>
            </w:r>
          </w:p>
        </w:tc>
        <w:tc>
          <w:tcPr>
            <w:tcW w:w="100" w:type="dxa"/>
            <w:vAlign w:val="bottom"/>
            <w:shd w:val="clear" w:color="auto" w:fill="CFF0FC"/>
          </w:tcPr>
          <w:p>
            <w:pPr>
              <w:spacing w:after="0"/>
              <w:rPr>
                <w:sz w:val="14"/>
                <w:szCs w:val="14"/>
                <w:color w:val="auto"/>
              </w:rPr>
            </w:pPr>
          </w:p>
        </w:tc>
      </w:tr>
      <w:tr>
        <w:trPr>
          <w:trHeight w:val="162"/>
        </w:trPr>
        <w:tc>
          <w:tcPr>
            <w:tcW w:w="7820" w:type="dxa"/>
            <w:vAlign w:val="bottom"/>
            <w:gridSpan w:val="2"/>
          </w:tcPr>
          <w:p>
            <w:pPr>
              <w:ind w:left="500"/>
              <w:spacing w:after="0"/>
              <w:rPr>
                <w:sz w:val="20"/>
                <w:szCs w:val="20"/>
                <w:color w:val="auto"/>
              </w:rPr>
            </w:pPr>
            <w:r>
              <w:rPr>
                <w:rFonts w:ascii="Arial" w:cs="Arial" w:eastAsia="Arial" w:hAnsi="Arial"/>
                <w:sz w:val="14"/>
                <w:szCs w:val="14"/>
                <w:color w:val="auto"/>
              </w:rPr>
              <w:t>Other current assets</w:t>
            </w:r>
          </w:p>
        </w:tc>
        <w:tc>
          <w:tcPr>
            <w:tcW w:w="140" w:type="dxa"/>
            <w:vAlign w:val="bottom"/>
          </w:tcPr>
          <w:p>
            <w:pPr>
              <w:spacing w:after="0"/>
              <w:rPr>
                <w:sz w:val="14"/>
                <w:szCs w:val="14"/>
                <w:color w:val="auto"/>
              </w:rPr>
            </w:pPr>
          </w:p>
        </w:tc>
        <w:tc>
          <w:tcPr>
            <w:tcW w:w="1460" w:type="dxa"/>
            <w:vAlign w:val="bottom"/>
          </w:tcPr>
          <w:p>
            <w:pPr>
              <w:jc w:val="right"/>
              <w:spacing w:after="0"/>
              <w:rPr>
                <w:sz w:val="20"/>
                <w:szCs w:val="20"/>
                <w:color w:val="auto"/>
              </w:rPr>
            </w:pPr>
            <w:r>
              <w:rPr>
                <w:rFonts w:ascii="Arial" w:cs="Arial" w:eastAsia="Arial" w:hAnsi="Arial"/>
                <w:sz w:val="14"/>
                <w:szCs w:val="14"/>
                <w:color w:val="auto"/>
              </w:rPr>
              <w:t>1,359,638</w:t>
            </w:r>
          </w:p>
        </w:tc>
        <w:tc>
          <w:tcPr>
            <w:tcW w:w="2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80" w:type="dxa"/>
            <w:vAlign w:val="bottom"/>
          </w:tcPr>
          <w:p>
            <w:pPr>
              <w:jc w:val="right"/>
              <w:spacing w:after="0"/>
              <w:rPr>
                <w:sz w:val="20"/>
                <w:szCs w:val="20"/>
                <w:color w:val="auto"/>
              </w:rPr>
            </w:pPr>
            <w:r>
              <w:rPr>
                <w:rFonts w:ascii="Arial" w:cs="Arial" w:eastAsia="Arial" w:hAnsi="Arial"/>
                <w:sz w:val="14"/>
                <w:szCs w:val="14"/>
                <w:color w:val="auto"/>
              </w:rPr>
              <w:t>3,771,172</w:t>
            </w:r>
          </w:p>
        </w:tc>
        <w:tc>
          <w:tcPr>
            <w:tcW w:w="100" w:type="dxa"/>
            <w:vAlign w:val="bottom"/>
          </w:tcPr>
          <w:p>
            <w:pPr>
              <w:spacing w:after="0"/>
              <w:rPr>
                <w:sz w:val="14"/>
                <w:szCs w:val="14"/>
                <w:color w:val="auto"/>
              </w:rPr>
            </w:pPr>
          </w:p>
        </w:tc>
      </w:tr>
      <w:tr>
        <w:trPr>
          <w:trHeight w:val="162"/>
        </w:trPr>
        <w:tc>
          <w:tcPr>
            <w:tcW w:w="7820" w:type="dxa"/>
            <w:vAlign w:val="bottom"/>
            <w:gridSpan w:val="2"/>
            <w:shd w:val="clear" w:color="auto" w:fill="CFF0FC"/>
          </w:tcPr>
          <w:p>
            <w:pPr>
              <w:ind w:left="500"/>
              <w:spacing w:after="0"/>
              <w:rPr>
                <w:sz w:val="20"/>
                <w:szCs w:val="20"/>
                <w:color w:val="auto"/>
              </w:rPr>
            </w:pPr>
            <w:r>
              <w:rPr>
                <w:rFonts w:ascii="Arial" w:cs="Arial" w:eastAsia="Arial" w:hAnsi="Arial"/>
                <w:sz w:val="14"/>
                <w:szCs w:val="14"/>
                <w:color w:val="auto"/>
              </w:rPr>
              <w:t>Short term investments</w:t>
            </w:r>
          </w:p>
        </w:tc>
        <w:tc>
          <w:tcPr>
            <w:tcW w:w="140" w:type="dxa"/>
            <w:vAlign w:val="bottom"/>
            <w:tcBorders>
              <w:bottom w:val="single" w:sz="8" w:color="auto"/>
            </w:tcBorders>
            <w:shd w:val="clear" w:color="auto" w:fill="CFF0FC"/>
          </w:tcPr>
          <w:p>
            <w:pPr>
              <w:spacing w:after="0"/>
              <w:rPr>
                <w:sz w:val="14"/>
                <w:szCs w:val="14"/>
                <w:color w:val="auto"/>
              </w:rPr>
            </w:pPr>
          </w:p>
        </w:tc>
        <w:tc>
          <w:tcPr>
            <w:tcW w:w="14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40,769,539</w:t>
            </w:r>
          </w:p>
        </w:tc>
        <w:tc>
          <w:tcPr>
            <w:tcW w:w="280" w:type="dxa"/>
            <w:vAlign w:val="bottom"/>
            <w:shd w:val="clear" w:color="auto" w:fill="CFF0FC"/>
          </w:tcPr>
          <w:p>
            <w:pPr>
              <w:spacing w:after="0"/>
              <w:rPr>
                <w:sz w:val="14"/>
                <w:szCs w:val="14"/>
                <w:color w:val="auto"/>
              </w:rPr>
            </w:pPr>
          </w:p>
        </w:tc>
        <w:tc>
          <w:tcPr>
            <w:tcW w:w="140" w:type="dxa"/>
            <w:vAlign w:val="bottom"/>
            <w:tcBorders>
              <w:bottom w:val="single" w:sz="8" w:color="auto"/>
            </w:tcBorders>
            <w:shd w:val="clear" w:color="auto" w:fill="CFF0FC"/>
          </w:tcPr>
          <w:p>
            <w:pPr>
              <w:spacing w:after="0"/>
              <w:rPr>
                <w:sz w:val="14"/>
                <w:szCs w:val="14"/>
                <w:color w:val="auto"/>
              </w:rPr>
            </w:pPr>
          </w:p>
        </w:tc>
        <w:tc>
          <w:tcPr>
            <w:tcW w:w="14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CFF0FC"/>
          </w:tcPr>
          <w:p>
            <w:pPr>
              <w:spacing w:after="0"/>
              <w:rPr>
                <w:sz w:val="14"/>
                <w:szCs w:val="14"/>
                <w:color w:val="auto"/>
              </w:rPr>
            </w:pPr>
          </w:p>
        </w:tc>
      </w:tr>
      <w:tr>
        <w:trPr>
          <w:trHeight w:val="169"/>
        </w:trPr>
        <w:tc>
          <w:tcPr>
            <w:tcW w:w="700" w:type="dxa"/>
            <w:vAlign w:val="bottom"/>
          </w:tcPr>
          <w:p>
            <w:pPr>
              <w:spacing w:after="0"/>
              <w:rPr>
                <w:sz w:val="14"/>
                <w:szCs w:val="14"/>
                <w:color w:val="auto"/>
              </w:rPr>
            </w:pPr>
          </w:p>
        </w:tc>
        <w:tc>
          <w:tcPr>
            <w:tcW w:w="7120" w:type="dxa"/>
            <w:vAlign w:val="bottom"/>
          </w:tcPr>
          <w:p>
            <w:pPr>
              <w:ind w:left="40"/>
              <w:spacing w:after="0"/>
              <w:rPr>
                <w:sz w:val="20"/>
                <w:szCs w:val="20"/>
                <w:color w:val="auto"/>
              </w:rPr>
            </w:pPr>
            <w:r>
              <w:rPr>
                <w:rFonts w:ascii="Arial" w:cs="Arial" w:eastAsia="Arial" w:hAnsi="Arial"/>
                <w:sz w:val="14"/>
                <w:szCs w:val="14"/>
                <w:color w:val="auto"/>
              </w:rPr>
              <w:t>TOTAL CURRENT ASSETS</w:t>
            </w:r>
          </w:p>
        </w:tc>
        <w:tc>
          <w:tcPr>
            <w:tcW w:w="140" w:type="dxa"/>
            <w:vAlign w:val="bottom"/>
          </w:tcPr>
          <w:p>
            <w:pPr>
              <w:spacing w:after="0"/>
              <w:rPr>
                <w:sz w:val="14"/>
                <w:szCs w:val="14"/>
                <w:color w:val="auto"/>
              </w:rPr>
            </w:pPr>
          </w:p>
        </w:tc>
        <w:tc>
          <w:tcPr>
            <w:tcW w:w="1460" w:type="dxa"/>
            <w:vAlign w:val="bottom"/>
          </w:tcPr>
          <w:p>
            <w:pPr>
              <w:jc w:val="right"/>
              <w:spacing w:after="0"/>
              <w:rPr>
                <w:sz w:val="20"/>
                <w:szCs w:val="20"/>
                <w:color w:val="auto"/>
              </w:rPr>
            </w:pPr>
            <w:r>
              <w:rPr>
                <w:rFonts w:ascii="Arial" w:cs="Arial" w:eastAsia="Arial" w:hAnsi="Arial"/>
                <w:sz w:val="14"/>
                <w:szCs w:val="14"/>
                <w:color w:val="auto"/>
              </w:rPr>
              <w:t>67,902,904</w:t>
            </w:r>
          </w:p>
        </w:tc>
        <w:tc>
          <w:tcPr>
            <w:tcW w:w="2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80" w:type="dxa"/>
            <w:vAlign w:val="bottom"/>
          </w:tcPr>
          <w:p>
            <w:pPr>
              <w:jc w:val="right"/>
              <w:spacing w:after="0"/>
              <w:rPr>
                <w:sz w:val="20"/>
                <w:szCs w:val="20"/>
                <w:color w:val="auto"/>
              </w:rPr>
            </w:pPr>
            <w:r>
              <w:rPr>
                <w:rFonts w:ascii="Arial" w:cs="Arial" w:eastAsia="Arial" w:hAnsi="Arial"/>
                <w:sz w:val="14"/>
                <w:szCs w:val="14"/>
                <w:color w:val="auto"/>
              </w:rPr>
              <w:t>90,502,543</w:t>
            </w:r>
          </w:p>
        </w:tc>
        <w:tc>
          <w:tcPr>
            <w:tcW w:w="100" w:type="dxa"/>
            <w:vAlign w:val="bottom"/>
          </w:tcPr>
          <w:p>
            <w:pPr>
              <w:spacing w:after="0"/>
              <w:rPr>
                <w:sz w:val="14"/>
                <w:szCs w:val="14"/>
                <w:color w:val="auto"/>
              </w:rPr>
            </w:pPr>
          </w:p>
        </w:tc>
      </w:tr>
      <w:tr>
        <w:trPr>
          <w:trHeight w:val="176"/>
        </w:trPr>
        <w:tc>
          <w:tcPr>
            <w:tcW w:w="7820" w:type="dxa"/>
            <w:vAlign w:val="bottom"/>
            <w:gridSpan w:val="2"/>
            <w:shd w:val="clear" w:color="auto" w:fill="CFF0FC"/>
          </w:tcPr>
          <w:p>
            <w:pPr>
              <w:ind w:left="140"/>
              <w:spacing w:after="0"/>
              <w:rPr>
                <w:sz w:val="20"/>
                <w:szCs w:val="20"/>
                <w:color w:val="auto"/>
              </w:rPr>
            </w:pPr>
            <w:r>
              <w:rPr>
                <w:rFonts w:ascii="Arial" w:cs="Arial" w:eastAsia="Arial" w:hAnsi="Arial"/>
                <w:sz w:val="14"/>
                <w:szCs w:val="14"/>
                <w:color w:val="auto"/>
              </w:rPr>
              <w:t>Property and equipment, net</w:t>
            </w:r>
          </w:p>
        </w:tc>
        <w:tc>
          <w:tcPr>
            <w:tcW w:w="140" w:type="dxa"/>
            <w:vAlign w:val="bottom"/>
            <w:shd w:val="clear" w:color="auto" w:fill="CFF0FC"/>
          </w:tcPr>
          <w:p>
            <w:pPr>
              <w:spacing w:after="0"/>
              <w:rPr>
                <w:sz w:val="15"/>
                <w:szCs w:val="15"/>
                <w:color w:val="auto"/>
              </w:rPr>
            </w:pPr>
          </w:p>
        </w:tc>
        <w:tc>
          <w:tcPr>
            <w:tcW w:w="14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15,513,019</w:t>
            </w:r>
          </w:p>
        </w:tc>
        <w:tc>
          <w:tcPr>
            <w:tcW w:w="28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14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15,386,761</w:t>
            </w:r>
          </w:p>
        </w:tc>
        <w:tc>
          <w:tcPr>
            <w:tcW w:w="100" w:type="dxa"/>
            <w:vAlign w:val="bottom"/>
            <w:shd w:val="clear" w:color="auto" w:fill="CFF0FC"/>
          </w:tcPr>
          <w:p>
            <w:pPr>
              <w:spacing w:after="0"/>
              <w:rPr>
                <w:sz w:val="15"/>
                <w:szCs w:val="15"/>
                <w:color w:val="auto"/>
              </w:rPr>
            </w:pPr>
          </w:p>
        </w:tc>
      </w:tr>
      <w:tr>
        <w:trPr>
          <w:trHeight w:val="176"/>
        </w:trPr>
        <w:tc>
          <w:tcPr>
            <w:tcW w:w="7820" w:type="dxa"/>
            <w:vAlign w:val="bottom"/>
            <w:gridSpan w:val="2"/>
          </w:tcPr>
          <w:p>
            <w:pPr>
              <w:ind w:left="140"/>
              <w:spacing w:after="0"/>
              <w:rPr>
                <w:sz w:val="20"/>
                <w:szCs w:val="20"/>
                <w:color w:val="auto"/>
              </w:rPr>
            </w:pPr>
            <w:r>
              <w:rPr>
                <w:rFonts w:ascii="Arial" w:cs="Arial" w:eastAsia="Arial" w:hAnsi="Arial"/>
                <w:sz w:val="14"/>
                <w:szCs w:val="14"/>
                <w:color w:val="auto"/>
              </w:rPr>
              <w:t>Intangible assets, net</w:t>
            </w:r>
          </w:p>
        </w:tc>
        <w:tc>
          <w:tcPr>
            <w:tcW w:w="140" w:type="dxa"/>
            <w:vAlign w:val="bottom"/>
          </w:tcPr>
          <w:p>
            <w:pPr>
              <w:spacing w:after="0"/>
              <w:rPr>
                <w:sz w:val="15"/>
                <w:szCs w:val="15"/>
                <w:color w:val="auto"/>
              </w:rPr>
            </w:pPr>
          </w:p>
        </w:tc>
        <w:tc>
          <w:tcPr>
            <w:tcW w:w="1460" w:type="dxa"/>
            <w:vAlign w:val="bottom"/>
          </w:tcPr>
          <w:p>
            <w:pPr>
              <w:jc w:val="right"/>
              <w:spacing w:after="0"/>
              <w:rPr>
                <w:sz w:val="20"/>
                <w:szCs w:val="20"/>
                <w:color w:val="auto"/>
              </w:rPr>
            </w:pPr>
            <w:r>
              <w:rPr>
                <w:rFonts w:ascii="Arial" w:cs="Arial" w:eastAsia="Arial" w:hAnsi="Arial"/>
                <w:sz w:val="14"/>
                <w:szCs w:val="14"/>
                <w:color w:val="auto"/>
              </w:rPr>
              <w:t>20,464,439</w:t>
            </w:r>
          </w:p>
        </w:tc>
        <w:tc>
          <w:tcPr>
            <w:tcW w:w="2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80" w:type="dxa"/>
            <w:vAlign w:val="bottom"/>
          </w:tcPr>
          <w:p>
            <w:pPr>
              <w:jc w:val="right"/>
              <w:spacing w:after="0"/>
              <w:rPr>
                <w:sz w:val="20"/>
                <w:szCs w:val="20"/>
                <w:color w:val="auto"/>
              </w:rPr>
            </w:pPr>
            <w:r>
              <w:rPr>
                <w:rFonts w:ascii="Arial" w:cs="Arial" w:eastAsia="Arial" w:hAnsi="Arial"/>
                <w:sz w:val="14"/>
                <w:szCs w:val="14"/>
                <w:color w:val="auto"/>
              </w:rPr>
              <w:t>22,164,868</w:t>
            </w:r>
          </w:p>
        </w:tc>
        <w:tc>
          <w:tcPr>
            <w:tcW w:w="100" w:type="dxa"/>
            <w:vAlign w:val="bottom"/>
          </w:tcPr>
          <w:p>
            <w:pPr>
              <w:spacing w:after="0"/>
              <w:rPr>
                <w:sz w:val="15"/>
                <w:szCs w:val="15"/>
                <w:color w:val="auto"/>
              </w:rPr>
            </w:pPr>
          </w:p>
        </w:tc>
      </w:tr>
      <w:tr>
        <w:trPr>
          <w:trHeight w:val="176"/>
        </w:trPr>
        <w:tc>
          <w:tcPr>
            <w:tcW w:w="7820" w:type="dxa"/>
            <w:vAlign w:val="bottom"/>
            <w:gridSpan w:val="2"/>
            <w:shd w:val="clear" w:color="auto" w:fill="CFF0FC"/>
          </w:tcPr>
          <w:p>
            <w:pPr>
              <w:ind w:left="140"/>
              <w:spacing w:after="0"/>
              <w:rPr>
                <w:sz w:val="20"/>
                <w:szCs w:val="20"/>
                <w:color w:val="auto"/>
              </w:rPr>
            </w:pPr>
            <w:r>
              <w:rPr>
                <w:rFonts w:ascii="Arial" w:cs="Arial" w:eastAsia="Arial" w:hAnsi="Arial"/>
                <w:sz w:val="14"/>
                <w:szCs w:val="14"/>
                <w:color w:val="auto"/>
              </w:rPr>
              <w:t>Other assets</w:t>
            </w:r>
          </w:p>
        </w:tc>
        <w:tc>
          <w:tcPr>
            <w:tcW w:w="140" w:type="dxa"/>
            <w:vAlign w:val="bottom"/>
            <w:tcBorders>
              <w:bottom w:val="single" w:sz="8" w:color="auto"/>
            </w:tcBorders>
            <w:shd w:val="clear" w:color="auto" w:fill="CFF0FC"/>
          </w:tcPr>
          <w:p>
            <w:pPr>
              <w:spacing w:after="0"/>
              <w:rPr>
                <w:sz w:val="15"/>
                <w:szCs w:val="15"/>
                <w:color w:val="auto"/>
              </w:rPr>
            </w:pPr>
          </w:p>
        </w:tc>
        <w:tc>
          <w:tcPr>
            <w:tcW w:w="14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141,918</w:t>
            </w:r>
          </w:p>
        </w:tc>
        <w:tc>
          <w:tcPr>
            <w:tcW w:w="280" w:type="dxa"/>
            <w:vAlign w:val="bottom"/>
            <w:shd w:val="clear" w:color="auto" w:fill="CFF0FC"/>
          </w:tcPr>
          <w:p>
            <w:pPr>
              <w:spacing w:after="0"/>
              <w:rPr>
                <w:sz w:val="15"/>
                <w:szCs w:val="15"/>
                <w:color w:val="auto"/>
              </w:rPr>
            </w:pPr>
          </w:p>
        </w:tc>
        <w:tc>
          <w:tcPr>
            <w:tcW w:w="140" w:type="dxa"/>
            <w:vAlign w:val="bottom"/>
            <w:tcBorders>
              <w:bottom w:val="single" w:sz="8" w:color="auto"/>
            </w:tcBorders>
            <w:shd w:val="clear" w:color="auto" w:fill="CFF0FC"/>
          </w:tcPr>
          <w:p>
            <w:pPr>
              <w:spacing w:after="0"/>
              <w:rPr>
                <w:sz w:val="15"/>
                <w:szCs w:val="15"/>
                <w:color w:val="auto"/>
              </w:rPr>
            </w:pPr>
          </w:p>
        </w:tc>
        <w:tc>
          <w:tcPr>
            <w:tcW w:w="14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122,333</w:t>
            </w:r>
          </w:p>
        </w:tc>
        <w:tc>
          <w:tcPr>
            <w:tcW w:w="100" w:type="dxa"/>
            <w:vAlign w:val="bottom"/>
            <w:shd w:val="clear" w:color="auto" w:fill="CFF0FC"/>
          </w:tcPr>
          <w:p>
            <w:pPr>
              <w:spacing w:after="0"/>
              <w:rPr>
                <w:sz w:val="15"/>
                <w:szCs w:val="15"/>
                <w:color w:val="auto"/>
              </w:rPr>
            </w:pPr>
          </w:p>
        </w:tc>
      </w:tr>
      <w:tr>
        <w:trPr>
          <w:trHeight w:val="209"/>
        </w:trPr>
        <w:tc>
          <w:tcPr>
            <w:tcW w:w="700" w:type="dxa"/>
            <w:vAlign w:val="bottom"/>
            <w:tcBorders>
              <w:bottom w:val="single" w:sz="8" w:color="CFF0FC"/>
            </w:tcBorders>
          </w:tcPr>
          <w:p>
            <w:pPr>
              <w:spacing w:after="0"/>
              <w:rPr>
                <w:sz w:val="18"/>
                <w:szCs w:val="18"/>
                <w:color w:val="auto"/>
              </w:rPr>
            </w:pPr>
          </w:p>
        </w:tc>
        <w:tc>
          <w:tcPr>
            <w:tcW w:w="7120" w:type="dxa"/>
            <w:vAlign w:val="bottom"/>
            <w:tcBorders>
              <w:bottom w:val="single" w:sz="8" w:color="CFF0FC"/>
            </w:tcBorders>
          </w:tcPr>
          <w:p>
            <w:pPr>
              <w:ind w:left="300"/>
              <w:spacing w:after="0"/>
              <w:rPr>
                <w:sz w:val="20"/>
                <w:szCs w:val="20"/>
                <w:color w:val="auto"/>
              </w:rPr>
            </w:pPr>
            <w:r>
              <w:rPr>
                <w:rFonts w:ascii="Arial" w:cs="Arial" w:eastAsia="Arial" w:hAnsi="Arial"/>
                <w:sz w:val="14"/>
                <w:szCs w:val="14"/>
                <w:b w:val="1"/>
                <w:bCs w:val="1"/>
                <w:color w:val="auto"/>
              </w:rPr>
              <w:t>TOTAL ASSETS</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76"/>
              </w:rPr>
              <w:t>$</w:t>
            </w: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104,022,280</w:t>
            </w:r>
          </w:p>
        </w:tc>
        <w:tc>
          <w:tcPr>
            <w:tcW w:w="280" w:type="dxa"/>
            <w:vAlign w:val="bottom"/>
            <w:tcBorders>
              <w:bottom w:val="single" w:sz="8" w:color="CFF0FC"/>
            </w:tcBorders>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76"/>
              </w:rPr>
              <w:t>$</w:t>
            </w: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128,176,505</w:t>
            </w:r>
          </w:p>
        </w:tc>
        <w:tc>
          <w:tcPr>
            <w:tcW w:w="100" w:type="dxa"/>
            <w:vAlign w:val="bottom"/>
            <w:tcBorders>
              <w:bottom w:val="single" w:sz="8" w:color="CFF0FC"/>
            </w:tcBorders>
          </w:tcPr>
          <w:p>
            <w:pPr>
              <w:spacing w:after="0"/>
              <w:rPr>
                <w:sz w:val="18"/>
                <w:szCs w:val="18"/>
                <w:color w:val="auto"/>
              </w:rPr>
            </w:pPr>
          </w:p>
        </w:tc>
      </w:tr>
      <w:tr>
        <w:trPr>
          <w:trHeight w:val="156"/>
        </w:trPr>
        <w:tc>
          <w:tcPr>
            <w:tcW w:w="700" w:type="dxa"/>
            <w:vAlign w:val="bottom"/>
            <w:shd w:val="clear" w:color="auto" w:fill="CFF0FC"/>
          </w:tcPr>
          <w:p>
            <w:pPr>
              <w:spacing w:after="0"/>
              <w:rPr>
                <w:sz w:val="13"/>
                <w:szCs w:val="13"/>
                <w:color w:val="auto"/>
              </w:rPr>
            </w:pPr>
          </w:p>
        </w:tc>
        <w:tc>
          <w:tcPr>
            <w:tcW w:w="7120" w:type="dxa"/>
            <w:vAlign w:val="bottom"/>
            <w:shd w:val="clear" w:color="auto" w:fill="CFF0FC"/>
          </w:tcPr>
          <w:p>
            <w:pPr>
              <w:ind w:left="1640"/>
              <w:spacing w:after="0" w:line="156" w:lineRule="exact"/>
              <w:rPr>
                <w:sz w:val="20"/>
                <w:szCs w:val="20"/>
                <w:color w:val="auto"/>
              </w:rPr>
            </w:pPr>
            <w:r>
              <w:rPr>
                <w:rFonts w:ascii="Arial" w:cs="Arial" w:eastAsia="Arial" w:hAnsi="Arial"/>
                <w:sz w:val="14"/>
                <w:szCs w:val="14"/>
                <w:b w:val="1"/>
                <w:bCs w:val="1"/>
                <w:color w:val="auto"/>
              </w:rPr>
              <w:t>LIABILITIES AND STOCKHOLDERS’ EQUITY</w:t>
            </w:r>
          </w:p>
        </w:tc>
        <w:tc>
          <w:tcPr>
            <w:tcW w:w="140" w:type="dxa"/>
            <w:vAlign w:val="bottom"/>
            <w:shd w:val="clear" w:color="auto" w:fill="CFF0FC"/>
          </w:tcPr>
          <w:p>
            <w:pPr>
              <w:spacing w:after="0"/>
              <w:rPr>
                <w:sz w:val="13"/>
                <w:szCs w:val="13"/>
                <w:color w:val="auto"/>
              </w:rPr>
            </w:pPr>
          </w:p>
        </w:tc>
        <w:tc>
          <w:tcPr>
            <w:tcW w:w="1460" w:type="dxa"/>
            <w:vAlign w:val="bottom"/>
            <w:shd w:val="clear" w:color="auto" w:fill="CFF0FC"/>
          </w:tcPr>
          <w:p>
            <w:pPr>
              <w:spacing w:after="0"/>
              <w:rPr>
                <w:sz w:val="13"/>
                <w:szCs w:val="13"/>
                <w:color w:val="auto"/>
              </w:rPr>
            </w:pPr>
          </w:p>
        </w:tc>
        <w:tc>
          <w:tcPr>
            <w:tcW w:w="28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148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r>
      <w:tr>
        <w:trPr>
          <w:trHeight w:val="176"/>
        </w:trPr>
        <w:tc>
          <w:tcPr>
            <w:tcW w:w="7820" w:type="dxa"/>
            <w:vAlign w:val="bottom"/>
            <w:gridSpan w:val="2"/>
          </w:tcPr>
          <w:p>
            <w:pPr>
              <w:ind w:left="140"/>
              <w:spacing w:after="0"/>
              <w:rPr>
                <w:sz w:val="20"/>
                <w:szCs w:val="20"/>
                <w:color w:val="auto"/>
              </w:rPr>
            </w:pPr>
            <w:r>
              <w:rPr>
                <w:rFonts w:ascii="Arial" w:cs="Arial" w:eastAsia="Arial" w:hAnsi="Arial"/>
                <w:sz w:val="14"/>
                <w:szCs w:val="14"/>
                <w:color w:val="auto"/>
              </w:rPr>
              <w:t>CURRENT LIABILITIES</w:t>
            </w:r>
          </w:p>
        </w:tc>
        <w:tc>
          <w:tcPr>
            <w:tcW w:w="14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176"/>
        </w:trPr>
        <w:tc>
          <w:tcPr>
            <w:tcW w:w="7820" w:type="dxa"/>
            <w:vAlign w:val="bottom"/>
            <w:gridSpan w:val="2"/>
            <w:shd w:val="clear" w:color="auto" w:fill="CFF0FC"/>
          </w:tcPr>
          <w:p>
            <w:pPr>
              <w:ind w:left="500"/>
              <w:spacing w:after="0"/>
              <w:rPr>
                <w:sz w:val="20"/>
                <w:szCs w:val="20"/>
                <w:color w:val="auto"/>
              </w:rPr>
            </w:pPr>
            <w:r>
              <w:rPr>
                <w:rFonts w:ascii="Arial" w:cs="Arial" w:eastAsia="Arial" w:hAnsi="Arial"/>
                <w:sz w:val="14"/>
                <w:szCs w:val="14"/>
                <w:color w:val="auto"/>
              </w:rPr>
              <w:t>Accounts payable</w:t>
            </w:r>
          </w:p>
        </w:tc>
        <w:tc>
          <w:tcPr>
            <w:tcW w:w="140" w:type="dxa"/>
            <w:vAlign w:val="bottom"/>
            <w:shd w:val="clear" w:color="auto" w:fill="CFF0FC"/>
          </w:tcPr>
          <w:p>
            <w:pPr>
              <w:jc w:val="right"/>
              <w:spacing w:after="0"/>
              <w:rPr>
                <w:sz w:val="20"/>
                <w:szCs w:val="20"/>
                <w:color w:val="auto"/>
              </w:rPr>
            </w:pPr>
            <w:r>
              <w:rPr>
                <w:rFonts w:ascii="Arial" w:cs="Arial" w:eastAsia="Arial" w:hAnsi="Arial"/>
                <w:sz w:val="14"/>
                <w:szCs w:val="14"/>
                <w:color w:val="auto"/>
                <w:w w:val="76"/>
              </w:rPr>
              <w:t>$</w:t>
            </w:r>
          </w:p>
        </w:tc>
        <w:tc>
          <w:tcPr>
            <w:tcW w:w="14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4,076,514</w:t>
            </w:r>
          </w:p>
        </w:tc>
        <w:tc>
          <w:tcPr>
            <w:tcW w:w="280" w:type="dxa"/>
            <w:vAlign w:val="bottom"/>
            <w:shd w:val="clear" w:color="auto" w:fill="CFF0FC"/>
          </w:tcPr>
          <w:p>
            <w:pPr>
              <w:spacing w:after="0"/>
              <w:rPr>
                <w:sz w:val="15"/>
                <w:szCs w:val="15"/>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4"/>
                <w:szCs w:val="14"/>
                <w:color w:val="auto"/>
                <w:w w:val="76"/>
              </w:rPr>
              <w:t>$</w:t>
            </w:r>
          </w:p>
        </w:tc>
        <w:tc>
          <w:tcPr>
            <w:tcW w:w="14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12,232,906</w:t>
            </w:r>
          </w:p>
        </w:tc>
        <w:tc>
          <w:tcPr>
            <w:tcW w:w="100" w:type="dxa"/>
            <w:vAlign w:val="bottom"/>
            <w:shd w:val="clear" w:color="auto" w:fill="CFF0FC"/>
          </w:tcPr>
          <w:p>
            <w:pPr>
              <w:spacing w:after="0"/>
              <w:rPr>
                <w:sz w:val="15"/>
                <w:szCs w:val="15"/>
                <w:color w:val="auto"/>
              </w:rPr>
            </w:pPr>
          </w:p>
        </w:tc>
      </w:tr>
      <w:tr>
        <w:trPr>
          <w:trHeight w:val="176"/>
        </w:trPr>
        <w:tc>
          <w:tcPr>
            <w:tcW w:w="7820" w:type="dxa"/>
            <w:vAlign w:val="bottom"/>
            <w:gridSpan w:val="2"/>
          </w:tcPr>
          <w:p>
            <w:pPr>
              <w:ind w:left="500"/>
              <w:spacing w:after="0"/>
              <w:rPr>
                <w:sz w:val="20"/>
                <w:szCs w:val="20"/>
                <w:color w:val="auto"/>
              </w:rPr>
            </w:pPr>
            <w:r>
              <w:rPr>
                <w:rFonts w:ascii="Arial" w:cs="Arial" w:eastAsia="Arial" w:hAnsi="Arial"/>
                <w:sz w:val="14"/>
                <w:szCs w:val="14"/>
                <w:color w:val="auto"/>
              </w:rPr>
              <w:t>Accrued expenses</w:t>
            </w:r>
          </w:p>
        </w:tc>
        <w:tc>
          <w:tcPr>
            <w:tcW w:w="140" w:type="dxa"/>
            <w:vAlign w:val="bottom"/>
          </w:tcPr>
          <w:p>
            <w:pPr>
              <w:spacing w:after="0"/>
              <w:rPr>
                <w:sz w:val="15"/>
                <w:szCs w:val="15"/>
                <w:color w:val="auto"/>
              </w:rPr>
            </w:pPr>
          </w:p>
        </w:tc>
        <w:tc>
          <w:tcPr>
            <w:tcW w:w="1460" w:type="dxa"/>
            <w:vAlign w:val="bottom"/>
          </w:tcPr>
          <w:p>
            <w:pPr>
              <w:jc w:val="right"/>
              <w:spacing w:after="0"/>
              <w:rPr>
                <w:sz w:val="20"/>
                <w:szCs w:val="20"/>
                <w:color w:val="auto"/>
              </w:rPr>
            </w:pPr>
            <w:r>
              <w:rPr>
                <w:rFonts w:ascii="Arial" w:cs="Arial" w:eastAsia="Arial" w:hAnsi="Arial"/>
                <w:sz w:val="14"/>
                <w:szCs w:val="14"/>
                <w:color w:val="auto"/>
              </w:rPr>
              <w:t>4,564,507</w:t>
            </w:r>
          </w:p>
        </w:tc>
        <w:tc>
          <w:tcPr>
            <w:tcW w:w="2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80" w:type="dxa"/>
            <w:vAlign w:val="bottom"/>
          </w:tcPr>
          <w:p>
            <w:pPr>
              <w:jc w:val="right"/>
              <w:spacing w:after="0"/>
              <w:rPr>
                <w:sz w:val="20"/>
                <w:szCs w:val="20"/>
                <w:color w:val="auto"/>
              </w:rPr>
            </w:pPr>
            <w:r>
              <w:rPr>
                <w:rFonts w:ascii="Arial" w:cs="Arial" w:eastAsia="Arial" w:hAnsi="Arial"/>
                <w:sz w:val="14"/>
                <w:szCs w:val="14"/>
                <w:color w:val="auto"/>
              </w:rPr>
              <w:t>4,587,467</w:t>
            </w:r>
          </w:p>
        </w:tc>
        <w:tc>
          <w:tcPr>
            <w:tcW w:w="100" w:type="dxa"/>
            <w:vAlign w:val="bottom"/>
          </w:tcPr>
          <w:p>
            <w:pPr>
              <w:spacing w:after="0"/>
              <w:rPr>
                <w:sz w:val="15"/>
                <w:szCs w:val="15"/>
                <w:color w:val="auto"/>
              </w:rPr>
            </w:pPr>
          </w:p>
        </w:tc>
      </w:tr>
      <w:tr>
        <w:trPr>
          <w:trHeight w:val="176"/>
        </w:trPr>
        <w:tc>
          <w:tcPr>
            <w:tcW w:w="7820" w:type="dxa"/>
            <w:vAlign w:val="bottom"/>
            <w:gridSpan w:val="2"/>
            <w:shd w:val="clear" w:color="auto" w:fill="CFF0FC"/>
          </w:tcPr>
          <w:p>
            <w:pPr>
              <w:ind w:left="500"/>
              <w:spacing w:after="0"/>
              <w:rPr>
                <w:sz w:val="20"/>
                <w:szCs w:val="20"/>
                <w:color w:val="auto"/>
              </w:rPr>
            </w:pPr>
            <w:r>
              <w:rPr>
                <w:rFonts w:ascii="Arial" w:cs="Arial" w:eastAsia="Arial" w:hAnsi="Arial"/>
                <w:sz w:val="14"/>
                <w:szCs w:val="14"/>
                <w:color w:val="auto"/>
              </w:rPr>
              <w:t>Accrued payroll and benefits</w:t>
            </w:r>
          </w:p>
        </w:tc>
        <w:tc>
          <w:tcPr>
            <w:tcW w:w="140" w:type="dxa"/>
            <w:vAlign w:val="bottom"/>
            <w:shd w:val="clear" w:color="auto" w:fill="CFF0FC"/>
          </w:tcPr>
          <w:p>
            <w:pPr>
              <w:spacing w:after="0"/>
              <w:rPr>
                <w:sz w:val="15"/>
                <w:szCs w:val="15"/>
                <w:color w:val="auto"/>
              </w:rPr>
            </w:pPr>
          </w:p>
        </w:tc>
        <w:tc>
          <w:tcPr>
            <w:tcW w:w="14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3,399,679</w:t>
            </w:r>
          </w:p>
        </w:tc>
        <w:tc>
          <w:tcPr>
            <w:tcW w:w="28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14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3,969,706</w:t>
            </w:r>
          </w:p>
        </w:tc>
        <w:tc>
          <w:tcPr>
            <w:tcW w:w="100" w:type="dxa"/>
            <w:vAlign w:val="bottom"/>
            <w:shd w:val="clear" w:color="auto" w:fill="CFF0FC"/>
          </w:tcPr>
          <w:p>
            <w:pPr>
              <w:spacing w:after="0"/>
              <w:rPr>
                <w:sz w:val="15"/>
                <w:szCs w:val="15"/>
                <w:color w:val="auto"/>
              </w:rPr>
            </w:pPr>
          </w:p>
        </w:tc>
      </w:tr>
      <w:tr>
        <w:trPr>
          <w:trHeight w:val="176"/>
        </w:trPr>
        <w:tc>
          <w:tcPr>
            <w:tcW w:w="7820" w:type="dxa"/>
            <w:vAlign w:val="bottom"/>
            <w:gridSpan w:val="2"/>
          </w:tcPr>
          <w:p>
            <w:pPr>
              <w:ind w:left="500"/>
              <w:spacing w:after="0"/>
              <w:rPr>
                <w:sz w:val="20"/>
                <w:szCs w:val="20"/>
                <w:color w:val="auto"/>
              </w:rPr>
            </w:pPr>
            <w:r>
              <w:rPr>
                <w:rFonts w:ascii="Arial" w:cs="Arial" w:eastAsia="Arial" w:hAnsi="Arial"/>
                <w:sz w:val="14"/>
                <w:szCs w:val="14"/>
                <w:color w:val="auto"/>
              </w:rPr>
              <w:t>Deferred rent</w:t>
            </w:r>
          </w:p>
        </w:tc>
        <w:tc>
          <w:tcPr>
            <w:tcW w:w="140" w:type="dxa"/>
            <w:vAlign w:val="bottom"/>
          </w:tcPr>
          <w:p>
            <w:pPr>
              <w:spacing w:after="0"/>
              <w:rPr>
                <w:sz w:val="15"/>
                <w:szCs w:val="15"/>
                <w:color w:val="auto"/>
              </w:rPr>
            </w:pPr>
          </w:p>
        </w:tc>
        <w:tc>
          <w:tcPr>
            <w:tcW w:w="1460" w:type="dxa"/>
            <w:vAlign w:val="bottom"/>
          </w:tcPr>
          <w:p>
            <w:pPr>
              <w:jc w:val="right"/>
              <w:spacing w:after="0"/>
              <w:rPr>
                <w:sz w:val="20"/>
                <w:szCs w:val="20"/>
                <w:color w:val="auto"/>
              </w:rPr>
            </w:pPr>
            <w:r>
              <w:rPr>
                <w:rFonts w:ascii="Arial" w:cs="Arial" w:eastAsia="Arial" w:hAnsi="Arial"/>
                <w:sz w:val="14"/>
                <w:szCs w:val="14"/>
                <w:color w:val="auto"/>
              </w:rPr>
              <w:t>440,580</w:t>
            </w:r>
          </w:p>
        </w:tc>
        <w:tc>
          <w:tcPr>
            <w:tcW w:w="2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80" w:type="dxa"/>
            <w:vAlign w:val="bottom"/>
          </w:tcPr>
          <w:p>
            <w:pPr>
              <w:jc w:val="right"/>
              <w:spacing w:after="0"/>
              <w:rPr>
                <w:sz w:val="20"/>
                <w:szCs w:val="20"/>
                <w:color w:val="auto"/>
              </w:rPr>
            </w:pPr>
            <w:r>
              <w:rPr>
                <w:rFonts w:ascii="Arial" w:cs="Arial" w:eastAsia="Arial" w:hAnsi="Arial"/>
                <w:sz w:val="14"/>
                <w:szCs w:val="14"/>
                <w:color w:val="auto"/>
              </w:rPr>
              <w:t>440,580</w:t>
            </w:r>
          </w:p>
        </w:tc>
        <w:tc>
          <w:tcPr>
            <w:tcW w:w="100" w:type="dxa"/>
            <w:vAlign w:val="bottom"/>
          </w:tcPr>
          <w:p>
            <w:pPr>
              <w:spacing w:after="0"/>
              <w:rPr>
                <w:sz w:val="15"/>
                <w:szCs w:val="15"/>
                <w:color w:val="auto"/>
              </w:rPr>
            </w:pPr>
          </w:p>
        </w:tc>
      </w:tr>
      <w:tr>
        <w:trPr>
          <w:trHeight w:val="176"/>
        </w:trPr>
        <w:tc>
          <w:tcPr>
            <w:tcW w:w="7820" w:type="dxa"/>
            <w:vAlign w:val="bottom"/>
            <w:gridSpan w:val="2"/>
            <w:shd w:val="clear" w:color="auto" w:fill="CFF0FC"/>
          </w:tcPr>
          <w:p>
            <w:pPr>
              <w:ind w:left="500"/>
              <w:spacing w:after="0"/>
              <w:rPr>
                <w:sz w:val="20"/>
                <w:szCs w:val="20"/>
                <w:color w:val="auto"/>
              </w:rPr>
            </w:pPr>
            <w:r>
              <w:rPr>
                <w:rFonts w:ascii="Arial" w:cs="Arial" w:eastAsia="Arial" w:hAnsi="Arial"/>
                <w:sz w:val="14"/>
                <w:szCs w:val="14"/>
                <w:color w:val="auto"/>
              </w:rPr>
              <w:t>Deferred revenue</w:t>
            </w:r>
          </w:p>
        </w:tc>
        <w:tc>
          <w:tcPr>
            <w:tcW w:w="140" w:type="dxa"/>
            <w:vAlign w:val="bottom"/>
            <w:shd w:val="clear" w:color="auto" w:fill="CFF0FC"/>
          </w:tcPr>
          <w:p>
            <w:pPr>
              <w:spacing w:after="0"/>
              <w:rPr>
                <w:sz w:val="15"/>
                <w:szCs w:val="15"/>
                <w:color w:val="auto"/>
              </w:rPr>
            </w:pPr>
          </w:p>
        </w:tc>
        <w:tc>
          <w:tcPr>
            <w:tcW w:w="14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5,269,741</w:t>
            </w:r>
          </w:p>
        </w:tc>
        <w:tc>
          <w:tcPr>
            <w:tcW w:w="28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14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2,569,792</w:t>
            </w:r>
          </w:p>
        </w:tc>
        <w:tc>
          <w:tcPr>
            <w:tcW w:w="100" w:type="dxa"/>
            <w:vAlign w:val="bottom"/>
            <w:shd w:val="clear" w:color="auto" w:fill="CFF0FC"/>
          </w:tcPr>
          <w:p>
            <w:pPr>
              <w:spacing w:after="0"/>
              <w:rPr>
                <w:sz w:val="15"/>
                <w:szCs w:val="15"/>
                <w:color w:val="auto"/>
              </w:rPr>
            </w:pPr>
          </w:p>
        </w:tc>
      </w:tr>
      <w:tr>
        <w:trPr>
          <w:trHeight w:val="176"/>
        </w:trPr>
        <w:tc>
          <w:tcPr>
            <w:tcW w:w="7820" w:type="dxa"/>
            <w:vAlign w:val="bottom"/>
            <w:gridSpan w:val="2"/>
          </w:tcPr>
          <w:p>
            <w:pPr>
              <w:ind w:left="500"/>
              <w:spacing w:after="0"/>
              <w:rPr>
                <w:sz w:val="20"/>
                <w:szCs w:val="20"/>
                <w:color w:val="auto"/>
              </w:rPr>
            </w:pPr>
            <w:r>
              <w:rPr>
                <w:rFonts w:ascii="Arial" w:cs="Arial" w:eastAsia="Arial" w:hAnsi="Arial"/>
                <w:sz w:val="14"/>
                <w:szCs w:val="14"/>
                <w:color w:val="auto"/>
              </w:rPr>
              <w:t>Derivative liabilities</w:t>
            </w:r>
          </w:p>
        </w:tc>
        <w:tc>
          <w:tcPr>
            <w:tcW w:w="140" w:type="dxa"/>
            <w:vAlign w:val="bottom"/>
          </w:tcPr>
          <w:p>
            <w:pPr>
              <w:spacing w:after="0"/>
              <w:rPr>
                <w:sz w:val="15"/>
                <w:szCs w:val="15"/>
                <w:color w:val="auto"/>
              </w:rPr>
            </w:pPr>
          </w:p>
        </w:tc>
        <w:tc>
          <w:tcPr>
            <w:tcW w:w="1460" w:type="dxa"/>
            <w:vAlign w:val="bottom"/>
          </w:tcPr>
          <w:p>
            <w:pPr>
              <w:jc w:val="right"/>
              <w:spacing w:after="0"/>
              <w:rPr>
                <w:sz w:val="20"/>
                <w:szCs w:val="20"/>
                <w:color w:val="auto"/>
              </w:rPr>
            </w:pPr>
            <w:r>
              <w:rPr>
                <w:rFonts w:ascii="Arial" w:cs="Arial" w:eastAsia="Arial" w:hAnsi="Arial"/>
                <w:sz w:val="14"/>
                <w:szCs w:val="14"/>
                <w:color w:val="auto"/>
              </w:rPr>
              <w:t>695,114</w:t>
            </w:r>
          </w:p>
        </w:tc>
        <w:tc>
          <w:tcPr>
            <w:tcW w:w="2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80" w:type="dxa"/>
            <w:vAlign w:val="bottom"/>
          </w:tcPr>
          <w:p>
            <w:pPr>
              <w:jc w:val="right"/>
              <w:spacing w:after="0"/>
              <w:rPr>
                <w:sz w:val="20"/>
                <w:szCs w:val="20"/>
                <w:color w:val="auto"/>
              </w:rPr>
            </w:pPr>
            <w:r>
              <w:rPr>
                <w:rFonts w:ascii="Arial" w:cs="Arial" w:eastAsia="Arial" w:hAnsi="Arial"/>
                <w:sz w:val="14"/>
                <w:szCs w:val="14"/>
                <w:color w:val="auto"/>
              </w:rPr>
              <w:t>1,602,626</w:t>
            </w:r>
          </w:p>
        </w:tc>
        <w:tc>
          <w:tcPr>
            <w:tcW w:w="100" w:type="dxa"/>
            <w:vAlign w:val="bottom"/>
          </w:tcPr>
          <w:p>
            <w:pPr>
              <w:spacing w:after="0"/>
              <w:rPr>
                <w:sz w:val="15"/>
                <w:szCs w:val="15"/>
                <w:color w:val="auto"/>
              </w:rPr>
            </w:pPr>
          </w:p>
        </w:tc>
      </w:tr>
      <w:tr>
        <w:trPr>
          <w:trHeight w:val="176"/>
        </w:trPr>
        <w:tc>
          <w:tcPr>
            <w:tcW w:w="7820" w:type="dxa"/>
            <w:vAlign w:val="bottom"/>
            <w:gridSpan w:val="2"/>
            <w:shd w:val="clear" w:color="auto" w:fill="CFF0FC"/>
          </w:tcPr>
          <w:p>
            <w:pPr>
              <w:ind w:left="500"/>
              <w:spacing w:after="0"/>
              <w:rPr>
                <w:sz w:val="20"/>
                <w:szCs w:val="20"/>
                <w:color w:val="auto"/>
              </w:rPr>
            </w:pPr>
            <w:r>
              <w:rPr>
                <w:rFonts w:ascii="Arial" w:cs="Arial" w:eastAsia="Arial" w:hAnsi="Arial"/>
                <w:sz w:val="14"/>
                <w:szCs w:val="14"/>
                <w:color w:val="auto"/>
              </w:rPr>
              <w:t>Note Payable</w:t>
            </w:r>
          </w:p>
        </w:tc>
        <w:tc>
          <w:tcPr>
            <w:tcW w:w="140" w:type="dxa"/>
            <w:vAlign w:val="bottom"/>
            <w:shd w:val="clear" w:color="auto" w:fill="CFF0FC"/>
          </w:tcPr>
          <w:p>
            <w:pPr>
              <w:spacing w:after="0"/>
              <w:rPr>
                <w:sz w:val="15"/>
                <w:szCs w:val="15"/>
                <w:color w:val="auto"/>
              </w:rPr>
            </w:pPr>
          </w:p>
        </w:tc>
        <w:tc>
          <w:tcPr>
            <w:tcW w:w="14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208,506</w:t>
            </w:r>
          </w:p>
        </w:tc>
        <w:tc>
          <w:tcPr>
            <w:tcW w:w="28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14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194,310</w:t>
            </w:r>
          </w:p>
        </w:tc>
        <w:tc>
          <w:tcPr>
            <w:tcW w:w="100" w:type="dxa"/>
            <w:vAlign w:val="bottom"/>
            <w:shd w:val="clear" w:color="auto" w:fill="CFF0FC"/>
          </w:tcPr>
          <w:p>
            <w:pPr>
              <w:spacing w:after="0"/>
              <w:rPr>
                <w:sz w:val="15"/>
                <w:szCs w:val="15"/>
                <w:color w:val="auto"/>
              </w:rPr>
            </w:pPr>
          </w:p>
        </w:tc>
      </w:tr>
      <w:tr>
        <w:trPr>
          <w:trHeight w:val="176"/>
        </w:trPr>
        <w:tc>
          <w:tcPr>
            <w:tcW w:w="7820" w:type="dxa"/>
            <w:vAlign w:val="bottom"/>
            <w:tcBorders>
              <w:bottom w:val="single" w:sz="8" w:color="CFF0FC"/>
            </w:tcBorders>
            <w:gridSpan w:val="2"/>
          </w:tcPr>
          <w:p>
            <w:pPr>
              <w:ind w:left="500"/>
              <w:spacing w:after="0"/>
              <w:rPr>
                <w:sz w:val="20"/>
                <w:szCs w:val="20"/>
                <w:color w:val="auto"/>
              </w:rPr>
            </w:pPr>
            <w:r>
              <w:rPr>
                <w:rFonts w:ascii="Arial" w:cs="Arial" w:eastAsia="Arial" w:hAnsi="Arial"/>
                <w:sz w:val="14"/>
                <w:szCs w:val="14"/>
                <w:color w:val="auto"/>
              </w:rPr>
              <w:t>Other current liabilities</w:t>
            </w:r>
          </w:p>
        </w:tc>
        <w:tc>
          <w:tcPr>
            <w:tcW w:w="140" w:type="dxa"/>
            <w:vAlign w:val="bottom"/>
            <w:tcBorders>
              <w:bottom w:val="single" w:sz="8" w:color="auto"/>
            </w:tcBorders>
          </w:tcPr>
          <w:p>
            <w:pPr>
              <w:spacing w:after="0"/>
              <w:rPr>
                <w:sz w:val="15"/>
                <w:szCs w:val="15"/>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46,407</w:t>
            </w:r>
          </w:p>
        </w:tc>
        <w:tc>
          <w:tcPr>
            <w:tcW w:w="280" w:type="dxa"/>
            <w:vAlign w:val="bottom"/>
            <w:tcBorders>
              <w:bottom w:val="single" w:sz="8" w:color="CFF0FC"/>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46,407</w:t>
            </w:r>
          </w:p>
        </w:tc>
        <w:tc>
          <w:tcPr>
            <w:tcW w:w="100" w:type="dxa"/>
            <w:vAlign w:val="bottom"/>
            <w:tcBorders>
              <w:bottom w:val="single" w:sz="8" w:color="CFF0FC"/>
            </w:tcBorders>
          </w:tcPr>
          <w:p>
            <w:pPr>
              <w:spacing w:after="0"/>
              <w:rPr>
                <w:sz w:val="15"/>
                <w:szCs w:val="15"/>
                <w:color w:val="auto"/>
              </w:rPr>
            </w:pPr>
          </w:p>
        </w:tc>
      </w:tr>
      <w:tr>
        <w:trPr>
          <w:trHeight w:val="169"/>
        </w:trPr>
        <w:tc>
          <w:tcPr>
            <w:tcW w:w="700" w:type="dxa"/>
            <w:vAlign w:val="bottom"/>
            <w:shd w:val="clear" w:color="auto" w:fill="CFF0FC"/>
          </w:tcPr>
          <w:p>
            <w:pPr>
              <w:spacing w:after="0"/>
              <w:rPr>
                <w:sz w:val="14"/>
                <w:szCs w:val="14"/>
                <w:color w:val="auto"/>
              </w:rPr>
            </w:pPr>
          </w:p>
        </w:tc>
        <w:tc>
          <w:tcPr>
            <w:tcW w:w="7120" w:type="dxa"/>
            <w:vAlign w:val="bottom"/>
            <w:shd w:val="clear" w:color="auto" w:fill="CFF0FC"/>
          </w:tcPr>
          <w:p>
            <w:pPr>
              <w:ind w:left="40"/>
              <w:spacing w:after="0"/>
              <w:rPr>
                <w:sz w:val="20"/>
                <w:szCs w:val="20"/>
                <w:color w:val="auto"/>
              </w:rPr>
            </w:pPr>
            <w:r>
              <w:rPr>
                <w:rFonts w:ascii="Arial" w:cs="Arial" w:eastAsia="Arial" w:hAnsi="Arial"/>
                <w:sz w:val="14"/>
                <w:szCs w:val="14"/>
                <w:color w:val="auto"/>
              </w:rPr>
              <w:t>TOTAL CURRENT LIABILITIES</w:t>
            </w:r>
          </w:p>
        </w:tc>
        <w:tc>
          <w:tcPr>
            <w:tcW w:w="140" w:type="dxa"/>
            <w:vAlign w:val="bottom"/>
            <w:shd w:val="clear" w:color="auto" w:fill="CFF0FC"/>
          </w:tcPr>
          <w:p>
            <w:pPr>
              <w:spacing w:after="0"/>
              <w:rPr>
                <w:sz w:val="14"/>
                <w:szCs w:val="14"/>
                <w:color w:val="auto"/>
              </w:rPr>
            </w:pPr>
          </w:p>
        </w:tc>
        <w:tc>
          <w:tcPr>
            <w:tcW w:w="14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18,701,048</w:t>
            </w:r>
          </w:p>
        </w:tc>
        <w:tc>
          <w:tcPr>
            <w:tcW w:w="28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4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25,643,794</w:t>
            </w:r>
          </w:p>
        </w:tc>
        <w:tc>
          <w:tcPr>
            <w:tcW w:w="100" w:type="dxa"/>
            <w:vAlign w:val="bottom"/>
            <w:shd w:val="clear" w:color="auto" w:fill="CFF0FC"/>
          </w:tcPr>
          <w:p>
            <w:pPr>
              <w:spacing w:after="0"/>
              <w:rPr>
                <w:sz w:val="14"/>
                <w:szCs w:val="14"/>
                <w:color w:val="auto"/>
              </w:rPr>
            </w:pPr>
          </w:p>
        </w:tc>
      </w:tr>
      <w:tr>
        <w:trPr>
          <w:trHeight w:val="176"/>
        </w:trPr>
        <w:tc>
          <w:tcPr>
            <w:tcW w:w="7820" w:type="dxa"/>
            <w:vAlign w:val="bottom"/>
            <w:gridSpan w:val="2"/>
          </w:tcPr>
          <w:p>
            <w:pPr>
              <w:ind w:left="140"/>
              <w:spacing w:after="0"/>
              <w:rPr>
                <w:sz w:val="20"/>
                <w:szCs w:val="20"/>
                <w:color w:val="auto"/>
              </w:rPr>
            </w:pPr>
            <w:r>
              <w:rPr>
                <w:rFonts w:ascii="Arial" w:cs="Arial" w:eastAsia="Arial" w:hAnsi="Arial"/>
                <w:sz w:val="14"/>
                <w:szCs w:val="14"/>
                <w:color w:val="auto"/>
              </w:rPr>
              <w:t>LONG-TERM LIABILITIES</w:t>
            </w:r>
          </w:p>
        </w:tc>
        <w:tc>
          <w:tcPr>
            <w:tcW w:w="14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176"/>
        </w:trPr>
        <w:tc>
          <w:tcPr>
            <w:tcW w:w="7820" w:type="dxa"/>
            <w:vAlign w:val="bottom"/>
            <w:gridSpan w:val="2"/>
            <w:shd w:val="clear" w:color="auto" w:fill="CFF0FC"/>
          </w:tcPr>
          <w:p>
            <w:pPr>
              <w:ind w:left="500"/>
              <w:spacing w:after="0"/>
              <w:rPr>
                <w:sz w:val="20"/>
                <w:szCs w:val="20"/>
                <w:color w:val="auto"/>
              </w:rPr>
            </w:pPr>
            <w:r>
              <w:rPr>
                <w:rFonts w:ascii="Arial" w:cs="Arial" w:eastAsia="Arial" w:hAnsi="Arial"/>
                <w:sz w:val="14"/>
                <w:szCs w:val="14"/>
                <w:color w:val="auto"/>
              </w:rPr>
              <w:t>Deferred rent, net of current portion</w:t>
            </w:r>
          </w:p>
        </w:tc>
        <w:tc>
          <w:tcPr>
            <w:tcW w:w="140" w:type="dxa"/>
            <w:vAlign w:val="bottom"/>
            <w:shd w:val="clear" w:color="auto" w:fill="CFF0FC"/>
          </w:tcPr>
          <w:p>
            <w:pPr>
              <w:spacing w:after="0"/>
              <w:rPr>
                <w:sz w:val="15"/>
                <w:szCs w:val="15"/>
                <w:color w:val="auto"/>
              </w:rPr>
            </w:pPr>
          </w:p>
        </w:tc>
        <w:tc>
          <w:tcPr>
            <w:tcW w:w="14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1,929,052</w:t>
            </w:r>
          </w:p>
        </w:tc>
        <w:tc>
          <w:tcPr>
            <w:tcW w:w="28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14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2,274,997</w:t>
            </w:r>
          </w:p>
        </w:tc>
        <w:tc>
          <w:tcPr>
            <w:tcW w:w="100" w:type="dxa"/>
            <w:vAlign w:val="bottom"/>
            <w:shd w:val="clear" w:color="auto" w:fill="CFF0FC"/>
          </w:tcPr>
          <w:p>
            <w:pPr>
              <w:spacing w:after="0"/>
              <w:rPr>
                <w:sz w:val="15"/>
                <w:szCs w:val="15"/>
                <w:color w:val="auto"/>
              </w:rPr>
            </w:pPr>
          </w:p>
        </w:tc>
      </w:tr>
      <w:tr>
        <w:trPr>
          <w:trHeight w:val="176"/>
        </w:trPr>
        <w:tc>
          <w:tcPr>
            <w:tcW w:w="7820" w:type="dxa"/>
            <w:vAlign w:val="bottom"/>
            <w:gridSpan w:val="2"/>
          </w:tcPr>
          <w:p>
            <w:pPr>
              <w:ind w:left="500"/>
              <w:spacing w:after="0"/>
              <w:rPr>
                <w:sz w:val="20"/>
                <w:szCs w:val="20"/>
                <w:color w:val="auto"/>
              </w:rPr>
            </w:pPr>
            <w:r>
              <w:rPr>
                <w:rFonts w:ascii="Arial" w:cs="Arial" w:eastAsia="Arial" w:hAnsi="Arial"/>
                <w:sz w:val="14"/>
                <w:szCs w:val="14"/>
                <w:color w:val="auto"/>
              </w:rPr>
              <w:t>Deferred revenue, net of current portion</w:t>
            </w:r>
          </w:p>
        </w:tc>
        <w:tc>
          <w:tcPr>
            <w:tcW w:w="140" w:type="dxa"/>
            <w:vAlign w:val="bottom"/>
          </w:tcPr>
          <w:p>
            <w:pPr>
              <w:spacing w:after="0"/>
              <w:rPr>
                <w:sz w:val="15"/>
                <w:szCs w:val="15"/>
                <w:color w:val="auto"/>
              </w:rPr>
            </w:pPr>
          </w:p>
        </w:tc>
        <w:tc>
          <w:tcPr>
            <w:tcW w:w="1460" w:type="dxa"/>
            <w:vAlign w:val="bottom"/>
          </w:tcPr>
          <w:p>
            <w:pPr>
              <w:jc w:val="right"/>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80" w:type="dxa"/>
            <w:vAlign w:val="bottom"/>
          </w:tcPr>
          <w:p>
            <w:pPr>
              <w:jc w:val="right"/>
              <w:spacing w:after="0"/>
              <w:rPr>
                <w:sz w:val="20"/>
                <w:szCs w:val="20"/>
                <w:color w:val="auto"/>
              </w:rPr>
            </w:pPr>
            <w:r>
              <w:rPr>
                <w:rFonts w:ascii="Arial" w:cs="Arial" w:eastAsia="Arial" w:hAnsi="Arial"/>
                <w:sz w:val="14"/>
                <w:szCs w:val="14"/>
                <w:color w:val="auto"/>
              </w:rPr>
              <w:t>2,500,000</w:t>
            </w:r>
          </w:p>
        </w:tc>
        <w:tc>
          <w:tcPr>
            <w:tcW w:w="100" w:type="dxa"/>
            <w:vAlign w:val="bottom"/>
          </w:tcPr>
          <w:p>
            <w:pPr>
              <w:spacing w:after="0"/>
              <w:rPr>
                <w:sz w:val="15"/>
                <w:szCs w:val="15"/>
                <w:color w:val="auto"/>
              </w:rPr>
            </w:pPr>
          </w:p>
        </w:tc>
      </w:tr>
      <w:tr>
        <w:trPr>
          <w:trHeight w:val="176"/>
        </w:trPr>
        <w:tc>
          <w:tcPr>
            <w:tcW w:w="7820" w:type="dxa"/>
            <w:vAlign w:val="bottom"/>
            <w:gridSpan w:val="2"/>
            <w:shd w:val="clear" w:color="auto" w:fill="CFF0FC"/>
          </w:tcPr>
          <w:p>
            <w:pPr>
              <w:ind w:left="500"/>
              <w:spacing w:after="0"/>
              <w:rPr>
                <w:sz w:val="20"/>
                <w:szCs w:val="20"/>
                <w:color w:val="auto"/>
              </w:rPr>
            </w:pPr>
            <w:r>
              <w:rPr>
                <w:rFonts w:ascii="Arial" w:cs="Arial" w:eastAsia="Arial" w:hAnsi="Arial"/>
                <w:sz w:val="14"/>
                <w:szCs w:val="14"/>
                <w:color w:val="auto"/>
              </w:rPr>
              <w:t>Note Payable, net of current portion</w:t>
            </w:r>
          </w:p>
        </w:tc>
        <w:tc>
          <w:tcPr>
            <w:tcW w:w="140" w:type="dxa"/>
            <w:vAlign w:val="bottom"/>
            <w:shd w:val="clear" w:color="auto" w:fill="CFF0FC"/>
          </w:tcPr>
          <w:p>
            <w:pPr>
              <w:spacing w:after="0"/>
              <w:rPr>
                <w:sz w:val="15"/>
                <w:szCs w:val="15"/>
                <w:color w:val="auto"/>
              </w:rPr>
            </w:pPr>
          </w:p>
        </w:tc>
        <w:tc>
          <w:tcPr>
            <w:tcW w:w="14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2,325,018</w:t>
            </w:r>
          </w:p>
        </w:tc>
        <w:tc>
          <w:tcPr>
            <w:tcW w:w="28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14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2,533,455</w:t>
            </w:r>
          </w:p>
        </w:tc>
        <w:tc>
          <w:tcPr>
            <w:tcW w:w="100" w:type="dxa"/>
            <w:vAlign w:val="bottom"/>
            <w:shd w:val="clear" w:color="auto" w:fill="CFF0FC"/>
          </w:tcPr>
          <w:p>
            <w:pPr>
              <w:spacing w:after="0"/>
              <w:rPr>
                <w:sz w:val="15"/>
                <w:szCs w:val="15"/>
                <w:color w:val="auto"/>
              </w:rPr>
            </w:pPr>
          </w:p>
        </w:tc>
      </w:tr>
      <w:tr>
        <w:trPr>
          <w:trHeight w:val="176"/>
        </w:trPr>
        <w:tc>
          <w:tcPr>
            <w:tcW w:w="7820" w:type="dxa"/>
            <w:vAlign w:val="bottom"/>
            <w:tcBorders>
              <w:bottom w:val="single" w:sz="8" w:color="CFF0FC"/>
            </w:tcBorders>
            <w:gridSpan w:val="2"/>
          </w:tcPr>
          <w:p>
            <w:pPr>
              <w:ind w:left="500"/>
              <w:spacing w:after="0"/>
              <w:rPr>
                <w:sz w:val="20"/>
                <w:szCs w:val="20"/>
                <w:color w:val="auto"/>
              </w:rPr>
            </w:pPr>
            <w:r>
              <w:rPr>
                <w:rFonts w:ascii="Arial" w:cs="Arial" w:eastAsia="Arial" w:hAnsi="Arial"/>
                <w:sz w:val="14"/>
                <w:szCs w:val="14"/>
                <w:color w:val="auto"/>
              </w:rPr>
              <w:t>Other non-current liabilities</w:t>
            </w:r>
          </w:p>
        </w:tc>
        <w:tc>
          <w:tcPr>
            <w:tcW w:w="140" w:type="dxa"/>
            <w:vAlign w:val="bottom"/>
            <w:tcBorders>
              <w:bottom w:val="single" w:sz="8" w:color="auto"/>
            </w:tcBorders>
          </w:tcPr>
          <w:p>
            <w:pPr>
              <w:spacing w:after="0"/>
              <w:rPr>
                <w:sz w:val="15"/>
                <w:szCs w:val="15"/>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200,000</w:t>
            </w:r>
          </w:p>
        </w:tc>
        <w:tc>
          <w:tcPr>
            <w:tcW w:w="280" w:type="dxa"/>
            <w:vAlign w:val="bottom"/>
            <w:tcBorders>
              <w:bottom w:val="single" w:sz="8" w:color="CFF0FC"/>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200,000</w:t>
            </w:r>
          </w:p>
        </w:tc>
        <w:tc>
          <w:tcPr>
            <w:tcW w:w="100" w:type="dxa"/>
            <w:vAlign w:val="bottom"/>
            <w:tcBorders>
              <w:bottom w:val="single" w:sz="8" w:color="CFF0FC"/>
            </w:tcBorders>
          </w:tcPr>
          <w:p>
            <w:pPr>
              <w:spacing w:after="0"/>
              <w:rPr>
                <w:sz w:val="15"/>
                <w:szCs w:val="15"/>
                <w:color w:val="auto"/>
              </w:rPr>
            </w:pPr>
          </w:p>
        </w:tc>
      </w:tr>
      <w:tr>
        <w:trPr>
          <w:trHeight w:val="169"/>
        </w:trPr>
        <w:tc>
          <w:tcPr>
            <w:tcW w:w="700" w:type="dxa"/>
            <w:vAlign w:val="bottom"/>
            <w:shd w:val="clear" w:color="auto" w:fill="CFF0FC"/>
          </w:tcPr>
          <w:p>
            <w:pPr>
              <w:spacing w:after="0"/>
              <w:rPr>
                <w:sz w:val="14"/>
                <w:szCs w:val="14"/>
                <w:color w:val="auto"/>
              </w:rPr>
            </w:pPr>
          </w:p>
        </w:tc>
        <w:tc>
          <w:tcPr>
            <w:tcW w:w="7120" w:type="dxa"/>
            <w:vAlign w:val="bottom"/>
            <w:shd w:val="clear" w:color="auto" w:fill="CFF0FC"/>
          </w:tcPr>
          <w:p>
            <w:pPr>
              <w:ind w:left="40"/>
              <w:spacing w:after="0"/>
              <w:rPr>
                <w:sz w:val="20"/>
                <w:szCs w:val="20"/>
                <w:color w:val="auto"/>
              </w:rPr>
            </w:pPr>
            <w:r>
              <w:rPr>
                <w:rFonts w:ascii="Arial" w:cs="Arial" w:eastAsia="Arial" w:hAnsi="Arial"/>
                <w:sz w:val="14"/>
                <w:szCs w:val="14"/>
                <w:color w:val="auto"/>
              </w:rPr>
              <w:t>TOTAL LONG-TERM LIABILITIES</w:t>
            </w:r>
          </w:p>
        </w:tc>
        <w:tc>
          <w:tcPr>
            <w:tcW w:w="140" w:type="dxa"/>
            <w:vAlign w:val="bottom"/>
            <w:shd w:val="clear" w:color="auto" w:fill="CFF0FC"/>
          </w:tcPr>
          <w:p>
            <w:pPr>
              <w:spacing w:after="0"/>
              <w:rPr>
                <w:sz w:val="14"/>
                <w:szCs w:val="14"/>
                <w:color w:val="auto"/>
              </w:rPr>
            </w:pPr>
          </w:p>
        </w:tc>
        <w:tc>
          <w:tcPr>
            <w:tcW w:w="14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4,454,070</w:t>
            </w:r>
          </w:p>
        </w:tc>
        <w:tc>
          <w:tcPr>
            <w:tcW w:w="28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4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7,508,452</w:t>
            </w:r>
          </w:p>
        </w:tc>
        <w:tc>
          <w:tcPr>
            <w:tcW w:w="100" w:type="dxa"/>
            <w:vAlign w:val="bottom"/>
            <w:shd w:val="clear" w:color="auto" w:fill="CFF0FC"/>
          </w:tcPr>
          <w:p>
            <w:pPr>
              <w:spacing w:after="0"/>
              <w:rPr>
                <w:sz w:val="14"/>
                <w:szCs w:val="14"/>
                <w:color w:val="auto"/>
              </w:rPr>
            </w:pPr>
          </w:p>
        </w:tc>
      </w:tr>
      <w:tr>
        <w:trPr>
          <w:trHeight w:val="176"/>
        </w:trPr>
        <w:tc>
          <w:tcPr>
            <w:tcW w:w="7820" w:type="dxa"/>
            <w:vAlign w:val="bottom"/>
            <w:gridSpan w:val="2"/>
          </w:tcPr>
          <w:p>
            <w:pPr>
              <w:ind w:left="140"/>
              <w:spacing w:after="0"/>
              <w:rPr>
                <w:sz w:val="20"/>
                <w:szCs w:val="20"/>
                <w:color w:val="auto"/>
              </w:rPr>
            </w:pPr>
            <w:r>
              <w:rPr>
                <w:rFonts w:ascii="Arial" w:cs="Arial" w:eastAsia="Arial" w:hAnsi="Arial"/>
                <w:sz w:val="14"/>
                <w:szCs w:val="14"/>
                <w:color w:val="auto"/>
              </w:rPr>
              <w:t>Commitments and contingencies (Note 7)</w:t>
            </w:r>
          </w:p>
        </w:tc>
        <w:tc>
          <w:tcPr>
            <w:tcW w:w="14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176"/>
        </w:trPr>
        <w:tc>
          <w:tcPr>
            <w:tcW w:w="7820" w:type="dxa"/>
            <w:vAlign w:val="bottom"/>
            <w:gridSpan w:val="2"/>
            <w:shd w:val="clear" w:color="auto" w:fill="CFF0FC"/>
          </w:tcPr>
          <w:p>
            <w:pPr>
              <w:ind w:left="140"/>
              <w:spacing w:after="0"/>
              <w:rPr>
                <w:sz w:val="20"/>
                <w:szCs w:val="20"/>
                <w:color w:val="auto"/>
              </w:rPr>
            </w:pPr>
            <w:r>
              <w:rPr>
                <w:rFonts w:ascii="Arial" w:cs="Arial" w:eastAsia="Arial" w:hAnsi="Arial"/>
                <w:sz w:val="14"/>
                <w:szCs w:val="14"/>
                <w:color w:val="auto"/>
              </w:rPr>
              <w:t>STOCKHOLDERS’ EQUITY</w:t>
            </w:r>
          </w:p>
        </w:tc>
        <w:tc>
          <w:tcPr>
            <w:tcW w:w="140" w:type="dxa"/>
            <w:vAlign w:val="bottom"/>
            <w:shd w:val="clear" w:color="auto" w:fill="CFF0FC"/>
          </w:tcPr>
          <w:p>
            <w:pPr>
              <w:spacing w:after="0"/>
              <w:rPr>
                <w:sz w:val="15"/>
                <w:szCs w:val="15"/>
                <w:color w:val="auto"/>
              </w:rPr>
            </w:pPr>
          </w:p>
        </w:tc>
        <w:tc>
          <w:tcPr>
            <w:tcW w:w="1460" w:type="dxa"/>
            <w:vAlign w:val="bottom"/>
            <w:shd w:val="clear" w:color="auto" w:fill="CFF0FC"/>
          </w:tcPr>
          <w:p>
            <w:pPr>
              <w:spacing w:after="0"/>
              <w:rPr>
                <w:sz w:val="15"/>
                <w:szCs w:val="15"/>
                <w:color w:val="auto"/>
              </w:rPr>
            </w:pPr>
          </w:p>
        </w:tc>
        <w:tc>
          <w:tcPr>
            <w:tcW w:w="28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148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r>
      <w:tr>
        <w:trPr>
          <w:trHeight w:val="176"/>
        </w:trPr>
        <w:tc>
          <w:tcPr>
            <w:tcW w:w="7820" w:type="dxa"/>
            <w:vAlign w:val="bottom"/>
            <w:gridSpan w:val="2"/>
          </w:tcPr>
          <w:p>
            <w:pPr>
              <w:ind w:left="260"/>
              <w:spacing w:after="0"/>
              <w:rPr>
                <w:sz w:val="20"/>
                <w:szCs w:val="20"/>
                <w:color w:val="auto"/>
              </w:rPr>
            </w:pPr>
            <w:r>
              <w:rPr>
                <w:rFonts w:ascii="Arial" w:cs="Arial" w:eastAsia="Arial" w:hAnsi="Arial"/>
                <w:sz w:val="14"/>
                <w:szCs w:val="14"/>
                <w:color w:val="auto"/>
              </w:rPr>
              <w:t>Arrowhead Pharmaceuticals, Inc. stockholders' equity:</w:t>
            </w:r>
          </w:p>
        </w:tc>
        <w:tc>
          <w:tcPr>
            <w:tcW w:w="14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143"/>
        </w:trPr>
        <w:tc>
          <w:tcPr>
            <w:tcW w:w="7820" w:type="dxa"/>
            <w:vAlign w:val="bottom"/>
            <w:gridSpan w:val="2"/>
            <w:shd w:val="clear" w:color="auto" w:fill="CFF0FC"/>
          </w:tcPr>
          <w:p>
            <w:pPr>
              <w:ind w:left="500"/>
              <w:spacing w:after="0" w:line="143" w:lineRule="exact"/>
              <w:rPr>
                <w:sz w:val="20"/>
                <w:szCs w:val="20"/>
                <w:color w:val="auto"/>
              </w:rPr>
            </w:pPr>
            <w:r>
              <w:rPr>
                <w:rFonts w:ascii="Arial" w:cs="Arial" w:eastAsia="Arial" w:hAnsi="Arial"/>
                <w:sz w:val="14"/>
                <w:szCs w:val="14"/>
                <w:color w:val="auto"/>
              </w:rPr>
              <w:t>Preferred stock, $0.001 par value; 5,000,000 shares authorized; 0 and 15,652 shares issued and</w:t>
            </w:r>
          </w:p>
        </w:tc>
        <w:tc>
          <w:tcPr>
            <w:tcW w:w="140" w:type="dxa"/>
            <w:vAlign w:val="bottom"/>
            <w:shd w:val="clear" w:color="auto" w:fill="CFF0FC"/>
          </w:tcPr>
          <w:p>
            <w:pPr>
              <w:spacing w:after="0"/>
              <w:rPr>
                <w:sz w:val="12"/>
                <w:szCs w:val="12"/>
                <w:color w:val="auto"/>
              </w:rPr>
            </w:pPr>
          </w:p>
        </w:tc>
        <w:tc>
          <w:tcPr>
            <w:tcW w:w="1460" w:type="dxa"/>
            <w:vAlign w:val="bottom"/>
            <w:shd w:val="clear" w:color="auto" w:fill="CFF0FC"/>
          </w:tcPr>
          <w:p>
            <w:pPr>
              <w:spacing w:after="0"/>
              <w:rPr>
                <w:sz w:val="12"/>
                <w:szCs w:val="12"/>
                <w:color w:val="auto"/>
              </w:rPr>
            </w:pPr>
          </w:p>
        </w:tc>
        <w:tc>
          <w:tcPr>
            <w:tcW w:w="28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48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r>
      <w:tr>
        <w:trPr>
          <w:trHeight w:val="167"/>
        </w:trPr>
        <w:tc>
          <w:tcPr>
            <w:tcW w:w="7820" w:type="dxa"/>
            <w:vAlign w:val="bottom"/>
            <w:gridSpan w:val="2"/>
            <w:shd w:val="clear" w:color="auto" w:fill="CFF0FC"/>
          </w:tcPr>
          <w:p>
            <w:pPr>
              <w:ind w:left="600"/>
              <w:spacing w:after="0"/>
              <w:rPr>
                <w:sz w:val="20"/>
                <w:szCs w:val="20"/>
                <w:color w:val="auto"/>
              </w:rPr>
            </w:pPr>
            <w:r>
              <w:rPr>
                <w:rFonts w:ascii="Arial" w:cs="Arial" w:eastAsia="Arial" w:hAnsi="Arial"/>
                <w:sz w:val="14"/>
                <w:szCs w:val="14"/>
                <w:color w:val="auto"/>
              </w:rPr>
              <w:t>outstanding as of September 30, 2017 and September 30, 2016</w:t>
            </w:r>
          </w:p>
        </w:tc>
        <w:tc>
          <w:tcPr>
            <w:tcW w:w="140" w:type="dxa"/>
            <w:vAlign w:val="bottom"/>
            <w:shd w:val="clear" w:color="auto" w:fill="CFF0FC"/>
          </w:tcPr>
          <w:p>
            <w:pPr>
              <w:spacing w:after="0"/>
              <w:rPr>
                <w:sz w:val="14"/>
                <w:szCs w:val="14"/>
                <w:color w:val="auto"/>
              </w:rPr>
            </w:pPr>
          </w:p>
        </w:tc>
        <w:tc>
          <w:tcPr>
            <w:tcW w:w="14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8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4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16</w:t>
            </w:r>
          </w:p>
        </w:tc>
        <w:tc>
          <w:tcPr>
            <w:tcW w:w="100" w:type="dxa"/>
            <w:vAlign w:val="bottom"/>
            <w:shd w:val="clear" w:color="auto" w:fill="CFF0FC"/>
          </w:tcPr>
          <w:p>
            <w:pPr>
              <w:spacing w:after="0"/>
              <w:rPr>
                <w:sz w:val="14"/>
                <w:szCs w:val="14"/>
                <w:color w:val="auto"/>
              </w:rPr>
            </w:pPr>
          </w:p>
        </w:tc>
      </w:tr>
      <w:tr>
        <w:trPr>
          <w:trHeight w:val="143"/>
        </w:trPr>
        <w:tc>
          <w:tcPr>
            <w:tcW w:w="7820" w:type="dxa"/>
            <w:vAlign w:val="bottom"/>
            <w:gridSpan w:val="2"/>
          </w:tcPr>
          <w:p>
            <w:pPr>
              <w:ind w:left="500"/>
              <w:spacing w:after="0" w:line="143" w:lineRule="exact"/>
              <w:rPr>
                <w:sz w:val="20"/>
                <w:szCs w:val="20"/>
                <w:color w:val="auto"/>
              </w:rPr>
            </w:pPr>
            <w:r>
              <w:rPr>
                <w:rFonts w:ascii="Arial" w:cs="Arial" w:eastAsia="Arial" w:hAnsi="Arial"/>
                <w:sz w:val="14"/>
                <w:szCs w:val="14"/>
                <w:color w:val="auto"/>
              </w:rPr>
              <w:t>Common stock, $0.001 par value; 145,000,000 shares authorized; 74,785,426 and 69,746,685 shares</w:t>
            </w:r>
          </w:p>
        </w:tc>
        <w:tc>
          <w:tcPr>
            <w:tcW w:w="14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67"/>
        </w:trPr>
        <w:tc>
          <w:tcPr>
            <w:tcW w:w="7820" w:type="dxa"/>
            <w:vAlign w:val="bottom"/>
            <w:gridSpan w:val="2"/>
          </w:tcPr>
          <w:p>
            <w:pPr>
              <w:ind w:left="600"/>
              <w:spacing w:after="0"/>
              <w:rPr>
                <w:sz w:val="20"/>
                <w:szCs w:val="20"/>
                <w:color w:val="auto"/>
              </w:rPr>
            </w:pPr>
            <w:r>
              <w:rPr>
                <w:rFonts w:ascii="Arial" w:cs="Arial" w:eastAsia="Arial" w:hAnsi="Arial"/>
                <w:sz w:val="14"/>
                <w:szCs w:val="14"/>
                <w:color w:val="auto"/>
              </w:rPr>
              <w:t>issued and outstanding as of September 30, 2017 and September 30, 2016, respectively</w:t>
            </w:r>
          </w:p>
        </w:tc>
        <w:tc>
          <w:tcPr>
            <w:tcW w:w="140" w:type="dxa"/>
            <w:vAlign w:val="bottom"/>
          </w:tcPr>
          <w:p>
            <w:pPr>
              <w:spacing w:after="0"/>
              <w:rPr>
                <w:sz w:val="14"/>
                <w:szCs w:val="14"/>
                <w:color w:val="auto"/>
              </w:rPr>
            </w:pPr>
          </w:p>
        </w:tc>
        <w:tc>
          <w:tcPr>
            <w:tcW w:w="1460" w:type="dxa"/>
            <w:vAlign w:val="bottom"/>
          </w:tcPr>
          <w:p>
            <w:pPr>
              <w:jc w:val="right"/>
              <w:spacing w:after="0"/>
              <w:rPr>
                <w:sz w:val="20"/>
                <w:szCs w:val="20"/>
                <w:color w:val="auto"/>
              </w:rPr>
            </w:pPr>
            <w:r>
              <w:rPr>
                <w:rFonts w:ascii="Arial" w:cs="Arial" w:eastAsia="Arial" w:hAnsi="Arial"/>
                <w:sz w:val="14"/>
                <w:szCs w:val="14"/>
                <w:color w:val="auto"/>
              </w:rPr>
              <w:t>167,155</w:t>
            </w:r>
          </w:p>
        </w:tc>
        <w:tc>
          <w:tcPr>
            <w:tcW w:w="2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80" w:type="dxa"/>
            <w:vAlign w:val="bottom"/>
          </w:tcPr>
          <w:p>
            <w:pPr>
              <w:jc w:val="right"/>
              <w:spacing w:after="0"/>
              <w:rPr>
                <w:sz w:val="20"/>
                <w:szCs w:val="20"/>
                <w:color w:val="auto"/>
              </w:rPr>
            </w:pPr>
            <w:r>
              <w:rPr>
                <w:rFonts w:ascii="Arial" w:cs="Arial" w:eastAsia="Arial" w:hAnsi="Arial"/>
                <w:sz w:val="14"/>
                <w:szCs w:val="14"/>
                <w:color w:val="auto"/>
              </w:rPr>
              <w:t>162,116</w:t>
            </w:r>
          </w:p>
        </w:tc>
        <w:tc>
          <w:tcPr>
            <w:tcW w:w="100" w:type="dxa"/>
            <w:vAlign w:val="bottom"/>
          </w:tcPr>
          <w:p>
            <w:pPr>
              <w:spacing w:after="0"/>
              <w:rPr>
                <w:sz w:val="14"/>
                <w:szCs w:val="14"/>
                <w:color w:val="auto"/>
              </w:rPr>
            </w:pPr>
          </w:p>
        </w:tc>
      </w:tr>
      <w:tr>
        <w:trPr>
          <w:trHeight w:val="176"/>
        </w:trPr>
        <w:tc>
          <w:tcPr>
            <w:tcW w:w="7820" w:type="dxa"/>
            <w:vAlign w:val="bottom"/>
            <w:gridSpan w:val="2"/>
            <w:shd w:val="clear" w:color="auto" w:fill="CFF0FC"/>
          </w:tcPr>
          <w:p>
            <w:pPr>
              <w:ind w:left="500"/>
              <w:spacing w:after="0"/>
              <w:rPr>
                <w:sz w:val="20"/>
                <w:szCs w:val="20"/>
                <w:color w:val="auto"/>
              </w:rPr>
            </w:pPr>
            <w:r>
              <w:rPr>
                <w:rFonts w:ascii="Arial" w:cs="Arial" w:eastAsia="Arial" w:hAnsi="Arial"/>
                <w:sz w:val="14"/>
                <w:szCs w:val="14"/>
                <w:color w:val="auto"/>
              </w:rPr>
              <w:t>Additional paid-in capital</w:t>
            </w:r>
          </w:p>
        </w:tc>
        <w:tc>
          <w:tcPr>
            <w:tcW w:w="140" w:type="dxa"/>
            <w:vAlign w:val="bottom"/>
            <w:shd w:val="clear" w:color="auto" w:fill="CFF0FC"/>
          </w:tcPr>
          <w:p>
            <w:pPr>
              <w:spacing w:after="0"/>
              <w:rPr>
                <w:sz w:val="15"/>
                <w:szCs w:val="15"/>
                <w:color w:val="auto"/>
              </w:rPr>
            </w:pPr>
          </w:p>
        </w:tc>
        <w:tc>
          <w:tcPr>
            <w:tcW w:w="14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514,037,301</w:t>
            </w:r>
          </w:p>
        </w:tc>
        <w:tc>
          <w:tcPr>
            <w:tcW w:w="28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14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493,844,909</w:t>
            </w:r>
          </w:p>
        </w:tc>
        <w:tc>
          <w:tcPr>
            <w:tcW w:w="100" w:type="dxa"/>
            <w:vAlign w:val="bottom"/>
            <w:shd w:val="clear" w:color="auto" w:fill="CFF0FC"/>
          </w:tcPr>
          <w:p>
            <w:pPr>
              <w:spacing w:after="0"/>
              <w:rPr>
                <w:sz w:val="15"/>
                <w:szCs w:val="15"/>
                <w:color w:val="auto"/>
              </w:rPr>
            </w:pPr>
          </w:p>
        </w:tc>
      </w:tr>
      <w:tr>
        <w:trPr>
          <w:trHeight w:val="176"/>
        </w:trPr>
        <w:tc>
          <w:tcPr>
            <w:tcW w:w="7820" w:type="dxa"/>
            <w:vAlign w:val="bottom"/>
            <w:gridSpan w:val="2"/>
          </w:tcPr>
          <w:p>
            <w:pPr>
              <w:ind w:left="500"/>
              <w:spacing w:after="0"/>
              <w:rPr>
                <w:sz w:val="20"/>
                <w:szCs w:val="20"/>
                <w:color w:val="auto"/>
              </w:rPr>
            </w:pPr>
            <w:r>
              <w:rPr>
                <w:rFonts w:ascii="Arial" w:cs="Arial" w:eastAsia="Arial" w:hAnsi="Arial"/>
                <w:sz w:val="14"/>
                <w:szCs w:val="14"/>
                <w:color w:val="auto"/>
              </w:rPr>
              <w:t>Accumulated other comprehensive income (loss)</w:t>
            </w:r>
          </w:p>
        </w:tc>
        <w:tc>
          <w:tcPr>
            <w:tcW w:w="140" w:type="dxa"/>
            <w:vAlign w:val="bottom"/>
          </w:tcPr>
          <w:p>
            <w:pPr>
              <w:spacing w:after="0"/>
              <w:rPr>
                <w:sz w:val="15"/>
                <w:szCs w:val="15"/>
                <w:color w:val="auto"/>
              </w:rPr>
            </w:pPr>
          </w:p>
        </w:tc>
        <w:tc>
          <w:tcPr>
            <w:tcW w:w="1460" w:type="dxa"/>
            <w:vAlign w:val="bottom"/>
          </w:tcPr>
          <w:p>
            <w:pPr>
              <w:jc w:val="right"/>
              <w:spacing w:after="0"/>
              <w:rPr>
                <w:sz w:val="20"/>
                <w:szCs w:val="20"/>
                <w:color w:val="auto"/>
              </w:rPr>
            </w:pPr>
            <w:r>
              <w:rPr>
                <w:rFonts w:ascii="Arial" w:cs="Arial" w:eastAsia="Arial" w:hAnsi="Arial"/>
                <w:sz w:val="14"/>
                <w:szCs w:val="14"/>
                <w:color w:val="auto"/>
              </w:rPr>
              <w:t>33,232</w:t>
            </w:r>
          </w:p>
        </w:tc>
        <w:tc>
          <w:tcPr>
            <w:tcW w:w="2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80" w:type="dxa"/>
            <w:vAlign w:val="bottom"/>
          </w:tcPr>
          <w:p>
            <w:pPr>
              <w:jc w:val="right"/>
              <w:spacing w:after="0"/>
              <w:rPr>
                <w:sz w:val="20"/>
                <w:szCs w:val="20"/>
                <w:color w:val="auto"/>
              </w:rPr>
            </w:pPr>
            <w:r>
              <w:rPr>
                <w:rFonts w:ascii="Arial" w:cs="Arial" w:eastAsia="Arial" w:hAnsi="Arial"/>
                <w:sz w:val="14"/>
                <w:szCs w:val="14"/>
                <w:color w:val="auto"/>
              </w:rPr>
              <w:t>7,449</w:t>
            </w:r>
          </w:p>
        </w:tc>
        <w:tc>
          <w:tcPr>
            <w:tcW w:w="100" w:type="dxa"/>
            <w:vAlign w:val="bottom"/>
          </w:tcPr>
          <w:p>
            <w:pPr>
              <w:spacing w:after="0"/>
              <w:rPr>
                <w:sz w:val="15"/>
                <w:szCs w:val="15"/>
                <w:color w:val="auto"/>
              </w:rPr>
            </w:pPr>
          </w:p>
        </w:tc>
      </w:tr>
      <w:tr>
        <w:trPr>
          <w:trHeight w:val="176"/>
        </w:trPr>
        <w:tc>
          <w:tcPr>
            <w:tcW w:w="7820" w:type="dxa"/>
            <w:vAlign w:val="bottom"/>
            <w:gridSpan w:val="2"/>
            <w:shd w:val="clear" w:color="auto" w:fill="CFF0FC"/>
          </w:tcPr>
          <w:p>
            <w:pPr>
              <w:ind w:left="500"/>
              <w:spacing w:after="0"/>
              <w:rPr>
                <w:sz w:val="20"/>
                <w:szCs w:val="20"/>
                <w:color w:val="auto"/>
              </w:rPr>
            </w:pPr>
            <w:r>
              <w:rPr>
                <w:rFonts w:ascii="Arial" w:cs="Arial" w:eastAsia="Arial" w:hAnsi="Arial"/>
                <w:sz w:val="14"/>
                <w:szCs w:val="14"/>
                <w:color w:val="auto"/>
              </w:rPr>
              <w:t>Accumulated deficit</w:t>
            </w:r>
          </w:p>
        </w:tc>
        <w:tc>
          <w:tcPr>
            <w:tcW w:w="140" w:type="dxa"/>
            <w:vAlign w:val="bottom"/>
            <w:shd w:val="clear" w:color="auto" w:fill="CFF0FC"/>
          </w:tcPr>
          <w:p>
            <w:pPr>
              <w:spacing w:after="0"/>
              <w:rPr>
                <w:sz w:val="15"/>
                <w:szCs w:val="15"/>
                <w:color w:val="auto"/>
              </w:rPr>
            </w:pPr>
          </w:p>
        </w:tc>
        <w:tc>
          <w:tcPr>
            <w:tcW w:w="1740" w:type="dxa"/>
            <w:vAlign w:val="bottom"/>
            <w:gridSpan w:val="2"/>
            <w:shd w:val="clear" w:color="auto" w:fill="CFF0FC"/>
          </w:tcPr>
          <w:p>
            <w:pPr>
              <w:jc w:val="right"/>
              <w:ind w:right="240"/>
              <w:spacing w:after="0"/>
              <w:rPr>
                <w:sz w:val="20"/>
                <w:szCs w:val="20"/>
                <w:color w:val="auto"/>
              </w:rPr>
            </w:pPr>
            <w:r>
              <w:rPr>
                <w:rFonts w:ascii="Arial" w:cs="Arial" w:eastAsia="Arial" w:hAnsi="Arial"/>
                <w:sz w:val="14"/>
                <w:szCs w:val="14"/>
                <w:color w:val="auto"/>
              </w:rPr>
              <w:t>(432,815,338)</w:t>
            </w:r>
          </w:p>
        </w:tc>
        <w:tc>
          <w:tcPr>
            <w:tcW w:w="140" w:type="dxa"/>
            <w:vAlign w:val="bottom"/>
            <w:shd w:val="clear" w:color="auto" w:fill="CFF0FC"/>
          </w:tcPr>
          <w:p>
            <w:pPr>
              <w:spacing w:after="0"/>
              <w:rPr>
                <w:sz w:val="15"/>
                <w:szCs w:val="15"/>
                <w:color w:val="auto"/>
              </w:rPr>
            </w:pPr>
          </w:p>
        </w:tc>
        <w:tc>
          <w:tcPr>
            <w:tcW w:w="1580" w:type="dxa"/>
            <w:vAlign w:val="bottom"/>
            <w:gridSpan w:val="2"/>
            <w:shd w:val="clear" w:color="auto" w:fill="CFF0FC"/>
          </w:tcPr>
          <w:p>
            <w:pPr>
              <w:jc w:val="right"/>
              <w:ind w:right="60"/>
              <w:spacing w:after="0"/>
              <w:rPr>
                <w:sz w:val="20"/>
                <w:szCs w:val="20"/>
                <w:color w:val="auto"/>
              </w:rPr>
            </w:pPr>
            <w:r>
              <w:rPr>
                <w:rFonts w:ascii="Arial" w:cs="Arial" w:eastAsia="Arial" w:hAnsi="Arial"/>
                <w:sz w:val="14"/>
                <w:szCs w:val="14"/>
                <w:color w:val="auto"/>
              </w:rPr>
              <w:t>(398,435,043)</w:t>
            </w:r>
          </w:p>
        </w:tc>
      </w:tr>
      <w:tr>
        <w:trPr>
          <w:trHeight w:val="169"/>
        </w:trPr>
        <w:tc>
          <w:tcPr>
            <w:tcW w:w="7820" w:type="dxa"/>
            <w:vAlign w:val="bottom"/>
            <w:gridSpan w:val="2"/>
          </w:tcPr>
          <w:p>
            <w:pPr>
              <w:ind w:left="620"/>
              <w:spacing w:after="0"/>
              <w:rPr>
                <w:sz w:val="20"/>
                <w:szCs w:val="20"/>
                <w:color w:val="auto"/>
              </w:rPr>
            </w:pPr>
            <w:r>
              <w:rPr>
                <w:rFonts w:ascii="Arial" w:cs="Arial" w:eastAsia="Arial" w:hAnsi="Arial"/>
                <w:sz w:val="14"/>
                <w:szCs w:val="14"/>
                <w:color w:val="auto"/>
              </w:rPr>
              <w:t>Total Arrowhead Pharmaceuticals, Inc. stockholders' equity</w:t>
            </w:r>
          </w:p>
        </w:tc>
        <w:tc>
          <w:tcPr>
            <w:tcW w:w="140" w:type="dxa"/>
            <w:vAlign w:val="bottom"/>
            <w:tcBorders>
              <w:top w:val="single" w:sz="8" w:color="auto"/>
            </w:tcBorders>
          </w:tcPr>
          <w:p>
            <w:pPr>
              <w:spacing w:after="0"/>
              <w:rPr>
                <w:sz w:val="14"/>
                <w:szCs w:val="14"/>
                <w:color w:val="auto"/>
              </w:rPr>
            </w:pPr>
          </w:p>
        </w:tc>
        <w:tc>
          <w:tcPr>
            <w:tcW w:w="146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81,422,350</w:t>
            </w:r>
          </w:p>
        </w:tc>
        <w:tc>
          <w:tcPr>
            <w:tcW w:w="280" w:type="dxa"/>
            <w:vAlign w:val="bottom"/>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148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95,579,447</w:t>
            </w:r>
          </w:p>
        </w:tc>
        <w:tc>
          <w:tcPr>
            <w:tcW w:w="100" w:type="dxa"/>
            <w:vAlign w:val="bottom"/>
          </w:tcPr>
          <w:p>
            <w:pPr>
              <w:spacing w:after="0"/>
              <w:rPr>
                <w:sz w:val="14"/>
                <w:szCs w:val="14"/>
                <w:color w:val="auto"/>
              </w:rPr>
            </w:pPr>
          </w:p>
        </w:tc>
      </w:tr>
      <w:tr>
        <w:trPr>
          <w:trHeight w:val="176"/>
        </w:trPr>
        <w:tc>
          <w:tcPr>
            <w:tcW w:w="7820" w:type="dxa"/>
            <w:vAlign w:val="bottom"/>
            <w:gridSpan w:val="2"/>
            <w:shd w:val="clear" w:color="auto" w:fill="CFF0FC"/>
          </w:tcPr>
          <w:p>
            <w:pPr>
              <w:ind w:left="260"/>
              <w:spacing w:after="0"/>
              <w:rPr>
                <w:sz w:val="20"/>
                <w:szCs w:val="20"/>
                <w:color w:val="auto"/>
              </w:rPr>
            </w:pPr>
            <w:r>
              <w:rPr>
                <w:rFonts w:ascii="Arial" w:cs="Arial" w:eastAsia="Arial" w:hAnsi="Arial"/>
                <w:sz w:val="14"/>
                <w:szCs w:val="14"/>
                <w:color w:val="auto"/>
              </w:rPr>
              <w:t>Noncontrolling interest</w:t>
            </w:r>
          </w:p>
        </w:tc>
        <w:tc>
          <w:tcPr>
            <w:tcW w:w="140" w:type="dxa"/>
            <w:vAlign w:val="bottom"/>
            <w:shd w:val="clear" w:color="auto" w:fill="CFF0FC"/>
          </w:tcPr>
          <w:p>
            <w:pPr>
              <w:spacing w:after="0"/>
              <w:rPr>
                <w:sz w:val="15"/>
                <w:szCs w:val="15"/>
                <w:color w:val="auto"/>
              </w:rPr>
            </w:pPr>
          </w:p>
        </w:tc>
        <w:tc>
          <w:tcPr>
            <w:tcW w:w="1740" w:type="dxa"/>
            <w:vAlign w:val="bottom"/>
            <w:gridSpan w:val="2"/>
            <w:shd w:val="clear" w:color="auto" w:fill="CFF0FC"/>
          </w:tcPr>
          <w:p>
            <w:pPr>
              <w:jc w:val="right"/>
              <w:ind w:right="240"/>
              <w:spacing w:after="0"/>
              <w:rPr>
                <w:sz w:val="20"/>
                <w:szCs w:val="20"/>
                <w:color w:val="auto"/>
              </w:rPr>
            </w:pPr>
            <w:r>
              <w:rPr>
                <w:rFonts w:ascii="Arial" w:cs="Arial" w:eastAsia="Arial" w:hAnsi="Arial"/>
                <w:sz w:val="14"/>
                <w:szCs w:val="14"/>
                <w:color w:val="auto"/>
              </w:rPr>
              <w:t>(555,188)</w:t>
            </w:r>
          </w:p>
        </w:tc>
        <w:tc>
          <w:tcPr>
            <w:tcW w:w="140" w:type="dxa"/>
            <w:vAlign w:val="bottom"/>
            <w:shd w:val="clear" w:color="auto" w:fill="CFF0FC"/>
          </w:tcPr>
          <w:p>
            <w:pPr>
              <w:spacing w:after="0"/>
              <w:rPr>
                <w:sz w:val="15"/>
                <w:szCs w:val="15"/>
                <w:color w:val="auto"/>
              </w:rPr>
            </w:pPr>
          </w:p>
        </w:tc>
        <w:tc>
          <w:tcPr>
            <w:tcW w:w="1580" w:type="dxa"/>
            <w:vAlign w:val="bottom"/>
            <w:gridSpan w:val="2"/>
            <w:shd w:val="clear" w:color="auto" w:fill="CFF0FC"/>
          </w:tcPr>
          <w:p>
            <w:pPr>
              <w:jc w:val="right"/>
              <w:ind w:right="60"/>
              <w:spacing w:after="0"/>
              <w:rPr>
                <w:sz w:val="20"/>
                <w:szCs w:val="20"/>
                <w:color w:val="auto"/>
              </w:rPr>
            </w:pPr>
            <w:r>
              <w:rPr>
                <w:rFonts w:ascii="Arial" w:cs="Arial" w:eastAsia="Arial" w:hAnsi="Arial"/>
                <w:sz w:val="14"/>
                <w:szCs w:val="14"/>
                <w:color w:val="auto"/>
              </w:rPr>
              <w:t>(555,188)</w:t>
            </w:r>
          </w:p>
        </w:tc>
      </w:tr>
      <w:tr>
        <w:trPr>
          <w:trHeight w:val="169"/>
        </w:trPr>
        <w:tc>
          <w:tcPr>
            <w:tcW w:w="700" w:type="dxa"/>
            <w:vAlign w:val="bottom"/>
            <w:tcBorders>
              <w:bottom w:val="single" w:sz="8" w:color="CFF0FC"/>
            </w:tcBorders>
          </w:tcPr>
          <w:p>
            <w:pPr>
              <w:spacing w:after="0"/>
              <w:rPr>
                <w:sz w:val="14"/>
                <w:szCs w:val="14"/>
                <w:color w:val="auto"/>
              </w:rPr>
            </w:pPr>
          </w:p>
        </w:tc>
        <w:tc>
          <w:tcPr>
            <w:tcW w:w="7120" w:type="dxa"/>
            <w:vAlign w:val="bottom"/>
            <w:tcBorders>
              <w:bottom w:val="single" w:sz="8" w:color="CFF0FC"/>
            </w:tcBorders>
          </w:tcPr>
          <w:p>
            <w:pPr>
              <w:ind w:left="40"/>
              <w:spacing w:after="0"/>
              <w:rPr>
                <w:sz w:val="20"/>
                <w:szCs w:val="20"/>
                <w:color w:val="auto"/>
              </w:rPr>
            </w:pPr>
            <w:r>
              <w:rPr>
                <w:rFonts w:ascii="Arial" w:cs="Arial" w:eastAsia="Arial" w:hAnsi="Arial"/>
                <w:sz w:val="14"/>
                <w:szCs w:val="14"/>
                <w:color w:val="auto"/>
              </w:rPr>
              <w:t>TOTAL STOCKHOLDERS’ EQUITY</w:t>
            </w:r>
          </w:p>
        </w:tc>
        <w:tc>
          <w:tcPr>
            <w:tcW w:w="140" w:type="dxa"/>
            <w:vAlign w:val="bottom"/>
            <w:tcBorders>
              <w:top w:val="single" w:sz="8" w:color="auto"/>
              <w:bottom w:val="single" w:sz="8" w:color="auto"/>
            </w:tcBorders>
          </w:tcPr>
          <w:p>
            <w:pPr>
              <w:spacing w:after="0"/>
              <w:rPr>
                <w:sz w:val="14"/>
                <w:szCs w:val="14"/>
                <w:color w:val="auto"/>
              </w:rPr>
            </w:pPr>
          </w:p>
        </w:tc>
        <w:tc>
          <w:tcPr>
            <w:tcW w:w="1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80,867,162</w:t>
            </w:r>
          </w:p>
        </w:tc>
        <w:tc>
          <w:tcPr>
            <w:tcW w:w="280" w:type="dxa"/>
            <w:vAlign w:val="bottom"/>
            <w:tcBorders>
              <w:bottom w:val="single" w:sz="8" w:color="CFF0FC"/>
            </w:tcBorders>
          </w:tcPr>
          <w:p>
            <w:pPr>
              <w:spacing w:after="0"/>
              <w:rPr>
                <w:sz w:val="14"/>
                <w:szCs w:val="14"/>
                <w:color w:val="auto"/>
              </w:rPr>
            </w:pPr>
          </w:p>
        </w:tc>
        <w:tc>
          <w:tcPr>
            <w:tcW w:w="140" w:type="dxa"/>
            <w:vAlign w:val="bottom"/>
            <w:tcBorders>
              <w:top w:val="single" w:sz="8" w:color="auto"/>
              <w:bottom w:val="single" w:sz="8" w:color="auto"/>
            </w:tcBorders>
          </w:tcPr>
          <w:p>
            <w:pPr>
              <w:spacing w:after="0"/>
              <w:rPr>
                <w:sz w:val="14"/>
                <w:szCs w:val="14"/>
                <w:color w:val="auto"/>
              </w:rPr>
            </w:pPr>
          </w:p>
        </w:tc>
        <w:tc>
          <w:tcPr>
            <w:tcW w:w="1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95,024,259</w:t>
            </w:r>
          </w:p>
        </w:tc>
        <w:tc>
          <w:tcPr>
            <w:tcW w:w="100" w:type="dxa"/>
            <w:vAlign w:val="bottom"/>
            <w:tcBorders>
              <w:bottom w:val="single" w:sz="8" w:color="CFF0FC"/>
            </w:tcBorders>
          </w:tcPr>
          <w:p>
            <w:pPr>
              <w:spacing w:after="0"/>
              <w:rPr>
                <w:sz w:val="14"/>
                <w:szCs w:val="14"/>
                <w:color w:val="auto"/>
              </w:rPr>
            </w:pPr>
          </w:p>
        </w:tc>
      </w:tr>
      <w:tr>
        <w:trPr>
          <w:trHeight w:val="169"/>
        </w:trPr>
        <w:tc>
          <w:tcPr>
            <w:tcW w:w="700" w:type="dxa"/>
            <w:vAlign w:val="bottom"/>
            <w:tcBorders>
              <w:bottom w:val="single" w:sz="8" w:color="CFF0FC"/>
            </w:tcBorders>
            <w:shd w:val="clear" w:color="auto" w:fill="CFF0FC"/>
          </w:tcPr>
          <w:p>
            <w:pPr>
              <w:spacing w:after="0"/>
              <w:rPr>
                <w:sz w:val="14"/>
                <w:szCs w:val="14"/>
                <w:color w:val="auto"/>
              </w:rPr>
            </w:pPr>
          </w:p>
        </w:tc>
        <w:tc>
          <w:tcPr>
            <w:tcW w:w="7120" w:type="dxa"/>
            <w:vAlign w:val="bottom"/>
            <w:tcBorders>
              <w:bottom w:val="single" w:sz="8" w:color="CFF0FC"/>
            </w:tcBorders>
            <w:shd w:val="clear" w:color="auto" w:fill="CFF0FC"/>
          </w:tcPr>
          <w:p>
            <w:pPr>
              <w:ind w:left="300"/>
              <w:spacing w:after="0"/>
              <w:rPr>
                <w:sz w:val="20"/>
                <w:szCs w:val="20"/>
                <w:color w:val="auto"/>
              </w:rPr>
            </w:pPr>
            <w:r>
              <w:rPr>
                <w:rFonts w:ascii="Arial" w:cs="Arial" w:eastAsia="Arial" w:hAnsi="Arial"/>
                <w:sz w:val="14"/>
                <w:szCs w:val="14"/>
                <w:b w:val="1"/>
                <w:bCs w:val="1"/>
                <w:color w:val="auto"/>
              </w:rPr>
              <w:t>TOTAL LIABILITIES AND STOCKHOLDERS’ EQUITY</w:t>
            </w:r>
          </w:p>
        </w:tc>
        <w:tc>
          <w:tcPr>
            <w:tcW w:w="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b w:val="1"/>
                <w:bCs w:val="1"/>
                <w:color w:val="auto"/>
                <w:w w:val="76"/>
              </w:rPr>
              <w:t>$</w:t>
            </w:r>
          </w:p>
        </w:tc>
        <w:tc>
          <w:tcPr>
            <w:tcW w:w="14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b w:val="1"/>
                <w:bCs w:val="1"/>
                <w:color w:val="auto"/>
              </w:rPr>
              <w:t>104,022,280</w:t>
            </w:r>
          </w:p>
        </w:tc>
        <w:tc>
          <w:tcPr>
            <w:tcW w:w="280" w:type="dxa"/>
            <w:vAlign w:val="bottom"/>
            <w:tcBorders>
              <w:bottom w:val="single" w:sz="8" w:color="CFF0FC"/>
            </w:tcBorders>
            <w:shd w:val="clear" w:color="auto" w:fill="CFF0FC"/>
          </w:tcPr>
          <w:p>
            <w:pPr>
              <w:spacing w:after="0"/>
              <w:rPr>
                <w:sz w:val="14"/>
                <w:szCs w:val="14"/>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b w:val="1"/>
                <w:bCs w:val="1"/>
                <w:color w:val="auto"/>
                <w:w w:val="76"/>
              </w:rPr>
              <w:t>$</w:t>
            </w:r>
          </w:p>
        </w:tc>
        <w:tc>
          <w:tcPr>
            <w:tcW w:w="14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b w:val="1"/>
                <w:bCs w:val="1"/>
                <w:color w:val="auto"/>
              </w:rPr>
              <w:t>128,176,505</w:t>
            </w:r>
          </w:p>
        </w:tc>
        <w:tc>
          <w:tcPr>
            <w:tcW w:w="100" w:type="dxa"/>
            <w:vAlign w:val="bottom"/>
            <w:tcBorders>
              <w:bottom w:val="single" w:sz="8" w:color="CFF0FC"/>
            </w:tcBorders>
            <w:shd w:val="clear" w:color="auto" w:fill="CFF0FC"/>
          </w:tcPr>
          <w:p>
            <w:pPr>
              <w:spacing w:after="0"/>
              <w:rPr>
                <w:sz w:val="14"/>
                <w:szCs w:val="14"/>
                <w:color w:val="auto"/>
              </w:rPr>
            </w:pPr>
          </w:p>
        </w:tc>
      </w:tr>
      <w:tr>
        <w:trPr>
          <w:trHeight w:val="20"/>
        </w:trPr>
        <w:tc>
          <w:tcPr>
            <w:tcW w:w="700" w:type="dxa"/>
            <w:vAlign w:val="bottom"/>
          </w:tcPr>
          <w:p>
            <w:pPr>
              <w:spacing w:after="0" w:line="20" w:lineRule="exact"/>
              <w:rPr>
                <w:sz w:val="1"/>
                <w:szCs w:val="1"/>
                <w:color w:val="auto"/>
              </w:rPr>
            </w:pPr>
          </w:p>
        </w:tc>
        <w:tc>
          <w:tcPr>
            <w:tcW w:w="7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12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64" w:name="page65"/>
    <w:bookmarkEnd w:id="64"/>
    <w:p>
      <w:pPr>
        <w:jc w:val="center"/>
        <w:spacing w:after="0"/>
        <w:rPr>
          <w:sz w:val="20"/>
          <w:szCs w:val="20"/>
          <w:color w:val="auto"/>
        </w:rPr>
      </w:pPr>
      <w:r>
        <w:rPr>
          <w:rFonts w:ascii="Arial" w:cs="Arial" w:eastAsia="Arial" w:hAnsi="Arial"/>
          <w:sz w:val="18"/>
          <w:szCs w:val="18"/>
          <w:b w:val="1"/>
          <w:bCs w:val="1"/>
          <w:color w:val="auto"/>
        </w:rPr>
        <w:t>Arrowhead Pharmaceuticals,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Operations and Comprehensive Loss</w:t>
      </w:r>
    </w:p>
    <w:p>
      <w:pPr>
        <w:spacing w:after="0" w:line="265"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62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960" w:type="dxa"/>
            <w:vAlign w:val="bottom"/>
            <w:gridSpan w:val="4"/>
          </w:tcPr>
          <w:p>
            <w:pPr>
              <w:jc w:val="right"/>
              <w:ind w:right="100"/>
              <w:spacing w:after="0"/>
              <w:rPr>
                <w:sz w:val="20"/>
                <w:szCs w:val="20"/>
                <w:color w:val="auto"/>
              </w:rPr>
            </w:pPr>
            <w:r>
              <w:rPr>
                <w:rFonts w:ascii="Arial" w:cs="Arial" w:eastAsia="Arial" w:hAnsi="Arial"/>
                <w:sz w:val="16"/>
                <w:szCs w:val="16"/>
                <w:b w:val="1"/>
                <w:bCs w:val="1"/>
                <w:color w:val="auto"/>
                <w:w w:val="91"/>
              </w:rPr>
              <w:t>Year Ended September 30,</w:t>
            </w: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6280" w:type="dxa"/>
            <w:vAlign w:val="bottom"/>
            <w:tcBorders>
              <w:bottom w:val="single" w:sz="8" w:color="CFF0FC"/>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510"/>
              <w:spacing w:after="0"/>
              <w:rPr>
                <w:sz w:val="20"/>
                <w:szCs w:val="20"/>
                <w:color w:val="auto"/>
              </w:rPr>
            </w:pPr>
            <w:r>
              <w:rPr>
                <w:rFonts w:ascii="Arial" w:cs="Arial" w:eastAsia="Arial" w:hAnsi="Arial"/>
                <w:sz w:val="16"/>
                <w:szCs w:val="16"/>
                <w:b w:val="1"/>
                <w:bCs w:val="1"/>
                <w:color w:val="auto"/>
              </w:rPr>
              <w:t>2017</w:t>
            </w:r>
          </w:p>
        </w:tc>
        <w:tc>
          <w:tcPr>
            <w:tcW w:w="80" w:type="dxa"/>
            <w:vAlign w:val="bottom"/>
            <w:tcBorders>
              <w:bottom w:val="single" w:sz="8" w:color="CFF0FC"/>
            </w:tcBorders>
          </w:tcPr>
          <w:p>
            <w:pPr>
              <w:spacing w:after="0"/>
              <w:rPr>
                <w:sz w:val="19"/>
                <w:szCs w:val="19"/>
                <w:color w:val="auto"/>
              </w:rPr>
            </w:pPr>
          </w:p>
        </w:tc>
        <w:tc>
          <w:tcPr>
            <w:tcW w:w="180" w:type="dxa"/>
            <w:vAlign w:val="bottom"/>
            <w:tcBorders>
              <w:bottom w:val="single" w:sz="8" w:color="CFF0FC"/>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510"/>
              <w:spacing w:after="0"/>
              <w:rPr>
                <w:sz w:val="20"/>
                <w:szCs w:val="20"/>
                <w:color w:val="auto"/>
              </w:rPr>
            </w:pPr>
            <w:r>
              <w:rPr>
                <w:rFonts w:ascii="Arial" w:cs="Arial" w:eastAsia="Arial" w:hAnsi="Arial"/>
                <w:sz w:val="16"/>
                <w:szCs w:val="16"/>
                <w:b w:val="1"/>
                <w:bCs w:val="1"/>
                <w:color w:val="auto"/>
              </w:rPr>
              <w:t>2016</w:t>
            </w:r>
          </w:p>
        </w:tc>
        <w:tc>
          <w:tcPr>
            <w:tcW w:w="280" w:type="dxa"/>
            <w:vAlign w:val="bottom"/>
            <w:tcBorders>
              <w:bottom w:val="single" w:sz="8" w:color="CFF0FC"/>
            </w:tcBorders>
          </w:tcPr>
          <w:p>
            <w:pPr>
              <w:spacing w:after="0"/>
              <w:rPr>
                <w:sz w:val="19"/>
                <w:szCs w:val="19"/>
                <w:color w:val="auto"/>
              </w:rPr>
            </w:pPr>
          </w:p>
        </w:tc>
        <w:tc>
          <w:tcPr>
            <w:tcW w:w="20" w:type="dxa"/>
            <w:vAlign w:val="bottom"/>
            <w:tcBorders>
              <w:bottom w:val="single" w:sz="8" w:color="CFF0FC"/>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510"/>
              <w:spacing w:after="0"/>
              <w:rPr>
                <w:sz w:val="20"/>
                <w:szCs w:val="20"/>
                <w:color w:val="auto"/>
              </w:rPr>
            </w:pPr>
            <w:r>
              <w:rPr>
                <w:rFonts w:ascii="Arial" w:cs="Arial" w:eastAsia="Arial" w:hAnsi="Arial"/>
                <w:sz w:val="16"/>
                <w:szCs w:val="16"/>
                <w:b w:val="1"/>
                <w:bCs w:val="1"/>
                <w:color w:val="auto"/>
              </w:rPr>
              <w:t>2015</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6280" w:type="dxa"/>
            <w:vAlign w:val="bottom"/>
            <w:shd w:val="clear" w:color="auto" w:fill="CFF0FC"/>
          </w:tcPr>
          <w:p>
            <w:pPr>
              <w:ind w:left="140"/>
              <w:spacing w:after="0"/>
              <w:rPr>
                <w:sz w:val="20"/>
                <w:szCs w:val="20"/>
                <w:color w:val="auto"/>
              </w:rPr>
            </w:pPr>
            <w:r>
              <w:rPr>
                <w:rFonts w:ascii="Arial" w:cs="Arial" w:eastAsia="Arial" w:hAnsi="Arial"/>
                <w:sz w:val="18"/>
                <w:szCs w:val="18"/>
                <w:b w:val="1"/>
                <w:bCs w:val="1"/>
                <w:color w:val="auto"/>
              </w:rPr>
              <w:t>REVENUE</w:t>
            </w:r>
          </w:p>
        </w:tc>
        <w:tc>
          <w:tcPr>
            <w:tcW w:w="340" w:type="dxa"/>
            <w:vAlign w:val="bottom"/>
            <w:shd w:val="clear" w:color="auto" w:fill="CFF0FC"/>
          </w:tcPr>
          <w:p>
            <w:pPr>
              <w:jc w:val="right"/>
              <w:ind w:right="150"/>
              <w:spacing w:after="0"/>
              <w:rPr>
                <w:sz w:val="20"/>
                <w:szCs w:val="20"/>
                <w:color w:val="auto"/>
              </w:rPr>
            </w:pPr>
            <w:r>
              <w:rPr>
                <w:rFonts w:ascii="Arial" w:cs="Arial" w:eastAsia="Arial" w:hAnsi="Arial"/>
                <w:sz w:val="18"/>
                <w:szCs w:val="18"/>
                <w:b w:val="1"/>
                <w:bCs w:val="1"/>
                <w:color w:val="auto"/>
                <w:w w:val="79"/>
              </w:rPr>
              <w:t>$</w:t>
            </w: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31,407,709</w:t>
            </w:r>
          </w:p>
        </w:tc>
        <w:tc>
          <w:tcPr>
            <w:tcW w:w="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340" w:type="dxa"/>
            <w:vAlign w:val="bottom"/>
            <w:shd w:val="clear" w:color="auto" w:fill="CFF0FC"/>
          </w:tcPr>
          <w:p>
            <w:pPr>
              <w:jc w:val="right"/>
              <w:ind w:right="150"/>
              <w:spacing w:after="0"/>
              <w:rPr>
                <w:sz w:val="20"/>
                <w:szCs w:val="20"/>
                <w:color w:val="auto"/>
              </w:rPr>
            </w:pPr>
            <w:r>
              <w:rPr>
                <w:rFonts w:ascii="Arial" w:cs="Arial" w:eastAsia="Arial" w:hAnsi="Arial"/>
                <w:sz w:val="18"/>
                <w:szCs w:val="18"/>
                <w:b w:val="1"/>
                <w:bCs w:val="1"/>
                <w:color w:val="auto"/>
                <w:w w:val="79"/>
              </w:rPr>
              <w:t>$</w:t>
            </w: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158,333</w:t>
            </w: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300" w:type="dxa"/>
            <w:vAlign w:val="bottom"/>
            <w:shd w:val="clear" w:color="auto" w:fill="CFF0FC"/>
          </w:tcPr>
          <w:p>
            <w:pPr>
              <w:jc w:val="right"/>
              <w:ind w:right="190"/>
              <w:spacing w:after="0"/>
              <w:rPr>
                <w:sz w:val="20"/>
                <w:szCs w:val="20"/>
                <w:color w:val="auto"/>
              </w:rPr>
            </w:pPr>
            <w:r>
              <w:rPr>
                <w:rFonts w:ascii="Arial" w:cs="Arial" w:eastAsia="Arial" w:hAnsi="Arial"/>
                <w:sz w:val="10"/>
                <w:szCs w:val="10"/>
                <w:b w:val="1"/>
                <w:bCs w:val="1"/>
                <w:color w:val="auto"/>
                <w:w w:val="71"/>
              </w:rPr>
              <w:t>$</w:t>
            </w: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382,000</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280" w:type="dxa"/>
            <w:vAlign w:val="bottom"/>
          </w:tcPr>
          <w:p>
            <w:pPr>
              <w:ind w:left="140"/>
              <w:spacing w:after="0"/>
              <w:rPr>
                <w:sz w:val="20"/>
                <w:szCs w:val="20"/>
                <w:color w:val="auto"/>
              </w:rPr>
            </w:pPr>
            <w:r>
              <w:rPr>
                <w:rFonts w:ascii="Arial" w:cs="Arial" w:eastAsia="Arial" w:hAnsi="Arial"/>
                <w:sz w:val="18"/>
                <w:szCs w:val="18"/>
                <w:b w:val="1"/>
                <w:bCs w:val="1"/>
                <w:color w:val="auto"/>
              </w:rPr>
              <w:t>OPERATING EXPENSES</w:t>
            </w:r>
          </w:p>
        </w:tc>
        <w:tc>
          <w:tcPr>
            <w:tcW w:w="3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280" w:type="dxa"/>
            <w:vAlign w:val="bottom"/>
            <w:shd w:val="clear" w:color="auto" w:fill="CFF0FC"/>
          </w:tcPr>
          <w:p>
            <w:pPr>
              <w:ind w:left="500"/>
              <w:spacing w:after="0"/>
              <w:rPr>
                <w:sz w:val="20"/>
                <w:szCs w:val="20"/>
                <w:color w:val="auto"/>
              </w:rPr>
            </w:pPr>
            <w:r>
              <w:rPr>
                <w:rFonts w:ascii="Arial" w:cs="Arial" w:eastAsia="Arial" w:hAnsi="Arial"/>
                <w:sz w:val="18"/>
                <w:szCs w:val="18"/>
                <w:color w:val="auto"/>
              </w:rPr>
              <w:t>Research and development</w:t>
            </w:r>
          </w:p>
        </w:tc>
        <w:tc>
          <w:tcPr>
            <w:tcW w:w="340" w:type="dxa"/>
            <w:vAlign w:val="bottom"/>
            <w:shd w:val="clear" w:color="auto" w:fill="CFF0FC"/>
          </w:tcPr>
          <w:p>
            <w:pPr>
              <w:spacing w:after="0"/>
              <w:rPr>
                <w:sz w:val="19"/>
                <w:szCs w:val="19"/>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31,690,298</w:t>
            </w:r>
          </w:p>
        </w:tc>
        <w:tc>
          <w:tcPr>
            <w:tcW w:w="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41,454,452</w:t>
            </w: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47,267,361</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280" w:type="dxa"/>
            <w:vAlign w:val="bottom"/>
          </w:tcPr>
          <w:p>
            <w:pPr>
              <w:ind w:left="500"/>
              <w:spacing w:after="0"/>
              <w:rPr>
                <w:sz w:val="20"/>
                <w:szCs w:val="20"/>
                <w:color w:val="auto"/>
              </w:rPr>
            </w:pPr>
            <w:r>
              <w:rPr>
                <w:rFonts w:ascii="Arial" w:cs="Arial" w:eastAsia="Arial" w:hAnsi="Arial"/>
                <w:sz w:val="18"/>
                <w:szCs w:val="18"/>
                <w:color w:val="auto"/>
              </w:rPr>
              <w:t>Acquired in-process research and development</w:t>
            </w:r>
          </w:p>
        </w:tc>
        <w:tc>
          <w:tcPr>
            <w:tcW w:w="3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10,142,786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280" w:type="dxa"/>
            <w:vAlign w:val="bottom"/>
            <w:shd w:val="clear" w:color="auto" w:fill="CFF0FC"/>
          </w:tcPr>
          <w:p>
            <w:pPr>
              <w:ind w:left="500"/>
              <w:spacing w:after="0"/>
              <w:rPr>
                <w:sz w:val="20"/>
                <w:szCs w:val="20"/>
                <w:color w:val="auto"/>
              </w:rPr>
            </w:pPr>
            <w:r>
              <w:rPr>
                <w:rFonts w:ascii="Arial" w:cs="Arial" w:eastAsia="Arial" w:hAnsi="Arial"/>
                <w:sz w:val="18"/>
                <w:szCs w:val="18"/>
                <w:color w:val="auto"/>
              </w:rPr>
              <w:t>Salaries and payroll-related costs</w:t>
            </w:r>
          </w:p>
        </w:tc>
        <w:tc>
          <w:tcPr>
            <w:tcW w:w="340" w:type="dxa"/>
            <w:vAlign w:val="bottom"/>
            <w:shd w:val="clear" w:color="auto" w:fill="CFF0FC"/>
          </w:tcPr>
          <w:p>
            <w:pPr>
              <w:spacing w:after="0"/>
              <w:rPr>
                <w:sz w:val="19"/>
                <w:szCs w:val="19"/>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17,292,883</w:t>
            </w:r>
          </w:p>
        </w:tc>
        <w:tc>
          <w:tcPr>
            <w:tcW w:w="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19,461,656</w:t>
            </w: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16,554,008</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280" w:type="dxa"/>
            <w:vAlign w:val="bottom"/>
          </w:tcPr>
          <w:p>
            <w:pPr>
              <w:ind w:left="500"/>
              <w:spacing w:after="0"/>
              <w:rPr>
                <w:sz w:val="20"/>
                <w:szCs w:val="20"/>
                <w:color w:val="auto"/>
              </w:rPr>
            </w:pPr>
            <w:r>
              <w:rPr>
                <w:rFonts w:ascii="Arial" w:cs="Arial" w:eastAsia="Arial" w:hAnsi="Arial"/>
                <w:sz w:val="18"/>
                <w:szCs w:val="18"/>
                <w:color w:val="auto"/>
              </w:rPr>
              <w:t>General and administrative expenses</w:t>
            </w:r>
          </w:p>
        </w:tc>
        <w:tc>
          <w:tcPr>
            <w:tcW w:w="3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6,838,402</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9,940,737</w:t>
            </w: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7,931,184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280" w:type="dxa"/>
            <w:vAlign w:val="bottom"/>
            <w:shd w:val="clear" w:color="auto" w:fill="CFF0FC"/>
          </w:tcPr>
          <w:p>
            <w:pPr>
              <w:ind w:left="500"/>
              <w:spacing w:after="0"/>
              <w:rPr>
                <w:sz w:val="20"/>
                <w:szCs w:val="20"/>
                <w:color w:val="auto"/>
              </w:rPr>
            </w:pPr>
            <w:r>
              <w:rPr>
                <w:rFonts w:ascii="Arial" w:cs="Arial" w:eastAsia="Arial" w:hAnsi="Arial"/>
                <w:sz w:val="18"/>
                <w:szCs w:val="18"/>
                <w:color w:val="auto"/>
              </w:rPr>
              <w:t>Stock-based compensation</w:t>
            </w:r>
          </w:p>
        </w:tc>
        <w:tc>
          <w:tcPr>
            <w:tcW w:w="340" w:type="dxa"/>
            <w:vAlign w:val="bottom"/>
            <w:shd w:val="clear" w:color="auto" w:fill="CFF0FC"/>
          </w:tcPr>
          <w:p>
            <w:pPr>
              <w:spacing w:after="0"/>
              <w:rPr>
                <w:sz w:val="19"/>
                <w:szCs w:val="19"/>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7,891,595</w:t>
            </w:r>
          </w:p>
        </w:tc>
        <w:tc>
          <w:tcPr>
            <w:tcW w:w="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11,595,816</w:t>
            </w: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10,232,897</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280" w:type="dxa"/>
            <w:vAlign w:val="bottom"/>
          </w:tcPr>
          <w:p>
            <w:pPr>
              <w:ind w:left="500"/>
              <w:spacing w:after="0"/>
              <w:rPr>
                <w:sz w:val="20"/>
                <w:szCs w:val="20"/>
                <w:color w:val="auto"/>
              </w:rPr>
            </w:pPr>
            <w:r>
              <w:rPr>
                <w:rFonts w:ascii="Arial" w:cs="Arial" w:eastAsia="Arial" w:hAnsi="Arial"/>
                <w:sz w:val="18"/>
                <w:szCs w:val="18"/>
                <w:color w:val="auto"/>
              </w:rPr>
              <w:t>Depreciation and amortization</w:t>
            </w:r>
          </w:p>
        </w:tc>
        <w:tc>
          <w:tcPr>
            <w:tcW w:w="3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4,690,440</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3,260,045</w:t>
            </w: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2,336,207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280" w:type="dxa"/>
            <w:vAlign w:val="bottom"/>
            <w:shd w:val="clear" w:color="auto" w:fill="CFF0FC"/>
          </w:tcPr>
          <w:p>
            <w:pPr>
              <w:ind w:left="500"/>
              <w:spacing w:after="0"/>
              <w:rPr>
                <w:sz w:val="20"/>
                <w:szCs w:val="20"/>
                <w:color w:val="auto"/>
              </w:rPr>
            </w:pPr>
            <w:r>
              <w:rPr>
                <w:rFonts w:ascii="Arial" w:cs="Arial" w:eastAsia="Arial" w:hAnsi="Arial"/>
                <w:sz w:val="18"/>
                <w:szCs w:val="18"/>
                <w:color w:val="auto"/>
              </w:rPr>
              <w:t>Impairment expense</w:t>
            </w:r>
          </w:p>
        </w:tc>
        <w:tc>
          <w:tcPr>
            <w:tcW w:w="340" w:type="dxa"/>
            <w:vAlign w:val="bottom"/>
            <w:shd w:val="clear" w:color="auto" w:fill="CFF0FC"/>
          </w:tcPr>
          <w:p>
            <w:pPr>
              <w:spacing w:after="0"/>
              <w:rPr>
                <w:sz w:val="19"/>
                <w:szCs w:val="19"/>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2,050,817</w:t>
            </w: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280" w:type="dxa"/>
            <w:vAlign w:val="bottom"/>
          </w:tcPr>
          <w:p>
            <w:pPr>
              <w:ind w:left="500"/>
              <w:spacing w:after="0"/>
              <w:rPr>
                <w:sz w:val="20"/>
                <w:szCs w:val="20"/>
                <w:color w:val="auto"/>
              </w:rPr>
            </w:pPr>
            <w:r>
              <w:rPr>
                <w:rFonts w:ascii="Arial" w:cs="Arial" w:eastAsia="Arial" w:hAnsi="Arial"/>
                <w:sz w:val="18"/>
                <w:szCs w:val="18"/>
                <w:color w:val="auto"/>
              </w:rPr>
              <w:t>Contingent consideration - fair value adjustments</w:t>
            </w:r>
          </w:p>
        </w:tc>
        <w:tc>
          <w:tcPr>
            <w:tcW w:w="3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440" w:type="dxa"/>
            <w:vAlign w:val="bottom"/>
            <w:gridSpan w:val="2"/>
          </w:tcPr>
          <w:p>
            <w:pPr>
              <w:jc w:val="right"/>
              <w:ind w:right="220"/>
              <w:spacing w:after="0"/>
              <w:rPr>
                <w:sz w:val="20"/>
                <w:szCs w:val="20"/>
                <w:color w:val="auto"/>
              </w:rPr>
            </w:pPr>
            <w:r>
              <w:rPr>
                <w:rFonts w:ascii="Arial" w:cs="Arial" w:eastAsia="Arial" w:hAnsi="Arial"/>
                <w:sz w:val="18"/>
                <w:szCs w:val="18"/>
                <w:color w:val="auto"/>
              </w:rPr>
              <w:t>(5,862,464)</w:t>
            </w: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1,891,533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280" w:type="dxa"/>
            <w:vAlign w:val="bottom"/>
            <w:tcBorders>
              <w:top w:val="single" w:sz="8" w:color="CFF0FC"/>
            </w:tcBorders>
            <w:shd w:val="clear" w:color="auto" w:fill="CFF0FC"/>
          </w:tcPr>
          <w:p>
            <w:pPr>
              <w:ind w:left="620"/>
              <w:spacing w:after="0"/>
              <w:rPr>
                <w:sz w:val="20"/>
                <w:szCs w:val="20"/>
                <w:color w:val="auto"/>
              </w:rPr>
            </w:pPr>
            <w:r>
              <w:rPr>
                <w:rFonts w:ascii="Arial" w:cs="Arial" w:eastAsia="Arial" w:hAnsi="Arial"/>
                <w:sz w:val="18"/>
                <w:szCs w:val="18"/>
                <w:color w:val="auto"/>
              </w:rPr>
              <w:t>TOTAL OPERATING EXPENSES</w:t>
            </w:r>
          </w:p>
        </w:tc>
        <w:tc>
          <w:tcPr>
            <w:tcW w:w="340" w:type="dxa"/>
            <w:vAlign w:val="bottom"/>
            <w:tcBorders>
              <w:top w:val="single" w:sz="8" w:color="auto"/>
              <w:bottom w:val="single" w:sz="8" w:color="auto"/>
            </w:tcBorders>
            <w:shd w:val="clear" w:color="auto" w:fill="CFF0FC"/>
          </w:tcPr>
          <w:p>
            <w:pPr>
              <w:spacing w:after="0"/>
              <w:rPr>
                <w:sz w:val="19"/>
                <w:szCs w:val="19"/>
                <w:color w:val="auto"/>
              </w:rPr>
            </w:pPr>
          </w:p>
        </w:tc>
        <w:tc>
          <w:tcPr>
            <w:tcW w:w="1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68,403,618</w:t>
            </w:r>
          </w:p>
        </w:tc>
        <w:tc>
          <w:tcPr>
            <w:tcW w:w="8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CFF0FC"/>
            </w:tcBorders>
            <w:shd w:val="clear" w:color="auto" w:fill="CFF0FC"/>
          </w:tcPr>
          <w:p>
            <w:pPr>
              <w:spacing w:after="0"/>
              <w:rPr>
                <w:sz w:val="19"/>
                <w:szCs w:val="19"/>
                <w:color w:val="auto"/>
              </w:rPr>
            </w:pPr>
          </w:p>
        </w:tc>
        <w:tc>
          <w:tcPr>
            <w:tcW w:w="340" w:type="dxa"/>
            <w:vAlign w:val="bottom"/>
            <w:tcBorders>
              <w:top w:val="single" w:sz="8" w:color="auto"/>
              <w:bottom w:val="single" w:sz="8" w:color="auto"/>
            </w:tcBorders>
            <w:shd w:val="clear" w:color="auto" w:fill="CFF0FC"/>
          </w:tcPr>
          <w:p>
            <w:pPr>
              <w:spacing w:after="0"/>
              <w:rPr>
                <w:sz w:val="19"/>
                <w:szCs w:val="19"/>
                <w:color w:val="auto"/>
              </w:rPr>
            </w:pPr>
          </w:p>
        </w:tc>
        <w:tc>
          <w:tcPr>
            <w:tcW w:w="1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81,901,059</w:t>
            </w:r>
          </w:p>
        </w:tc>
        <w:tc>
          <w:tcPr>
            <w:tcW w:w="28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300" w:type="dxa"/>
            <w:vAlign w:val="bottom"/>
            <w:tcBorders>
              <w:top w:val="single" w:sz="8" w:color="auto"/>
              <w:bottom w:val="single" w:sz="8" w:color="auto"/>
            </w:tcBorders>
            <w:shd w:val="clear" w:color="auto" w:fill="CFF0FC"/>
          </w:tcPr>
          <w:p>
            <w:pPr>
              <w:spacing w:after="0"/>
              <w:rPr>
                <w:sz w:val="19"/>
                <w:szCs w:val="19"/>
                <w:color w:val="auto"/>
              </w:rPr>
            </w:pPr>
          </w:p>
        </w:tc>
        <w:tc>
          <w:tcPr>
            <w:tcW w:w="11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96,355,976</w:t>
            </w: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280" w:type="dxa"/>
            <w:vAlign w:val="bottom"/>
          </w:tcPr>
          <w:p>
            <w:pPr>
              <w:ind w:left="140"/>
              <w:spacing w:after="0"/>
              <w:rPr>
                <w:sz w:val="20"/>
                <w:szCs w:val="20"/>
                <w:color w:val="auto"/>
              </w:rPr>
            </w:pPr>
            <w:r>
              <w:rPr>
                <w:rFonts w:ascii="Arial" w:cs="Arial" w:eastAsia="Arial" w:hAnsi="Arial"/>
                <w:sz w:val="18"/>
                <w:szCs w:val="18"/>
                <w:color w:val="auto"/>
              </w:rPr>
              <w:t>OPERATING LOSS</w:t>
            </w:r>
          </w:p>
        </w:tc>
        <w:tc>
          <w:tcPr>
            <w:tcW w:w="3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(36,995,909)</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(81,742,726)</w:t>
            </w: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(95,973,976)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280" w:type="dxa"/>
            <w:vAlign w:val="bottom"/>
            <w:shd w:val="clear" w:color="auto" w:fill="CFF0FC"/>
          </w:tcPr>
          <w:p>
            <w:pPr>
              <w:ind w:left="140"/>
              <w:spacing w:after="0"/>
              <w:rPr>
                <w:sz w:val="20"/>
                <w:szCs w:val="20"/>
                <w:color w:val="auto"/>
              </w:rPr>
            </w:pPr>
            <w:r>
              <w:rPr>
                <w:rFonts w:ascii="Arial" w:cs="Arial" w:eastAsia="Arial" w:hAnsi="Arial"/>
                <w:sz w:val="18"/>
                <w:szCs w:val="18"/>
                <w:b w:val="1"/>
                <w:bCs w:val="1"/>
                <w:color w:val="auto"/>
              </w:rPr>
              <w:t>OTHER INCOME (EXPENSE)</w:t>
            </w:r>
          </w:p>
        </w:tc>
        <w:tc>
          <w:tcPr>
            <w:tcW w:w="340" w:type="dxa"/>
            <w:vAlign w:val="bottom"/>
            <w:shd w:val="clear" w:color="auto" w:fill="CFF0FC"/>
          </w:tcPr>
          <w:p>
            <w:pPr>
              <w:spacing w:after="0"/>
              <w:rPr>
                <w:sz w:val="19"/>
                <w:szCs w:val="19"/>
                <w:color w:val="auto"/>
              </w:rPr>
            </w:pPr>
          </w:p>
        </w:tc>
        <w:tc>
          <w:tcPr>
            <w:tcW w:w="1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16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1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280" w:type="dxa"/>
            <w:vAlign w:val="bottom"/>
          </w:tcPr>
          <w:p>
            <w:pPr>
              <w:ind w:left="500"/>
              <w:spacing w:after="0"/>
              <w:rPr>
                <w:sz w:val="20"/>
                <w:szCs w:val="20"/>
                <w:color w:val="auto"/>
              </w:rPr>
            </w:pPr>
            <w:r>
              <w:rPr>
                <w:rFonts w:ascii="Arial" w:cs="Arial" w:eastAsia="Arial" w:hAnsi="Arial"/>
                <w:sz w:val="18"/>
                <w:szCs w:val="18"/>
                <w:color w:val="auto"/>
              </w:rPr>
              <w:t>Gain (loss) on sale of fixed asset, net</w:t>
            </w:r>
          </w:p>
        </w:tc>
        <w:tc>
          <w:tcPr>
            <w:tcW w:w="3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19,195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280" w:type="dxa"/>
            <w:vAlign w:val="bottom"/>
            <w:shd w:val="clear" w:color="auto" w:fill="CFF0FC"/>
          </w:tcPr>
          <w:p>
            <w:pPr>
              <w:ind w:left="500"/>
              <w:spacing w:after="0"/>
              <w:rPr>
                <w:sz w:val="20"/>
                <w:szCs w:val="20"/>
                <w:color w:val="auto"/>
              </w:rPr>
            </w:pPr>
            <w:r>
              <w:rPr>
                <w:rFonts w:ascii="Arial" w:cs="Arial" w:eastAsia="Arial" w:hAnsi="Arial"/>
                <w:sz w:val="18"/>
                <w:szCs w:val="18"/>
                <w:color w:val="auto"/>
              </w:rPr>
              <w:t>Interest income (expense), net</w:t>
            </w:r>
          </w:p>
        </w:tc>
        <w:tc>
          <w:tcPr>
            <w:tcW w:w="340" w:type="dxa"/>
            <w:vAlign w:val="bottom"/>
            <w:shd w:val="clear" w:color="auto" w:fill="CFF0FC"/>
          </w:tcPr>
          <w:p>
            <w:pPr>
              <w:spacing w:after="0"/>
              <w:rPr>
                <w:sz w:val="19"/>
                <w:szCs w:val="19"/>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415,128</w:t>
            </w:r>
          </w:p>
        </w:tc>
        <w:tc>
          <w:tcPr>
            <w:tcW w:w="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265,794</w:t>
            </w: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729,158</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280" w:type="dxa"/>
            <w:vAlign w:val="bottom"/>
          </w:tcPr>
          <w:p>
            <w:pPr>
              <w:ind w:left="500"/>
              <w:spacing w:after="0"/>
              <w:rPr>
                <w:sz w:val="20"/>
                <w:szCs w:val="20"/>
                <w:color w:val="auto"/>
              </w:rPr>
            </w:pPr>
            <w:r>
              <w:rPr>
                <w:rFonts w:ascii="Arial" w:cs="Arial" w:eastAsia="Arial" w:hAnsi="Arial"/>
                <w:sz w:val="18"/>
                <w:szCs w:val="18"/>
                <w:color w:val="auto"/>
              </w:rPr>
              <w:t>Change in value of derivatives</w:t>
            </w:r>
          </w:p>
        </w:tc>
        <w:tc>
          <w:tcPr>
            <w:tcW w:w="3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890,362</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440" w:type="dxa"/>
            <w:vAlign w:val="bottom"/>
            <w:gridSpan w:val="2"/>
          </w:tcPr>
          <w:p>
            <w:pPr>
              <w:jc w:val="right"/>
              <w:ind w:right="220"/>
              <w:spacing w:after="0"/>
              <w:rPr>
                <w:sz w:val="20"/>
                <w:szCs w:val="20"/>
                <w:color w:val="auto"/>
              </w:rPr>
            </w:pPr>
            <w:r>
              <w:rPr>
                <w:rFonts w:ascii="Arial" w:cs="Arial" w:eastAsia="Arial" w:hAnsi="Arial"/>
                <w:sz w:val="18"/>
                <w:szCs w:val="18"/>
                <w:color w:val="auto"/>
              </w:rPr>
              <w:t>(301,022)</w:t>
            </w: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2,869,267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280" w:type="dxa"/>
            <w:vAlign w:val="bottom"/>
            <w:shd w:val="clear" w:color="auto" w:fill="CFF0FC"/>
          </w:tcPr>
          <w:p>
            <w:pPr>
              <w:ind w:left="500"/>
              <w:spacing w:after="0"/>
              <w:rPr>
                <w:sz w:val="20"/>
                <w:szCs w:val="20"/>
                <w:color w:val="auto"/>
              </w:rPr>
            </w:pPr>
            <w:r>
              <w:rPr>
                <w:rFonts w:ascii="Arial" w:cs="Arial" w:eastAsia="Arial" w:hAnsi="Arial"/>
                <w:sz w:val="18"/>
                <w:szCs w:val="18"/>
                <w:color w:val="auto"/>
              </w:rPr>
              <w:t>Other income (expense)</w:t>
            </w:r>
          </w:p>
        </w:tc>
        <w:tc>
          <w:tcPr>
            <w:tcW w:w="340" w:type="dxa"/>
            <w:vAlign w:val="bottom"/>
            <w:tcBorders>
              <w:bottom w:val="single" w:sz="8" w:color="auto"/>
            </w:tcBorders>
            <w:shd w:val="clear" w:color="auto" w:fill="CFF0FC"/>
          </w:tcPr>
          <w:p>
            <w:pPr>
              <w:spacing w:after="0"/>
              <w:rPr>
                <w:sz w:val="19"/>
                <w:szCs w:val="19"/>
                <w:color w:val="auto"/>
              </w:rPr>
            </w:pPr>
          </w:p>
        </w:tc>
        <w:tc>
          <w:tcPr>
            <w:tcW w:w="1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1,312,524</w:t>
            </w:r>
          </w:p>
        </w:tc>
        <w:tc>
          <w:tcPr>
            <w:tcW w:w="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340" w:type="dxa"/>
            <w:vAlign w:val="bottom"/>
            <w:tcBorders>
              <w:bottom w:val="single" w:sz="8" w:color="auto"/>
            </w:tcBorders>
            <w:shd w:val="clear" w:color="auto" w:fill="CFF0FC"/>
          </w:tcPr>
          <w:p>
            <w:pPr>
              <w:spacing w:after="0"/>
              <w:rPr>
                <w:sz w:val="19"/>
                <w:szCs w:val="19"/>
                <w:color w:val="auto"/>
              </w:rPr>
            </w:pPr>
          </w:p>
        </w:tc>
        <w:tc>
          <w:tcPr>
            <w:tcW w:w="1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57,352</w:t>
            </w: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spacing w:after="0"/>
              <w:rPr>
                <w:sz w:val="19"/>
                <w:szCs w:val="19"/>
                <w:color w:val="auto"/>
              </w:rPr>
            </w:pPr>
          </w:p>
        </w:tc>
        <w:tc>
          <w:tcPr>
            <w:tcW w:w="1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417,874</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280" w:type="dxa"/>
            <w:vAlign w:val="bottom"/>
            <w:tcBorders>
              <w:bottom w:val="single" w:sz="8" w:color="CFF0FC"/>
            </w:tcBorders>
          </w:tcPr>
          <w:p>
            <w:pPr>
              <w:ind w:left="620"/>
              <w:spacing w:after="0"/>
              <w:rPr>
                <w:sz w:val="20"/>
                <w:szCs w:val="20"/>
                <w:color w:val="auto"/>
              </w:rPr>
            </w:pPr>
            <w:r>
              <w:rPr>
                <w:rFonts w:ascii="Arial" w:cs="Arial" w:eastAsia="Arial" w:hAnsi="Arial"/>
                <w:sz w:val="18"/>
                <w:szCs w:val="18"/>
                <w:color w:val="auto"/>
              </w:rPr>
              <w:t>TOTAL OTHER INCOME (EXPENSE)</w:t>
            </w:r>
          </w:p>
        </w:tc>
        <w:tc>
          <w:tcPr>
            <w:tcW w:w="3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2,618,014</w:t>
            </w:r>
          </w:p>
        </w:tc>
        <w:tc>
          <w:tcPr>
            <w:tcW w:w="80" w:type="dxa"/>
            <w:vAlign w:val="bottom"/>
            <w:tcBorders>
              <w:bottom w:val="single" w:sz="8" w:color="CFF0FC"/>
            </w:tcBorders>
          </w:tcPr>
          <w:p>
            <w:pPr>
              <w:spacing w:after="0"/>
              <w:rPr>
                <w:sz w:val="19"/>
                <w:szCs w:val="19"/>
                <w:color w:val="auto"/>
              </w:rPr>
            </w:pPr>
          </w:p>
        </w:tc>
        <w:tc>
          <w:tcPr>
            <w:tcW w:w="180" w:type="dxa"/>
            <w:vAlign w:val="bottom"/>
            <w:tcBorders>
              <w:bottom w:val="single" w:sz="8" w:color="CFF0FC"/>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22,124</w:t>
            </w:r>
          </w:p>
        </w:tc>
        <w:tc>
          <w:tcPr>
            <w:tcW w:w="280" w:type="dxa"/>
            <w:vAlign w:val="bottom"/>
            <w:tcBorders>
              <w:bottom w:val="single" w:sz="8" w:color="CFF0FC"/>
            </w:tcBorders>
          </w:tcPr>
          <w:p>
            <w:pPr>
              <w:spacing w:after="0"/>
              <w:rPr>
                <w:sz w:val="19"/>
                <w:szCs w:val="19"/>
                <w:color w:val="auto"/>
              </w:rPr>
            </w:pPr>
          </w:p>
        </w:tc>
        <w:tc>
          <w:tcPr>
            <w:tcW w:w="20" w:type="dxa"/>
            <w:vAlign w:val="bottom"/>
            <w:tcBorders>
              <w:bottom w:val="single" w:sz="8" w:color="CFF0FC"/>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4,035,494</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280" w:type="dxa"/>
            <w:vAlign w:val="bottom"/>
            <w:shd w:val="clear" w:color="auto" w:fill="CFF0FC"/>
          </w:tcPr>
          <w:p>
            <w:pPr>
              <w:ind w:left="140"/>
              <w:spacing w:after="0"/>
              <w:rPr>
                <w:sz w:val="20"/>
                <w:szCs w:val="20"/>
                <w:color w:val="auto"/>
              </w:rPr>
            </w:pPr>
            <w:r>
              <w:rPr>
                <w:rFonts w:ascii="Arial" w:cs="Arial" w:eastAsia="Arial" w:hAnsi="Arial"/>
                <w:sz w:val="18"/>
                <w:szCs w:val="18"/>
                <w:color w:val="auto"/>
              </w:rPr>
              <w:t>LOSS BEFORE INCOME TAXES</w:t>
            </w:r>
          </w:p>
        </w:tc>
        <w:tc>
          <w:tcPr>
            <w:tcW w:w="340" w:type="dxa"/>
            <w:vAlign w:val="bottom"/>
            <w:shd w:val="clear" w:color="auto" w:fill="CFF0FC"/>
          </w:tcPr>
          <w:p>
            <w:pPr>
              <w:spacing w:after="0"/>
              <w:rPr>
                <w:sz w:val="19"/>
                <w:szCs w:val="19"/>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(34,377,895)</w:t>
            </w:r>
          </w:p>
        </w:tc>
        <w:tc>
          <w:tcPr>
            <w:tcW w:w="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(81,720,602)</w:t>
            </w: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(91,938,482)</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280" w:type="dxa"/>
            <w:vAlign w:val="bottom"/>
          </w:tcPr>
          <w:p>
            <w:pPr>
              <w:ind w:left="500"/>
              <w:spacing w:after="0"/>
              <w:rPr>
                <w:sz w:val="20"/>
                <w:szCs w:val="20"/>
                <w:color w:val="auto"/>
              </w:rPr>
            </w:pPr>
            <w:r>
              <w:rPr>
                <w:rFonts w:ascii="Arial" w:cs="Arial" w:eastAsia="Arial" w:hAnsi="Arial"/>
                <w:sz w:val="18"/>
                <w:szCs w:val="18"/>
                <w:color w:val="auto"/>
              </w:rPr>
              <w:t>Provision for income taxes</w:t>
            </w:r>
          </w:p>
        </w:tc>
        <w:tc>
          <w:tcPr>
            <w:tcW w:w="340" w:type="dxa"/>
            <w:vAlign w:val="bottom"/>
          </w:tcPr>
          <w:p>
            <w:pPr>
              <w:spacing w:after="0"/>
              <w:rPr>
                <w:sz w:val="19"/>
                <w:szCs w:val="19"/>
                <w:color w:val="auto"/>
              </w:rPr>
            </w:pPr>
          </w:p>
        </w:tc>
        <w:tc>
          <w:tcPr>
            <w:tcW w:w="1240" w:type="dxa"/>
            <w:vAlign w:val="bottom"/>
            <w:gridSpan w:val="2"/>
          </w:tcPr>
          <w:p>
            <w:pPr>
              <w:jc w:val="right"/>
              <w:ind w:right="20"/>
              <w:spacing w:after="0"/>
              <w:rPr>
                <w:sz w:val="20"/>
                <w:szCs w:val="20"/>
                <w:color w:val="auto"/>
              </w:rPr>
            </w:pPr>
            <w:r>
              <w:rPr>
                <w:rFonts w:ascii="Arial" w:cs="Arial" w:eastAsia="Arial" w:hAnsi="Arial"/>
                <w:sz w:val="18"/>
                <w:szCs w:val="18"/>
                <w:color w:val="auto"/>
              </w:rPr>
              <w:t>(2,400)</w:t>
            </w:r>
          </w:p>
        </w:tc>
        <w:tc>
          <w:tcPr>
            <w:tcW w:w="1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440" w:type="dxa"/>
            <w:vAlign w:val="bottom"/>
            <w:gridSpan w:val="2"/>
          </w:tcPr>
          <w:p>
            <w:pPr>
              <w:jc w:val="right"/>
              <w:ind w:right="220"/>
              <w:spacing w:after="0"/>
              <w:rPr>
                <w:sz w:val="20"/>
                <w:szCs w:val="20"/>
                <w:color w:val="auto"/>
              </w:rPr>
            </w:pPr>
            <w:r>
              <w:rPr>
                <w:rFonts w:ascii="Arial" w:cs="Arial" w:eastAsia="Arial" w:hAnsi="Arial"/>
                <w:sz w:val="18"/>
                <w:szCs w:val="18"/>
                <w:color w:val="auto"/>
              </w:rPr>
              <w:t>(2,400)</w:t>
            </w: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80" w:type="dxa"/>
            <w:vAlign w:val="bottom"/>
            <w:gridSpan w:val="2"/>
          </w:tcPr>
          <w:p>
            <w:pPr>
              <w:jc w:val="right"/>
              <w:ind w:right="40"/>
              <w:spacing w:after="0"/>
              <w:rPr>
                <w:sz w:val="20"/>
                <w:szCs w:val="20"/>
                <w:color w:val="auto"/>
              </w:rPr>
            </w:pPr>
            <w:r>
              <w:rPr>
                <w:rFonts w:ascii="Arial" w:cs="Arial" w:eastAsia="Arial" w:hAnsi="Arial"/>
                <w:sz w:val="18"/>
                <w:szCs w:val="18"/>
                <w:color w:val="auto"/>
              </w:rPr>
              <w:t>(2,400)</w:t>
            </w:r>
          </w:p>
        </w:tc>
        <w:tc>
          <w:tcPr>
            <w:tcW w:w="0" w:type="dxa"/>
            <w:vAlign w:val="bottom"/>
          </w:tcPr>
          <w:p>
            <w:pPr>
              <w:spacing w:after="0"/>
              <w:rPr>
                <w:sz w:val="1"/>
                <w:szCs w:val="1"/>
                <w:color w:val="auto"/>
              </w:rPr>
            </w:pPr>
          </w:p>
        </w:tc>
      </w:tr>
      <w:tr>
        <w:trPr>
          <w:trHeight w:val="223"/>
        </w:trPr>
        <w:tc>
          <w:tcPr>
            <w:tcW w:w="6280" w:type="dxa"/>
            <w:vAlign w:val="bottom"/>
            <w:tcBorders>
              <w:top w:val="single" w:sz="8" w:color="CFF0FC"/>
            </w:tcBorders>
            <w:shd w:val="clear" w:color="auto" w:fill="CFF0FC"/>
          </w:tcPr>
          <w:p>
            <w:pPr>
              <w:ind w:left="140"/>
              <w:spacing w:after="0"/>
              <w:rPr>
                <w:sz w:val="20"/>
                <w:szCs w:val="20"/>
                <w:color w:val="auto"/>
              </w:rPr>
            </w:pPr>
            <w:r>
              <w:rPr>
                <w:rFonts w:ascii="Arial" w:cs="Arial" w:eastAsia="Arial" w:hAnsi="Arial"/>
                <w:sz w:val="18"/>
                <w:szCs w:val="18"/>
                <w:color w:val="auto"/>
              </w:rPr>
              <w:t>NET LOSS</w:t>
            </w:r>
          </w:p>
        </w:tc>
        <w:tc>
          <w:tcPr>
            <w:tcW w:w="340" w:type="dxa"/>
            <w:vAlign w:val="bottom"/>
            <w:tcBorders>
              <w:top w:val="single" w:sz="8" w:color="auto"/>
            </w:tcBorders>
            <w:shd w:val="clear" w:color="auto" w:fill="CFF0FC"/>
          </w:tcPr>
          <w:p>
            <w:pPr>
              <w:spacing w:after="0"/>
              <w:rPr>
                <w:sz w:val="19"/>
                <w:szCs w:val="19"/>
                <w:color w:val="auto"/>
              </w:rPr>
            </w:pPr>
          </w:p>
        </w:tc>
        <w:tc>
          <w:tcPr>
            <w:tcW w:w="11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(34,380,295)</w:t>
            </w:r>
          </w:p>
        </w:tc>
        <w:tc>
          <w:tcPr>
            <w:tcW w:w="8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CFF0FC"/>
            </w:tcBorders>
            <w:shd w:val="clear" w:color="auto" w:fill="CFF0FC"/>
          </w:tcPr>
          <w:p>
            <w:pPr>
              <w:spacing w:after="0"/>
              <w:rPr>
                <w:sz w:val="19"/>
                <w:szCs w:val="19"/>
                <w:color w:val="auto"/>
              </w:rPr>
            </w:pPr>
          </w:p>
        </w:tc>
        <w:tc>
          <w:tcPr>
            <w:tcW w:w="340" w:type="dxa"/>
            <w:vAlign w:val="bottom"/>
            <w:tcBorders>
              <w:top w:val="single" w:sz="8" w:color="auto"/>
            </w:tcBorders>
            <w:shd w:val="clear" w:color="auto" w:fill="CFF0FC"/>
          </w:tcPr>
          <w:p>
            <w:pPr>
              <w:spacing w:after="0"/>
              <w:rPr>
                <w:sz w:val="19"/>
                <w:szCs w:val="19"/>
                <w:color w:val="auto"/>
              </w:rPr>
            </w:pPr>
          </w:p>
        </w:tc>
        <w:tc>
          <w:tcPr>
            <w:tcW w:w="11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(81,723,002)</w:t>
            </w:r>
          </w:p>
        </w:tc>
        <w:tc>
          <w:tcPr>
            <w:tcW w:w="28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300" w:type="dxa"/>
            <w:vAlign w:val="bottom"/>
            <w:tcBorders>
              <w:top w:val="single" w:sz="8" w:color="auto"/>
            </w:tcBorders>
            <w:shd w:val="clear" w:color="auto" w:fill="CFF0FC"/>
          </w:tcPr>
          <w:p>
            <w:pPr>
              <w:spacing w:after="0"/>
              <w:rPr>
                <w:sz w:val="19"/>
                <w:szCs w:val="19"/>
                <w:color w:val="auto"/>
              </w:rPr>
            </w:pPr>
          </w:p>
        </w:tc>
        <w:tc>
          <w:tcPr>
            <w:tcW w:w="11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(91,940,882)</w:t>
            </w: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70"/>
        </w:trPr>
        <w:tc>
          <w:tcPr>
            <w:tcW w:w="6280" w:type="dxa"/>
            <w:vAlign w:val="bottom"/>
          </w:tcPr>
          <w:p>
            <w:pPr>
              <w:ind w:left="140"/>
              <w:spacing w:after="0"/>
              <w:rPr>
                <w:sz w:val="20"/>
                <w:szCs w:val="20"/>
                <w:color w:val="auto"/>
              </w:rPr>
            </w:pPr>
            <w:r>
              <w:rPr>
                <w:rFonts w:ascii="Arial" w:cs="Arial" w:eastAsia="Arial" w:hAnsi="Arial"/>
                <w:sz w:val="18"/>
                <w:szCs w:val="18"/>
                <w:color w:val="auto"/>
              </w:rPr>
              <w:t>NET LOSS PER SHARE - BASIC &amp; DILUTED</w:t>
            </w: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240" w:type="dxa"/>
            <w:vAlign w:val="bottom"/>
            <w:gridSpan w:val="2"/>
          </w:tcPr>
          <w:p>
            <w:pPr>
              <w:jc w:val="right"/>
              <w:ind w:right="20"/>
              <w:spacing w:after="0"/>
              <w:rPr>
                <w:sz w:val="20"/>
                <w:szCs w:val="20"/>
                <w:color w:val="auto"/>
              </w:rPr>
            </w:pPr>
            <w:r>
              <w:rPr>
                <w:rFonts w:ascii="Arial" w:cs="Arial" w:eastAsia="Arial" w:hAnsi="Arial"/>
                <w:sz w:val="18"/>
                <w:szCs w:val="18"/>
                <w:color w:val="auto"/>
              </w:rPr>
              <w:t>(0.47)</w:t>
            </w:r>
          </w:p>
        </w:tc>
        <w:tc>
          <w:tcPr>
            <w:tcW w:w="520" w:type="dxa"/>
            <w:vAlign w:val="bottom"/>
            <w:gridSpan w:val="2"/>
          </w:tcPr>
          <w:p>
            <w:pPr>
              <w:jc w:val="right"/>
              <w:ind w:right="150"/>
              <w:spacing w:after="0"/>
              <w:rPr>
                <w:sz w:val="20"/>
                <w:szCs w:val="20"/>
                <w:color w:val="auto"/>
              </w:rPr>
            </w:pPr>
            <w:r>
              <w:rPr>
                <w:rFonts w:ascii="Arial" w:cs="Arial" w:eastAsia="Arial" w:hAnsi="Arial"/>
                <w:sz w:val="18"/>
                <w:szCs w:val="18"/>
                <w:color w:val="auto"/>
              </w:rPr>
              <w:t>$</w:t>
            </w:r>
          </w:p>
        </w:tc>
        <w:tc>
          <w:tcPr>
            <w:tcW w:w="1440" w:type="dxa"/>
            <w:vAlign w:val="bottom"/>
            <w:gridSpan w:val="2"/>
          </w:tcPr>
          <w:p>
            <w:pPr>
              <w:jc w:val="right"/>
              <w:ind w:right="220"/>
              <w:spacing w:after="0"/>
              <w:rPr>
                <w:sz w:val="20"/>
                <w:szCs w:val="20"/>
                <w:color w:val="auto"/>
              </w:rPr>
            </w:pPr>
            <w:r>
              <w:rPr>
                <w:rFonts w:ascii="Arial" w:cs="Arial" w:eastAsia="Arial" w:hAnsi="Arial"/>
                <w:sz w:val="18"/>
                <w:szCs w:val="18"/>
                <w:color w:val="auto"/>
              </w:rPr>
              <w:t>(1.34)</w:t>
            </w:r>
          </w:p>
        </w:tc>
        <w:tc>
          <w:tcPr>
            <w:tcW w:w="320" w:type="dxa"/>
            <w:vAlign w:val="bottom"/>
            <w:gridSpan w:val="2"/>
          </w:tcPr>
          <w:p>
            <w:pPr>
              <w:jc w:val="right"/>
              <w:ind w:right="190"/>
              <w:spacing w:after="0"/>
              <w:rPr>
                <w:sz w:val="20"/>
                <w:szCs w:val="20"/>
                <w:color w:val="auto"/>
              </w:rPr>
            </w:pPr>
            <w:r>
              <w:rPr>
                <w:rFonts w:ascii="Arial" w:cs="Arial" w:eastAsia="Arial" w:hAnsi="Arial"/>
                <w:sz w:val="15"/>
                <w:szCs w:val="15"/>
                <w:color w:val="auto"/>
                <w:w w:val="71"/>
              </w:rPr>
              <w:t>$</w:t>
            </w:r>
          </w:p>
        </w:tc>
        <w:tc>
          <w:tcPr>
            <w:tcW w:w="1280" w:type="dxa"/>
            <w:vAlign w:val="bottom"/>
            <w:gridSpan w:val="2"/>
          </w:tcPr>
          <w:p>
            <w:pPr>
              <w:jc w:val="right"/>
              <w:ind w:right="40"/>
              <w:spacing w:after="0"/>
              <w:rPr>
                <w:sz w:val="20"/>
                <w:szCs w:val="20"/>
                <w:color w:val="auto"/>
              </w:rPr>
            </w:pPr>
            <w:r>
              <w:rPr>
                <w:rFonts w:ascii="Arial" w:cs="Arial" w:eastAsia="Arial" w:hAnsi="Arial"/>
                <w:sz w:val="18"/>
                <w:szCs w:val="18"/>
                <w:color w:val="auto"/>
              </w:rPr>
              <w:t>(1.60)</w:t>
            </w:r>
          </w:p>
        </w:tc>
        <w:tc>
          <w:tcPr>
            <w:tcW w:w="0" w:type="dxa"/>
            <w:vAlign w:val="bottom"/>
          </w:tcPr>
          <w:p>
            <w:pPr>
              <w:spacing w:after="0"/>
              <w:rPr>
                <w:sz w:val="1"/>
                <w:szCs w:val="1"/>
                <w:color w:val="auto"/>
              </w:rPr>
            </w:pPr>
          </w:p>
        </w:tc>
      </w:tr>
      <w:tr>
        <w:trPr>
          <w:trHeight w:val="210"/>
        </w:trPr>
        <w:tc>
          <w:tcPr>
            <w:tcW w:w="6280" w:type="dxa"/>
            <w:vAlign w:val="bottom"/>
            <w:tcBorders>
              <w:top w:val="single" w:sz="8" w:color="CFF0FC"/>
              <w:bottom w:val="single" w:sz="8" w:color="CFF0FC"/>
            </w:tcBorders>
            <w:shd w:val="clear" w:color="auto" w:fill="CFF0FC"/>
          </w:tcPr>
          <w:p>
            <w:pPr>
              <w:ind w:left="140"/>
              <w:spacing w:after="0"/>
              <w:rPr>
                <w:sz w:val="20"/>
                <w:szCs w:val="20"/>
                <w:color w:val="auto"/>
              </w:rPr>
            </w:pPr>
            <w:r>
              <w:rPr>
                <w:rFonts w:ascii="Arial" w:cs="Arial" w:eastAsia="Arial" w:hAnsi="Arial"/>
                <w:sz w:val="18"/>
                <w:szCs w:val="18"/>
                <w:color w:val="auto"/>
              </w:rPr>
              <w:t>Weighted average shares outstanding - basic and diluted</w:t>
            </w:r>
          </w:p>
        </w:tc>
        <w:tc>
          <w:tcPr>
            <w:tcW w:w="340" w:type="dxa"/>
            <w:vAlign w:val="bottom"/>
            <w:tcBorders>
              <w:top w:val="single" w:sz="8" w:color="auto"/>
              <w:bottom w:val="single" w:sz="8" w:color="auto"/>
            </w:tcBorders>
            <w:shd w:val="clear" w:color="auto" w:fill="CFF0FC"/>
          </w:tcPr>
          <w:p>
            <w:pPr>
              <w:spacing w:after="0"/>
              <w:rPr>
                <w:sz w:val="18"/>
                <w:szCs w:val="18"/>
                <w:color w:val="auto"/>
              </w:rPr>
            </w:pPr>
          </w:p>
        </w:tc>
        <w:tc>
          <w:tcPr>
            <w:tcW w:w="1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73,898,598</w:t>
            </w:r>
          </w:p>
        </w:tc>
        <w:tc>
          <w:tcPr>
            <w:tcW w:w="80" w:type="dxa"/>
            <w:vAlign w:val="bottom"/>
            <w:tcBorders>
              <w:top w:val="single" w:sz="8" w:color="CFF0FC"/>
              <w:bottom w:val="single" w:sz="8" w:color="CFF0FC"/>
            </w:tcBorders>
            <w:shd w:val="clear" w:color="auto" w:fill="CFF0FC"/>
          </w:tcPr>
          <w:p>
            <w:pPr>
              <w:spacing w:after="0"/>
              <w:rPr>
                <w:sz w:val="18"/>
                <w:szCs w:val="18"/>
                <w:color w:val="auto"/>
              </w:rPr>
            </w:pPr>
          </w:p>
        </w:tc>
        <w:tc>
          <w:tcPr>
            <w:tcW w:w="180" w:type="dxa"/>
            <w:vAlign w:val="bottom"/>
            <w:tcBorders>
              <w:top w:val="single" w:sz="8" w:color="CFF0FC"/>
              <w:bottom w:val="single" w:sz="8" w:color="CFF0FC"/>
            </w:tcBorders>
            <w:shd w:val="clear" w:color="auto" w:fill="CFF0FC"/>
          </w:tcPr>
          <w:p>
            <w:pPr>
              <w:spacing w:after="0"/>
              <w:rPr>
                <w:sz w:val="18"/>
                <w:szCs w:val="18"/>
                <w:color w:val="auto"/>
              </w:rPr>
            </w:pPr>
          </w:p>
        </w:tc>
        <w:tc>
          <w:tcPr>
            <w:tcW w:w="340" w:type="dxa"/>
            <w:vAlign w:val="bottom"/>
            <w:tcBorders>
              <w:top w:val="single" w:sz="8" w:color="auto"/>
              <w:bottom w:val="single" w:sz="8" w:color="auto"/>
            </w:tcBorders>
            <w:shd w:val="clear" w:color="auto" w:fill="CFF0FC"/>
          </w:tcPr>
          <w:p>
            <w:pPr>
              <w:spacing w:after="0"/>
              <w:rPr>
                <w:sz w:val="18"/>
                <w:szCs w:val="18"/>
                <w:color w:val="auto"/>
              </w:rPr>
            </w:pPr>
          </w:p>
        </w:tc>
        <w:tc>
          <w:tcPr>
            <w:tcW w:w="1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61,050,880</w:t>
            </w:r>
          </w:p>
        </w:tc>
        <w:tc>
          <w:tcPr>
            <w:tcW w:w="280" w:type="dxa"/>
            <w:vAlign w:val="bottom"/>
            <w:tcBorders>
              <w:top w:val="single" w:sz="8" w:color="CFF0FC"/>
              <w:bottom w:val="single" w:sz="8" w:color="CFF0FC"/>
            </w:tcBorders>
            <w:shd w:val="clear" w:color="auto" w:fill="CFF0FC"/>
          </w:tcPr>
          <w:p>
            <w:pPr>
              <w:spacing w:after="0"/>
              <w:rPr>
                <w:sz w:val="18"/>
                <w:szCs w:val="18"/>
                <w:color w:val="auto"/>
              </w:rPr>
            </w:pPr>
          </w:p>
        </w:tc>
        <w:tc>
          <w:tcPr>
            <w:tcW w:w="20" w:type="dxa"/>
            <w:vAlign w:val="bottom"/>
            <w:tcBorders>
              <w:top w:val="single" w:sz="8" w:color="CFF0FC"/>
              <w:bottom w:val="single" w:sz="8" w:color="CFF0FC"/>
            </w:tcBorders>
            <w:shd w:val="clear" w:color="auto" w:fill="CFF0FC"/>
          </w:tcPr>
          <w:p>
            <w:pPr>
              <w:spacing w:after="0"/>
              <w:rPr>
                <w:sz w:val="18"/>
                <w:szCs w:val="18"/>
                <w:color w:val="auto"/>
              </w:rPr>
            </w:pPr>
          </w:p>
        </w:tc>
        <w:tc>
          <w:tcPr>
            <w:tcW w:w="300" w:type="dxa"/>
            <w:vAlign w:val="bottom"/>
            <w:tcBorders>
              <w:top w:val="single" w:sz="8" w:color="auto"/>
              <w:bottom w:val="single" w:sz="8" w:color="auto"/>
            </w:tcBorders>
            <w:shd w:val="clear" w:color="auto" w:fill="CFF0FC"/>
          </w:tcPr>
          <w:p>
            <w:pPr>
              <w:spacing w:after="0"/>
              <w:rPr>
                <w:sz w:val="18"/>
                <w:szCs w:val="18"/>
                <w:color w:val="auto"/>
              </w:rPr>
            </w:pPr>
          </w:p>
        </w:tc>
        <w:tc>
          <w:tcPr>
            <w:tcW w:w="11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57,358,442</w:t>
            </w:r>
          </w:p>
        </w:tc>
        <w:tc>
          <w:tcPr>
            <w:tcW w:w="100" w:type="dxa"/>
            <w:vAlign w:val="bottom"/>
            <w:tcBorders>
              <w:top w:val="single" w:sz="8" w:color="CFF0FC"/>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ind w:left="140"/>
              <w:spacing w:after="0"/>
              <w:rPr>
                <w:sz w:val="20"/>
                <w:szCs w:val="20"/>
                <w:color w:val="auto"/>
              </w:rPr>
            </w:pPr>
            <w:r>
              <w:rPr>
                <w:rFonts w:ascii="Arial" w:cs="Arial" w:eastAsia="Arial" w:hAnsi="Arial"/>
                <w:sz w:val="18"/>
                <w:szCs w:val="18"/>
                <w:color w:val="auto"/>
              </w:rPr>
              <w:t>OTHER COMPREHENSIVE INCOME (LOSS), NET OF TAX:</w:t>
            </w: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280" w:type="dxa"/>
            <w:vAlign w:val="bottom"/>
            <w:vMerge w:val="continue"/>
          </w:tcPr>
          <w:p>
            <w:pPr>
              <w:spacing w:after="0"/>
              <w:rPr>
                <w:sz w:val="18"/>
                <w:szCs w:val="18"/>
                <w:color w:val="auto"/>
              </w:rPr>
            </w:pPr>
          </w:p>
        </w:tc>
        <w:tc>
          <w:tcPr>
            <w:tcW w:w="3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280" w:type="dxa"/>
            <w:vAlign w:val="bottom"/>
            <w:shd w:val="clear" w:color="auto" w:fill="CFF0FC"/>
          </w:tcPr>
          <w:p>
            <w:pPr>
              <w:ind w:left="500"/>
              <w:spacing w:after="0"/>
              <w:rPr>
                <w:sz w:val="20"/>
                <w:szCs w:val="20"/>
                <w:color w:val="auto"/>
              </w:rPr>
            </w:pPr>
            <w:r>
              <w:rPr>
                <w:rFonts w:ascii="Arial" w:cs="Arial" w:eastAsia="Arial" w:hAnsi="Arial"/>
                <w:sz w:val="18"/>
                <w:szCs w:val="18"/>
                <w:color w:val="auto"/>
              </w:rPr>
              <w:t>Foreign Currency Translation Adjustments</w:t>
            </w:r>
          </w:p>
        </w:tc>
        <w:tc>
          <w:tcPr>
            <w:tcW w:w="340" w:type="dxa"/>
            <w:vAlign w:val="bottom"/>
            <w:shd w:val="clear" w:color="auto" w:fill="CFF0FC"/>
          </w:tcPr>
          <w:p>
            <w:pPr>
              <w:spacing w:after="0"/>
              <w:rPr>
                <w:sz w:val="19"/>
                <w:szCs w:val="19"/>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25,783</w:t>
            </w:r>
          </w:p>
        </w:tc>
        <w:tc>
          <w:tcPr>
            <w:tcW w:w="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143,874</w:t>
            </w: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28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(136,425)</w:t>
            </w:r>
          </w:p>
        </w:tc>
        <w:tc>
          <w:tcPr>
            <w:tcW w:w="0" w:type="dxa"/>
            <w:vAlign w:val="bottom"/>
          </w:tcPr>
          <w:p>
            <w:pPr>
              <w:spacing w:after="0"/>
              <w:rPr>
                <w:sz w:val="1"/>
                <w:szCs w:val="1"/>
                <w:color w:val="auto"/>
              </w:rPr>
            </w:pPr>
          </w:p>
        </w:tc>
      </w:tr>
      <w:tr>
        <w:trPr>
          <w:trHeight w:val="223"/>
        </w:trPr>
        <w:tc>
          <w:tcPr>
            <w:tcW w:w="6280" w:type="dxa"/>
            <w:vAlign w:val="bottom"/>
          </w:tcPr>
          <w:p>
            <w:pPr>
              <w:ind w:left="140"/>
              <w:spacing w:after="0"/>
              <w:rPr>
                <w:sz w:val="20"/>
                <w:szCs w:val="20"/>
                <w:color w:val="auto"/>
              </w:rPr>
            </w:pPr>
            <w:r>
              <w:rPr>
                <w:rFonts w:ascii="Arial" w:cs="Arial" w:eastAsia="Arial" w:hAnsi="Arial"/>
                <w:sz w:val="18"/>
                <w:szCs w:val="18"/>
                <w:color w:val="auto"/>
              </w:rPr>
              <w:t>COMPREHENSIVE LOSS</w:t>
            </w:r>
          </w:p>
        </w:tc>
        <w:tc>
          <w:tcPr>
            <w:tcW w:w="34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w w:val="79"/>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(34,354,512)</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4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w w:val="79"/>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(81,579,128)</w:t>
            </w:r>
          </w:p>
        </w:tc>
        <w:tc>
          <w:tcPr>
            <w:tcW w:w="28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300" w:type="dxa"/>
            <w:vAlign w:val="bottom"/>
            <w:tcBorders>
              <w:top w:val="single" w:sz="8" w:color="auto"/>
              <w:bottom w:val="single" w:sz="8" w:color="auto"/>
            </w:tcBorders>
          </w:tcPr>
          <w:p>
            <w:pPr>
              <w:jc w:val="right"/>
              <w:ind w:right="190"/>
              <w:spacing w:after="0"/>
              <w:rPr>
                <w:sz w:val="20"/>
                <w:szCs w:val="20"/>
                <w:color w:val="auto"/>
              </w:rPr>
            </w:pPr>
            <w:r>
              <w:rPr>
                <w:rFonts w:ascii="Arial" w:cs="Arial" w:eastAsia="Arial" w:hAnsi="Arial"/>
                <w:sz w:val="10"/>
                <w:szCs w:val="10"/>
                <w:b w:val="1"/>
                <w:bCs w:val="1"/>
                <w:color w:val="auto"/>
                <w:w w:val="71"/>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(92,077,307)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2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12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65" w:name="page66"/>
    <w:bookmarkEnd w:id="65"/>
    <w:p>
      <w:pPr>
        <w:jc w:val="center"/>
        <w:spacing w:after="0"/>
        <w:rPr>
          <w:sz w:val="20"/>
          <w:szCs w:val="20"/>
          <w:color w:val="auto"/>
        </w:rPr>
      </w:pPr>
      <w:r>
        <w:rPr>
          <w:rFonts w:ascii="Arial" w:cs="Arial" w:eastAsia="Arial" w:hAnsi="Arial"/>
          <w:sz w:val="18"/>
          <w:szCs w:val="18"/>
          <w:b w:val="1"/>
          <w:bCs w:val="1"/>
          <w:color w:val="auto"/>
        </w:rPr>
        <w:t>Arrowhead Pharmaceuticals,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 of Stockholders’ Equity</w:t>
      </w:r>
    </w:p>
    <w:p>
      <w:pPr>
        <w:spacing w:after="0" w:line="200" w:lineRule="exact"/>
        <w:rPr>
          <w:sz w:val="20"/>
          <w:szCs w:val="20"/>
          <w:color w:val="auto"/>
        </w:rPr>
      </w:pPr>
    </w:p>
    <w:p>
      <w:pPr>
        <w:spacing w:after="0" w:line="24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7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80" w:type="dxa"/>
            <w:vAlign w:val="bottom"/>
            <w:gridSpan w:val="2"/>
            <w:vMerge w:val="restart"/>
          </w:tcPr>
          <w:p>
            <w:pPr>
              <w:jc w:val="right"/>
              <w:ind w:right="240"/>
              <w:spacing w:after="0"/>
              <w:rPr>
                <w:sz w:val="20"/>
                <w:szCs w:val="20"/>
                <w:color w:val="auto"/>
              </w:rPr>
            </w:pPr>
            <w:r>
              <w:rPr>
                <w:rFonts w:ascii="Arial" w:cs="Arial" w:eastAsia="Arial" w:hAnsi="Arial"/>
                <w:sz w:val="14"/>
                <w:szCs w:val="14"/>
                <w:b w:val="1"/>
                <w:bCs w:val="1"/>
                <w:color w:val="auto"/>
              </w:rPr>
              <w:t>Additional</w:t>
            </w:r>
          </w:p>
        </w:tc>
        <w:tc>
          <w:tcPr>
            <w:tcW w:w="60" w:type="dxa"/>
            <w:vAlign w:val="bottom"/>
          </w:tcPr>
          <w:p>
            <w:pPr>
              <w:spacing w:after="0"/>
              <w:rPr>
                <w:sz w:val="14"/>
                <w:szCs w:val="14"/>
                <w:color w:val="auto"/>
              </w:rPr>
            </w:pPr>
          </w:p>
        </w:tc>
        <w:tc>
          <w:tcPr>
            <w:tcW w:w="1160" w:type="dxa"/>
            <w:vAlign w:val="bottom"/>
            <w:gridSpan w:val="3"/>
          </w:tcPr>
          <w:p>
            <w:pPr>
              <w:jc w:val="center"/>
              <w:ind w:right="200"/>
              <w:spacing w:after="0"/>
              <w:rPr>
                <w:sz w:val="20"/>
                <w:szCs w:val="20"/>
                <w:color w:val="auto"/>
              </w:rPr>
            </w:pPr>
            <w:r>
              <w:rPr>
                <w:rFonts w:ascii="Arial" w:cs="Arial" w:eastAsia="Arial" w:hAnsi="Arial"/>
                <w:sz w:val="14"/>
                <w:szCs w:val="14"/>
                <w:b w:val="1"/>
                <w:bCs w:val="1"/>
                <w:color w:val="auto"/>
                <w:w w:val="90"/>
              </w:rPr>
              <w:t>Accumulated</w:t>
            </w:r>
          </w:p>
        </w:tc>
        <w:tc>
          <w:tcPr>
            <w:tcW w:w="9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gridSpan w:val="2"/>
            <w:vMerge w:val="restart"/>
          </w:tcPr>
          <w:p>
            <w:pPr>
              <w:jc w:val="center"/>
              <w:ind w:right="179"/>
              <w:spacing w:after="0"/>
              <w:rPr>
                <w:sz w:val="20"/>
                <w:szCs w:val="20"/>
                <w:color w:val="auto"/>
              </w:rPr>
            </w:pPr>
            <w:r>
              <w:rPr>
                <w:rFonts w:ascii="Arial" w:cs="Arial" w:eastAsia="Arial" w:hAnsi="Arial"/>
                <w:sz w:val="14"/>
                <w:szCs w:val="14"/>
                <w:b w:val="1"/>
                <w:bCs w:val="1"/>
                <w:color w:val="auto"/>
                <w:w w:val="93"/>
              </w:rPr>
              <w:t>Non-</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720" w:type="dxa"/>
            <w:vAlign w:val="bottom"/>
          </w:tcPr>
          <w:p>
            <w:pPr>
              <w:spacing w:after="0"/>
              <w:rPr>
                <w:sz w:val="12"/>
                <w:szCs w:val="12"/>
                <w:color w:val="auto"/>
              </w:rPr>
            </w:pPr>
          </w:p>
        </w:tc>
        <w:tc>
          <w:tcPr>
            <w:tcW w:w="860" w:type="dxa"/>
            <w:vAlign w:val="bottom"/>
            <w:gridSpan w:val="2"/>
            <w:vMerge w:val="restart"/>
          </w:tcPr>
          <w:p>
            <w:pPr>
              <w:jc w:val="right"/>
              <w:ind w:right="240"/>
              <w:spacing w:after="0"/>
              <w:rPr>
                <w:sz w:val="20"/>
                <w:szCs w:val="20"/>
                <w:color w:val="auto"/>
              </w:rPr>
            </w:pPr>
            <w:r>
              <w:rPr>
                <w:rFonts w:ascii="Arial" w:cs="Arial" w:eastAsia="Arial" w:hAnsi="Arial"/>
                <w:sz w:val="14"/>
                <w:szCs w:val="14"/>
                <w:b w:val="1"/>
                <w:bCs w:val="1"/>
                <w:color w:val="auto"/>
                <w:w w:val="96"/>
              </w:rPr>
              <w:t>Preferred</w:t>
            </w:r>
          </w:p>
        </w:tc>
        <w:tc>
          <w:tcPr>
            <w:tcW w:w="860" w:type="dxa"/>
            <w:vAlign w:val="bottom"/>
            <w:gridSpan w:val="3"/>
            <w:vMerge w:val="restart"/>
          </w:tcPr>
          <w:p>
            <w:pPr>
              <w:jc w:val="right"/>
              <w:ind w:right="280"/>
              <w:spacing w:after="0"/>
              <w:rPr>
                <w:sz w:val="20"/>
                <w:szCs w:val="20"/>
                <w:color w:val="auto"/>
              </w:rPr>
            </w:pPr>
            <w:r>
              <w:rPr>
                <w:rFonts w:ascii="Arial" w:cs="Arial" w:eastAsia="Arial" w:hAnsi="Arial"/>
                <w:sz w:val="14"/>
                <w:szCs w:val="14"/>
                <w:b w:val="1"/>
                <w:bCs w:val="1"/>
                <w:color w:val="auto"/>
              </w:rPr>
              <w:t>Amount</w:t>
            </w:r>
          </w:p>
        </w:tc>
        <w:tc>
          <w:tcPr>
            <w:tcW w:w="98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w w:val="92"/>
              </w:rPr>
              <w:t>Common</w:t>
            </w:r>
          </w:p>
        </w:tc>
        <w:tc>
          <w:tcPr>
            <w:tcW w:w="60" w:type="dxa"/>
            <w:vAlign w:val="bottom"/>
          </w:tcPr>
          <w:p>
            <w:pPr>
              <w:spacing w:after="0"/>
              <w:rPr>
                <w:sz w:val="12"/>
                <w:szCs w:val="12"/>
                <w:color w:val="auto"/>
              </w:rPr>
            </w:pPr>
          </w:p>
        </w:tc>
        <w:tc>
          <w:tcPr>
            <w:tcW w:w="600" w:type="dxa"/>
            <w:vAlign w:val="bottom"/>
            <w:vMerge w:val="restart"/>
          </w:tcPr>
          <w:p>
            <w:pPr>
              <w:jc w:val="right"/>
              <w:ind w:right="28"/>
              <w:spacing w:after="0"/>
              <w:rPr>
                <w:sz w:val="20"/>
                <w:szCs w:val="20"/>
                <w:color w:val="auto"/>
              </w:rPr>
            </w:pPr>
            <w:r>
              <w:rPr>
                <w:rFonts w:ascii="Arial" w:cs="Arial" w:eastAsia="Arial" w:hAnsi="Arial"/>
                <w:sz w:val="14"/>
                <w:szCs w:val="14"/>
                <w:b w:val="1"/>
                <w:bCs w:val="1"/>
                <w:color w:val="auto"/>
                <w:w w:val="90"/>
              </w:rPr>
              <w:t>Amount</w:t>
            </w:r>
          </w:p>
        </w:tc>
        <w:tc>
          <w:tcPr>
            <w:tcW w:w="200" w:type="dxa"/>
            <w:vAlign w:val="bottom"/>
          </w:tcPr>
          <w:p>
            <w:pPr>
              <w:spacing w:after="0"/>
              <w:rPr>
                <w:sz w:val="12"/>
                <w:szCs w:val="12"/>
                <w:color w:val="auto"/>
              </w:rPr>
            </w:pPr>
          </w:p>
        </w:tc>
        <w:tc>
          <w:tcPr>
            <w:tcW w:w="980" w:type="dxa"/>
            <w:vAlign w:val="bottom"/>
            <w:gridSpan w:val="2"/>
            <w:vMerge w:val="continue"/>
          </w:tcPr>
          <w:p>
            <w:pPr>
              <w:spacing w:after="0"/>
              <w:rPr>
                <w:sz w:val="12"/>
                <w:szCs w:val="12"/>
                <w:color w:val="auto"/>
              </w:rPr>
            </w:pPr>
          </w:p>
        </w:tc>
        <w:tc>
          <w:tcPr>
            <w:tcW w:w="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80" w:type="dxa"/>
            <w:vAlign w:val="bottom"/>
            <w:gridSpan w:val="2"/>
          </w:tcPr>
          <w:p>
            <w:pPr>
              <w:jc w:val="center"/>
              <w:ind w:right="380"/>
              <w:spacing w:after="0" w:line="149" w:lineRule="exact"/>
              <w:rPr>
                <w:sz w:val="20"/>
                <w:szCs w:val="20"/>
                <w:color w:val="auto"/>
              </w:rPr>
            </w:pPr>
            <w:r>
              <w:rPr>
                <w:rFonts w:ascii="Arial" w:cs="Arial" w:eastAsia="Arial" w:hAnsi="Arial"/>
                <w:sz w:val="14"/>
                <w:szCs w:val="14"/>
                <w:b w:val="1"/>
                <w:bCs w:val="1"/>
                <w:color w:val="auto"/>
                <w:w w:val="96"/>
              </w:rPr>
              <w:t>Other</w:t>
            </w:r>
          </w:p>
        </w:tc>
        <w:tc>
          <w:tcPr>
            <w:tcW w:w="1020" w:type="dxa"/>
            <w:vAlign w:val="bottom"/>
            <w:gridSpan w:val="2"/>
            <w:vMerge w:val="restart"/>
          </w:tcPr>
          <w:p>
            <w:pPr>
              <w:jc w:val="right"/>
              <w:ind w:right="119"/>
              <w:spacing w:after="0"/>
              <w:rPr>
                <w:sz w:val="20"/>
                <w:szCs w:val="20"/>
                <w:color w:val="auto"/>
              </w:rPr>
            </w:pPr>
            <w:r>
              <w:rPr>
                <w:rFonts w:ascii="Arial" w:cs="Arial" w:eastAsia="Arial" w:hAnsi="Arial"/>
                <w:sz w:val="14"/>
                <w:szCs w:val="14"/>
                <w:b w:val="1"/>
                <w:bCs w:val="1"/>
                <w:color w:val="auto"/>
                <w:w w:val="95"/>
              </w:rPr>
              <w:t>Accumulated</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720" w:type="dxa"/>
            <w:vAlign w:val="bottom"/>
          </w:tcPr>
          <w:p>
            <w:pPr>
              <w:spacing w:after="0"/>
              <w:rPr>
                <w:sz w:val="12"/>
                <w:szCs w:val="12"/>
                <w:color w:val="auto"/>
              </w:rPr>
            </w:pPr>
          </w:p>
        </w:tc>
        <w:tc>
          <w:tcPr>
            <w:tcW w:w="860" w:type="dxa"/>
            <w:vAlign w:val="bottom"/>
            <w:gridSpan w:val="2"/>
            <w:vMerge w:val="continue"/>
          </w:tcPr>
          <w:p>
            <w:pPr>
              <w:spacing w:after="0"/>
              <w:rPr>
                <w:sz w:val="12"/>
                <w:szCs w:val="12"/>
                <w:color w:val="auto"/>
              </w:rPr>
            </w:pPr>
          </w:p>
        </w:tc>
        <w:tc>
          <w:tcPr>
            <w:tcW w:w="860" w:type="dxa"/>
            <w:vAlign w:val="bottom"/>
            <w:gridSpan w:val="3"/>
            <w:vMerge w:val="continue"/>
          </w:tcPr>
          <w:p>
            <w:pPr>
              <w:spacing w:after="0"/>
              <w:rPr>
                <w:sz w:val="12"/>
                <w:szCs w:val="12"/>
                <w:color w:val="auto"/>
              </w:rPr>
            </w:pPr>
          </w:p>
        </w:tc>
        <w:tc>
          <w:tcPr>
            <w:tcW w:w="980" w:type="dxa"/>
            <w:vAlign w:val="bottom"/>
            <w:gridSpan w:val="2"/>
            <w:vMerge w:val="continue"/>
          </w:tcPr>
          <w:p>
            <w:pPr>
              <w:spacing w:after="0"/>
              <w:rPr>
                <w:sz w:val="12"/>
                <w:szCs w:val="12"/>
                <w:color w:val="auto"/>
              </w:rPr>
            </w:pPr>
          </w:p>
        </w:tc>
        <w:tc>
          <w:tcPr>
            <w:tcW w:w="60" w:type="dxa"/>
            <w:vAlign w:val="bottom"/>
          </w:tcPr>
          <w:p>
            <w:pPr>
              <w:spacing w:after="0"/>
              <w:rPr>
                <w:sz w:val="12"/>
                <w:szCs w:val="12"/>
                <w:color w:val="auto"/>
              </w:rPr>
            </w:pPr>
          </w:p>
        </w:tc>
        <w:tc>
          <w:tcPr>
            <w:tcW w:w="600" w:type="dxa"/>
            <w:vAlign w:val="bottom"/>
            <w:vMerge w:val="continue"/>
          </w:tcPr>
          <w:p>
            <w:pPr>
              <w:spacing w:after="0"/>
              <w:rPr>
                <w:sz w:val="12"/>
                <w:szCs w:val="12"/>
                <w:color w:val="auto"/>
              </w:rPr>
            </w:pPr>
          </w:p>
        </w:tc>
        <w:tc>
          <w:tcPr>
            <w:tcW w:w="200" w:type="dxa"/>
            <w:vAlign w:val="bottom"/>
          </w:tcPr>
          <w:p>
            <w:pPr>
              <w:spacing w:after="0"/>
              <w:rPr>
                <w:sz w:val="12"/>
                <w:szCs w:val="12"/>
                <w:color w:val="auto"/>
              </w:rPr>
            </w:pPr>
          </w:p>
        </w:tc>
        <w:tc>
          <w:tcPr>
            <w:tcW w:w="980" w:type="dxa"/>
            <w:vAlign w:val="bottom"/>
            <w:gridSpan w:val="2"/>
          </w:tcPr>
          <w:p>
            <w:pPr>
              <w:jc w:val="right"/>
              <w:ind w:right="340"/>
              <w:spacing w:after="0" w:line="149" w:lineRule="exact"/>
              <w:rPr>
                <w:sz w:val="20"/>
                <w:szCs w:val="20"/>
                <w:color w:val="auto"/>
              </w:rPr>
            </w:pPr>
            <w:r>
              <w:rPr>
                <w:rFonts w:ascii="Arial" w:cs="Arial" w:eastAsia="Arial" w:hAnsi="Arial"/>
                <w:sz w:val="14"/>
                <w:szCs w:val="14"/>
                <w:b w:val="1"/>
                <w:bCs w:val="1"/>
                <w:color w:val="auto"/>
              </w:rPr>
              <w:t>Paid-In</w:t>
            </w:r>
          </w:p>
        </w:tc>
        <w:tc>
          <w:tcPr>
            <w:tcW w:w="1220" w:type="dxa"/>
            <w:vAlign w:val="bottom"/>
            <w:gridSpan w:val="4"/>
          </w:tcPr>
          <w:p>
            <w:pPr>
              <w:ind w:left="60"/>
              <w:spacing w:after="0" w:line="149" w:lineRule="exact"/>
              <w:rPr>
                <w:sz w:val="20"/>
                <w:szCs w:val="20"/>
                <w:color w:val="auto"/>
              </w:rPr>
            </w:pPr>
            <w:r>
              <w:rPr>
                <w:rFonts w:ascii="Arial" w:cs="Arial" w:eastAsia="Arial" w:hAnsi="Arial"/>
                <w:sz w:val="14"/>
                <w:szCs w:val="14"/>
                <w:b w:val="1"/>
                <w:bCs w:val="1"/>
                <w:color w:val="auto"/>
              </w:rPr>
              <w:t>Comprehensive</w:t>
            </w:r>
          </w:p>
        </w:tc>
        <w:tc>
          <w:tcPr>
            <w:tcW w:w="1020" w:type="dxa"/>
            <w:vAlign w:val="bottom"/>
            <w:gridSpan w:val="2"/>
            <w:vMerge w:val="continue"/>
          </w:tcPr>
          <w:p>
            <w:pPr>
              <w:spacing w:after="0"/>
              <w:rPr>
                <w:sz w:val="12"/>
                <w:szCs w:val="12"/>
                <w:color w:val="auto"/>
              </w:rPr>
            </w:pPr>
          </w:p>
        </w:tc>
        <w:tc>
          <w:tcPr>
            <w:tcW w:w="880" w:type="dxa"/>
            <w:vAlign w:val="bottom"/>
            <w:gridSpan w:val="4"/>
          </w:tcPr>
          <w:p>
            <w:pPr>
              <w:ind w:left="80"/>
              <w:spacing w:after="0" w:line="149" w:lineRule="exact"/>
              <w:rPr>
                <w:sz w:val="20"/>
                <w:szCs w:val="20"/>
                <w:color w:val="auto"/>
              </w:rPr>
            </w:pPr>
            <w:r>
              <w:rPr>
                <w:rFonts w:ascii="Arial" w:cs="Arial" w:eastAsia="Arial" w:hAnsi="Arial"/>
                <w:sz w:val="14"/>
                <w:szCs w:val="14"/>
                <w:b w:val="1"/>
                <w:bCs w:val="1"/>
                <w:color w:val="auto"/>
              </w:rPr>
              <w:t>controlling</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gridSpan w:val="2"/>
            <w:vMerge w:val="restart"/>
          </w:tcPr>
          <w:p>
            <w:pPr>
              <w:jc w:val="right"/>
              <w:ind w:right="360"/>
              <w:spacing w:after="0"/>
              <w:rPr>
                <w:sz w:val="20"/>
                <w:szCs w:val="20"/>
                <w:color w:val="auto"/>
              </w:rPr>
            </w:pPr>
            <w:r>
              <w:rPr>
                <w:rFonts w:ascii="Arial" w:cs="Arial" w:eastAsia="Arial" w:hAnsi="Arial"/>
                <w:sz w:val="14"/>
                <w:szCs w:val="14"/>
                <w:b w:val="1"/>
                <w:bCs w:val="1"/>
                <w:color w:val="auto"/>
              </w:rPr>
              <w:t>Totals</w:t>
            </w:r>
          </w:p>
        </w:tc>
        <w:tc>
          <w:tcPr>
            <w:tcW w:w="0" w:type="dxa"/>
            <w:vAlign w:val="bottom"/>
          </w:tcPr>
          <w:p>
            <w:pPr>
              <w:spacing w:after="0"/>
              <w:rPr>
                <w:sz w:val="1"/>
                <w:szCs w:val="1"/>
                <w:color w:val="auto"/>
              </w:rPr>
            </w:pPr>
          </w:p>
        </w:tc>
      </w:tr>
      <w:tr>
        <w:trPr>
          <w:trHeight w:val="171"/>
        </w:trPr>
        <w:tc>
          <w:tcPr>
            <w:tcW w:w="2720" w:type="dxa"/>
            <w:vAlign w:val="bottom"/>
          </w:tcPr>
          <w:p>
            <w:pPr>
              <w:spacing w:after="0"/>
              <w:rPr>
                <w:sz w:val="14"/>
                <w:szCs w:val="14"/>
                <w:color w:val="auto"/>
              </w:rPr>
            </w:pPr>
          </w:p>
        </w:tc>
        <w:tc>
          <w:tcPr>
            <w:tcW w:w="860" w:type="dxa"/>
            <w:vAlign w:val="bottom"/>
            <w:gridSpan w:val="2"/>
          </w:tcPr>
          <w:p>
            <w:pPr>
              <w:jc w:val="right"/>
              <w:ind w:right="360"/>
              <w:spacing w:after="0"/>
              <w:rPr>
                <w:sz w:val="20"/>
                <w:szCs w:val="20"/>
                <w:color w:val="auto"/>
              </w:rPr>
            </w:pPr>
            <w:r>
              <w:rPr>
                <w:rFonts w:ascii="Arial" w:cs="Arial" w:eastAsia="Arial" w:hAnsi="Arial"/>
                <w:sz w:val="14"/>
                <w:szCs w:val="14"/>
                <w:b w:val="1"/>
                <w:bCs w:val="1"/>
                <w:color w:val="auto"/>
              </w:rPr>
              <w:t>Stock</w:t>
            </w:r>
          </w:p>
        </w:tc>
        <w:tc>
          <w:tcPr>
            <w:tcW w:w="160" w:type="dxa"/>
            <w:vAlign w:val="bottom"/>
          </w:tcPr>
          <w:p>
            <w:pPr>
              <w:spacing w:after="0"/>
              <w:rPr>
                <w:sz w:val="14"/>
                <w:szCs w:val="14"/>
                <w:color w:val="auto"/>
              </w:rPr>
            </w:pPr>
          </w:p>
        </w:tc>
        <w:tc>
          <w:tcPr>
            <w:tcW w:w="500" w:type="dxa"/>
            <w:vAlign w:val="bottom"/>
          </w:tcPr>
          <w:p>
            <w:pPr>
              <w:jc w:val="right"/>
              <w:ind w:right="188"/>
              <w:spacing w:after="0"/>
              <w:rPr>
                <w:sz w:val="20"/>
                <w:szCs w:val="20"/>
                <w:color w:val="auto"/>
              </w:rPr>
            </w:pPr>
            <w:r>
              <w:rPr>
                <w:rFonts w:ascii="Arial" w:cs="Arial" w:eastAsia="Arial" w:hAnsi="Arial"/>
                <w:sz w:val="14"/>
                <w:szCs w:val="14"/>
                <w:b w:val="1"/>
                <w:bCs w:val="1"/>
                <w:color w:val="auto"/>
              </w:rPr>
              <w:t>($)</w:t>
            </w:r>
          </w:p>
        </w:tc>
        <w:tc>
          <w:tcPr>
            <w:tcW w:w="200" w:type="dxa"/>
            <w:vAlign w:val="bottom"/>
          </w:tcPr>
          <w:p>
            <w:pPr>
              <w:spacing w:after="0"/>
              <w:rPr>
                <w:sz w:val="14"/>
                <w:szCs w:val="14"/>
                <w:color w:val="auto"/>
              </w:rPr>
            </w:pPr>
          </w:p>
        </w:tc>
        <w:tc>
          <w:tcPr>
            <w:tcW w:w="98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9"/>
              </w:rPr>
              <w:t>Stock</w:t>
            </w:r>
          </w:p>
        </w:tc>
        <w:tc>
          <w:tcPr>
            <w:tcW w:w="60" w:type="dxa"/>
            <w:vAlign w:val="bottom"/>
          </w:tcPr>
          <w:p>
            <w:pPr>
              <w:spacing w:after="0"/>
              <w:rPr>
                <w:sz w:val="14"/>
                <w:szCs w:val="14"/>
                <w:color w:val="auto"/>
              </w:rPr>
            </w:pPr>
          </w:p>
        </w:tc>
        <w:tc>
          <w:tcPr>
            <w:tcW w:w="600" w:type="dxa"/>
            <w:vAlign w:val="bottom"/>
          </w:tcPr>
          <w:p>
            <w:pPr>
              <w:jc w:val="right"/>
              <w:ind w:right="188"/>
              <w:spacing w:after="0"/>
              <w:rPr>
                <w:sz w:val="20"/>
                <w:szCs w:val="20"/>
                <w:color w:val="auto"/>
              </w:rPr>
            </w:pPr>
            <w:r>
              <w:rPr>
                <w:rFonts w:ascii="Arial" w:cs="Arial" w:eastAsia="Arial" w:hAnsi="Arial"/>
                <w:sz w:val="14"/>
                <w:szCs w:val="14"/>
                <w:b w:val="1"/>
                <w:bCs w:val="1"/>
                <w:color w:val="auto"/>
              </w:rPr>
              <w:t>($)</w:t>
            </w:r>
          </w:p>
        </w:tc>
        <w:tc>
          <w:tcPr>
            <w:tcW w:w="200" w:type="dxa"/>
            <w:vAlign w:val="bottom"/>
          </w:tcPr>
          <w:p>
            <w:pPr>
              <w:spacing w:after="0"/>
              <w:rPr>
                <w:sz w:val="14"/>
                <w:szCs w:val="14"/>
                <w:color w:val="auto"/>
              </w:rPr>
            </w:pPr>
          </w:p>
        </w:tc>
        <w:tc>
          <w:tcPr>
            <w:tcW w:w="980" w:type="dxa"/>
            <w:vAlign w:val="bottom"/>
            <w:gridSpan w:val="2"/>
          </w:tcPr>
          <w:p>
            <w:pPr>
              <w:jc w:val="right"/>
              <w:ind w:right="340"/>
              <w:spacing w:after="0"/>
              <w:rPr>
                <w:sz w:val="20"/>
                <w:szCs w:val="20"/>
                <w:color w:val="auto"/>
              </w:rPr>
            </w:pPr>
            <w:r>
              <w:rPr>
                <w:rFonts w:ascii="Arial" w:cs="Arial" w:eastAsia="Arial" w:hAnsi="Arial"/>
                <w:sz w:val="14"/>
                <w:szCs w:val="14"/>
                <w:b w:val="1"/>
                <w:bCs w:val="1"/>
                <w:color w:val="auto"/>
              </w:rPr>
              <w:t>Capital</w:t>
            </w:r>
          </w:p>
        </w:tc>
        <w:tc>
          <w:tcPr>
            <w:tcW w:w="60" w:type="dxa"/>
            <w:vAlign w:val="bottom"/>
          </w:tcPr>
          <w:p>
            <w:pPr>
              <w:spacing w:after="0"/>
              <w:rPr>
                <w:sz w:val="14"/>
                <w:szCs w:val="14"/>
                <w:color w:val="auto"/>
              </w:rPr>
            </w:pPr>
          </w:p>
        </w:tc>
        <w:tc>
          <w:tcPr>
            <w:tcW w:w="1160" w:type="dxa"/>
            <w:vAlign w:val="bottom"/>
            <w:gridSpan w:val="3"/>
          </w:tcPr>
          <w:p>
            <w:pPr>
              <w:jc w:val="center"/>
              <w:ind w:right="200"/>
              <w:spacing w:after="0"/>
              <w:rPr>
                <w:sz w:val="20"/>
                <w:szCs w:val="20"/>
                <w:color w:val="auto"/>
              </w:rPr>
            </w:pPr>
            <w:r>
              <w:rPr>
                <w:rFonts w:ascii="Arial" w:cs="Arial" w:eastAsia="Arial" w:hAnsi="Arial"/>
                <w:sz w:val="14"/>
                <w:szCs w:val="14"/>
                <w:b w:val="1"/>
                <w:bCs w:val="1"/>
                <w:color w:val="auto"/>
                <w:w w:val="88"/>
              </w:rPr>
              <w:t>Income (loss)</w:t>
            </w:r>
          </w:p>
        </w:tc>
        <w:tc>
          <w:tcPr>
            <w:tcW w:w="1020" w:type="dxa"/>
            <w:vAlign w:val="bottom"/>
            <w:gridSpan w:val="2"/>
          </w:tcPr>
          <w:p>
            <w:pPr>
              <w:jc w:val="right"/>
              <w:ind w:right="319"/>
              <w:spacing w:after="0"/>
              <w:rPr>
                <w:sz w:val="20"/>
                <w:szCs w:val="20"/>
                <w:color w:val="auto"/>
              </w:rPr>
            </w:pPr>
            <w:r>
              <w:rPr>
                <w:rFonts w:ascii="Arial" w:cs="Arial" w:eastAsia="Arial" w:hAnsi="Arial"/>
                <w:sz w:val="14"/>
                <w:szCs w:val="14"/>
                <w:b w:val="1"/>
                <w:bCs w:val="1"/>
                <w:color w:val="auto"/>
              </w:rPr>
              <w:t>Deficit</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gridSpan w:val="2"/>
          </w:tcPr>
          <w:p>
            <w:pPr>
              <w:jc w:val="center"/>
              <w:ind w:right="159"/>
              <w:spacing w:after="0"/>
              <w:rPr>
                <w:sz w:val="20"/>
                <w:szCs w:val="20"/>
                <w:color w:val="auto"/>
              </w:rPr>
            </w:pPr>
            <w:r>
              <w:rPr>
                <w:rFonts w:ascii="Arial" w:cs="Arial" w:eastAsia="Arial" w:hAnsi="Arial"/>
                <w:sz w:val="14"/>
                <w:szCs w:val="14"/>
                <w:b w:val="1"/>
                <w:bCs w:val="1"/>
                <w:color w:val="auto"/>
                <w:w w:val="94"/>
              </w:rPr>
              <w:t>Interest</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2720" w:type="dxa"/>
            <w:vAlign w:val="bottom"/>
            <w:tcBorders>
              <w:top w:val="single" w:sz="8" w:color="CFF0FC"/>
            </w:tcBorders>
            <w:shd w:val="clear" w:color="auto" w:fill="CFF0FC"/>
          </w:tcPr>
          <w:p>
            <w:pPr>
              <w:spacing w:after="0" w:line="155" w:lineRule="exact"/>
              <w:rPr>
                <w:sz w:val="20"/>
                <w:szCs w:val="20"/>
                <w:color w:val="auto"/>
              </w:rPr>
            </w:pPr>
            <w:r>
              <w:rPr>
                <w:rFonts w:ascii="Arial" w:cs="Arial" w:eastAsia="Arial" w:hAnsi="Arial"/>
                <w:sz w:val="14"/>
                <w:szCs w:val="14"/>
                <w:b w:val="1"/>
                <w:bCs w:val="1"/>
                <w:color w:val="auto"/>
              </w:rPr>
              <w:t>Balance at September 30, 2014</w:t>
            </w:r>
          </w:p>
        </w:tc>
        <w:tc>
          <w:tcPr>
            <w:tcW w:w="660" w:type="dxa"/>
            <w:vAlign w:val="bottom"/>
            <w:tcBorders>
              <w:top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b w:val="1"/>
                <w:bCs w:val="1"/>
                <w:color w:val="auto"/>
              </w:rPr>
              <w:t>18,300</w:t>
            </w:r>
          </w:p>
        </w:tc>
        <w:tc>
          <w:tcPr>
            <w:tcW w:w="200" w:type="dxa"/>
            <w:vAlign w:val="bottom"/>
            <w:tcBorders>
              <w:top w:val="single" w:sz="8" w:color="CFF0FC"/>
            </w:tcBorders>
            <w:shd w:val="clear" w:color="auto" w:fill="CFF0FC"/>
          </w:tcPr>
          <w:p>
            <w:pPr>
              <w:spacing w:after="0"/>
              <w:rPr>
                <w:sz w:val="13"/>
                <w:szCs w:val="13"/>
                <w:color w:val="auto"/>
              </w:rPr>
            </w:pPr>
          </w:p>
        </w:tc>
        <w:tc>
          <w:tcPr>
            <w:tcW w:w="160" w:type="dxa"/>
            <w:vAlign w:val="bottom"/>
            <w:tcBorders>
              <w:top w:val="single" w:sz="8" w:color="auto"/>
            </w:tcBorders>
            <w:shd w:val="clear" w:color="auto" w:fill="CFF0FC"/>
          </w:tcPr>
          <w:p>
            <w:pPr>
              <w:jc w:val="right"/>
              <w:ind w:right="8"/>
              <w:spacing w:after="0" w:line="155" w:lineRule="exact"/>
              <w:rPr>
                <w:sz w:val="20"/>
                <w:szCs w:val="20"/>
                <w:color w:val="auto"/>
              </w:rPr>
            </w:pPr>
            <w:r>
              <w:rPr>
                <w:rFonts w:ascii="Arial" w:cs="Arial" w:eastAsia="Arial" w:hAnsi="Arial"/>
                <w:sz w:val="14"/>
                <w:szCs w:val="14"/>
                <w:b w:val="1"/>
                <w:bCs w:val="1"/>
                <w:color w:val="auto"/>
                <w:w w:val="76"/>
              </w:rPr>
              <w:t>$</w:t>
            </w:r>
          </w:p>
        </w:tc>
        <w:tc>
          <w:tcPr>
            <w:tcW w:w="500" w:type="dxa"/>
            <w:vAlign w:val="bottom"/>
            <w:tcBorders>
              <w:top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b w:val="1"/>
                <w:bCs w:val="1"/>
                <w:color w:val="auto"/>
              </w:rPr>
              <w:t>18</w:t>
            </w:r>
          </w:p>
        </w:tc>
        <w:tc>
          <w:tcPr>
            <w:tcW w:w="200" w:type="dxa"/>
            <w:vAlign w:val="bottom"/>
            <w:tcBorders>
              <w:top w:val="single" w:sz="8" w:color="CFF0FC"/>
            </w:tcBorders>
            <w:shd w:val="clear" w:color="auto" w:fill="CFF0FC"/>
          </w:tcPr>
          <w:p>
            <w:pPr>
              <w:spacing w:after="0"/>
              <w:rPr>
                <w:sz w:val="13"/>
                <w:szCs w:val="13"/>
                <w:color w:val="auto"/>
              </w:rPr>
            </w:pPr>
          </w:p>
        </w:tc>
        <w:tc>
          <w:tcPr>
            <w:tcW w:w="760" w:type="dxa"/>
            <w:vAlign w:val="bottom"/>
            <w:tcBorders>
              <w:top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b w:val="1"/>
                <w:bCs w:val="1"/>
                <w:color w:val="auto"/>
              </w:rPr>
              <w:t>54,656,936</w:t>
            </w:r>
          </w:p>
        </w:tc>
        <w:tc>
          <w:tcPr>
            <w:tcW w:w="220" w:type="dxa"/>
            <w:vAlign w:val="bottom"/>
            <w:tcBorders>
              <w:top w:val="single" w:sz="8" w:color="CFF0FC"/>
            </w:tcBorders>
            <w:shd w:val="clear" w:color="auto" w:fill="CFF0FC"/>
          </w:tcPr>
          <w:p>
            <w:pPr>
              <w:spacing w:after="0"/>
              <w:rPr>
                <w:sz w:val="13"/>
                <w:szCs w:val="13"/>
                <w:color w:val="auto"/>
              </w:rPr>
            </w:pPr>
          </w:p>
        </w:tc>
        <w:tc>
          <w:tcPr>
            <w:tcW w:w="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0"/>
                <w:szCs w:val="10"/>
                <w:b w:val="1"/>
                <w:bCs w:val="1"/>
                <w:color w:val="auto"/>
                <w:w w:val="71"/>
              </w:rPr>
              <w:t>$</w:t>
            </w:r>
          </w:p>
        </w:tc>
        <w:tc>
          <w:tcPr>
            <w:tcW w:w="600" w:type="dxa"/>
            <w:vAlign w:val="bottom"/>
            <w:tcBorders>
              <w:top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b w:val="1"/>
                <w:bCs w:val="1"/>
                <w:color w:val="auto"/>
              </w:rPr>
              <w:t>147,026</w:t>
            </w:r>
          </w:p>
        </w:tc>
        <w:tc>
          <w:tcPr>
            <w:tcW w:w="200" w:type="dxa"/>
            <w:vAlign w:val="bottom"/>
            <w:tcBorders>
              <w:top w:val="single" w:sz="8" w:color="CFF0FC"/>
            </w:tcBorders>
            <w:shd w:val="clear" w:color="auto" w:fill="CFF0FC"/>
          </w:tcPr>
          <w:p>
            <w:pPr>
              <w:spacing w:after="0"/>
              <w:rPr>
                <w:sz w:val="13"/>
                <w:szCs w:val="13"/>
                <w:color w:val="auto"/>
              </w:rPr>
            </w:pPr>
          </w:p>
        </w:tc>
        <w:tc>
          <w:tcPr>
            <w:tcW w:w="840" w:type="dxa"/>
            <w:vAlign w:val="bottom"/>
            <w:tcBorders>
              <w:top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b w:val="1"/>
                <w:bCs w:val="1"/>
                <w:color w:val="auto"/>
                <w:w w:val="91"/>
              </w:rPr>
              <w:t>$ 391,164,558</w:t>
            </w:r>
          </w:p>
        </w:tc>
        <w:tc>
          <w:tcPr>
            <w:tcW w:w="140" w:type="dxa"/>
            <w:vAlign w:val="bottom"/>
            <w:tcBorders>
              <w:top w:val="single" w:sz="8" w:color="CFF0FC"/>
            </w:tcBorders>
            <w:shd w:val="clear" w:color="auto" w:fill="CFF0FC"/>
          </w:tcPr>
          <w:p>
            <w:pPr>
              <w:spacing w:after="0"/>
              <w:rPr>
                <w:sz w:val="13"/>
                <w:szCs w:val="13"/>
                <w:color w:val="auto"/>
              </w:rPr>
            </w:pPr>
          </w:p>
        </w:tc>
        <w:tc>
          <w:tcPr>
            <w:tcW w:w="60" w:type="dxa"/>
            <w:vAlign w:val="bottom"/>
            <w:tcBorders>
              <w:top w:val="single" w:sz="8" w:color="CFF0FC"/>
            </w:tcBorders>
            <w:shd w:val="clear" w:color="auto" w:fill="CFF0FC"/>
          </w:tcPr>
          <w:p>
            <w:pPr>
              <w:spacing w:after="0"/>
              <w:rPr>
                <w:sz w:val="13"/>
                <w:szCs w:val="13"/>
                <w:color w:val="auto"/>
              </w:rPr>
            </w:pPr>
          </w:p>
        </w:tc>
        <w:tc>
          <w:tcPr>
            <w:tcW w:w="180" w:type="dxa"/>
            <w:vAlign w:val="bottom"/>
            <w:tcBorders>
              <w:top w:val="single" w:sz="8" w:color="auto"/>
            </w:tcBorders>
            <w:shd w:val="clear" w:color="auto" w:fill="CFF0FC"/>
          </w:tcPr>
          <w:p>
            <w:pPr>
              <w:spacing w:after="0" w:line="155" w:lineRule="exact"/>
              <w:rPr>
                <w:sz w:val="20"/>
                <w:szCs w:val="20"/>
                <w:color w:val="auto"/>
              </w:rPr>
            </w:pPr>
            <w:r>
              <w:rPr>
                <w:rFonts w:ascii="Arial" w:cs="Arial" w:eastAsia="Arial" w:hAnsi="Arial"/>
                <w:sz w:val="14"/>
                <w:szCs w:val="14"/>
                <w:b w:val="1"/>
                <w:bCs w:val="1"/>
                <w:color w:val="auto"/>
              </w:rPr>
              <w:t>$</w:t>
            </w:r>
          </w:p>
        </w:tc>
        <w:tc>
          <w:tcPr>
            <w:tcW w:w="780" w:type="dxa"/>
            <w:vAlign w:val="bottom"/>
            <w:tcBorders>
              <w:top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b w:val="1"/>
                <w:bCs w:val="1"/>
                <w:color w:val="auto"/>
              </w:rPr>
              <w:t>-</w:t>
            </w:r>
          </w:p>
        </w:tc>
        <w:tc>
          <w:tcPr>
            <w:tcW w:w="200" w:type="dxa"/>
            <w:vAlign w:val="bottom"/>
            <w:tcBorders>
              <w:top w:val="single" w:sz="8" w:color="CFF0FC"/>
            </w:tcBorders>
            <w:shd w:val="clear" w:color="auto" w:fill="CFF0FC"/>
          </w:tcPr>
          <w:p>
            <w:pPr>
              <w:spacing w:after="0"/>
              <w:rPr>
                <w:sz w:val="13"/>
                <w:szCs w:val="13"/>
                <w:color w:val="auto"/>
              </w:rPr>
            </w:pPr>
          </w:p>
        </w:tc>
        <w:tc>
          <w:tcPr>
            <w:tcW w:w="900" w:type="dxa"/>
            <w:vAlign w:val="bottom"/>
            <w:tcBorders>
              <w:top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b w:val="1"/>
                <w:bCs w:val="1"/>
                <w:color w:val="auto"/>
                <w:w w:val="88"/>
              </w:rPr>
              <w:t>$ (224,771,159)</w:t>
            </w:r>
          </w:p>
        </w:tc>
        <w:tc>
          <w:tcPr>
            <w:tcW w:w="120" w:type="dxa"/>
            <w:vAlign w:val="bottom"/>
            <w:tcBorders>
              <w:top w:val="single" w:sz="8" w:color="CFF0FC"/>
            </w:tcBorders>
            <w:shd w:val="clear" w:color="auto" w:fill="CFF0FC"/>
          </w:tcPr>
          <w:p>
            <w:pPr>
              <w:spacing w:after="0"/>
              <w:rPr>
                <w:sz w:val="13"/>
                <w:szCs w:val="13"/>
                <w:color w:val="auto"/>
              </w:rPr>
            </w:pPr>
          </w:p>
        </w:tc>
        <w:tc>
          <w:tcPr>
            <w:tcW w:w="80" w:type="dxa"/>
            <w:vAlign w:val="bottom"/>
            <w:tcBorders>
              <w:top w:val="single" w:sz="8" w:color="CFF0FC"/>
            </w:tcBorders>
            <w:shd w:val="clear" w:color="auto" w:fill="CFF0FC"/>
          </w:tcPr>
          <w:p>
            <w:pPr>
              <w:spacing w:after="0"/>
              <w:rPr>
                <w:sz w:val="13"/>
                <w:szCs w:val="13"/>
                <w:color w:val="auto"/>
              </w:rPr>
            </w:pPr>
          </w:p>
        </w:tc>
        <w:tc>
          <w:tcPr>
            <w:tcW w:w="80" w:type="dxa"/>
            <w:vAlign w:val="bottom"/>
            <w:tcBorders>
              <w:top w:val="single" w:sz="8" w:color="auto"/>
            </w:tcBorders>
            <w:shd w:val="clear" w:color="auto" w:fill="CFF0FC"/>
          </w:tcPr>
          <w:p>
            <w:pPr>
              <w:spacing w:after="0" w:line="155" w:lineRule="exact"/>
              <w:rPr>
                <w:sz w:val="20"/>
                <w:szCs w:val="20"/>
                <w:color w:val="auto"/>
              </w:rPr>
            </w:pPr>
            <w:r>
              <w:rPr>
                <w:rFonts w:ascii="Arial" w:cs="Arial" w:eastAsia="Arial" w:hAnsi="Arial"/>
                <w:sz w:val="14"/>
                <w:szCs w:val="14"/>
                <w:b w:val="1"/>
                <w:bCs w:val="1"/>
                <w:color w:val="auto"/>
                <w:w w:val="76"/>
              </w:rPr>
              <w:t>$</w:t>
            </w:r>
          </w:p>
        </w:tc>
        <w:tc>
          <w:tcPr>
            <w:tcW w:w="600" w:type="dxa"/>
            <w:vAlign w:val="bottom"/>
            <w:tcBorders>
              <w:top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b w:val="1"/>
                <w:bCs w:val="1"/>
                <w:color w:val="auto"/>
                <w:w w:val="96"/>
              </w:rPr>
              <w:t>(555,188)</w:t>
            </w:r>
          </w:p>
        </w:tc>
        <w:tc>
          <w:tcPr>
            <w:tcW w:w="120" w:type="dxa"/>
            <w:vAlign w:val="bottom"/>
            <w:tcBorders>
              <w:top w:val="single" w:sz="8" w:color="CFF0FC"/>
            </w:tcBorders>
            <w:shd w:val="clear" w:color="auto" w:fill="CFF0FC"/>
          </w:tcPr>
          <w:p>
            <w:pPr>
              <w:spacing w:after="0"/>
              <w:rPr>
                <w:sz w:val="13"/>
                <w:szCs w:val="13"/>
                <w:color w:val="auto"/>
              </w:rPr>
            </w:pPr>
          </w:p>
        </w:tc>
        <w:tc>
          <w:tcPr>
            <w:tcW w:w="80" w:type="dxa"/>
            <w:vAlign w:val="bottom"/>
            <w:tcBorders>
              <w:top w:val="single" w:sz="8" w:color="CFF0FC"/>
            </w:tcBorders>
            <w:shd w:val="clear" w:color="auto" w:fill="CFF0FC"/>
          </w:tcPr>
          <w:p>
            <w:pPr>
              <w:spacing w:after="0"/>
              <w:rPr>
                <w:sz w:val="13"/>
                <w:szCs w:val="13"/>
                <w:color w:val="auto"/>
              </w:rPr>
            </w:pPr>
          </w:p>
        </w:tc>
        <w:tc>
          <w:tcPr>
            <w:tcW w:w="100" w:type="dxa"/>
            <w:vAlign w:val="bottom"/>
            <w:tcBorders>
              <w:top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b w:val="1"/>
                <w:bCs w:val="1"/>
                <w:color w:val="auto"/>
                <w:w w:val="76"/>
              </w:rPr>
              <w:t>$</w:t>
            </w:r>
          </w:p>
        </w:tc>
        <w:tc>
          <w:tcPr>
            <w:tcW w:w="760" w:type="dxa"/>
            <w:vAlign w:val="bottom"/>
            <w:tcBorders>
              <w:top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b w:val="1"/>
                <w:bCs w:val="1"/>
                <w:color w:val="auto"/>
                <w:w w:val="92"/>
              </w:rPr>
              <w:t>165,985,255</w:t>
            </w:r>
          </w:p>
        </w:tc>
        <w:tc>
          <w:tcPr>
            <w:tcW w:w="100" w:type="dxa"/>
            <w:vAlign w:val="bottom"/>
            <w:tcBorders>
              <w:top w:val="single" w:sz="8" w:color="CFF0FC"/>
            </w:tcBorders>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2720" w:type="dxa"/>
            <w:vAlign w:val="bottom"/>
          </w:tcPr>
          <w:p>
            <w:pPr>
              <w:ind w:left="140"/>
              <w:spacing w:after="0"/>
              <w:rPr>
                <w:sz w:val="20"/>
                <w:szCs w:val="20"/>
                <w:color w:val="auto"/>
              </w:rPr>
            </w:pPr>
            <w:r>
              <w:rPr>
                <w:rFonts w:ascii="Arial" w:cs="Arial" w:eastAsia="Arial" w:hAnsi="Arial"/>
                <w:sz w:val="14"/>
                <w:szCs w:val="14"/>
                <w:color w:val="auto"/>
              </w:rPr>
              <w:t>Exercise of warrants</w:t>
            </w:r>
          </w:p>
        </w:tc>
        <w:tc>
          <w:tcPr>
            <w:tcW w:w="660" w:type="dxa"/>
            <w:vAlign w:val="bottom"/>
          </w:tcPr>
          <w:p>
            <w:pPr>
              <w:jc w:val="right"/>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00" w:type="dxa"/>
            <w:vAlign w:val="bottom"/>
          </w:tcPr>
          <w:p>
            <w:pPr>
              <w:jc w:val="right"/>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79,828</w:t>
            </w:r>
          </w:p>
        </w:tc>
        <w:tc>
          <w:tcPr>
            <w:tcW w:w="2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81</w:t>
            </w:r>
          </w:p>
        </w:tc>
        <w:tc>
          <w:tcPr>
            <w:tcW w:w="1040" w:type="dxa"/>
            <w:vAlign w:val="bottom"/>
            <w:gridSpan w:val="2"/>
          </w:tcPr>
          <w:p>
            <w:pPr>
              <w:jc w:val="right"/>
              <w:spacing w:after="0"/>
              <w:rPr>
                <w:sz w:val="20"/>
                <w:szCs w:val="20"/>
                <w:color w:val="auto"/>
              </w:rPr>
            </w:pPr>
            <w:r>
              <w:rPr>
                <w:rFonts w:ascii="Arial" w:cs="Arial" w:eastAsia="Arial" w:hAnsi="Arial"/>
                <w:sz w:val="14"/>
                <w:szCs w:val="14"/>
                <w:color w:val="auto"/>
              </w:rPr>
              <w:t>401,795</w:t>
            </w:r>
          </w:p>
        </w:tc>
        <w:tc>
          <w:tcPr>
            <w:tcW w:w="1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401,876</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720" w:type="dxa"/>
            <w:vAlign w:val="bottom"/>
            <w:shd w:val="clear" w:color="auto" w:fill="CFF0FC"/>
          </w:tcPr>
          <w:p>
            <w:pPr>
              <w:ind w:left="140"/>
              <w:spacing w:after="0"/>
              <w:rPr>
                <w:sz w:val="20"/>
                <w:szCs w:val="20"/>
                <w:color w:val="auto"/>
              </w:rPr>
            </w:pPr>
            <w:r>
              <w:rPr>
                <w:rFonts w:ascii="Arial" w:cs="Arial" w:eastAsia="Arial" w:hAnsi="Arial"/>
                <w:sz w:val="14"/>
                <w:szCs w:val="14"/>
                <w:color w:val="auto"/>
              </w:rPr>
              <w:t>Exercise of stock options</w:t>
            </w:r>
          </w:p>
        </w:tc>
        <w:tc>
          <w:tcPr>
            <w:tcW w:w="6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0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5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00" w:type="dxa"/>
            <w:vAlign w:val="bottom"/>
            <w:shd w:val="clear" w:color="auto" w:fill="CFF0FC"/>
          </w:tcPr>
          <w:p>
            <w:pPr>
              <w:spacing w:after="0"/>
              <w:rPr>
                <w:sz w:val="14"/>
                <w:szCs w:val="14"/>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28,758</w:t>
            </w:r>
          </w:p>
        </w:tc>
        <w:tc>
          <w:tcPr>
            <w:tcW w:w="220" w:type="dxa"/>
            <w:vAlign w:val="bottom"/>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29</w:t>
            </w:r>
          </w:p>
        </w:tc>
        <w:tc>
          <w:tcPr>
            <w:tcW w:w="104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rPr>
              <w:t>101,841</w:t>
            </w:r>
          </w:p>
        </w:tc>
        <w:tc>
          <w:tcPr>
            <w:tcW w:w="140" w:type="dxa"/>
            <w:vAlign w:val="bottom"/>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00" w:type="dxa"/>
            <w:vAlign w:val="bottom"/>
            <w:shd w:val="clear" w:color="auto" w:fill="CFF0FC"/>
          </w:tcPr>
          <w:p>
            <w:pPr>
              <w:spacing w:after="0"/>
              <w:rPr>
                <w:sz w:val="14"/>
                <w:szCs w:val="14"/>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101,870</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720" w:type="dxa"/>
            <w:vAlign w:val="bottom"/>
          </w:tcPr>
          <w:p>
            <w:pPr>
              <w:ind w:left="140"/>
              <w:spacing w:after="0"/>
              <w:rPr>
                <w:sz w:val="20"/>
                <w:szCs w:val="20"/>
                <w:color w:val="auto"/>
              </w:rPr>
            </w:pPr>
            <w:r>
              <w:rPr>
                <w:rFonts w:ascii="Arial" w:cs="Arial" w:eastAsia="Arial" w:hAnsi="Arial"/>
                <w:sz w:val="14"/>
                <w:szCs w:val="14"/>
                <w:color w:val="auto"/>
              </w:rPr>
              <w:t>Stock-based compensation</w:t>
            </w:r>
          </w:p>
        </w:tc>
        <w:tc>
          <w:tcPr>
            <w:tcW w:w="660" w:type="dxa"/>
            <w:vAlign w:val="bottom"/>
          </w:tcPr>
          <w:p>
            <w:pPr>
              <w:jc w:val="right"/>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00" w:type="dxa"/>
            <w:vAlign w:val="bottom"/>
          </w:tcPr>
          <w:p>
            <w:pPr>
              <w:jc w:val="right"/>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w:t>
            </w:r>
          </w:p>
        </w:tc>
        <w:tc>
          <w:tcPr>
            <w:tcW w:w="1040" w:type="dxa"/>
            <w:vAlign w:val="bottom"/>
            <w:gridSpan w:val="2"/>
          </w:tcPr>
          <w:p>
            <w:pPr>
              <w:jc w:val="right"/>
              <w:spacing w:after="0"/>
              <w:rPr>
                <w:sz w:val="20"/>
                <w:szCs w:val="20"/>
                <w:color w:val="auto"/>
              </w:rPr>
            </w:pPr>
            <w:r>
              <w:rPr>
                <w:rFonts w:ascii="Arial" w:cs="Arial" w:eastAsia="Arial" w:hAnsi="Arial"/>
                <w:sz w:val="14"/>
                <w:szCs w:val="14"/>
                <w:color w:val="auto"/>
              </w:rPr>
              <w:t>10,232,897</w:t>
            </w:r>
          </w:p>
        </w:tc>
        <w:tc>
          <w:tcPr>
            <w:tcW w:w="1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10,232,897</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720" w:type="dxa"/>
            <w:vAlign w:val="bottom"/>
            <w:shd w:val="clear" w:color="auto" w:fill="CFF0FC"/>
          </w:tcPr>
          <w:p>
            <w:pPr>
              <w:ind w:left="140"/>
              <w:spacing w:after="0"/>
              <w:rPr>
                <w:sz w:val="20"/>
                <w:szCs w:val="20"/>
                <w:color w:val="auto"/>
              </w:rPr>
            </w:pPr>
            <w:r>
              <w:rPr>
                <w:rFonts w:ascii="Arial" w:cs="Arial" w:eastAsia="Arial" w:hAnsi="Arial"/>
                <w:sz w:val="14"/>
                <w:szCs w:val="14"/>
                <w:color w:val="auto"/>
              </w:rPr>
              <w:t>Exercise of exchange rights</w:t>
            </w:r>
          </w:p>
        </w:tc>
        <w:tc>
          <w:tcPr>
            <w:tcW w:w="6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0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5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00" w:type="dxa"/>
            <w:vAlign w:val="bottom"/>
            <w:shd w:val="clear" w:color="auto" w:fill="CFF0FC"/>
          </w:tcPr>
          <w:p>
            <w:pPr>
              <w:spacing w:after="0"/>
              <w:rPr>
                <w:sz w:val="14"/>
                <w:szCs w:val="14"/>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5,250</w:t>
            </w:r>
          </w:p>
        </w:tc>
        <w:tc>
          <w:tcPr>
            <w:tcW w:w="220" w:type="dxa"/>
            <w:vAlign w:val="bottom"/>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5</w:t>
            </w:r>
          </w:p>
        </w:tc>
        <w:tc>
          <w:tcPr>
            <w:tcW w:w="104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rPr>
              <w:t>3,067</w:t>
            </w:r>
          </w:p>
        </w:tc>
        <w:tc>
          <w:tcPr>
            <w:tcW w:w="140" w:type="dxa"/>
            <w:vAlign w:val="bottom"/>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00" w:type="dxa"/>
            <w:vAlign w:val="bottom"/>
            <w:shd w:val="clear" w:color="auto" w:fill="CFF0FC"/>
          </w:tcPr>
          <w:p>
            <w:pPr>
              <w:spacing w:after="0"/>
              <w:rPr>
                <w:sz w:val="14"/>
                <w:szCs w:val="14"/>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3,072</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720" w:type="dxa"/>
            <w:vAlign w:val="bottom"/>
          </w:tcPr>
          <w:p>
            <w:pPr>
              <w:ind w:left="140"/>
              <w:spacing w:after="0"/>
              <w:rPr>
                <w:sz w:val="20"/>
                <w:szCs w:val="20"/>
                <w:color w:val="auto"/>
              </w:rPr>
            </w:pPr>
            <w:r>
              <w:rPr>
                <w:rFonts w:ascii="Arial" w:cs="Arial" w:eastAsia="Arial" w:hAnsi="Arial"/>
                <w:sz w:val="14"/>
                <w:szCs w:val="14"/>
                <w:color w:val="auto"/>
                <w:w w:val="94"/>
              </w:rPr>
              <w:t>Preferred stock converted to common stock</w:t>
            </w:r>
          </w:p>
        </w:tc>
        <w:tc>
          <w:tcPr>
            <w:tcW w:w="860" w:type="dxa"/>
            <w:vAlign w:val="bottom"/>
            <w:gridSpan w:val="2"/>
          </w:tcPr>
          <w:p>
            <w:pPr>
              <w:jc w:val="right"/>
              <w:ind w:right="140"/>
              <w:spacing w:after="0"/>
              <w:rPr>
                <w:sz w:val="20"/>
                <w:szCs w:val="20"/>
                <w:color w:val="auto"/>
              </w:rPr>
            </w:pPr>
            <w:r>
              <w:rPr>
                <w:rFonts w:ascii="Arial" w:cs="Arial" w:eastAsia="Arial" w:hAnsi="Arial"/>
                <w:sz w:val="14"/>
                <w:szCs w:val="14"/>
                <w:color w:val="auto"/>
              </w:rPr>
              <w:t>(2,648)</w:t>
            </w:r>
          </w:p>
        </w:tc>
        <w:tc>
          <w:tcPr>
            <w:tcW w:w="160" w:type="dxa"/>
            <w:vAlign w:val="bottom"/>
          </w:tcPr>
          <w:p>
            <w:pPr>
              <w:spacing w:after="0"/>
              <w:rPr>
                <w:sz w:val="14"/>
                <w:szCs w:val="14"/>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4"/>
                <w:szCs w:val="14"/>
                <w:color w:val="auto"/>
              </w:rPr>
              <w:t>(2)</w:t>
            </w:r>
          </w:p>
        </w:tc>
        <w:tc>
          <w:tcPr>
            <w:tcW w:w="760" w:type="dxa"/>
            <w:vAlign w:val="bottom"/>
          </w:tcPr>
          <w:p>
            <w:pPr>
              <w:jc w:val="right"/>
              <w:spacing w:after="0"/>
              <w:rPr>
                <w:sz w:val="20"/>
                <w:szCs w:val="20"/>
                <w:color w:val="auto"/>
              </w:rPr>
            </w:pPr>
            <w:r>
              <w:rPr>
                <w:rFonts w:ascii="Arial" w:cs="Arial" w:eastAsia="Arial" w:hAnsi="Arial"/>
                <w:sz w:val="14"/>
                <w:szCs w:val="14"/>
                <w:color w:val="auto"/>
              </w:rPr>
              <w:t>1,316,215</w:t>
            </w:r>
          </w:p>
        </w:tc>
        <w:tc>
          <w:tcPr>
            <w:tcW w:w="2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1,316</w:t>
            </w:r>
          </w:p>
        </w:tc>
        <w:tc>
          <w:tcPr>
            <w:tcW w:w="1180" w:type="dxa"/>
            <w:vAlign w:val="bottom"/>
            <w:gridSpan w:val="3"/>
          </w:tcPr>
          <w:p>
            <w:pPr>
              <w:jc w:val="right"/>
              <w:ind w:right="80"/>
              <w:spacing w:after="0"/>
              <w:rPr>
                <w:sz w:val="20"/>
                <w:szCs w:val="20"/>
                <w:color w:val="auto"/>
              </w:rPr>
            </w:pPr>
            <w:r>
              <w:rPr>
                <w:rFonts w:ascii="Arial" w:cs="Arial" w:eastAsia="Arial" w:hAnsi="Arial"/>
                <w:sz w:val="14"/>
                <w:szCs w:val="14"/>
                <w:color w:val="auto"/>
              </w:rPr>
              <w:t>(1,314)</w:t>
            </w:r>
          </w:p>
        </w:tc>
        <w:tc>
          <w:tcPr>
            <w:tcW w:w="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3"/>
        </w:trPr>
        <w:tc>
          <w:tcPr>
            <w:tcW w:w="2720" w:type="dxa"/>
            <w:vAlign w:val="bottom"/>
            <w:shd w:val="clear" w:color="auto" w:fill="CFF0FC"/>
          </w:tcPr>
          <w:p>
            <w:pPr>
              <w:ind w:left="140"/>
              <w:spacing w:after="0" w:line="143" w:lineRule="exact"/>
              <w:rPr>
                <w:sz w:val="20"/>
                <w:szCs w:val="20"/>
                <w:color w:val="auto"/>
              </w:rPr>
            </w:pPr>
            <w:r>
              <w:rPr>
                <w:rFonts w:ascii="Arial" w:cs="Arial" w:eastAsia="Arial" w:hAnsi="Arial"/>
                <w:sz w:val="14"/>
                <w:szCs w:val="14"/>
                <w:color w:val="auto"/>
              </w:rPr>
              <w:t>Common stock- Restricted Stock Units</w:t>
            </w:r>
          </w:p>
        </w:tc>
        <w:tc>
          <w:tcPr>
            <w:tcW w:w="66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50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76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60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84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78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9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6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76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720" w:type="dxa"/>
            <w:vAlign w:val="bottom"/>
            <w:shd w:val="clear" w:color="auto" w:fill="CFF0FC"/>
          </w:tcPr>
          <w:p>
            <w:pPr>
              <w:ind w:left="140"/>
              <w:spacing w:after="0"/>
              <w:rPr>
                <w:sz w:val="20"/>
                <w:szCs w:val="20"/>
                <w:color w:val="auto"/>
              </w:rPr>
            </w:pPr>
            <w:r>
              <w:rPr>
                <w:rFonts w:ascii="Arial" w:cs="Arial" w:eastAsia="Arial" w:hAnsi="Arial"/>
                <w:sz w:val="14"/>
                <w:szCs w:val="14"/>
                <w:color w:val="auto"/>
              </w:rPr>
              <w:t>vesting</w:t>
            </w:r>
          </w:p>
        </w:tc>
        <w:tc>
          <w:tcPr>
            <w:tcW w:w="6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0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5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00" w:type="dxa"/>
            <w:vAlign w:val="bottom"/>
            <w:shd w:val="clear" w:color="auto" w:fill="CFF0FC"/>
          </w:tcPr>
          <w:p>
            <w:pPr>
              <w:spacing w:after="0"/>
              <w:rPr>
                <w:sz w:val="14"/>
                <w:szCs w:val="14"/>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136,307</w:t>
            </w:r>
          </w:p>
        </w:tc>
        <w:tc>
          <w:tcPr>
            <w:tcW w:w="220" w:type="dxa"/>
            <w:vAlign w:val="bottom"/>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136</w:t>
            </w:r>
          </w:p>
        </w:tc>
        <w:tc>
          <w:tcPr>
            <w:tcW w:w="1180" w:type="dxa"/>
            <w:vAlign w:val="bottom"/>
            <w:gridSpan w:val="3"/>
            <w:shd w:val="clear" w:color="auto" w:fill="CFF0FC"/>
          </w:tcPr>
          <w:p>
            <w:pPr>
              <w:jc w:val="right"/>
              <w:ind w:right="80"/>
              <w:spacing w:after="0"/>
              <w:rPr>
                <w:sz w:val="20"/>
                <w:szCs w:val="20"/>
                <w:color w:val="auto"/>
              </w:rPr>
            </w:pPr>
            <w:r>
              <w:rPr>
                <w:rFonts w:ascii="Arial" w:cs="Arial" w:eastAsia="Arial" w:hAnsi="Arial"/>
                <w:sz w:val="14"/>
                <w:szCs w:val="14"/>
                <w:color w:val="auto"/>
              </w:rPr>
              <w:t>(26,165)</w:t>
            </w:r>
          </w:p>
        </w:tc>
        <w:tc>
          <w:tcPr>
            <w:tcW w:w="6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00" w:type="dxa"/>
            <w:vAlign w:val="bottom"/>
            <w:shd w:val="clear" w:color="auto" w:fill="CFF0FC"/>
          </w:tcPr>
          <w:p>
            <w:pPr>
              <w:spacing w:after="0"/>
              <w:rPr>
                <w:sz w:val="14"/>
                <w:szCs w:val="14"/>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860" w:type="dxa"/>
            <w:vAlign w:val="bottom"/>
            <w:gridSpan w:val="2"/>
            <w:shd w:val="clear" w:color="auto" w:fill="CFF0FC"/>
          </w:tcPr>
          <w:p>
            <w:pPr>
              <w:jc w:val="right"/>
              <w:ind w:right="60"/>
              <w:spacing w:after="0"/>
              <w:rPr>
                <w:sz w:val="20"/>
                <w:szCs w:val="20"/>
                <w:color w:val="auto"/>
              </w:rPr>
            </w:pPr>
            <w:r>
              <w:rPr>
                <w:rFonts w:ascii="Arial" w:cs="Arial" w:eastAsia="Arial" w:hAnsi="Arial"/>
                <w:sz w:val="14"/>
                <w:szCs w:val="14"/>
                <w:color w:val="auto"/>
              </w:rPr>
              <w:t>(26,029)</w:t>
            </w:r>
          </w:p>
        </w:tc>
        <w:tc>
          <w:tcPr>
            <w:tcW w:w="0" w:type="dxa"/>
            <w:vAlign w:val="bottom"/>
          </w:tcPr>
          <w:p>
            <w:pPr>
              <w:spacing w:after="0"/>
              <w:rPr>
                <w:sz w:val="1"/>
                <w:szCs w:val="1"/>
                <w:color w:val="auto"/>
              </w:rPr>
            </w:pPr>
          </w:p>
        </w:tc>
      </w:tr>
      <w:tr>
        <w:trPr>
          <w:trHeight w:val="162"/>
        </w:trPr>
        <w:tc>
          <w:tcPr>
            <w:tcW w:w="2720" w:type="dxa"/>
            <w:vAlign w:val="bottom"/>
          </w:tcPr>
          <w:p>
            <w:pPr>
              <w:ind w:left="140"/>
              <w:spacing w:after="0"/>
              <w:rPr>
                <w:sz w:val="20"/>
                <w:szCs w:val="20"/>
                <w:color w:val="auto"/>
              </w:rPr>
            </w:pPr>
            <w:r>
              <w:rPr>
                <w:rFonts w:ascii="Arial" w:cs="Arial" w:eastAsia="Arial" w:hAnsi="Arial"/>
                <w:sz w:val="14"/>
                <w:szCs w:val="14"/>
                <w:color w:val="auto"/>
                <w:w w:val="97"/>
              </w:rPr>
              <w:t>Common stock issued to Novartis at $7.53</w:t>
            </w:r>
          </w:p>
        </w:tc>
        <w:tc>
          <w:tcPr>
            <w:tcW w:w="660" w:type="dxa"/>
            <w:vAlign w:val="bottom"/>
          </w:tcPr>
          <w:p>
            <w:pPr>
              <w:jc w:val="right"/>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00" w:type="dxa"/>
            <w:vAlign w:val="bottom"/>
          </w:tcPr>
          <w:p>
            <w:pPr>
              <w:jc w:val="right"/>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3,321,383</w:t>
            </w:r>
          </w:p>
        </w:tc>
        <w:tc>
          <w:tcPr>
            <w:tcW w:w="2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3,321</w:t>
            </w:r>
          </w:p>
        </w:tc>
        <w:tc>
          <w:tcPr>
            <w:tcW w:w="1040" w:type="dxa"/>
            <w:vAlign w:val="bottom"/>
            <w:gridSpan w:val="2"/>
          </w:tcPr>
          <w:p>
            <w:pPr>
              <w:jc w:val="right"/>
              <w:spacing w:after="0"/>
              <w:rPr>
                <w:sz w:val="20"/>
                <w:szCs w:val="20"/>
                <w:color w:val="auto"/>
              </w:rPr>
            </w:pPr>
            <w:r>
              <w:rPr>
                <w:rFonts w:ascii="Arial" w:cs="Arial" w:eastAsia="Arial" w:hAnsi="Arial"/>
                <w:sz w:val="14"/>
                <w:szCs w:val="14"/>
                <w:color w:val="auto"/>
              </w:rPr>
              <w:t>24,996,679</w:t>
            </w:r>
          </w:p>
        </w:tc>
        <w:tc>
          <w:tcPr>
            <w:tcW w:w="1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25,000,000</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720" w:type="dxa"/>
            <w:vAlign w:val="bottom"/>
            <w:shd w:val="clear" w:color="auto" w:fill="CFF0FC"/>
          </w:tcPr>
          <w:p>
            <w:pPr>
              <w:ind w:left="140"/>
              <w:spacing w:after="0"/>
              <w:rPr>
                <w:sz w:val="20"/>
                <w:szCs w:val="20"/>
                <w:color w:val="auto"/>
              </w:rPr>
            </w:pPr>
            <w:r>
              <w:rPr>
                <w:rFonts w:ascii="Arial" w:cs="Arial" w:eastAsia="Arial" w:hAnsi="Arial"/>
                <w:sz w:val="14"/>
                <w:szCs w:val="14"/>
                <w:color w:val="auto"/>
              </w:rPr>
              <w:t>Foreign currency translation adjustments</w:t>
            </w:r>
          </w:p>
        </w:tc>
        <w:tc>
          <w:tcPr>
            <w:tcW w:w="6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0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5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00" w:type="dxa"/>
            <w:vAlign w:val="bottom"/>
            <w:shd w:val="clear" w:color="auto" w:fill="CFF0FC"/>
          </w:tcPr>
          <w:p>
            <w:pPr>
              <w:spacing w:after="0"/>
              <w:rPr>
                <w:sz w:val="14"/>
                <w:szCs w:val="14"/>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20" w:type="dxa"/>
            <w:vAlign w:val="bottom"/>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04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40" w:type="dxa"/>
            <w:vAlign w:val="bottom"/>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980" w:type="dxa"/>
            <w:vAlign w:val="bottom"/>
            <w:gridSpan w:val="2"/>
            <w:shd w:val="clear" w:color="auto" w:fill="CFF0FC"/>
          </w:tcPr>
          <w:p>
            <w:pPr>
              <w:jc w:val="right"/>
              <w:ind w:right="140"/>
              <w:spacing w:after="0"/>
              <w:rPr>
                <w:sz w:val="20"/>
                <w:szCs w:val="20"/>
                <w:color w:val="auto"/>
              </w:rPr>
            </w:pPr>
            <w:r>
              <w:rPr>
                <w:rFonts w:ascii="Arial" w:cs="Arial" w:eastAsia="Arial" w:hAnsi="Arial"/>
                <w:sz w:val="14"/>
                <w:szCs w:val="14"/>
                <w:color w:val="auto"/>
              </w:rPr>
              <w:t>(136,425)</w:t>
            </w:r>
          </w:p>
        </w:tc>
        <w:tc>
          <w:tcPr>
            <w:tcW w:w="9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860" w:type="dxa"/>
            <w:vAlign w:val="bottom"/>
            <w:gridSpan w:val="2"/>
            <w:shd w:val="clear" w:color="auto" w:fill="CFF0FC"/>
          </w:tcPr>
          <w:p>
            <w:pPr>
              <w:jc w:val="right"/>
              <w:ind w:right="60"/>
              <w:spacing w:after="0"/>
              <w:rPr>
                <w:sz w:val="20"/>
                <w:szCs w:val="20"/>
                <w:color w:val="auto"/>
              </w:rPr>
            </w:pPr>
            <w:r>
              <w:rPr>
                <w:rFonts w:ascii="Arial" w:cs="Arial" w:eastAsia="Arial" w:hAnsi="Arial"/>
                <w:sz w:val="14"/>
                <w:szCs w:val="14"/>
                <w:color w:val="auto"/>
              </w:rPr>
              <w:t>(136,425)</w:t>
            </w:r>
          </w:p>
        </w:tc>
        <w:tc>
          <w:tcPr>
            <w:tcW w:w="0" w:type="dxa"/>
            <w:vAlign w:val="bottom"/>
          </w:tcPr>
          <w:p>
            <w:pPr>
              <w:spacing w:after="0"/>
              <w:rPr>
                <w:sz w:val="1"/>
                <w:szCs w:val="1"/>
                <w:color w:val="auto"/>
              </w:rPr>
            </w:pPr>
          </w:p>
        </w:tc>
      </w:tr>
      <w:tr>
        <w:trPr>
          <w:trHeight w:val="143"/>
        </w:trPr>
        <w:tc>
          <w:tcPr>
            <w:tcW w:w="2720" w:type="dxa"/>
            <w:vAlign w:val="bottom"/>
          </w:tcPr>
          <w:p>
            <w:pPr>
              <w:ind w:left="140"/>
              <w:spacing w:after="0" w:line="143" w:lineRule="exact"/>
              <w:rPr>
                <w:sz w:val="20"/>
                <w:szCs w:val="20"/>
                <w:color w:val="auto"/>
              </w:rPr>
            </w:pPr>
            <w:r>
              <w:rPr>
                <w:rFonts w:ascii="Arial" w:cs="Arial" w:eastAsia="Arial" w:hAnsi="Arial"/>
                <w:sz w:val="14"/>
                <w:szCs w:val="14"/>
                <w:color w:val="auto"/>
                <w:w w:val="97"/>
              </w:rPr>
              <w:t>Net loss for the year ended September 30,</w:t>
            </w:r>
          </w:p>
        </w:tc>
        <w:tc>
          <w:tcPr>
            <w:tcW w:w="6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720" w:type="dxa"/>
            <w:vAlign w:val="bottom"/>
          </w:tcPr>
          <w:p>
            <w:pPr>
              <w:ind w:left="140"/>
              <w:spacing w:after="0"/>
              <w:rPr>
                <w:sz w:val="20"/>
                <w:szCs w:val="20"/>
                <w:color w:val="auto"/>
              </w:rPr>
            </w:pPr>
            <w:r>
              <w:rPr>
                <w:rFonts w:ascii="Arial" w:cs="Arial" w:eastAsia="Arial" w:hAnsi="Arial"/>
                <w:sz w:val="14"/>
                <w:szCs w:val="14"/>
                <w:color w:val="auto"/>
              </w:rPr>
              <w:t>2015</w:t>
            </w:r>
          </w:p>
        </w:tc>
        <w:tc>
          <w:tcPr>
            <w:tcW w:w="660" w:type="dxa"/>
            <w:vAlign w:val="bottom"/>
          </w:tcPr>
          <w:p>
            <w:pPr>
              <w:jc w:val="right"/>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00" w:type="dxa"/>
            <w:vAlign w:val="bottom"/>
          </w:tcPr>
          <w:p>
            <w:pPr>
              <w:jc w:val="right"/>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w:t>
            </w:r>
          </w:p>
        </w:tc>
        <w:tc>
          <w:tcPr>
            <w:tcW w:w="104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4"/>
                <w:szCs w:val="14"/>
                <w:color w:val="auto"/>
              </w:rPr>
            </w:pPr>
          </w:p>
        </w:tc>
        <w:tc>
          <w:tcPr>
            <w:tcW w:w="1020" w:type="dxa"/>
            <w:vAlign w:val="bottom"/>
            <w:gridSpan w:val="2"/>
          </w:tcPr>
          <w:p>
            <w:pPr>
              <w:jc w:val="right"/>
              <w:ind w:right="39"/>
              <w:spacing w:after="0"/>
              <w:rPr>
                <w:sz w:val="20"/>
                <w:szCs w:val="20"/>
                <w:color w:val="auto"/>
              </w:rPr>
            </w:pPr>
            <w:r>
              <w:rPr>
                <w:rFonts w:ascii="Arial" w:cs="Arial" w:eastAsia="Arial" w:hAnsi="Arial"/>
                <w:sz w:val="14"/>
                <w:szCs w:val="14"/>
                <w:color w:val="auto"/>
              </w:rPr>
              <w:t>(91,940,882)</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gridSpan w:val="2"/>
          </w:tcPr>
          <w:p>
            <w:pPr>
              <w:jc w:val="right"/>
              <w:ind w:right="60"/>
              <w:spacing w:after="0"/>
              <w:rPr>
                <w:sz w:val="20"/>
                <w:szCs w:val="20"/>
                <w:color w:val="auto"/>
              </w:rPr>
            </w:pPr>
            <w:r>
              <w:rPr>
                <w:rFonts w:ascii="Arial" w:cs="Arial" w:eastAsia="Arial" w:hAnsi="Arial"/>
                <w:sz w:val="14"/>
                <w:szCs w:val="14"/>
                <w:color w:val="auto"/>
                <w:w w:val="98"/>
              </w:rPr>
              <w:t>(91,940,882)</w:t>
            </w:r>
          </w:p>
        </w:tc>
        <w:tc>
          <w:tcPr>
            <w:tcW w:w="0" w:type="dxa"/>
            <w:vAlign w:val="bottom"/>
          </w:tcPr>
          <w:p>
            <w:pPr>
              <w:spacing w:after="0"/>
              <w:rPr>
                <w:sz w:val="1"/>
                <w:szCs w:val="1"/>
                <w:color w:val="auto"/>
              </w:rPr>
            </w:pPr>
          </w:p>
        </w:tc>
      </w:tr>
      <w:tr>
        <w:trPr>
          <w:trHeight w:val="156"/>
        </w:trPr>
        <w:tc>
          <w:tcPr>
            <w:tcW w:w="2720" w:type="dxa"/>
            <w:vAlign w:val="bottom"/>
            <w:tcBorders>
              <w:top w:val="single" w:sz="8" w:color="CFF0FC"/>
            </w:tcBorders>
            <w:shd w:val="clear" w:color="auto" w:fill="CFF0FC"/>
          </w:tcPr>
          <w:p>
            <w:pPr>
              <w:spacing w:after="0" w:line="155" w:lineRule="exact"/>
              <w:rPr>
                <w:sz w:val="20"/>
                <w:szCs w:val="20"/>
                <w:color w:val="auto"/>
              </w:rPr>
            </w:pPr>
            <w:r>
              <w:rPr>
                <w:rFonts w:ascii="Arial" w:cs="Arial" w:eastAsia="Arial" w:hAnsi="Arial"/>
                <w:sz w:val="14"/>
                <w:szCs w:val="14"/>
                <w:b w:val="1"/>
                <w:bCs w:val="1"/>
                <w:color w:val="auto"/>
              </w:rPr>
              <w:t>Balance at September 30, 2015</w:t>
            </w:r>
          </w:p>
        </w:tc>
        <w:tc>
          <w:tcPr>
            <w:tcW w:w="660" w:type="dxa"/>
            <w:vAlign w:val="bottom"/>
            <w:tcBorders>
              <w:top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b w:val="1"/>
                <w:bCs w:val="1"/>
                <w:color w:val="auto"/>
              </w:rPr>
              <w:t>15,652</w:t>
            </w:r>
          </w:p>
        </w:tc>
        <w:tc>
          <w:tcPr>
            <w:tcW w:w="200" w:type="dxa"/>
            <w:vAlign w:val="bottom"/>
            <w:tcBorders>
              <w:top w:val="single" w:sz="8" w:color="CFF0FC"/>
            </w:tcBorders>
            <w:shd w:val="clear" w:color="auto" w:fill="CFF0FC"/>
          </w:tcPr>
          <w:p>
            <w:pPr>
              <w:spacing w:after="0"/>
              <w:rPr>
                <w:sz w:val="13"/>
                <w:szCs w:val="13"/>
                <w:color w:val="auto"/>
              </w:rPr>
            </w:pPr>
          </w:p>
        </w:tc>
        <w:tc>
          <w:tcPr>
            <w:tcW w:w="160" w:type="dxa"/>
            <w:vAlign w:val="bottom"/>
            <w:tcBorders>
              <w:top w:val="single" w:sz="8" w:color="auto"/>
            </w:tcBorders>
            <w:shd w:val="clear" w:color="auto" w:fill="CFF0FC"/>
          </w:tcPr>
          <w:p>
            <w:pPr>
              <w:jc w:val="right"/>
              <w:ind w:right="8"/>
              <w:spacing w:after="0" w:line="155" w:lineRule="exact"/>
              <w:rPr>
                <w:sz w:val="20"/>
                <w:szCs w:val="20"/>
                <w:color w:val="auto"/>
              </w:rPr>
            </w:pPr>
            <w:r>
              <w:rPr>
                <w:rFonts w:ascii="Arial" w:cs="Arial" w:eastAsia="Arial" w:hAnsi="Arial"/>
                <w:sz w:val="14"/>
                <w:szCs w:val="14"/>
                <w:b w:val="1"/>
                <w:bCs w:val="1"/>
                <w:color w:val="auto"/>
                <w:w w:val="76"/>
              </w:rPr>
              <w:t>$</w:t>
            </w:r>
          </w:p>
        </w:tc>
        <w:tc>
          <w:tcPr>
            <w:tcW w:w="500" w:type="dxa"/>
            <w:vAlign w:val="bottom"/>
            <w:tcBorders>
              <w:top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b w:val="1"/>
                <w:bCs w:val="1"/>
                <w:color w:val="auto"/>
              </w:rPr>
              <w:t>16</w:t>
            </w:r>
          </w:p>
        </w:tc>
        <w:tc>
          <w:tcPr>
            <w:tcW w:w="200" w:type="dxa"/>
            <w:vAlign w:val="bottom"/>
            <w:tcBorders>
              <w:top w:val="single" w:sz="8" w:color="CFF0FC"/>
            </w:tcBorders>
            <w:shd w:val="clear" w:color="auto" w:fill="CFF0FC"/>
          </w:tcPr>
          <w:p>
            <w:pPr>
              <w:spacing w:after="0"/>
              <w:rPr>
                <w:sz w:val="13"/>
                <w:szCs w:val="13"/>
                <w:color w:val="auto"/>
              </w:rPr>
            </w:pPr>
          </w:p>
        </w:tc>
        <w:tc>
          <w:tcPr>
            <w:tcW w:w="760" w:type="dxa"/>
            <w:vAlign w:val="bottom"/>
            <w:tcBorders>
              <w:top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b w:val="1"/>
                <w:bCs w:val="1"/>
                <w:color w:val="auto"/>
              </w:rPr>
              <w:t>59,544,677</w:t>
            </w:r>
          </w:p>
        </w:tc>
        <w:tc>
          <w:tcPr>
            <w:tcW w:w="220" w:type="dxa"/>
            <w:vAlign w:val="bottom"/>
            <w:tcBorders>
              <w:top w:val="single" w:sz="8" w:color="CFF0FC"/>
            </w:tcBorders>
            <w:shd w:val="clear" w:color="auto" w:fill="CFF0FC"/>
          </w:tcPr>
          <w:p>
            <w:pPr>
              <w:spacing w:after="0"/>
              <w:rPr>
                <w:sz w:val="13"/>
                <w:szCs w:val="13"/>
                <w:color w:val="auto"/>
              </w:rPr>
            </w:pPr>
          </w:p>
        </w:tc>
        <w:tc>
          <w:tcPr>
            <w:tcW w:w="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0"/>
                <w:szCs w:val="10"/>
                <w:b w:val="1"/>
                <w:bCs w:val="1"/>
                <w:color w:val="auto"/>
                <w:w w:val="71"/>
              </w:rPr>
              <w:t>$</w:t>
            </w:r>
          </w:p>
        </w:tc>
        <w:tc>
          <w:tcPr>
            <w:tcW w:w="600" w:type="dxa"/>
            <w:vAlign w:val="bottom"/>
            <w:tcBorders>
              <w:top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b w:val="1"/>
                <w:bCs w:val="1"/>
                <w:color w:val="auto"/>
              </w:rPr>
              <w:t>151,914</w:t>
            </w:r>
          </w:p>
        </w:tc>
        <w:tc>
          <w:tcPr>
            <w:tcW w:w="200" w:type="dxa"/>
            <w:vAlign w:val="bottom"/>
            <w:tcBorders>
              <w:top w:val="single" w:sz="8" w:color="CFF0FC"/>
            </w:tcBorders>
            <w:shd w:val="clear" w:color="auto" w:fill="CFF0FC"/>
          </w:tcPr>
          <w:p>
            <w:pPr>
              <w:spacing w:after="0"/>
              <w:rPr>
                <w:sz w:val="13"/>
                <w:szCs w:val="13"/>
                <w:color w:val="auto"/>
              </w:rPr>
            </w:pPr>
          </w:p>
        </w:tc>
        <w:tc>
          <w:tcPr>
            <w:tcW w:w="840" w:type="dxa"/>
            <w:vAlign w:val="bottom"/>
            <w:tcBorders>
              <w:top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b w:val="1"/>
                <w:bCs w:val="1"/>
                <w:color w:val="auto"/>
                <w:w w:val="91"/>
              </w:rPr>
              <w:t>$ 426,873,358</w:t>
            </w:r>
          </w:p>
        </w:tc>
        <w:tc>
          <w:tcPr>
            <w:tcW w:w="140" w:type="dxa"/>
            <w:vAlign w:val="bottom"/>
            <w:tcBorders>
              <w:top w:val="single" w:sz="8" w:color="CFF0FC"/>
            </w:tcBorders>
            <w:shd w:val="clear" w:color="auto" w:fill="CFF0FC"/>
          </w:tcPr>
          <w:p>
            <w:pPr>
              <w:spacing w:after="0"/>
              <w:rPr>
                <w:sz w:val="13"/>
                <w:szCs w:val="13"/>
                <w:color w:val="auto"/>
              </w:rPr>
            </w:pPr>
          </w:p>
        </w:tc>
        <w:tc>
          <w:tcPr>
            <w:tcW w:w="60" w:type="dxa"/>
            <w:vAlign w:val="bottom"/>
            <w:tcBorders>
              <w:top w:val="single" w:sz="8" w:color="CFF0FC"/>
            </w:tcBorders>
            <w:shd w:val="clear" w:color="auto" w:fill="CFF0FC"/>
          </w:tcPr>
          <w:p>
            <w:pPr>
              <w:spacing w:after="0"/>
              <w:rPr>
                <w:sz w:val="13"/>
                <w:szCs w:val="13"/>
                <w:color w:val="auto"/>
              </w:rPr>
            </w:pPr>
          </w:p>
        </w:tc>
        <w:tc>
          <w:tcPr>
            <w:tcW w:w="180" w:type="dxa"/>
            <w:vAlign w:val="bottom"/>
            <w:tcBorders>
              <w:top w:val="single" w:sz="8" w:color="auto"/>
            </w:tcBorders>
            <w:shd w:val="clear" w:color="auto" w:fill="CFF0FC"/>
          </w:tcPr>
          <w:p>
            <w:pPr>
              <w:spacing w:after="0" w:line="155" w:lineRule="exact"/>
              <w:rPr>
                <w:sz w:val="20"/>
                <w:szCs w:val="20"/>
                <w:color w:val="auto"/>
              </w:rPr>
            </w:pPr>
            <w:r>
              <w:rPr>
                <w:rFonts w:ascii="Arial" w:cs="Arial" w:eastAsia="Arial" w:hAnsi="Arial"/>
                <w:sz w:val="14"/>
                <w:szCs w:val="14"/>
                <w:b w:val="1"/>
                <w:bCs w:val="1"/>
                <w:color w:val="auto"/>
              </w:rPr>
              <w:t>$</w:t>
            </w:r>
          </w:p>
        </w:tc>
        <w:tc>
          <w:tcPr>
            <w:tcW w:w="780" w:type="dxa"/>
            <w:vAlign w:val="bottom"/>
            <w:tcBorders>
              <w:top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b w:val="1"/>
                <w:bCs w:val="1"/>
                <w:color w:val="auto"/>
              </w:rPr>
              <w:t>(136,425)</w:t>
            </w:r>
          </w:p>
        </w:tc>
        <w:tc>
          <w:tcPr>
            <w:tcW w:w="200" w:type="dxa"/>
            <w:vAlign w:val="bottom"/>
            <w:tcBorders>
              <w:top w:val="single" w:sz="8" w:color="CFF0FC"/>
            </w:tcBorders>
            <w:shd w:val="clear" w:color="auto" w:fill="CFF0FC"/>
          </w:tcPr>
          <w:p>
            <w:pPr>
              <w:spacing w:after="0"/>
              <w:rPr>
                <w:sz w:val="13"/>
                <w:szCs w:val="13"/>
                <w:color w:val="auto"/>
              </w:rPr>
            </w:pPr>
          </w:p>
        </w:tc>
        <w:tc>
          <w:tcPr>
            <w:tcW w:w="900" w:type="dxa"/>
            <w:vAlign w:val="bottom"/>
            <w:tcBorders>
              <w:top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b w:val="1"/>
                <w:bCs w:val="1"/>
                <w:color w:val="auto"/>
                <w:w w:val="88"/>
              </w:rPr>
              <w:t>$ (316,712,041)</w:t>
            </w:r>
          </w:p>
        </w:tc>
        <w:tc>
          <w:tcPr>
            <w:tcW w:w="120" w:type="dxa"/>
            <w:vAlign w:val="bottom"/>
            <w:tcBorders>
              <w:top w:val="single" w:sz="8" w:color="CFF0FC"/>
            </w:tcBorders>
            <w:shd w:val="clear" w:color="auto" w:fill="CFF0FC"/>
          </w:tcPr>
          <w:p>
            <w:pPr>
              <w:spacing w:after="0"/>
              <w:rPr>
                <w:sz w:val="13"/>
                <w:szCs w:val="13"/>
                <w:color w:val="auto"/>
              </w:rPr>
            </w:pPr>
          </w:p>
        </w:tc>
        <w:tc>
          <w:tcPr>
            <w:tcW w:w="80" w:type="dxa"/>
            <w:vAlign w:val="bottom"/>
            <w:tcBorders>
              <w:top w:val="single" w:sz="8" w:color="CFF0FC"/>
            </w:tcBorders>
            <w:shd w:val="clear" w:color="auto" w:fill="CFF0FC"/>
          </w:tcPr>
          <w:p>
            <w:pPr>
              <w:spacing w:after="0"/>
              <w:rPr>
                <w:sz w:val="13"/>
                <w:szCs w:val="13"/>
                <w:color w:val="auto"/>
              </w:rPr>
            </w:pPr>
          </w:p>
        </w:tc>
        <w:tc>
          <w:tcPr>
            <w:tcW w:w="80" w:type="dxa"/>
            <w:vAlign w:val="bottom"/>
            <w:tcBorders>
              <w:top w:val="single" w:sz="8" w:color="auto"/>
            </w:tcBorders>
            <w:shd w:val="clear" w:color="auto" w:fill="CFF0FC"/>
          </w:tcPr>
          <w:p>
            <w:pPr>
              <w:spacing w:after="0" w:line="155" w:lineRule="exact"/>
              <w:rPr>
                <w:sz w:val="20"/>
                <w:szCs w:val="20"/>
                <w:color w:val="auto"/>
              </w:rPr>
            </w:pPr>
            <w:r>
              <w:rPr>
                <w:rFonts w:ascii="Arial" w:cs="Arial" w:eastAsia="Arial" w:hAnsi="Arial"/>
                <w:sz w:val="14"/>
                <w:szCs w:val="14"/>
                <w:b w:val="1"/>
                <w:bCs w:val="1"/>
                <w:color w:val="auto"/>
                <w:w w:val="76"/>
              </w:rPr>
              <w:t>$</w:t>
            </w:r>
          </w:p>
        </w:tc>
        <w:tc>
          <w:tcPr>
            <w:tcW w:w="600" w:type="dxa"/>
            <w:vAlign w:val="bottom"/>
            <w:tcBorders>
              <w:top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b w:val="1"/>
                <w:bCs w:val="1"/>
                <w:color w:val="auto"/>
                <w:w w:val="96"/>
              </w:rPr>
              <w:t>(555,188)</w:t>
            </w:r>
          </w:p>
        </w:tc>
        <w:tc>
          <w:tcPr>
            <w:tcW w:w="120" w:type="dxa"/>
            <w:vAlign w:val="bottom"/>
            <w:tcBorders>
              <w:top w:val="single" w:sz="8" w:color="CFF0FC"/>
            </w:tcBorders>
            <w:shd w:val="clear" w:color="auto" w:fill="CFF0FC"/>
          </w:tcPr>
          <w:p>
            <w:pPr>
              <w:spacing w:after="0"/>
              <w:rPr>
                <w:sz w:val="13"/>
                <w:szCs w:val="13"/>
                <w:color w:val="auto"/>
              </w:rPr>
            </w:pPr>
          </w:p>
        </w:tc>
        <w:tc>
          <w:tcPr>
            <w:tcW w:w="80" w:type="dxa"/>
            <w:vAlign w:val="bottom"/>
            <w:tcBorders>
              <w:top w:val="single" w:sz="8" w:color="CFF0FC"/>
            </w:tcBorders>
            <w:shd w:val="clear" w:color="auto" w:fill="CFF0FC"/>
          </w:tcPr>
          <w:p>
            <w:pPr>
              <w:spacing w:after="0"/>
              <w:rPr>
                <w:sz w:val="13"/>
                <w:szCs w:val="13"/>
                <w:color w:val="auto"/>
              </w:rPr>
            </w:pPr>
          </w:p>
        </w:tc>
        <w:tc>
          <w:tcPr>
            <w:tcW w:w="100" w:type="dxa"/>
            <w:vAlign w:val="bottom"/>
            <w:tcBorders>
              <w:top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b w:val="1"/>
                <w:bCs w:val="1"/>
                <w:color w:val="auto"/>
                <w:w w:val="76"/>
              </w:rPr>
              <w:t>$</w:t>
            </w:r>
          </w:p>
        </w:tc>
        <w:tc>
          <w:tcPr>
            <w:tcW w:w="760" w:type="dxa"/>
            <w:vAlign w:val="bottom"/>
            <w:tcBorders>
              <w:top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b w:val="1"/>
                <w:bCs w:val="1"/>
                <w:color w:val="auto"/>
                <w:w w:val="92"/>
              </w:rPr>
              <w:t>109,621,634</w:t>
            </w:r>
          </w:p>
        </w:tc>
        <w:tc>
          <w:tcPr>
            <w:tcW w:w="100" w:type="dxa"/>
            <w:vAlign w:val="bottom"/>
            <w:tcBorders>
              <w:top w:val="single" w:sz="8" w:color="CFF0FC"/>
            </w:tcBorders>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2720" w:type="dxa"/>
            <w:vAlign w:val="bottom"/>
          </w:tcPr>
          <w:p>
            <w:pPr>
              <w:ind w:left="140"/>
              <w:spacing w:after="0"/>
              <w:rPr>
                <w:sz w:val="20"/>
                <w:szCs w:val="20"/>
                <w:color w:val="auto"/>
              </w:rPr>
            </w:pPr>
            <w:r>
              <w:rPr>
                <w:rFonts w:ascii="Arial" w:cs="Arial" w:eastAsia="Arial" w:hAnsi="Arial"/>
                <w:sz w:val="14"/>
                <w:szCs w:val="14"/>
                <w:color w:val="auto"/>
              </w:rPr>
              <w:t>Exercise of warrants</w:t>
            </w:r>
          </w:p>
        </w:tc>
        <w:tc>
          <w:tcPr>
            <w:tcW w:w="660" w:type="dxa"/>
            <w:vAlign w:val="bottom"/>
          </w:tcPr>
          <w:p>
            <w:pPr>
              <w:jc w:val="right"/>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00" w:type="dxa"/>
            <w:vAlign w:val="bottom"/>
          </w:tcPr>
          <w:p>
            <w:pPr>
              <w:jc w:val="right"/>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852,532</w:t>
            </w:r>
          </w:p>
        </w:tc>
        <w:tc>
          <w:tcPr>
            <w:tcW w:w="2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853</w:t>
            </w:r>
          </w:p>
        </w:tc>
        <w:tc>
          <w:tcPr>
            <w:tcW w:w="1040" w:type="dxa"/>
            <w:vAlign w:val="bottom"/>
            <w:gridSpan w:val="2"/>
          </w:tcPr>
          <w:p>
            <w:pPr>
              <w:jc w:val="right"/>
              <w:spacing w:after="0"/>
              <w:rPr>
                <w:sz w:val="20"/>
                <w:szCs w:val="20"/>
                <w:color w:val="auto"/>
              </w:rPr>
            </w:pPr>
            <w:r>
              <w:rPr>
                <w:rFonts w:ascii="Arial" w:cs="Arial" w:eastAsia="Arial" w:hAnsi="Arial"/>
                <w:sz w:val="14"/>
                <w:szCs w:val="14"/>
                <w:color w:val="auto"/>
              </w:rPr>
              <w:t>3,690,545</w:t>
            </w:r>
          </w:p>
        </w:tc>
        <w:tc>
          <w:tcPr>
            <w:tcW w:w="1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3,691,398</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720" w:type="dxa"/>
            <w:vAlign w:val="bottom"/>
            <w:shd w:val="clear" w:color="auto" w:fill="CFF0FC"/>
          </w:tcPr>
          <w:p>
            <w:pPr>
              <w:ind w:left="140"/>
              <w:spacing w:after="0"/>
              <w:rPr>
                <w:sz w:val="20"/>
                <w:szCs w:val="20"/>
                <w:color w:val="auto"/>
              </w:rPr>
            </w:pPr>
            <w:r>
              <w:rPr>
                <w:rFonts w:ascii="Arial" w:cs="Arial" w:eastAsia="Arial" w:hAnsi="Arial"/>
                <w:sz w:val="14"/>
                <w:szCs w:val="14"/>
                <w:color w:val="auto"/>
              </w:rPr>
              <w:t>Exercise of stock options</w:t>
            </w:r>
          </w:p>
        </w:tc>
        <w:tc>
          <w:tcPr>
            <w:tcW w:w="6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0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5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00" w:type="dxa"/>
            <w:vAlign w:val="bottom"/>
            <w:shd w:val="clear" w:color="auto" w:fill="CFF0FC"/>
          </w:tcPr>
          <w:p>
            <w:pPr>
              <w:spacing w:after="0"/>
              <w:rPr>
                <w:sz w:val="14"/>
                <w:szCs w:val="14"/>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37,187</w:t>
            </w:r>
          </w:p>
        </w:tc>
        <w:tc>
          <w:tcPr>
            <w:tcW w:w="220" w:type="dxa"/>
            <w:vAlign w:val="bottom"/>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37</w:t>
            </w:r>
          </w:p>
        </w:tc>
        <w:tc>
          <w:tcPr>
            <w:tcW w:w="104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rPr>
              <w:t>133,832</w:t>
            </w:r>
          </w:p>
        </w:tc>
        <w:tc>
          <w:tcPr>
            <w:tcW w:w="140" w:type="dxa"/>
            <w:vAlign w:val="bottom"/>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00" w:type="dxa"/>
            <w:vAlign w:val="bottom"/>
            <w:shd w:val="clear" w:color="auto" w:fill="CFF0FC"/>
          </w:tcPr>
          <w:p>
            <w:pPr>
              <w:spacing w:after="0"/>
              <w:rPr>
                <w:sz w:val="14"/>
                <w:szCs w:val="14"/>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133,869</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720" w:type="dxa"/>
            <w:vAlign w:val="bottom"/>
          </w:tcPr>
          <w:p>
            <w:pPr>
              <w:ind w:left="140"/>
              <w:spacing w:after="0"/>
              <w:rPr>
                <w:sz w:val="20"/>
                <w:szCs w:val="20"/>
                <w:color w:val="auto"/>
              </w:rPr>
            </w:pPr>
            <w:r>
              <w:rPr>
                <w:rFonts w:ascii="Arial" w:cs="Arial" w:eastAsia="Arial" w:hAnsi="Arial"/>
                <w:sz w:val="14"/>
                <w:szCs w:val="14"/>
                <w:color w:val="auto"/>
              </w:rPr>
              <w:t>Stock-based compensation</w:t>
            </w:r>
          </w:p>
        </w:tc>
        <w:tc>
          <w:tcPr>
            <w:tcW w:w="660" w:type="dxa"/>
            <w:vAlign w:val="bottom"/>
          </w:tcPr>
          <w:p>
            <w:pPr>
              <w:jc w:val="right"/>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00" w:type="dxa"/>
            <w:vAlign w:val="bottom"/>
          </w:tcPr>
          <w:p>
            <w:pPr>
              <w:jc w:val="right"/>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w:t>
            </w:r>
          </w:p>
        </w:tc>
        <w:tc>
          <w:tcPr>
            <w:tcW w:w="1040" w:type="dxa"/>
            <w:vAlign w:val="bottom"/>
            <w:gridSpan w:val="2"/>
          </w:tcPr>
          <w:p>
            <w:pPr>
              <w:jc w:val="right"/>
              <w:spacing w:after="0"/>
              <w:rPr>
                <w:sz w:val="20"/>
                <w:szCs w:val="20"/>
                <w:color w:val="auto"/>
              </w:rPr>
            </w:pPr>
            <w:r>
              <w:rPr>
                <w:rFonts w:ascii="Arial" w:cs="Arial" w:eastAsia="Arial" w:hAnsi="Arial"/>
                <w:sz w:val="14"/>
                <w:szCs w:val="14"/>
                <w:color w:val="auto"/>
              </w:rPr>
              <w:t>11,595,816</w:t>
            </w:r>
          </w:p>
        </w:tc>
        <w:tc>
          <w:tcPr>
            <w:tcW w:w="1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11,595,816</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3"/>
        </w:trPr>
        <w:tc>
          <w:tcPr>
            <w:tcW w:w="2720" w:type="dxa"/>
            <w:vAlign w:val="bottom"/>
            <w:shd w:val="clear" w:color="auto" w:fill="CFF0FC"/>
          </w:tcPr>
          <w:p>
            <w:pPr>
              <w:ind w:left="140"/>
              <w:spacing w:after="0" w:line="143" w:lineRule="exact"/>
              <w:rPr>
                <w:sz w:val="20"/>
                <w:szCs w:val="20"/>
                <w:color w:val="auto"/>
              </w:rPr>
            </w:pPr>
            <w:r>
              <w:rPr>
                <w:rFonts w:ascii="Arial" w:cs="Arial" w:eastAsia="Arial" w:hAnsi="Arial"/>
                <w:sz w:val="14"/>
                <w:szCs w:val="14"/>
                <w:color w:val="auto"/>
              </w:rPr>
              <w:t>Common stock- Restricted Stock Units</w:t>
            </w:r>
          </w:p>
        </w:tc>
        <w:tc>
          <w:tcPr>
            <w:tcW w:w="66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50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76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60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84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78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9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6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76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720" w:type="dxa"/>
            <w:vAlign w:val="bottom"/>
            <w:shd w:val="clear" w:color="auto" w:fill="CFF0FC"/>
          </w:tcPr>
          <w:p>
            <w:pPr>
              <w:ind w:left="140"/>
              <w:spacing w:after="0"/>
              <w:rPr>
                <w:sz w:val="20"/>
                <w:szCs w:val="20"/>
                <w:color w:val="auto"/>
              </w:rPr>
            </w:pPr>
            <w:r>
              <w:rPr>
                <w:rFonts w:ascii="Arial" w:cs="Arial" w:eastAsia="Arial" w:hAnsi="Arial"/>
                <w:sz w:val="14"/>
                <w:szCs w:val="14"/>
                <w:color w:val="auto"/>
              </w:rPr>
              <w:t>vesting</w:t>
            </w:r>
          </w:p>
        </w:tc>
        <w:tc>
          <w:tcPr>
            <w:tcW w:w="6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0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5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00" w:type="dxa"/>
            <w:vAlign w:val="bottom"/>
            <w:shd w:val="clear" w:color="auto" w:fill="CFF0FC"/>
          </w:tcPr>
          <w:p>
            <w:pPr>
              <w:spacing w:after="0"/>
              <w:rPr>
                <w:sz w:val="14"/>
                <w:szCs w:val="14"/>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428,187</w:t>
            </w:r>
          </w:p>
        </w:tc>
        <w:tc>
          <w:tcPr>
            <w:tcW w:w="220" w:type="dxa"/>
            <w:vAlign w:val="bottom"/>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428</w:t>
            </w:r>
          </w:p>
        </w:tc>
        <w:tc>
          <w:tcPr>
            <w:tcW w:w="1180" w:type="dxa"/>
            <w:vAlign w:val="bottom"/>
            <w:gridSpan w:val="3"/>
            <w:shd w:val="clear" w:color="auto" w:fill="CFF0FC"/>
          </w:tcPr>
          <w:p>
            <w:pPr>
              <w:jc w:val="right"/>
              <w:ind w:right="80"/>
              <w:spacing w:after="0"/>
              <w:rPr>
                <w:sz w:val="20"/>
                <w:szCs w:val="20"/>
                <w:color w:val="auto"/>
              </w:rPr>
            </w:pPr>
            <w:r>
              <w:rPr>
                <w:rFonts w:ascii="Arial" w:cs="Arial" w:eastAsia="Arial" w:hAnsi="Arial"/>
                <w:sz w:val="14"/>
                <w:szCs w:val="14"/>
                <w:color w:val="auto"/>
              </w:rPr>
              <w:t>(671,193)</w:t>
            </w:r>
          </w:p>
        </w:tc>
        <w:tc>
          <w:tcPr>
            <w:tcW w:w="6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00" w:type="dxa"/>
            <w:vAlign w:val="bottom"/>
            <w:shd w:val="clear" w:color="auto" w:fill="CFF0FC"/>
          </w:tcPr>
          <w:p>
            <w:pPr>
              <w:spacing w:after="0"/>
              <w:rPr>
                <w:sz w:val="14"/>
                <w:szCs w:val="14"/>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860" w:type="dxa"/>
            <w:vAlign w:val="bottom"/>
            <w:gridSpan w:val="2"/>
            <w:shd w:val="clear" w:color="auto" w:fill="CFF0FC"/>
          </w:tcPr>
          <w:p>
            <w:pPr>
              <w:jc w:val="right"/>
              <w:ind w:right="60"/>
              <w:spacing w:after="0"/>
              <w:rPr>
                <w:sz w:val="20"/>
                <w:szCs w:val="20"/>
                <w:color w:val="auto"/>
              </w:rPr>
            </w:pPr>
            <w:r>
              <w:rPr>
                <w:rFonts w:ascii="Arial" w:cs="Arial" w:eastAsia="Arial" w:hAnsi="Arial"/>
                <w:sz w:val="14"/>
                <w:szCs w:val="14"/>
                <w:color w:val="auto"/>
              </w:rPr>
              <w:t>(670,765)</w:t>
            </w:r>
          </w:p>
        </w:tc>
        <w:tc>
          <w:tcPr>
            <w:tcW w:w="0" w:type="dxa"/>
            <w:vAlign w:val="bottom"/>
          </w:tcPr>
          <w:p>
            <w:pPr>
              <w:spacing w:after="0"/>
              <w:rPr>
                <w:sz w:val="1"/>
                <w:szCs w:val="1"/>
                <w:color w:val="auto"/>
              </w:rPr>
            </w:pPr>
          </w:p>
        </w:tc>
      </w:tr>
      <w:tr>
        <w:trPr>
          <w:trHeight w:val="143"/>
        </w:trPr>
        <w:tc>
          <w:tcPr>
            <w:tcW w:w="2720" w:type="dxa"/>
            <w:vAlign w:val="bottom"/>
          </w:tcPr>
          <w:p>
            <w:pPr>
              <w:ind w:left="140"/>
              <w:spacing w:after="0" w:line="143" w:lineRule="exact"/>
              <w:rPr>
                <w:sz w:val="20"/>
                <w:szCs w:val="20"/>
                <w:color w:val="auto"/>
              </w:rPr>
            </w:pPr>
            <w:r>
              <w:rPr>
                <w:rFonts w:ascii="Arial" w:cs="Arial" w:eastAsia="Arial" w:hAnsi="Arial"/>
                <w:sz w:val="14"/>
                <w:szCs w:val="14"/>
                <w:color w:val="auto"/>
                <w:w w:val="94"/>
              </w:rPr>
              <w:t>Common stock issued for cash at $5.90 per</w:t>
            </w:r>
          </w:p>
        </w:tc>
        <w:tc>
          <w:tcPr>
            <w:tcW w:w="6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720" w:type="dxa"/>
            <w:vAlign w:val="bottom"/>
          </w:tcPr>
          <w:p>
            <w:pPr>
              <w:ind w:left="140"/>
              <w:spacing w:after="0"/>
              <w:rPr>
                <w:sz w:val="20"/>
                <w:szCs w:val="20"/>
                <w:color w:val="auto"/>
              </w:rPr>
            </w:pPr>
            <w:r>
              <w:rPr>
                <w:rFonts w:ascii="Arial" w:cs="Arial" w:eastAsia="Arial" w:hAnsi="Arial"/>
                <w:sz w:val="14"/>
                <w:szCs w:val="14"/>
                <w:color w:val="auto"/>
              </w:rPr>
              <w:t>share, net of offering costs</w:t>
            </w:r>
          </w:p>
        </w:tc>
        <w:tc>
          <w:tcPr>
            <w:tcW w:w="660" w:type="dxa"/>
            <w:vAlign w:val="bottom"/>
          </w:tcPr>
          <w:p>
            <w:pPr>
              <w:jc w:val="right"/>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00" w:type="dxa"/>
            <w:vAlign w:val="bottom"/>
          </w:tcPr>
          <w:p>
            <w:pPr>
              <w:jc w:val="right"/>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7,627,119</w:t>
            </w:r>
          </w:p>
        </w:tc>
        <w:tc>
          <w:tcPr>
            <w:tcW w:w="2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7,627</w:t>
            </w:r>
          </w:p>
        </w:tc>
        <w:tc>
          <w:tcPr>
            <w:tcW w:w="1040" w:type="dxa"/>
            <w:vAlign w:val="bottom"/>
            <w:gridSpan w:val="2"/>
          </w:tcPr>
          <w:p>
            <w:pPr>
              <w:jc w:val="right"/>
              <w:spacing w:after="0"/>
              <w:rPr>
                <w:sz w:val="20"/>
                <w:szCs w:val="20"/>
                <w:color w:val="auto"/>
              </w:rPr>
            </w:pPr>
            <w:r>
              <w:rPr>
                <w:rFonts w:ascii="Arial" w:cs="Arial" w:eastAsia="Arial" w:hAnsi="Arial"/>
                <w:sz w:val="14"/>
                <w:szCs w:val="14"/>
                <w:color w:val="auto"/>
              </w:rPr>
              <w:t>43,223,808</w:t>
            </w:r>
          </w:p>
        </w:tc>
        <w:tc>
          <w:tcPr>
            <w:tcW w:w="1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43,231,435</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3"/>
        </w:trPr>
        <w:tc>
          <w:tcPr>
            <w:tcW w:w="2720" w:type="dxa"/>
            <w:vAlign w:val="bottom"/>
            <w:shd w:val="clear" w:color="auto" w:fill="CFF0FC"/>
          </w:tcPr>
          <w:p>
            <w:pPr>
              <w:ind w:left="140"/>
              <w:spacing w:after="0" w:line="143" w:lineRule="exact"/>
              <w:rPr>
                <w:sz w:val="20"/>
                <w:szCs w:val="20"/>
                <w:color w:val="auto"/>
              </w:rPr>
            </w:pPr>
            <w:r>
              <w:rPr>
                <w:rFonts w:ascii="Arial" w:cs="Arial" w:eastAsia="Arial" w:hAnsi="Arial"/>
                <w:sz w:val="14"/>
                <w:szCs w:val="14"/>
                <w:color w:val="auto"/>
                <w:w w:val="99"/>
              </w:rPr>
              <w:t>Common stock issued to Amgen at $7.16</w:t>
            </w:r>
          </w:p>
        </w:tc>
        <w:tc>
          <w:tcPr>
            <w:tcW w:w="66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50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76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60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84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78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9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6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76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720" w:type="dxa"/>
            <w:vAlign w:val="bottom"/>
            <w:shd w:val="clear" w:color="auto" w:fill="CFF0FC"/>
          </w:tcPr>
          <w:p>
            <w:pPr>
              <w:ind w:left="140"/>
              <w:spacing w:after="0"/>
              <w:rPr>
                <w:sz w:val="20"/>
                <w:szCs w:val="20"/>
                <w:color w:val="auto"/>
              </w:rPr>
            </w:pPr>
            <w:r>
              <w:rPr>
                <w:rFonts w:ascii="Arial" w:cs="Arial" w:eastAsia="Arial" w:hAnsi="Arial"/>
                <w:sz w:val="14"/>
                <w:szCs w:val="14"/>
                <w:color w:val="auto"/>
              </w:rPr>
              <w:t>per share</w:t>
            </w:r>
          </w:p>
        </w:tc>
        <w:tc>
          <w:tcPr>
            <w:tcW w:w="6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0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5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00" w:type="dxa"/>
            <w:vAlign w:val="bottom"/>
            <w:shd w:val="clear" w:color="auto" w:fill="CFF0FC"/>
          </w:tcPr>
          <w:p>
            <w:pPr>
              <w:spacing w:after="0"/>
              <w:rPr>
                <w:sz w:val="14"/>
                <w:szCs w:val="14"/>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1,256,983</w:t>
            </w:r>
          </w:p>
        </w:tc>
        <w:tc>
          <w:tcPr>
            <w:tcW w:w="220" w:type="dxa"/>
            <w:vAlign w:val="bottom"/>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1,257</w:t>
            </w:r>
          </w:p>
        </w:tc>
        <w:tc>
          <w:tcPr>
            <w:tcW w:w="104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rPr>
              <w:t>8,998,743</w:t>
            </w:r>
          </w:p>
        </w:tc>
        <w:tc>
          <w:tcPr>
            <w:tcW w:w="140" w:type="dxa"/>
            <w:vAlign w:val="bottom"/>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78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9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6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9,000,000</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720" w:type="dxa"/>
            <w:vAlign w:val="bottom"/>
          </w:tcPr>
          <w:p>
            <w:pPr>
              <w:ind w:left="140"/>
              <w:spacing w:after="0"/>
              <w:rPr>
                <w:sz w:val="20"/>
                <w:szCs w:val="20"/>
                <w:color w:val="auto"/>
              </w:rPr>
            </w:pPr>
            <w:r>
              <w:rPr>
                <w:rFonts w:ascii="Arial" w:cs="Arial" w:eastAsia="Arial" w:hAnsi="Arial"/>
                <w:sz w:val="14"/>
                <w:szCs w:val="14"/>
                <w:color w:val="auto"/>
              </w:rPr>
              <w:t>Foreign currency translation adjustments</w:t>
            </w:r>
          </w:p>
        </w:tc>
        <w:tc>
          <w:tcPr>
            <w:tcW w:w="660" w:type="dxa"/>
            <w:vAlign w:val="bottom"/>
          </w:tcPr>
          <w:p>
            <w:pPr>
              <w:jc w:val="right"/>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00" w:type="dxa"/>
            <w:vAlign w:val="bottom"/>
          </w:tcPr>
          <w:p>
            <w:pPr>
              <w:jc w:val="right"/>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w:t>
            </w:r>
          </w:p>
        </w:tc>
        <w:tc>
          <w:tcPr>
            <w:tcW w:w="104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143,874</w:t>
            </w:r>
          </w:p>
        </w:tc>
        <w:tc>
          <w:tcPr>
            <w:tcW w:w="20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143,874</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3"/>
        </w:trPr>
        <w:tc>
          <w:tcPr>
            <w:tcW w:w="2720" w:type="dxa"/>
            <w:vAlign w:val="bottom"/>
            <w:shd w:val="clear" w:color="auto" w:fill="CFF0FC"/>
          </w:tcPr>
          <w:p>
            <w:pPr>
              <w:ind w:left="140"/>
              <w:spacing w:after="0" w:line="143" w:lineRule="exact"/>
              <w:rPr>
                <w:sz w:val="20"/>
                <w:szCs w:val="20"/>
                <w:color w:val="auto"/>
              </w:rPr>
            </w:pPr>
            <w:r>
              <w:rPr>
                <w:rFonts w:ascii="Arial" w:cs="Arial" w:eastAsia="Arial" w:hAnsi="Arial"/>
                <w:sz w:val="14"/>
                <w:szCs w:val="14"/>
                <w:color w:val="auto"/>
                <w:w w:val="97"/>
              </w:rPr>
              <w:t>Net loss for the year ended September 30,</w:t>
            </w:r>
          </w:p>
        </w:tc>
        <w:tc>
          <w:tcPr>
            <w:tcW w:w="66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50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76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60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84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78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9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6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76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720" w:type="dxa"/>
            <w:vAlign w:val="bottom"/>
            <w:shd w:val="clear" w:color="auto" w:fill="CFF0FC"/>
          </w:tcPr>
          <w:p>
            <w:pPr>
              <w:ind w:left="140"/>
              <w:spacing w:after="0"/>
              <w:rPr>
                <w:sz w:val="20"/>
                <w:szCs w:val="20"/>
                <w:color w:val="auto"/>
              </w:rPr>
            </w:pPr>
            <w:r>
              <w:rPr>
                <w:rFonts w:ascii="Arial" w:cs="Arial" w:eastAsia="Arial" w:hAnsi="Arial"/>
                <w:sz w:val="14"/>
                <w:szCs w:val="14"/>
                <w:color w:val="auto"/>
              </w:rPr>
              <w:t>2016</w:t>
            </w:r>
          </w:p>
        </w:tc>
        <w:tc>
          <w:tcPr>
            <w:tcW w:w="6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0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5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00" w:type="dxa"/>
            <w:vAlign w:val="bottom"/>
            <w:shd w:val="clear" w:color="auto" w:fill="CFF0FC"/>
          </w:tcPr>
          <w:p>
            <w:pPr>
              <w:spacing w:after="0"/>
              <w:rPr>
                <w:sz w:val="14"/>
                <w:szCs w:val="14"/>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20" w:type="dxa"/>
            <w:vAlign w:val="bottom"/>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04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40" w:type="dxa"/>
            <w:vAlign w:val="bottom"/>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00" w:type="dxa"/>
            <w:vAlign w:val="bottom"/>
            <w:shd w:val="clear" w:color="auto" w:fill="CFF0FC"/>
          </w:tcPr>
          <w:p>
            <w:pPr>
              <w:spacing w:after="0"/>
              <w:rPr>
                <w:sz w:val="14"/>
                <w:szCs w:val="14"/>
                <w:color w:val="auto"/>
              </w:rPr>
            </w:pPr>
          </w:p>
        </w:tc>
        <w:tc>
          <w:tcPr>
            <w:tcW w:w="1020" w:type="dxa"/>
            <w:vAlign w:val="bottom"/>
            <w:gridSpan w:val="2"/>
            <w:shd w:val="clear" w:color="auto" w:fill="CFF0FC"/>
          </w:tcPr>
          <w:p>
            <w:pPr>
              <w:jc w:val="right"/>
              <w:ind w:right="39"/>
              <w:spacing w:after="0"/>
              <w:rPr>
                <w:sz w:val="20"/>
                <w:szCs w:val="20"/>
                <w:color w:val="auto"/>
              </w:rPr>
            </w:pPr>
            <w:r>
              <w:rPr>
                <w:rFonts w:ascii="Arial" w:cs="Arial" w:eastAsia="Arial" w:hAnsi="Arial"/>
                <w:sz w:val="14"/>
                <w:szCs w:val="14"/>
                <w:color w:val="auto"/>
              </w:rPr>
              <w:t>(81,723,002)</w:t>
            </w:r>
          </w:p>
        </w:tc>
        <w:tc>
          <w:tcPr>
            <w:tcW w:w="8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860" w:type="dxa"/>
            <w:vAlign w:val="bottom"/>
            <w:gridSpan w:val="2"/>
            <w:shd w:val="clear" w:color="auto" w:fill="CFF0FC"/>
          </w:tcPr>
          <w:p>
            <w:pPr>
              <w:jc w:val="right"/>
              <w:ind w:right="60"/>
              <w:spacing w:after="0"/>
              <w:rPr>
                <w:sz w:val="20"/>
                <w:szCs w:val="20"/>
                <w:color w:val="auto"/>
              </w:rPr>
            </w:pPr>
            <w:r>
              <w:rPr>
                <w:rFonts w:ascii="Arial" w:cs="Arial" w:eastAsia="Arial" w:hAnsi="Arial"/>
                <w:sz w:val="14"/>
                <w:szCs w:val="14"/>
                <w:color w:val="auto"/>
                <w:w w:val="98"/>
              </w:rPr>
              <w:t>(81,723,002)</w:t>
            </w:r>
          </w:p>
        </w:tc>
        <w:tc>
          <w:tcPr>
            <w:tcW w:w="0" w:type="dxa"/>
            <w:vAlign w:val="bottom"/>
          </w:tcPr>
          <w:p>
            <w:pPr>
              <w:spacing w:after="0"/>
              <w:rPr>
                <w:sz w:val="1"/>
                <w:szCs w:val="1"/>
                <w:color w:val="auto"/>
              </w:rPr>
            </w:pPr>
          </w:p>
        </w:tc>
      </w:tr>
      <w:tr>
        <w:trPr>
          <w:trHeight w:val="156"/>
        </w:trPr>
        <w:tc>
          <w:tcPr>
            <w:tcW w:w="2720" w:type="dxa"/>
            <w:vAlign w:val="bottom"/>
          </w:tcPr>
          <w:p>
            <w:pPr>
              <w:spacing w:after="0" w:line="155" w:lineRule="exact"/>
              <w:rPr>
                <w:sz w:val="20"/>
                <w:szCs w:val="20"/>
                <w:color w:val="auto"/>
              </w:rPr>
            </w:pPr>
            <w:r>
              <w:rPr>
                <w:rFonts w:ascii="Arial" w:cs="Arial" w:eastAsia="Arial" w:hAnsi="Arial"/>
                <w:sz w:val="14"/>
                <w:szCs w:val="14"/>
                <w:b w:val="1"/>
                <w:bCs w:val="1"/>
                <w:color w:val="auto"/>
              </w:rPr>
              <w:t>Balance at September 30, 2016</w:t>
            </w:r>
          </w:p>
        </w:tc>
        <w:tc>
          <w:tcPr>
            <w:tcW w:w="66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15,652</w:t>
            </w:r>
          </w:p>
        </w:tc>
        <w:tc>
          <w:tcPr>
            <w:tcW w:w="200" w:type="dxa"/>
            <w:vAlign w:val="bottom"/>
          </w:tcPr>
          <w:p>
            <w:pPr>
              <w:spacing w:after="0"/>
              <w:rPr>
                <w:sz w:val="13"/>
                <w:szCs w:val="13"/>
                <w:color w:val="auto"/>
              </w:rPr>
            </w:pPr>
          </w:p>
        </w:tc>
        <w:tc>
          <w:tcPr>
            <w:tcW w:w="160" w:type="dxa"/>
            <w:vAlign w:val="bottom"/>
            <w:tcBorders>
              <w:top w:val="single" w:sz="8" w:color="auto"/>
            </w:tcBorders>
          </w:tcPr>
          <w:p>
            <w:pPr>
              <w:jc w:val="right"/>
              <w:ind w:right="8"/>
              <w:spacing w:after="0" w:line="155" w:lineRule="exact"/>
              <w:rPr>
                <w:sz w:val="20"/>
                <w:szCs w:val="20"/>
                <w:color w:val="auto"/>
              </w:rPr>
            </w:pPr>
            <w:r>
              <w:rPr>
                <w:rFonts w:ascii="Arial" w:cs="Arial" w:eastAsia="Arial" w:hAnsi="Arial"/>
                <w:sz w:val="14"/>
                <w:szCs w:val="14"/>
                <w:b w:val="1"/>
                <w:bCs w:val="1"/>
                <w:color w:val="auto"/>
                <w:w w:val="76"/>
              </w:rPr>
              <w:t>$</w:t>
            </w:r>
          </w:p>
        </w:tc>
        <w:tc>
          <w:tcPr>
            <w:tcW w:w="50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16</w:t>
            </w:r>
          </w:p>
        </w:tc>
        <w:tc>
          <w:tcPr>
            <w:tcW w:w="200" w:type="dxa"/>
            <w:vAlign w:val="bottom"/>
          </w:tcPr>
          <w:p>
            <w:pPr>
              <w:spacing w:after="0"/>
              <w:rPr>
                <w:sz w:val="13"/>
                <w:szCs w:val="13"/>
                <w:color w:val="auto"/>
              </w:rPr>
            </w:pPr>
          </w:p>
        </w:tc>
        <w:tc>
          <w:tcPr>
            <w:tcW w:w="76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69,746,685</w:t>
            </w:r>
          </w:p>
        </w:tc>
        <w:tc>
          <w:tcPr>
            <w:tcW w:w="220" w:type="dxa"/>
            <w:vAlign w:val="bottom"/>
          </w:tcPr>
          <w:p>
            <w:pPr>
              <w:spacing w:after="0"/>
              <w:rPr>
                <w:sz w:val="13"/>
                <w:szCs w:val="13"/>
                <w:color w:val="auto"/>
              </w:rPr>
            </w:pPr>
          </w:p>
        </w:tc>
        <w:tc>
          <w:tcPr>
            <w:tcW w:w="60" w:type="dxa"/>
            <w:vAlign w:val="bottom"/>
            <w:tcBorders>
              <w:top w:val="single" w:sz="8" w:color="auto"/>
            </w:tcBorders>
          </w:tcPr>
          <w:p>
            <w:pPr>
              <w:jc w:val="right"/>
              <w:spacing w:after="0"/>
              <w:rPr>
                <w:sz w:val="20"/>
                <w:szCs w:val="20"/>
                <w:color w:val="auto"/>
              </w:rPr>
            </w:pPr>
            <w:r>
              <w:rPr>
                <w:rFonts w:ascii="Arial" w:cs="Arial" w:eastAsia="Arial" w:hAnsi="Arial"/>
                <w:sz w:val="10"/>
                <w:szCs w:val="10"/>
                <w:b w:val="1"/>
                <w:bCs w:val="1"/>
                <w:color w:val="auto"/>
                <w:w w:val="71"/>
              </w:rPr>
              <w:t>$</w:t>
            </w:r>
          </w:p>
        </w:tc>
        <w:tc>
          <w:tcPr>
            <w:tcW w:w="60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162,116</w:t>
            </w:r>
          </w:p>
        </w:tc>
        <w:tc>
          <w:tcPr>
            <w:tcW w:w="200" w:type="dxa"/>
            <w:vAlign w:val="bottom"/>
          </w:tcPr>
          <w:p>
            <w:pPr>
              <w:spacing w:after="0"/>
              <w:rPr>
                <w:sz w:val="13"/>
                <w:szCs w:val="13"/>
                <w:color w:val="auto"/>
              </w:rPr>
            </w:pPr>
          </w:p>
        </w:tc>
        <w:tc>
          <w:tcPr>
            <w:tcW w:w="84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w w:val="91"/>
              </w:rPr>
              <w:t>$ 493,844,909</w:t>
            </w:r>
          </w:p>
        </w:tc>
        <w:tc>
          <w:tcPr>
            <w:tcW w:w="1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80" w:type="dxa"/>
            <w:vAlign w:val="bottom"/>
            <w:tcBorders>
              <w:top w:val="single" w:sz="8" w:color="auto"/>
            </w:tcBorders>
          </w:tcPr>
          <w:p>
            <w:pPr>
              <w:spacing w:after="0" w:line="155" w:lineRule="exact"/>
              <w:rPr>
                <w:sz w:val="20"/>
                <w:szCs w:val="20"/>
                <w:color w:val="auto"/>
              </w:rPr>
            </w:pPr>
            <w:r>
              <w:rPr>
                <w:rFonts w:ascii="Arial" w:cs="Arial" w:eastAsia="Arial" w:hAnsi="Arial"/>
                <w:sz w:val="14"/>
                <w:szCs w:val="14"/>
                <w:b w:val="1"/>
                <w:bCs w:val="1"/>
                <w:color w:val="auto"/>
              </w:rPr>
              <w:t>$</w:t>
            </w:r>
          </w:p>
        </w:tc>
        <w:tc>
          <w:tcPr>
            <w:tcW w:w="78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7,449</w:t>
            </w:r>
          </w:p>
        </w:tc>
        <w:tc>
          <w:tcPr>
            <w:tcW w:w="200" w:type="dxa"/>
            <w:vAlign w:val="bottom"/>
          </w:tcPr>
          <w:p>
            <w:pPr>
              <w:spacing w:after="0"/>
              <w:rPr>
                <w:sz w:val="13"/>
                <w:szCs w:val="13"/>
                <w:color w:val="auto"/>
              </w:rPr>
            </w:pPr>
          </w:p>
        </w:tc>
        <w:tc>
          <w:tcPr>
            <w:tcW w:w="90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w w:val="88"/>
              </w:rPr>
              <w:t>$ (398,435,043)</w:t>
            </w: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Borders>
              <w:top w:val="single" w:sz="8" w:color="auto"/>
            </w:tcBorders>
          </w:tcPr>
          <w:p>
            <w:pPr>
              <w:spacing w:after="0" w:line="155" w:lineRule="exact"/>
              <w:rPr>
                <w:sz w:val="20"/>
                <w:szCs w:val="20"/>
                <w:color w:val="auto"/>
              </w:rPr>
            </w:pPr>
            <w:r>
              <w:rPr>
                <w:rFonts w:ascii="Arial" w:cs="Arial" w:eastAsia="Arial" w:hAnsi="Arial"/>
                <w:sz w:val="14"/>
                <w:szCs w:val="14"/>
                <w:b w:val="1"/>
                <w:bCs w:val="1"/>
                <w:color w:val="auto"/>
                <w:w w:val="76"/>
              </w:rPr>
              <w:t>$</w:t>
            </w:r>
          </w:p>
        </w:tc>
        <w:tc>
          <w:tcPr>
            <w:tcW w:w="60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w w:val="96"/>
              </w:rPr>
              <w:t>(555,188)</w:t>
            </w: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w w:val="76"/>
              </w:rPr>
              <w:t>$</w:t>
            </w:r>
          </w:p>
        </w:tc>
        <w:tc>
          <w:tcPr>
            <w:tcW w:w="76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95,024,259</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2720" w:type="dxa"/>
            <w:vAlign w:val="bottom"/>
            <w:shd w:val="clear" w:color="auto" w:fill="CFF0FC"/>
          </w:tcPr>
          <w:p>
            <w:pPr>
              <w:ind w:left="140"/>
              <w:spacing w:after="0"/>
              <w:rPr>
                <w:sz w:val="20"/>
                <w:szCs w:val="20"/>
                <w:color w:val="auto"/>
              </w:rPr>
            </w:pPr>
            <w:r>
              <w:rPr>
                <w:rFonts w:ascii="Arial" w:cs="Arial" w:eastAsia="Arial" w:hAnsi="Arial"/>
                <w:sz w:val="14"/>
                <w:szCs w:val="14"/>
                <w:color w:val="auto"/>
              </w:rPr>
              <w:t>Stock-based compensation</w:t>
            </w:r>
          </w:p>
        </w:tc>
        <w:tc>
          <w:tcPr>
            <w:tcW w:w="6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0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5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00" w:type="dxa"/>
            <w:vAlign w:val="bottom"/>
            <w:shd w:val="clear" w:color="auto" w:fill="CFF0FC"/>
          </w:tcPr>
          <w:p>
            <w:pPr>
              <w:spacing w:after="0"/>
              <w:rPr>
                <w:sz w:val="14"/>
                <w:szCs w:val="14"/>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20" w:type="dxa"/>
            <w:vAlign w:val="bottom"/>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04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rPr>
              <w:t>7,891,595</w:t>
            </w:r>
          </w:p>
        </w:tc>
        <w:tc>
          <w:tcPr>
            <w:tcW w:w="140" w:type="dxa"/>
            <w:vAlign w:val="bottom"/>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00" w:type="dxa"/>
            <w:vAlign w:val="bottom"/>
            <w:shd w:val="clear" w:color="auto" w:fill="CFF0FC"/>
          </w:tcPr>
          <w:p>
            <w:pPr>
              <w:spacing w:after="0"/>
              <w:rPr>
                <w:sz w:val="14"/>
                <w:szCs w:val="14"/>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7,891,595</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720" w:type="dxa"/>
            <w:vAlign w:val="bottom"/>
          </w:tcPr>
          <w:p>
            <w:pPr>
              <w:ind w:left="140"/>
              <w:spacing w:after="0"/>
              <w:rPr>
                <w:sz w:val="20"/>
                <w:szCs w:val="20"/>
                <w:color w:val="auto"/>
              </w:rPr>
            </w:pPr>
            <w:r>
              <w:rPr>
                <w:rFonts w:ascii="Arial" w:cs="Arial" w:eastAsia="Arial" w:hAnsi="Arial"/>
                <w:sz w:val="14"/>
                <w:szCs w:val="14"/>
                <w:color w:val="auto"/>
              </w:rPr>
              <w:t>Exercise of stock options</w:t>
            </w:r>
          </w:p>
        </w:tc>
        <w:tc>
          <w:tcPr>
            <w:tcW w:w="660" w:type="dxa"/>
            <w:vAlign w:val="bottom"/>
          </w:tcPr>
          <w:p>
            <w:pPr>
              <w:jc w:val="right"/>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00" w:type="dxa"/>
            <w:vAlign w:val="bottom"/>
          </w:tcPr>
          <w:p>
            <w:pPr>
              <w:jc w:val="right"/>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135,730</w:t>
            </w:r>
          </w:p>
        </w:tc>
        <w:tc>
          <w:tcPr>
            <w:tcW w:w="2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136</w:t>
            </w:r>
          </w:p>
        </w:tc>
        <w:tc>
          <w:tcPr>
            <w:tcW w:w="1040" w:type="dxa"/>
            <w:vAlign w:val="bottom"/>
            <w:gridSpan w:val="2"/>
          </w:tcPr>
          <w:p>
            <w:pPr>
              <w:jc w:val="right"/>
              <w:spacing w:after="0"/>
              <w:rPr>
                <w:sz w:val="20"/>
                <w:szCs w:val="20"/>
                <w:color w:val="auto"/>
              </w:rPr>
            </w:pPr>
            <w:r>
              <w:rPr>
                <w:rFonts w:ascii="Arial" w:cs="Arial" w:eastAsia="Arial" w:hAnsi="Arial"/>
                <w:sz w:val="14"/>
                <w:szCs w:val="14"/>
                <w:color w:val="auto"/>
              </w:rPr>
              <w:t>271,795</w:t>
            </w:r>
          </w:p>
        </w:tc>
        <w:tc>
          <w:tcPr>
            <w:tcW w:w="1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271,931</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3"/>
        </w:trPr>
        <w:tc>
          <w:tcPr>
            <w:tcW w:w="2720" w:type="dxa"/>
            <w:vAlign w:val="bottom"/>
            <w:shd w:val="clear" w:color="auto" w:fill="CFF0FC"/>
          </w:tcPr>
          <w:p>
            <w:pPr>
              <w:ind w:left="140"/>
              <w:spacing w:after="0" w:line="143" w:lineRule="exact"/>
              <w:rPr>
                <w:sz w:val="20"/>
                <w:szCs w:val="20"/>
                <w:color w:val="auto"/>
              </w:rPr>
            </w:pPr>
            <w:r>
              <w:rPr>
                <w:rFonts w:ascii="Arial" w:cs="Arial" w:eastAsia="Arial" w:hAnsi="Arial"/>
                <w:sz w:val="14"/>
                <w:szCs w:val="14"/>
                <w:color w:val="auto"/>
              </w:rPr>
              <w:t>Common stock- Restricted Stock Units</w:t>
            </w:r>
          </w:p>
        </w:tc>
        <w:tc>
          <w:tcPr>
            <w:tcW w:w="66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50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76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60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84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78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9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6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76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720" w:type="dxa"/>
            <w:vAlign w:val="bottom"/>
            <w:shd w:val="clear" w:color="auto" w:fill="CFF0FC"/>
          </w:tcPr>
          <w:p>
            <w:pPr>
              <w:ind w:left="140"/>
              <w:spacing w:after="0"/>
              <w:rPr>
                <w:sz w:val="20"/>
                <w:szCs w:val="20"/>
                <w:color w:val="auto"/>
              </w:rPr>
            </w:pPr>
            <w:r>
              <w:rPr>
                <w:rFonts w:ascii="Arial" w:cs="Arial" w:eastAsia="Arial" w:hAnsi="Arial"/>
                <w:sz w:val="14"/>
                <w:szCs w:val="14"/>
                <w:color w:val="auto"/>
              </w:rPr>
              <w:t>vesting</w:t>
            </w:r>
          </w:p>
        </w:tc>
        <w:tc>
          <w:tcPr>
            <w:tcW w:w="6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0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5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00" w:type="dxa"/>
            <w:vAlign w:val="bottom"/>
            <w:shd w:val="clear" w:color="auto" w:fill="CFF0FC"/>
          </w:tcPr>
          <w:p>
            <w:pPr>
              <w:spacing w:after="0"/>
              <w:rPr>
                <w:sz w:val="14"/>
                <w:szCs w:val="14"/>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481,212</w:t>
            </w:r>
          </w:p>
        </w:tc>
        <w:tc>
          <w:tcPr>
            <w:tcW w:w="220" w:type="dxa"/>
            <w:vAlign w:val="bottom"/>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481</w:t>
            </w:r>
          </w:p>
        </w:tc>
        <w:tc>
          <w:tcPr>
            <w:tcW w:w="1180" w:type="dxa"/>
            <w:vAlign w:val="bottom"/>
            <w:gridSpan w:val="3"/>
            <w:shd w:val="clear" w:color="auto" w:fill="CFF0FC"/>
          </w:tcPr>
          <w:p>
            <w:pPr>
              <w:jc w:val="right"/>
              <w:ind w:right="80"/>
              <w:spacing w:after="0"/>
              <w:rPr>
                <w:sz w:val="20"/>
                <w:szCs w:val="20"/>
                <w:color w:val="auto"/>
              </w:rPr>
            </w:pPr>
            <w:r>
              <w:rPr>
                <w:rFonts w:ascii="Arial" w:cs="Arial" w:eastAsia="Arial" w:hAnsi="Arial"/>
                <w:sz w:val="14"/>
                <w:szCs w:val="14"/>
                <w:color w:val="auto"/>
              </w:rPr>
              <w:t>(403,742)</w:t>
            </w:r>
          </w:p>
        </w:tc>
        <w:tc>
          <w:tcPr>
            <w:tcW w:w="6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00" w:type="dxa"/>
            <w:vAlign w:val="bottom"/>
            <w:shd w:val="clear" w:color="auto" w:fill="CFF0FC"/>
          </w:tcPr>
          <w:p>
            <w:pPr>
              <w:spacing w:after="0"/>
              <w:rPr>
                <w:sz w:val="14"/>
                <w:szCs w:val="14"/>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860" w:type="dxa"/>
            <w:vAlign w:val="bottom"/>
            <w:gridSpan w:val="2"/>
            <w:shd w:val="clear" w:color="auto" w:fill="CFF0FC"/>
          </w:tcPr>
          <w:p>
            <w:pPr>
              <w:jc w:val="right"/>
              <w:ind w:right="60"/>
              <w:spacing w:after="0"/>
              <w:rPr>
                <w:sz w:val="20"/>
                <w:szCs w:val="20"/>
                <w:color w:val="auto"/>
              </w:rPr>
            </w:pPr>
            <w:r>
              <w:rPr>
                <w:rFonts w:ascii="Arial" w:cs="Arial" w:eastAsia="Arial" w:hAnsi="Arial"/>
                <w:sz w:val="14"/>
                <w:szCs w:val="14"/>
                <w:color w:val="auto"/>
              </w:rPr>
              <w:t>(403,261)</w:t>
            </w:r>
          </w:p>
        </w:tc>
        <w:tc>
          <w:tcPr>
            <w:tcW w:w="0" w:type="dxa"/>
            <w:vAlign w:val="bottom"/>
          </w:tcPr>
          <w:p>
            <w:pPr>
              <w:spacing w:after="0"/>
              <w:rPr>
                <w:sz w:val="1"/>
                <w:szCs w:val="1"/>
                <w:color w:val="auto"/>
              </w:rPr>
            </w:pPr>
          </w:p>
        </w:tc>
      </w:tr>
      <w:tr>
        <w:trPr>
          <w:trHeight w:val="143"/>
        </w:trPr>
        <w:tc>
          <w:tcPr>
            <w:tcW w:w="2720" w:type="dxa"/>
            <w:vAlign w:val="bottom"/>
          </w:tcPr>
          <w:p>
            <w:pPr>
              <w:ind w:left="140"/>
              <w:spacing w:after="0" w:line="143" w:lineRule="exact"/>
              <w:rPr>
                <w:sz w:val="20"/>
                <w:szCs w:val="20"/>
                <w:color w:val="auto"/>
              </w:rPr>
            </w:pPr>
            <w:r>
              <w:rPr>
                <w:rFonts w:ascii="Arial" w:cs="Arial" w:eastAsia="Arial" w:hAnsi="Arial"/>
                <w:sz w:val="14"/>
                <w:szCs w:val="14"/>
                <w:color w:val="auto"/>
                <w:w w:val="99"/>
              </w:rPr>
              <w:t>Common stock issued to Amgen at $7.16</w:t>
            </w:r>
          </w:p>
        </w:tc>
        <w:tc>
          <w:tcPr>
            <w:tcW w:w="6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720" w:type="dxa"/>
            <w:vAlign w:val="bottom"/>
          </w:tcPr>
          <w:p>
            <w:pPr>
              <w:ind w:left="140"/>
              <w:spacing w:after="0"/>
              <w:rPr>
                <w:sz w:val="20"/>
                <w:szCs w:val="20"/>
                <w:color w:val="auto"/>
              </w:rPr>
            </w:pPr>
            <w:r>
              <w:rPr>
                <w:rFonts w:ascii="Arial" w:cs="Arial" w:eastAsia="Arial" w:hAnsi="Arial"/>
                <w:sz w:val="14"/>
                <w:szCs w:val="14"/>
                <w:color w:val="auto"/>
              </w:rPr>
              <w:t>per share</w:t>
            </w:r>
          </w:p>
        </w:tc>
        <w:tc>
          <w:tcPr>
            <w:tcW w:w="660" w:type="dxa"/>
            <w:vAlign w:val="bottom"/>
          </w:tcPr>
          <w:p>
            <w:pPr>
              <w:jc w:val="right"/>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00" w:type="dxa"/>
            <w:vAlign w:val="bottom"/>
          </w:tcPr>
          <w:p>
            <w:pPr>
              <w:jc w:val="right"/>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1,745,810</w:t>
            </w:r>
          </w:p>
        </w:tc>
        <w:tc>
          <w:tcPr>
            <w:tcW w:w="2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1,746</w:t>
            </w:r>
          </w:p>
        </w:tc>
        <w:tc>
          <w:tcPr>
            <w:tcW w:w="1040" w:type="dxa"/>
            <w:vAlign w:val="bottom"/>
            <w:gridSpan w:val="2"/>
          </w:tcPr>
          <w:p>
            <w:pPr>
              <w:jc w:val="right"/>
              <w:spacing w:after="0"/>
              <w:rPr>
                <w:sz w:val="20"/>
                <w:szCs w:val="20"/>
                <w:color w:val="auto"/>
              </w:rPr>
            </w:pPr>
            <w:r>
              <w:rPr>
                <w:rFonts w:ascii="Arial" w:cs="Arial" w:eastAsia="Arial" w:hAnsi="Arial"/>
                <w:sz w:val="14"/>
                <w:szCs w:val="14"/>
                <w:color w:val="auto"/>
              </w:rPr>
              <w:t>12,418,254</w:t>
            </w:r>
          </w:p>
        </w:tc>
        <w:tc>
          <w:tcPr>
            <w:tcW w:w="1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12,420,000</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720" w:type="dxa"/>
            <w:vAlign w:val="bottom"/>
            <w:shd w:val="clear" w:color="auto" w:fill="CFF0FC"/>
          </w:tcPr>
          <w:p>
            <w:pPr>
              <w:ind w:left="140"/>
              <w:spacing w:after="0"/>
              <w:rPr>
                <w:sz w:val="20"/>
                <w:szCs w:val="20"/>
                <w:color w:val="auto"/>
              </w:rPr>
            </w:pPr>
            <w:r>
              <w:rPr>
                <w:rFonts w:ascii="Arial" w:cs="Arial" w:eastAsia="Arial" w:hAnsi="Arial"/>
                <w:sz w:val="14"/>
                <w:szCs w:val="14"/>
                <w:color w:val="auto"/>
                <w:w w:val="94"/>
              </w:rPr>
              <w:t>Preferred stock converted to common stock</w:t>
            </w:r>
          </w:p>
        </w:tc>
        <w:tc>
          <w:tcPr>
            <w:tcW w:w="860" w:type="dxa"/>
            <w:vAlign w:val="bottom"/>
            <w:gridSpan w:val="2"/>
            <w:shd w:val="clear" w:color="auto" w:fill="CFF0FC"/>
          </w:tcPr>
          <w:p>
            <w:pPr>
              <w:jc w:val="right"/>
              <w:ind w:right="140"/>
              <w:spacing w:after="0"/>
              <w:rPr>
                <w:sz w:val="20"/>
                <w:szCs w:val="20"/>
                <w:color w:val="auto"/>
              </w:rPr>
            </w:pPr>
            <w:r>
              <w:rPr>
                <w:rFonts w:ascii="Arial" w:cs="Arial" w:eastAsia="Arial" w:hAnsi="Arial"/>
                <w:sz w:val="14"/>
                <w:szCs w:val="14"/>
                <w:color w:val="auto"/>
              </w:rPr>
              <w:t>(15,652)</w:t>
            </w:r>
          </w:p>
        </w:tc>
        <w:tc>
          <w:tcPr>
            <w:tcW w:w="160" w:type="dxa"/>
            <w:vAlign w:val="bottom"/>
            <w:shd w:val="clear" w:color="auto" w:fill="CFF0FC"/>
          </w:tcPr>
          <w:p>
            <w:pPr>
              <w:spacing w:after="0"/>
              <w:rPr>
                <w:sz w:val="14"/>
                <w:szCs w:val="14"/>
                <w:color w:val="auto"/>
              </w:rPr>
            </w:pPr>
          </w:p>
        </w:tc>
        <w:tc>
          <w:tcPr>
            <w:tcW w:w="700" w:type="dxa"/>
            <w:vAlign w:val="bottom"/>
            <w:gridSpan w:val="2"/>
            <w:shd w:val="clear" w:color="auto" w:fill="CFF0FC"/>
          </w:tcPr>
          <w:p>
            <w:pPr>
              <w:jc w:val="right"/>
              <w:ind w:right="160"/>
              <w:spacing w:after="0"/>
              <w:rPr>
                <w:sz w:val="20"/>
                <w:szCs w:val="20"/>
                <w:color w:val="auto"/>
              </w:rPr>
            </w:pPr>
            <w:r>
              <w:rPr>
                <w:rFonts w:ascii="Arial" w:cs="Arial" w:eastAsia="Arial" w:hAnsi="Arial"/>
                <w:sz w:val="14"/>
                <w:szCs w:val="14"/>
                <w:color w:val="auto"/>
              </w:rPr>
              <w:t>(16)</w:t>
            </w:r>
          </w:p>
        </w:tc>
        <w:tc>
          <w:tcPr>
            <w:tcW w:w="7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2,670,989</w:t>
            </w:r>
          </w:p>
        </w:tc>
        <w:tc>
          <w:tcPr>
            <w:tcW w:w="220" w:type="dxa"/>
            <w:vAlign w:val="bottom"/>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2,671</w:t>
            </w:r>
          </w:p>
        </w:tc>
        <w:tc>
          <w:tcPr>
            <w:tcW w:w="1180" w:type="dxa"/>
            <w:vAlign w:val="bottom"/>
            <w:gridSpan w:val="3"/>
            <w:shd w:val="clear" w:color="auto" w:fill="CFF0FC"/>
          </w:tcPr>
          <w:p>
            <w:pPr>
              <w:jc w:val="right"/>
              <w:ind w:right="80"/>
              <w:spacing w:after="0"/>
              <w:rPr>
                <w:sz w:val="20"/>
                <w:szCs w:val="20"/>
                <w:color w:val="auto"/>
              </w:rPr>
            </w:pPr>
            <w:r>
              <w:rPr>
                <w:rFonts w:ascii="Arial" w:cs="Arial" w:eastAsia="Arial" w:hAnsi="Arial"/>
                <w:sz w:val="14"/>
                <w:szCs w:val="14"/>
                <w:color w:val="auto"/>
              </w:rPr>
              <w:t>(2,655)</w:t>
            </w:r>
          </w:p>
        </w:tc>
        <w:tc>
          <w:tcPr>
            <w:tcW w:w="6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00" w:type="dxa"/>
            <w:vAlign w:val="bottom"/>
            <w:shd w:val="clear" w:color="auto" w:fill="CFF0FC"/>
          </w:tcPr>
          <w:p>
            <w:pPr>
              <w:spacing w:after="0"/>
              <w:rPr>
                <w:sz w:val="14"/>
                <w:szCs w:val="14"/>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720" w:type="dxa"/>
            <w:vAlign w:val="bottom"/>
          </w:tcPr>
          <w:p>
            <w:pPr>
              <w:ind w:left="140"/>
              <w:spacing w:after="0"/>
              <w:rPr>
                <w:sz w:val="20"/>
                <w:szCs w:val="20"/>
                <w:color w:val="auto"/>
              </w:rPr>
            </w:pPr>
            <w:r>
              <w:rPr>
                <w:rFonts w:ascii="Arial" w:cs="Arial" w:eastAsia="Arial" w:hAnsi="Arial"/>
                <w:sz w:val="14"/>
                <w:szCs w:val="14"/>
                <w:color w:val="auto"/>
              </w:rPr>
              <w:t>Exchange rights exercised</w:t>
            </w:r>
          </w:p>
        </w:tc>
        <w:tc>
          <w:tcPr>
            <w:tcW w:w="660" w:type="dxa"/>
            <w:vAlign w:val="bottom"/>
          </w:tcPr>
          <w:p>
            <w:pPr>
              <w:jc w:val="right"/>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00" w:type="dxa"/>
            <w:vAlign w:val="bottom"/>
          </w:tcPr>
          <w:p>
            <w:pPr>
              <w:jc w:val="right"/>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5,000</w:t>
            </w:r>
          </w:p>
        </w:tc>
        <w:tc>
          <w:tcPr>
            <w:tcW w:w="2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5</w:t>
            </w:r>
          </w:p>
        </w:tc>
        <w:tc>
          <w:tcPr>
            <w:tcW w:w="1040" w:type="dxa"/>
            <w:vAlign w:val="bottom"/>
            <w:gridSpan w:val="2"/>
          </w:tcPr>
          <w:p>
            <w:pPr>
              <w:jc w:val="right"/>
              <w:spacing w:after="0"/>
              <w:rPr>
                <w:sz w:val="20"/>
                <w:szCs w:val="20"/>
                <w:color w:val="auto"/>
              </w:rPr>
            </w:pPr>
            <w:r>
              <w:rPr>
                <w:rFonts w:ascii="Arial" w:cs="Arial" w:eastAsia="Arial" w:hAnsi="Arial"/>
                <w:sz w:val="14"/>
                <w:szCs w:val="14"/>
                <w:color w:val="auto"/>
              </w:rPr>
              <w:t>17,145</w:t>
            </w:r>
          </w:p>
        </w:tc>
        <w:tc>
          <w:tcPr>
            <w:tcW w:w="1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17,150</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720" w:type="dxa"/>
            <w:vAlign w:val="bottom"/>
            <w:shd w:val="clear" w:color="auto" w:fill="CFF0FC"/>
          </w:tcPr>
          <w:p>
            <w:pPr>
              <w:ind w:left="140"/>
              <w:spacing w:after="0"/>
              <w:rPr>
                <w:sz w:val="20"/>
                <w:szCs w:val="20"/>
                <w:color w:val="auto"/>
              </w:rPr>
            </w:pPr>
            <w:r>
              <w:rPr>
                <w:rFonts w:ascii="Arial" w:cs="Arial" w:eastAsia="Arial" w:hAnsi="Arial"/>
                <w:sz w:val="14"/>
                <w:szCs w:val="14"/>
                <w:color w:val="auto"/>
              </w:rPr>
              <w:t>Foreign currency translation adjustments</w:t>
            </w:r>
          </w:p>
        </w:tc>
        <w:tc>
          <w:tcPr>
            <w:tcW w:w="6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0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5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00" w:type="dxa"/>
            <w:vAlign w:val="bottom"/>
            <w:shd w:val="clear" w:color="auto" w:fill="CFF0FC"/>
          </w:tcPr>
          <w:p>
            <w:pPr>
              <w:spacing w:after="0"/>
              <w:rPr>
                <w:sz w:val="14"/>
                <w:szCs w:val="14"/>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20" w:type="dxa"/>
            <w:vAlign w:val="bottom"/>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04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40" w:type="dxa"/>
            <w:vAlign w:val="bottom"/>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25,783</w:t>
            </w:r>
          </w:p>
        </w:tc>
        <w:tc>
          <w:tcPr>
            <w:tcW w:w="200" w:type="dxa"/>
            <w:vAlign w:val="bottom"/>
            <w:shd w:val="clear" w:color="auto" w:fill="CFF0FC"/>
          </w:tcPr>
          <w:p>
            <w:pPr>
              <w:spacing w:after="0"/>
              <w:rPr>
                <w:sz w:val="14"/>
                <w:szCs w:val="14"/>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25,783</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43"/>
        </w:trPr>
        <w:tc>
          <w:tcPr>
            <w:tcW w:w="2720" w:type="dxa"/>
            <w:vAlign w:val="bottom"/>
          </w:tcPr>
          <w:p>
            <w:pPr>
              <w:ind w:left="140"/>
              <w:spacing w:after="0" w:line="143" w:lineRule="exact"/>
              <w:rPr>
                <w:sz w:val="20"/>
                <w:szCs w:val="20"/>
                <w:color w:val="auto"/>
              </w:rPr>
            </w:pPr>
            <w:r>
              <w:rPr>
                <w:rFonts w:ascii="Arial" w:cs="Arial" w:eastAsia="Arial" w:hAnsi="Arial"/>
                <w:sz w:val="14"/>
                <w:szCs w:val="14"/>
                <w:color w:val="auto"/>
                <w:w w:val="97"/>
              </w:rPr>
              <w:t>Net loss for the year ended September 30,</w:t>
            </w:r>
          </w:p>
        </w:tc>
        <w:tc>
          <w:tcPr>
            <w:tcW w:w="6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720" w:type="dxa"/>
            <w:vAlign w:val="bottom"/>
          </w:tcPr>
          <w:p>
            <w:pPr>
              <w:ind w:left="140"/>
              <w:spacing w:after="0"/>
              <w:rPr>
                <w:sz w:val="20"/>
                <w:szCs w:val="20"/>
                <w:color w:val="auto"/>
              </w:rPr>
            </w:pPr>
            <w:r>
              <w:rPr>
                <w:rFonts w:ascii="Arial" w:cs="Arial" w:eastAsia="Arial" w:hAnsi="Arial"/>
                <w:sz w:val="14"/>
                <w:szCs w:val="14"/>
                <w:color w:val="auto"/>
              </w:rPr>
              <w:t>2017</w:t>
            </w:r>
          </w:p>
        </w:tc>
        <w:tc>
          <w:tcPr>
            <w:tcW w:w="660" w:type="dxa"/>
            <w:vAlign w:val="bottom"/>
          </w:tcPr>
          <w:p>
            <w:pPr>
              <w:jc w:val="right"/>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00" w:type="dxa"/>
            <w:vAlign w:val="bottom"/>
          </w:tcPr>
          <w:p>
            <w:pPr>
              <w:jc w:val="right"/>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w:t>
            </w:r>
          </w:p>
        </w:tc>
        <w:tc>
          <w:tcPr>
            <w:tcW w:w="104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4"/>
                <w:szCs w:val="14"/>
                <w:color w:val="auto"/>
              </w:rPr>
            </w:pPr>
          </w:p>
        </w:tc>
        <w:tc>
          <w:tcPr>
            <w:tcW w:w="1020" w:type="dxa"/>
            <w:vAlign w:val="bottom"/>
            <w:gridSpan w:val="2"/>
          </w:tcPr>
          <w:p>
            <w:pPr>
              <w:jc w:val="right"/>
              <w:ind w:right="39"/>
              <w:spacing w:after="0"/>
              <w:rPr>
                <w:sz w:val="20"/>
                <w:szCs w:val="20"/>
                <w:color w:val="auto"/>
              </w:rPr>
            </w:pPr>
            <w:r>
              <w:rPr>
                <w:rFonts w:ascii="Arial" w:cs="Arial" w:eastAsia="Arial" w:hAnsi="Arial"/>
                <w:sz w:val="14"/>
                <w:szCs w:val="14"/>
                <w:color w:val="auto"/>
              </w:rPr>
              <w:t>(34,380,295)</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gridSpan w:val="2"/>
          </w:tcPr>
          <w:p>
            <w:pPr>
              <w:jc w:val="right"/>
              <w:ind w:right="60"/>
              <w:spacing w:after="0"/>
              <w:rPr>
                <w:sz w:val="20"/>
                <w:szCs w:val="20"/>
                <w:color w:val="auto"/>
              </w:rPr>
            </w:pPr>
            <w:r>
              <w:rPr>
                <w:rFonts w:ascii="Arial" w:cs="Arial" w:eastAsia="Arial" w:hAnsi="Arial"/>
                <w:sz w:val="14"/>
                <w:szCs w:val="14"/>
                <w:color w:val="auto"/>
                <w:w w:val="98"/>
              </w:rPr>
              <w:t>(34,380,295)</w:t>
            </w:r>
          </w:p>
        </w:tc>
        <w:tc>
          <w:tcPr>
            <w:tcW w:w="0" w:type="dxa"/>
            <w:vAlign w:val="bottom"/>
          </w:tcPr>
          <w:p>
            <w:pPr>
              <w:spacing w:after="0"/>
              <w:rPr>
                <w:sz w:val="1"/>
                <w:szCs w:val="1"/>
                <w:color w:val="auto"/>
              </w:rPr>
            </w:pPr>
          </w:p>
        </w:tc>
      </w:tr>
      <w:tr>
        <w:trPr>
          <w:trHeight w:val="156"/>
        </w:trPr>
        <w:tc>
          <w:tcPr>
            <w:tcW w:w="2720" w:type="dxa"/>
            <w:vAlign w:val="bottom"/>
            <w:tcBorders>
              <w:top w:val="single" w:sz="8" w:color="CFF0FC"/>
              <w:bottom w:val="single" w:sz="8" w:color="CFF0FC"/>
            </w:tcBorders>
            <w:shd w:val="clear" w:color="auto" w:fill="CFF0FC"/>
          </w:tcPr>
          <w:p>
            <w:pPr>
              <w:spacing w:after="0" w:line="155" w:lineRule="exact"/>
              <w:rPr>
                <w:sz w:val="20"/>
                <w:szCs w:val="20"/>
                <w:color w:val="auto"/>
              </w:rPr>
            </w:pPr>
            <w:r>
              <w:rPr>
                <w:rFonts w:ascii="Arial" w:cs="Arial" w:eastAsia="Arial" w:hAnsi="Arial"/>
                <w:sz w:val="14"/>
                <w:szCs w:val="14"/>
                <w:b w:val="1"/>
                <w:bCs w:val="1"/>
                <w:color w:val="auto"/>
              </w:rPr>
              <w:t>Balance at September 30, 2017</w:t>
            </w:r>
          </w:p>
        </w:tc>
        <w:tc>
          <w:tcPr>
            <w:tcW w:w="66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b w:val="1"/>
                <w:bCs w:val="1"/>
                <w:color w:val="auto"/>
              </w:rPr>
              <w:t>-</w:t>
            </w:r>
          </w:p>
        </w:tc>
        <w:tc>
          <w:tcPr>
            <w:tcW w:w="200" w:type="dxa"/>
            <w:vAlign w:val="bottom"/>
            <w:tcBorders>
              <w:top w:val="single" w:sz="8" w:color="CFF0FC"/>
              <w:bottom w:val="single" w:sz="8" w:color="CFF0FC"/>
            </w:tcBorders>
            <w:shd w:val="clear" w:color="auto" w:fill="CFF0FC"/>
          </w:tcPr>
          <w:p>
            <w:pPr>
              <w:spacing w:after="0"/>
              <w:rPr>
                <w:sz w:val="13"/>
                <w:szCs w:val="13"/>
                <w:color w:val="auto"/>
              </w:rPr>
            </w:pPr>
          </w:p>
        </w:tc>
        <w:tc>
          <w:tcPr>
            <w:tcW w:w="160" w:type="dxa"/>
            <w:vAlign w:val="bottom"/>
            <w:tcBorders>
              <w:top w:val="single" w:sz="8" w:color="auto"/>
              <w:bottom w:val="single" w:sz="8" w:color="auto"/>
            </w:tcBorders>
            <w:shd w:val="clear" w:color="auto" w:fill="CFF0FC"/>
          </w:tcPr>
          <w:p>
            <w:pPr>
              <w:jc w:val="right"/>
              <w:ind w:right="8"/>
              <w:spacing w:after="0" w:line="155" w:lineRule="exact"/>
              <w:rPr>
                <w:sz w:val="20"/>
                <w:szCs w:val="20"/>
                <w:color w:val="auto"/>
              </w:rPr>
            </w:pPr>
            <w:r>
              <w:rPr>
                <w:rFonts w:ascii="Arial" w:cs="Arial" w:eastAsia="Arial" w:hAnsi="Arial"/>
                <w:sz w:val="14"/>
                <w:szCs w:val="14"/>
                <w:b w:val="1"/>
                <w:bCs w:val="1"/>
                <w:color w:val="auto"/>
                <w:w w:val="76"/>
              </w:rPr>
              <w:t>$</w:t>
            </w:r>
          </w:p>
        </w:tc>
        <w:tc>
          <w:tcPr>
            <w:tcW w:w="50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b w:val="1"/>
                <w:bCs w:val="1"/>
                <w:color w:val="auto"/>
              </w:rPr>
              <w:t>-</w:t>
            </w:r>
          </w:p>
        </w:tc>
        <w:tc>
          <w:tcPr>
            <w:tcW w:w="200" w:type="dxa"/>
            <w:vAlign w:val="bottom"/>
            <w:tcBorders>
              <w:top w:val="single" w:sz="8" w:color="CFF0FC"/>
              <w:bottom w:val="single" w:sz="8" w:color="CFF0FC"/>
            </w:tcBorders>
            <w:shd w:val="clear" w:color="auto" w:fill="CFF0FC"/>
          </w:tcPr>
          <w:p>
            <w:pPr>
              <w:spacing w:after="0"/>
              <w:rPr>
                <w:sz w:val="13"/>
                <w:szCs w:val="13"/>
                <w:color w:val="auto"/>
              </w:rPr>
            </w:pPr>
          </w:p>
        </w:tc>
        <w:tc>
          <w:tcPr>
            <w:tcW w:w="76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b w:val="1"/>
                <w:bCs w:val="1"/>
                <w:color w:val="auto"/>
              </w:rPr>
              <w:t>74,785,426</w:t>
            </w:r>
          </w:p>
        </w:tc>
        <w:tc>
          <w:tcPr>
            <w:tcW w:w="220" w:type="dxa"/>
            <w:vAlign w:val="bottom"/>
            <w:tcBorders>
              <w:top w:val="single" w:sz="8" w:color="CFF0FC"/>
              <w:bottom w:val="single" w:sz="8" w:color="CFF0FC"/>
            </w:tcBorders>
            <w:shd w:val="clear" w:color="auto" w:fill="CFF0FC"/>
          </w:tcPr>
          <w:p>
            <w:pPr>
              <w:spacing w:after="0"/>
              <w:rPr>
                <w:sz w:val="13"/>
                <w:szCs w:val="13"/>
                <w:color w:val="auto"/>
              </w:rPr>
            </w:pPr>
          </w:p>
        </w:tc>
        <w:tc>
          <w:tcPr>
            <w:tcW w:w="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0"/>
                <w:szCs w:val="10"/>
                <w:b w:val="1"/>
                <w:bCs w:val="1"/>
                <w:color w:val="auto"/>
                <w:w w:val="71"/>
              </w:rPr>
              <w:t>$</w:t>
            </w:r>
          </w:p>
        </w:tc>
        <w:tc>
          <w:tcPr>
            <w:tcW w:w="60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b w:val="1"/>
                <w:bCs w:val="1"/>
                <w:color w:val="auto"/>
              </w:rPr>
              <w:t>167,155</w:t>
            </w:r>
          </w:p>
        </w:tc>
        <w:tc>
          <w:tcPr>
            <w:tcW w:w="200" w:type="dxa"/>
            <w:vAlign w:val="bottom"/>
            <w:tcBorders>
              <w:top w:val="single" w:sz="8" w:color="CFF0FC"/>
              <w:bottom w:val="single" w:sz="8" w:color="CFF0FC"/>
            </w:tcBorders>
            <w:shd w:val="clear" w:color="auto" w:fill="CFF0FC"/>
          </w:tcPr>
          <w:p>
            <w:pPr>
              <w:spacing w:after="0"/>
              <w:rPr>
                <w:sz w:val="13"/>
                <w:szCs w:val="13"/>
                <w:color w:val="auto"/>
              </w:rPr>
            </w:pPr>
          </w:p>
        </w:tc>
        <w:tc>
          <w:tcPr>
            <w:tcW w:w="84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b w:val="1"/>
                <w:bCs w:val="1"/>
                <w:color w:val="auto"/>
                <w:w w:val="91"/>
              </w:rPr>
              <w:t>$ 514,037,301</w:t>
            </w:r>
          </w:p>
        </w:tc>
        <w:tc>
          <w:tcPr>
            <w:tcW w:w="140" w:type="dxa"/>
            <w:vAlign w:val="bottom"/>
            <w:tcBorders>
              <w:top w:val="single" w:sz="8" w:color="CFF0FC"/>
              <w:bottom w:val="single" w:sz="8" w:color="CFF0FC"/>
            </w:tcBorders>
            <w:shd w:val="clear" w:color="auto" w:fill="CFF0FC"/>
          </w:tcPr>
          <w:p>
            <w:pPr>
              <w:spacing w:after="0"/>
              <w:rPr>
                <w:sz w:val="13"/>
                <w:szCs w:val="13"/>
                <w:color w:val="auto"/>
              </w:rPr>
            </w:pPr>
          </w:p>
        </w:tc>
        <w:tc>
          <w:tcPr>
            <w:tcW w:w="60" w:type="dxa"/>
            <w:vAlign w:val="bottom"/>
            <w:tcBorders>
              <w:top w:val="single" w:sz="8" w:color="CFF0FC"/>
              <w:bottom w:val="single" w:sz="8" w:color="CFF0FC"/>
            </w:tcBorders>
            <w:shd w:val="clear" w:color="auto" w:fill="CFF0FC"/>
          </w:tcPr>
          <w:p>
            <w:pPr>
              <w:spacing w:after="0"/>
              <w:rPr>
                <w:sz w:val="13"/>
                <w:szCs w:val="13"/>
                <w:color w:val="auto"/>
              </w:rPr>
            </w:pPr>
          </w:p>
        </w:tc>
        <w:tc>
          <w:tcPr>
            <w:tcW w:w="180" w:type="dxa"/>
            <w:vAlign w:val="bottom"/>
            <w:tcBorders>
              <w:top w:val="single" w:sz="8" w:color="auto"/>
              <w:bottom w:val="single" w:sz="8" w:color="auto"/>
            </w:tcBorders>
            <w:shd w:val="clear" w:color="auto" w:fill="CFF0FC"/>
          </w:tcPr>
          <w:p>
            <w:pPr>
              <w:spacing w:after="0" w:line="155" w:lineRule="exact"/>
              <w:rPr>
                <w:sz w:val="20"/>
                <w:szCs w:val="20"/>
                <w:color w:val="auto"/>
              </w:rPr>
            </w:pPr>
            <w:r>
              <w:rPr>
                <w:rFonts w:ascii="Arial" w:cs="Arial" w:eastAsia="Arial" w:hAnsi="Arial"/>
                <w:sz w:val="14"/>
                <w:szCs w:val="14"/>
                <w:b w:val="1"/>
                <w:bCs w:val="1"/>
                <w:color w:val="auto"/>
              </w:rPr>
              <w:t>$</w:t>
            </w:r>
          </w:p>
        </w:tc>
        <w:tc>
          <w:tcPr>
            <w:tcW w:w="78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b w:val="1"/>
                <w:bCs w:val="1"/>
                <w:color w:val="auto"/>
              </w:rPr>
              <w:t>33,232</w:t>
            </w:r>
          </w:p>
        </w:tc>
        <w:tc>
          <w:tcPr>
            <w:tcW w:w="200" w:type="dxa"/>
            <w:vAlign w:val="bottom"/>
            <w:tcBorders>
              <w:top w:val="single" w:sz="8" w:color="CFF0FC"/>
              <w:bottom w:val="single" w:sz="8" w:color="CFF0FC"/>
            </w:tcBorders>
            <w:shd w:val="clear" w:color="auto" w:fill="CFF0FC"/>
          </w:tcPr>
          <w:p>
            <w:pPr>
              <w:spacing w:after="0"/>
              <w:rPr>
                <w:sz w:val="13"/>
                <w:szCs w:val="13"/>
                <w:color w:val="auto"/>
              </w:rPr>
            </w:pPr>
          </w:p>
        </w:tc>
        <w:tc>
          <w:tcPr>
            <w:tcW w:w="90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b w:val="1"/>
                <w:bCs w:val="1"/>
                <w:color w:val="auto"/>
                <w:w w:val="91"/>
              </w:rPr>
              <w:t>$ (432,815,338</w:t>
            </w:r>
          </w:p>
        </w:tc>
        <w:tc>
          <w:tcPr>
            <w:tcW w:w="120" w:type="dxa"/>
            <w:vAlign w:val="bottom"/>
            <w:tcBorders>
              <w:top w:val="single" w:sz="8" w:color="CFF0FC"/>
              <w:bottom w:val="single" w:sz="8" w:color="CFF0FC"/>
            </w:tcBorders>
            <w:shd w:val="clear" w:color="auto" w:fill="CFF0FC"/>
          </w:tcPr>
          <w:p>
            <w:pPr>
              <w:jc w:val="right"/>
              <w:ind w:right="39"/>
              <w:spacing w:after="0"/>
              <w:rPr>
                <w:sz w:val="20"/>
                <w:szCs w:val="20"/>
                <w:color w:val="auto"/>
              </w:rPr>
            </w:pPr>
            <w:r>
              <w:rPr>
                <w:rFonts w:ascii="Arial" w:cs="Arial" w:eastAsia="Arial" w:hAnsi="Arial"/>
                <w:sz w:val="8"/>
                <w:szCs w:val="8"/>
                <w:b w:val="1"/>
                <w:bCs w:val="1"/>
                <w:color w:val="auto"/>
                <w:w w:val="73"/>
              </w:rPr>
              <w:t>)</w:t>
            </w:r>
          </w:p>
        </w:tc>
        <w:tc>
          <w:tcPr>
            <w:tcW w:w="80" w:type="dxa"/>
            <w:vAlign w:val="bottom"/>
            <w:tcBorders>
              <w:top w:val="single" w:sz="8" w:color="CFF0FC"/>
              <w:bottom w:val="single" w:sz="8" w:color="CFF0FC"/>
            </w:tcBorders>
            <w:shd w:val="clear" w:color="auto" w:fill="CFF0FC"/>
          </w:tcPr>
          <w:p>
            <w:pPr>
              <w:spacing w:after="0"/>
              <w:rPr>
                <w:sz w:val="13"/>
                <w:szCs w:val="13"/>
                <w:color w:val="auto"/>
              </w:rPr>
            </w:pPr>
          </w:p>
        </w:tc>
        <w:tc>
          <w:tcPr>
            <w:tcW w:w="80" w:type="dxa"/>
            <w:vAlign w:val="bottom"/>
            <w:tcBorders>
              <w:top w:val="single" w:sz="8" w:color="auto"/>
              <w:bottom w:val="single" w:sz="8" w:color="auto"/>
            </w:tcBorders>
            <w:shd w:val="clear" w:color="auto" w:fill="CFF0FC"/>
          </w:tcPr>
          <w:p>
            <w:pPr>
              <w:spacing w:after="0" w:line="155" w:lineRule="exact"/>
              <w:rPr>
                <w:sz w:val="20"/>
                <w:szCs w:val="20"/>
                <w:color w:val="auto"/>
              </w:rPr>
            </w:pPr>
            <w:r>
              <w:rPr>
                <w:rFonts w:ascii="Arial" w:cs="Arial" w:eastAsia="Arial" w:hAnsi="Arial"/>
                <w:sz w:val="14"/>
                <w:szCs w:val="14"/>
                <w:b w:val="1"/>
                <w:bCs w:val="1"/>
                <w:color w:val="auto"/>
                <w:w w:val="76"/>
              </w:rPr>
              <w:t>$</w:t>
            </w:r>
          </w:p>
        </w:tc>
        <w:tc>
          <w:tcPr>
            <w:tcW w:w="60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b w:val="1"/>
                <w:bCs w:val="1"/>
                <w:color w:val="auto"/>
              </w:rPr>
              <w:t>(555,188</w:t>
            </w:r>
          </w:p>
        </w:tc>
        <w:tc>
          <w:tcPr>
            <w:tcW w:w="120" w:type="dxa"/>
            <w:vAlign w:val="bottom"/>
            <w:tcBorders>
              <w:top w:val="single" w:sz="8" w:color="CFF0FC"/>
              <w:bottom w:val="single" w:sz="8" w:color="CFF0FC"/>
            </w:tcBorders>
            <w:shd w:val="clear" w:color="auto" w:fill="CFF0FC"/>
          </w:tcPr>
          <w:p>
            <w:pPr>
              <w:jc w:val="right"/>
              <w:ind w:right="39"/>
              <w:spacing w:after="0"/>
              <w:rPr>
                <w:sz w:val="20"/>
                <w:szCs w:val="20"/>
                <w:color w:val="auto"/>
              </w:rPr>
            </w:pPr>
            <w:r>
              <w:rPr>
                <w:rFonts w:ascii="Arial" w:cs="Arial" w:eastAsia="Arial" w:hAnsi="Arial"/>
                <w:sz w:val="8"/>
                <w:szCs w:val="8"/>
                <w:b w:val="1"/>
                <w:bCs w:val="1"/>
                <w:color w:val="auto"/>
                <w:w w:val="73"/>
              </w:rPr>
              <w:t>)</w:t>
            </w:r>
          </w:p>
        </w:tc>
        <w:tc>
          <w:tcPr>
            <w:tcW w:w="80" w:type="dxa"/>
            <w:vAlign w:val="bottom"/>
            <w:tcBorders>
              <w:top w:val="single" w:sz="8" w:color="CFF0FC"/>
              <w:bottom w:val="single" w:sz="8" w:color="CFF0FC"/>
            </w:tcBorders>
            <w:shd w:val="clear" w:color="auto" w:fill="CFF0FC"/>
          </w:tcPr>
          <w:p>
            <w:pPr>
              <w:spacing w:after="0"/>
              <w:rPr>
                <w:sz w:val="13"/>
                <w:szCs w:val="13"/>
                <w:color w:val="auto"/>
              </w:rPr>
            </w:pPr>
          </w:p>
        </w:tc>
        <w:tc>
          <w:tcPr>
            <w:tcW w:w="10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b w:val="1"/>
                <w:bCs w:val="1"/>
                <w:color w:val="auto"/>
                <w:w w:val="76"/>
              </w:rPr>
              <w:t>$</w:t>
            </w:r>
          </w:p>
        </w:tc>
        <w:tc>
          <w:tcPr>
            <w:tcW w:w="76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b w:val="1"/>
                <w:bCs w:val="1"/>
                <w:color w:val="auto"/>
              </w:rPr>
              <w:t>80,867,162</w:t>
            </w:r>
          </w:p>
        </w:tc>
        <w:tc>
          <w:tcPr>
            <w:tcW w:w="100" w:type="dxa"/>
            <w:vAlign w:val="bottom"/>
            <w:tcBorders>
              <w:top w:val="single" w:sz="8" w:color="CFF0FC"/>
              <w:bottom w:val="single" w:sz="8" w:color="CFF0FC"/>
            </w:tcBorders>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72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12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66" w:name="page67"/>
    <w:bookmarkEnd w:id="66"/>
    <w:p>
      <w:pPr>
        <w:jc w:val="center"/>
        <w:spacing w:after="0"/>
        <w:rPr>
          <w:sz w:val="20"/>
          <w:szCs w:val="20"/>
          <w:color w:val="auto"/>
        </w:rPr>
      </w:pPr>
      <w:r>
        <w:rPr>
          <w:rFonts w:ascii="Arial" w:cs="Arial" w:eastAsia="Arial" w:hAnsi="Arial"/>
          <w:sz w:val="18"/>
          <w:szCs w:val="18"/>
          <w:b w:val="1"/>
          <w:bCs w:val="1"/>
          <w:color w:val="auto"/>
        </w:rPr>
        <w:t>Arrowhead Pharmaceuticals,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270"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67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780" w:type="dxa"/>
            <w:vAlign w:val="bottom"/>
            <w:gridSpan w:val="4"/>
          </w:tcPr>
          <w:p>
            <w:pPr>
              <w:jc w:val="right"/>
              <w:ind w:right="140"/>
              <w:spacing w:after="0"/>
              <w:rPr>
                <w:sz w:val="20"/>
                <w:szCs w:val="20"/>
                <w:color w:val="auto"/>
              </w:rPr>
            </w:pPr>
            <w:r>
              <w:rPr>
                <w:rFonts w:ascii="Arial" w:cs="Arial" w:eastAsia="Arial" w:hAnsi="Arial"/>
                <w:sz w:val="14"/>
                <w:szCs w:val="14"/>
                <w:b w:val="1"/>
                <w:bCs w:val="1"/>
                <w:color w:val="auto"/>
                <w:w w:val="92"/>
              </w:rPr>
              <w:t>Year ended September 30,</w:t>
            </w:r>
          </w:p>
        </w:tc>
        <w:tc>
          <w:tcPr>
            <w:tcW w:w="3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20" w:type="dxa"/>
            <w:vAlign w:val="bottom"/>
          </w:tcPr>
          <w:p>
            <w:pPr>
              <w:spacing w:after="0"/>
              <w:rPr>
                <w:sz w:val="16"/>
                <w:szCs w:val="16"/>
                <w:color w:val="auto"/>
              </w:rPr>
            </w:pPr>
          </w:p>
        </w:tc>
      </w:tr>
      <w:tr>
        <w:trPr>
          <w:trHeight w:val="188"/>
        </w:trPr>
        <w:tc>
          <w:tcPr>
            <w:tcW w:w="6720" w:type="dxa"/>
            <w:vAlign w:val="bottom"/>
            <w:tcBorders>
              <w:bottom w:val="single" w:sz="8" w:color="CFF0FC"/>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468"/>
              <w:spacing w:after="0"/>
              <w:rPr>
                <w:sz w:val="20"/>
                <w:szCs w:val="20"/>
                <w:color w:val="auto"/>
              </w:rPr>
            </w:pPr>
            <w:r>
              <w:rPr>
                <w:rFonts w:ascii="Arial" w:cs="Arial" w:eastAsia="Arial" w:hAnsi="Arial"/>
                <w:sz w:val="14"/>
                <w:szCs w:val="14"/>
                <w:b w:val="1"/>
                <w:bCs w:val="1"/>
                <w:color w:val="auto"/>
              </w:rPr>
              <w:t>2017</w:t>
            </w:r>
          </w:p>
        </w:tc>
        <w:tc>
          <w:tcPr>
            <w:tcW w:w="80" w:type="dxa"/>
            <w:vAlign w:val="bottom"/>
            <w:tcBorders>
              <w:bottom w:val="single" w:sz="8" w:color="CFF0FC"/>
            </w:tcBorders>
          </w:tcPr>
          <w:p>
            <w:pPr>
              <w:spacing w:after="0"/>
              <w:rPr>
                <w:sz w:val="16"/>
                <w:szCs w:val="16"/>
                <w:color w:val="auto"/>
              </w:rPr>
            </w:pPr>
          </w:p>
        </w:tc>
        <w:tc>
          <w:tcPr>
            <w:tcW w:w="160" w:type="dxa"/>
            <w:vAlign w:val="bottom"/>
            <w:tcBorders>
              <w:bottom w:val="single" w:sz="8" w:color="CFF0FC"/>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468"/>
              <w:spacing w:after="0"/>
              <w:rPr>
                <w:sz w:val="20"/>
                <w:szCs w:val="20"/>
                <w:color w:val="auto"/>
              </w:rPr>
            </w:pPr>
            <w:r>
              <w:rPr>
                <w:rFonts w:ascii="Arial" w:cs="Arial" w:eastAsia="Arial" w:hAnsi="Arial"/>
                <w:sz w:val="14"/>
                <w:szCs w:val="14"/>
                <w:b w:val="1"/>
                <w:bCs w:val="1"/>
                <w:color w:val="auto"/>
              </w:rPr>
              <w:t>2016</w:t>
            </w:r>
          </w:p>
        </w:tc>
        <w:tc>
          <w:tcPr>
            <w:tcW w:w="260" w:type="dxa"/>
            <w:vAlign w:val="bottom"/>
            <w:tcBorders>
              <w:bottom w:val="single" w:sz="8" w:color="CFF0FC"/>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468"/>
              <w:spacing w:after="0"/>
              <w:rPr>
                <w:sz w:val="20"/>
                <w:szCs w:val="20"/>
                <w:color w:val="auto"/>
              </w:rPr>
            </w:pPr>
            <w:r>
              <w:rPr>
                <w:rFonts w:ascii="Arial" w:cs="Arial" w:eastAsia="Arial" w:hAnsi="Arial"/>
                <w:sz w:val="14"/>
                <w:szCs w:val="14"/>
                <w:b w:val="1"/>
                <w:bCs w:val="1"/>
                <w:color w:val="auto"/>
              </w:rPr>
              <w:t>2015</w:t>
            </w:r>
          </w:p>
        </w:tc>
        <w:tc>
          <w:tcPr>
            <w:tcW w:w="120" w:type="dxa"/>
            <w:vAlign w:val="bottom"/>
            <w:tcBorders>
              <w:bottom w:val="single" w:sz="8" w:color="CFF0FC"/>
            </w:tcBorders>
          </w:tcPr>
          <w:p>
            <w:pPr>
              <w:spacing w:after="0"/>
              <w:rPr>
                <w:sz w:val="16"/>
                <w:szCs w:val="16"/>
                <w:color w:val="auto"/>
              </w:rPr>
            </w:pPr>
          </w:p>
        </w:tc>
      </w:tr>
      <w:tr>
        <w:trPr>
          <w:trHeight w:val="156"/>
        </w:trPr>
        <w:tc>
          <w:tcPr>
            <w:tcW w:w="6720" w:type="dxa"/>
            <w:vAlign w:val="bottom"/>
            <w:shd w:val="clear" w:color="auto" w:fill="CFF0FC"/>
          </w:tcPr>
          <w:p>
            <w:pPr>
              <w:ind w:left="140"/>
              <w:spacing w:after="0" w:line="155" w:lineRule="exact"/>
              <w:rPr>
                <w:sz w:val="20"/>
                <w:szCs w:val="20"/>
                <w:color w:val="auto"/>
              </w:rPr>
            </w:pPr>
            <w:r>
              <w:rPr>
                <w:rFonts w:ascii="Arial" w:cs="Arial" w:eastAsia="Arial" w:hAnsi="Arial"/>
                <w:sz w:val="14"/>
                <w:szCs w:val="14"/>
                <w:color w:val="auto"/>
              </w:rPr>
              <w:t>CASH FLOWS FROM OPERATING ACTIVITIES:</w:t>
            </w:r>
          </w:p>
        </w:tc>
        <w:tc>
          <w:tcPr>
            <w:tcW w:w="300" w:type="dxa"/>
            <w:vAlign w:val="bottom"/>
            <w:shd w:val="clear" w:color="auto" w:fill="CFF0FC"/>
          </w:tcPr>
          <w:p>
            <w:pPr>
              <w:spacing w:after="0"/>
              <w:rPr>
                <w:sz w:val="13"/>
                <w:szCs w:val="13"/>
                <w:color w:val="auto"/>
              </w:rPr>
            </w:pPr>
          </w:p>
        </w:tc>
        <w:tc>
          <w:tcPr>
            <w:tcW w:w="106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300" w:type="dxa"/>
            <w:vAlign w:val="bottom"/>
            <w:shd w:val="clear" w:color="auto" w:fill="CFF0FC"/>
          </w:tcPr>
          <w:p>
            <w:pPr>
              <w:spacing w:after="0"/>
              <w:rPr>
                <w:sz w:val="13"/>
                <w:szCs w:val="13"/>
                <w:color w:val="auto"/>
              </w:rPr>
            </w:pPr>
          </w:p>
        </w:tc>
        <w:tc>
          <w:tcPr>
            <w:tcW w:w="1060" w:type="dxa"/>
            <w:vAlign w:val="bottom"/>
            <w:shd w:val="clear" w:color="auto" w:fill="CFF0FC"/>
          </w:tcPr>
          <w:p>
            <w:pPr>
              <w:spacing w:after="0"/>
              <w:rPr>
                <w:sz w:val="13"/>
                <w:szCs w:val="13"/>
                <w:color w:val="auto"/>
              </w:rPr>
            </w:pPr>
          </w:p>
        </w:tc>
        <w:tc>
          <w:tcPr>
            <w:tcW w:w="260" w:type="dxa"/>
            <w:vAlign w:val="bottom"/>
            <w:shd w:val="clear" w:color="auto" w:fill="CFF0FC"/>
          </w:tcPr>
          <w:p>
            <w:pPr>
              <w:spacing w:after="0"/>
              <w:rPr>
                <w:sz w:val="13"/>
                <w:szCs w:val="13"/>
                <w:color w:val="auto"/>
              </w:rPr>
            </w:pPr>
          </w:p>
        </w:tc>
        <w:tc>
          <w:tcPr>
            <w:tcW w:w="300" w:type="dxa"/>
            <w:vAlign w:val="bottom"/>
            <w:shd w:val="clear" w:color="auto" w:fill="CFF0FC"/>
          </w:tcPr>
          <w:p>
            <w:pPr>
              <w:spacing w:after="0"/>
              <w:rPr>
                <w:sz w:val="13"/>
                <w:szCs w:val="13"/>
                <w:color w:val="auto"/>
              </w:rPr>
            </w:pPr>
          </w:p>
        </w:tc>
        <w:tc>
          <w:tcPr>
            <w:tcW w:w="106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r>
      <w:tr>
        <w:trPr>
          <w:trHeight w:val="162"/>
        </w:trPr>
        <w:tc>
          <w:tcPr>
            <w:tcW w:w="6720" w:type="dxa"/>
            <w:vAlign w:val="bottom"/>
          </w:tcPr>
          <w:p>
            <w:pPr>
              <w:ind w:left="380"/>
              <w:spacing w:after="0"/>
              <w:rPr>
                <w:sz w:val="20"/>
                <w:szCs w:val="20"/>
                <w:color w:val="auto"/>
              </w:rPr>
            </w:pPr>
            <w:r>
              <w:rPr>
                <w:rFonts w:ascii="Arial" w:cs="Arial" w:eastAsia="Arial" w:hAnsi="Arial"/>
                <w:sz w:val="14"/>
                <w:szCs w:val="14"/>
                <w:color w:val="auto"/>
              </w:rPr>
              <w:t>Net loss</w:t>
            </w:r>
          </w:p>
        </w:tc>
        <w:tc>
          <w:tcPr>
            <w:tcW w:w="300" w:type="dxa"/>
            <w:vAlign w:val="bottom"/>
          </w:tcPr>
          <w:p>
            <w:pPr>
              <w:jc w:val="right"/>
              <w:ind w:right="148"/>
              <w:spacing w:after="0"/>
              <w:rPr>
                <w:sz w:val="20"/>
                <w:szCs w:val="20"/>
                <w:color w:val="auto"/>
              </w:rPr>
            </w:pPr>
            <w:r>
              <w:rPr>
                <w:rFonts w:ascii="Arial" w:cs="Arial" w:eastAsia="Arial" w:hAnsi="Arial"/>
                <w:sz w:val="14"/>
                <w:szCs w:val="14"/>
                <w:color w:val="auto"/>
                <w:w w:val="76"/>
              </w:rPr>
              <w:t>$</w:t>
            </w:r>
          </w:p>
        </w:tc>
        <w:tc>
          <w:tcPr>
            <w:tcW w:w="1140" w:type="dxa"/>
            <w:vAlign w:val="bottom"/>
            <w:gridSpan w:val="2"/>
          </w:tcPr>
          <w:p>
            <w:pPr>
              <w:jc w:val="right"/>
              <w:ind w:right="40"/>
              <w:spacing w:after="0"/>
              <w:rPr>
                <w:sz w:val="20"/>
                <w:szCs w:val="20"/>
                <w:color w:val="auto"/>
              </w:rPr>
            </w:pPr>
            <w:r>
              <w:rPr>
                <w:rFonts w:ascii="Arial" w:cs="Arial" w:eastAsia="Arial" w:hAnsi="Arial"/>
                <w:sz w:val="14"/>
                <w:szCs w:val="14"/>
                <w:color w:val="auto"/>
              </w:rPr>
              <w:t>(34,380,295)</w:t>
            </w:r>
          </w:p>
        </w:tc>
        <w:tc>
          <w:tcPr>
            <w:tcW w:w="460" w:type="dxa"/>
            <w:vAlign w:val="bottom"/>
            <w:gridSpan w:val="2"/>
          </w:tcPr>
          <w:p>
            <w:pPr>
              <w:jc w:val="right"/>
              <w:ind w:right="148"/>
              <w:spacing w:after="0"/>
              <w:rPr>
                <w:sz w:val="20"/>
                <w:szCs w:val="20"/>
                <w:color w:val="auto"/>
              </w:rPr>
            </w:pPr>
            <w:r>
              <w:rPr>
                <w:rFonts w:ascii="Arial" w:cs="Arial" w:eastAsia="Arial" w:hAnsi="Arial"/>
                <w:sz w:val="14"/>
                <w:szCs w:val="14"/>
                <w:color w:val="auto"/>
              </w:rPr>
              <w:t>$</w:t>
            </w:r>
          </w:p>
        </w:tc>
        <w:tc>
          <w:tcPr>
            <w:tcW w:w="1320" w:type="dxa"/>
            <w:vAlign w:val="bottom"/>
            <w:gridSpan w:val="2"/>
          </w:tcPr>
          <w:p>
            <w:pPr>
              <w:jc w:val="right"/>
              <w:ind w:right="220"/>
              <w:spacing w:after="0"/>
              <w:rPr>
                <w:sz w:val="20"/>
                <w:szCs w:val="20"/>
                <w:color w:val="auto"/>
              </w:rPr>
            </w:pPr>
            <w:r>
              <w:rPr>
                <w:rFonts w:ascii="Arial" w:cs="Arial" w:eastAsia="Arial" w:hAnsi="Arial"/>
                <w:sz w:val="14"/>
                <w:szCs w:val="14"/>
                <w:color w:val="auto"/>
              </w:rPr>
              <w:t>(81,723,002)</w:t>
            </w:r>
          </w:p>
        </w:tc>
        <w:tc>
          <w:tcPr>
            <w:tcW w:w="300" w:type="dxa"/>
            <w:vAlign w:val="bottom"/>
          </w:tcPr>
          <w:p>
            <w:pPr>
              <w:jc w:val="right"/>
              <w:ind w:right="189"/>
              <w:spacing w:after="0"/>
              <w:rPr>
                <w:sz w:val="20"/>
                <w:szCs w:val="20"/>
                <w:color w:val="auto"/>
              </w:rPr>
            </w:pPr>
            <w:r>
              <w:rPr>
                <w:rFonts w:ascii="Arial" w:cs="Arial" w:eastAsia="Arial" w:hAnsi="Arial"/>
                <w:sz w:val="10"/>
                <w:szCs w:val="10"/>
                <w:color w:val="auto"/>
                <w:w w:val="71"/>
              </w:rPr>
              <w:t>$</w:t>
            </w:r>
          </w:p>
        </w:tc>
        <w:tc>
          <w:tcPr>
            <w:tcW w:w="1180" w:type="dxa"/>
            <w:vAlign w:val="bottom"/>
            <w:gridSpan w:val="2"/>
          </w:tcPr>
          <w:p>
            <w:pPr>
              <w:jc w:val="right"/>
              <w:ind w:right="80"/>
              <w:spacing w:after="0"/>
              <w:rPr>
                <w:sz w:val="20"/>
                <w:szCs w:val="20"/>
                <w:color w:val="auto"/>
              </w:rPr>
            </w:pPr>
            <w:r>
              <w:rPr>
                <w:rFonts w:ascii="Arial" w:cs="Arial" w:eastAsia="Arial" w:hAnsi="Arial"/>
                <w:sz w:val="14"/>
                <w:szCs w:val="14"/>
                <w:color w:val="auto"/>
              </w:rPr>
              <w:t>(91,940,882)</w:t>
            </w:r>
          </w:p>
        </w:tc>
      </w:tr>
      <w:tr>
        <w:trPr>
          <w:trHeight w:val="176"/>
        </w:trPr>
        <w:tc>
          <w:tcPr>
            <w:tcW w:w="6720" w:type="dxa"/>
            <w:vAlign w:val="bottom"/>
            <w:shd w:val="clear" w:color="auto" w:fill="CFF0FC"/>
          </w:tcPr>
          <w:p>
            <w:pPr>
              <w:ind w:left="380"/>
              <w:spacing w:after="0"/>
              <w:rPr>
                <w:sz w:val="20"/>
                <w:szCs w:val="20"/>
                <w:color w:val="auto"/>
              </w:rPr>
            </w:pPr>
            <w:r>
              <w:rPr>
                <w:rFonts w:ascii="Arial" w:cs="Arial" w:eastAsia="Arial" w:hAnsi="Arial"/>
                <w:sz w:val="14"/>
                <w:szCs w:val="14"/>
                <w:color w:val="auto"/>
              </w:rPr>
              <w:t>(Gain) loss on disposal of fixed assets</w:t>
            </w:r>
          </w:p>
        </w:tc>
        <w:tc>
          <w:tcPr>
            <w:tcW w:w="300" w:type="dxa"/>
            <w:vAlign w:val="bottom"/>
            <w:shd w:val="clear" w:color="auto" w:fill="CFF0FC"/>
          </w:tcPr>
          <w:p>
            <w:pPr>
              <w:spacing w:after="0"/>
              <w:rPr>
                <w:sz w:val="15"/>
                <w:szCs w:val="15"/>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8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300" w:type="dxa"/>
            <w:vAlign w:val="bottom"/>
            <w:shd w:val="clear" w:color="auto" w:fill="CFF0FC"/>
          </w:tcPr>
          <w:p>
            <w:pPr>
              <w:spacing w:after="0"/>
              <w:rPr>
                <w:sz w:val="15"/>
                <w:szCs w:val="15"/>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60" w:type="dxa"/>
            <w:vAlign w:val="bottom"/>
            <w:shd w:val="clear" w:color="auto" w:fill="CFF0FC"/>
          </w:tcPr>
          <w:p>
            <w:pPr>
              <w:spacing w:after="0"/>
              <w:rPr>
                <w:sz w:val="15"/>
                <w:szCs w:val="15"/>
                <w:color w:val="auto"/>
              </w:rPr>
            </w:pPr>
          </w:p>
        </w:tc>
        <w:tc>
          <w:tcPr>
            <w:tcW w:w="300" w:type="dxa"/>
            <w:vAlign w:val="bottom"/>
            <w:shd w:val="clear" w:color="auto" w:fill="CFF0FC"/>
          </w:tcPr>
          <w:p>
            <w:pPr>
              <w:spacing w:after="0"/>
              <w:rPr>
                <w:sz w:val="15"/>
                <w:szCs w:val="15"/>
                <w:color w:val="auto"/>
              </w:rPr>
            </w:pPr>
          </w:p>
        </w:tc>
        <w:tc>
          <w:tcPr>
            <w:tcW w:w="1180" w:type="dxa"/>
            <w:vAlign w:val="bottom"/>
            <w:gridSpan w:val="2"/>
            <w:shd w:val="clear" w:color="auto" w:fill="CFF0FC"/>
          </w:tcPr>
          <w:p>
            <w:pPr>
              <w:jc w:val="right"/>
              <w:ind w:right="80"/>
              <w:spacing w:after="0"/>
              <w:rPr>
                <w:sz w:val="20"/>
                <w:szCs w:val="20"/>
                <w:color w:val="auto"/>
              </w:rPr>
            </w:pPr>
            <w:r>
              <w:rPr>
                <w:rFonts w:ascii="Arial" w:cs="Arial" w:eastAsia="Arial" w:hAnsi="Arial"/>
                <w:sz w:val="14"/>
                <w:szCs w:val="14"/>
                <w:color w:val="auto"/>
              </w:rPr>
              <w:t>(19,195)</w:t>
            </w:r>
          </w:p>
        </w:tc>
      </w:tr>
      <w:tr>
        <w:trPr>
          <w:trHeight w:val="176"/>
        </w:trPr>
        <w:tc>
          <w:tcPr>
            <w:tcW w:w="6720" w:type="dxa"/>
            <w:vAlign w:val="bottom"/>
          </w:tcPr>
          <w:p>
            <w:pPr>
              <w:ind w:left="380"/>
              <w:spacing w:after="0"/>
              <w:rPr>
                <w:sz w:val="20"/>
                <w:szCs w:val="20"/>
                <w:color w:val="auto"/>
              </w:rPr>
            </w:pPr>
            <w:r>
              <w:rPr>
                <w:rFonts w:ascii="Arial" w:cs="Arial" w:eastAsia="Arial" w:hAnsi="Arial"/>
                <w:sz w:val="14"/>
                <w:szCs w:val="14"/>
                <w:color w:val="auto"/>
              </w:rPr>
              <w:t>Change in value of derivatives</w:t>
            </w:r>
          </w:p>
        </w:tc>
        <w:tc>
          <w:tcPr>
            <w:tcW w:w="300" w:type="dxa"/>
            <w:vAlign w:val="bottom"/>
          </w:tcPr>
          <w:p>
            <w:pPr>
              <w:spacing w:after="0"/>
              <w:rPr>
                <w:sz w:val="15"/>
                <w:szCs w:val="15"/>
                <w:color w:val="auto"/>
              </w:rPr>
            </w:pPr>
          </w:p>
        </w:tc>
        <w:tc>
          <w:tcPr>
            <w:tcW w:w="1140" w:type="dxa"/>
            <w:vAlign w:val="bottom"/>
            <w:gridSpan w:val="2"/>
          </w:tcPr>
          <w:p>
            <w:pPr>
              <w:jc w:val="right"/>
              <w:ind w:right="40"/>
              <w:spacing w:after="0"/>
              <w:rPr>
                <w:sz w:val="20"/>
                <w:szCs w:val="20"/>
                <w:color w:val="auto"/>
              </w:rPr>
            </w:pPr>
            <w:r>
              <w:rPr>
                <w:rFonts w:ascii="Arial" w:cs="Arial" w:eastAsia="Arial" w:hAnsi="Arial"/>
                <w:sz w:val="14"/>
                <w:szCs w:val="14"/>
                <w:color w:val="auto"/>
              </w:rPr>
              <w:t>(890,362)</w:t>
            </w:r>
          </w:p>
        </w:tc>
        <w:tc>
          <w:tcPr>
            <w:tcW w:w="1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301,022</w:t>
            </w:r>
          </w:p>
        </w:tc>
        <w:tc>
          <w:tcPr>
            <w:tcW w:w="2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180" w:type="dxa"/>
            <w:vAlign w:val="bottom"/>
            <w:gridSpan w:val="2"/>
          </w:tcPr>
          <w:p>
            <w:pPr>
              <w:jc w:val="right"/>
              <w:ind w:right="80"/>
              <w:spacing w:after="0"/>
              <w:rPr>
                <w:sz w:val="20"/>
                <w:szCs w:val="20"/>
                <w:color w:val="auto"/>
              </w:rPr>
            </w:pPr>
            <w:r>
              <w:rPr>
                <w:rFonts w:ascii="Arial" w:cs="Arial" w:eastAsia="Arial" w:hAnsi="Arial"/>
                <w:sz w:val="14"/>
                <w:szCs w:val="14"/>
                <w:color w:val="auto"/>
              </w:rPr>
              <w:t>(2,869,267)</w:t>
            </w:r>
          </w:p>
        </w:tc>
      </w:tr>
      <w:tr>
        <w:trPr>
          <w:trHeight w:val="176"/>
        </w:trPr>
        <w:tc>
          <w:tcPr>
            <w:tcW w:w="6720" w:type="dxa"/>
            <w:vAlign w:val="bottom"/>
            <w:shd w:val="clear" w:color="auto" w:fill="CFF0FC"/>
          </w:tcPr>
          <w:p>
            <w:pPr>
              <w:ind w:left="380"/>
              <w:spacing w:after="0"/>
              <w:rPr>
                <w:sz w:val="20"/>
                <w:szCs w:val="20"/>
                <w:color w:val="auto"/>
              </w:rPr>
            </w:pPr>
            <w:r>
              <w:rPr>
                <w:rFonts w:ascii="Arial" w:cs="Arial" w:eastAsia="Arial" w:hAnsi="Arial"/>
                <w:sz w:val="14"/>
                <w:szCs w:val="14"/>
                <w:color w:val="auto"/>
              </w:rPr>
              <w:t>Contingent consideration - fair value adjustments</w:t>
            </w:r>
          </w:p>
        </w:tc>
        <w:tc>
          <w:tcPr>
            <w:tcW w:w="300" w:type="dxa"/>
            <w:vAlign w:val="bottom"/>
            <w:shd w:val="clear" w:color="auto" w:fill="CFF0FC"/>
          </w:tcPr>
          <w:p>
            <w:pPr>
              <w:spacing w:after="0"/>
              <w:rPr>
                <w:sz w:val="15"/>
                <w:szCs w:val="15"/>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8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300" w:type="dxa"/>
            <w:vAlign w:val="bottom"/>
            <w:shd w:val="clear" w:color="auto" w:fill="CFF0FC"/>
          </w:tcPr>
          <w:p>
            <w:pPr>
              <w:spacing w:after="0"/>
              <w:rPr>
                <w:sz w:val="15"/>
                <w:szCs w:val="15"/>
                <w:color w:val="auto"/>
              </w:rPr>
            </w:pPr>
          </w:p>
        </w:tc>
        <w:tc>
          <w:tcPr>
            <w:tcW w:w="1320" w:type="dxa"/>
            <w:vAlign w:val="bottom"/>
            <w:gridSpan w:val="2"/>
            <w:shd w:val="clear" w:color="auto" w:fill="CFF0FC"/>
          </w:tcPr>
          <w:p>
            <w:pPr>
              <w:jc w:val="right"/>
              <w:ind w:right="220"/>
              <w:spacing w:after="0"/>
              <w:rPr>
                <w:sz w:val="20"/>
                <w:szCs w:val="20"/>
                <w:color w:val="auto"/>
              </w:rPr>
            </w:pPr>
            <w:r>
              <w:rPr>
                <w:rFonts w:ascii="Arial" w:cs="Arial" w:eastAsia="Arial" w:hAnsi="Arial"/>
                <w:sz w:val="14"/>
                <w:szCs w:val="14"/>
                <w:color w:val="auto"/>
              </w:rPr>
              <w:t>(5,862,464)</w:t>
            </w:r>
          </w:p>
        </w:tc>
        <w:tc>
          <w:tcPr>
            <w:tcW w:w="300" w:type="dxa"/>
            <w:vAlign w:val="bottom"/>
            <w:shd w:val="clear" w:color="auto" w:fill="CFF0FC"/>
          </w:tcPr>
          <w:p>
            <w:pPr>
              <w:spacing w:after="0"/>
              <w:rPr>
                <w:sz w:val="15"/>
                <w:szCs w:val="15"/>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1,891,533</w:t>
            </w:r>
          </w:p>
        </w:tc>
        <w:tc>
          <w:tcPr>
            <w:tcW w:w="120" w:type="dxa"/>
            <w:vAlign w:val="bottom"/>
            <w:shd w:val="clear" w:color="auto" w:fill="CFF0FC"/>
          </w:tcPr>
          <w:p>
            <w:pPr>
              <w:spacing w:after="0"/>
              <w:rPr>
                <w:sz w:val="15"/>
                <w:szCs w:val="15"/>
                <w:color w:val="auto"/>
              </w:rPr>
            </w:pPr>
          </w:p>
        </w:tc>
      </w:tr>
      <w:tr>
        <w:trPr>
          <w:trHeight w:val="176"/>
        </w:trPr>
        <w:tc>
          <w:tcPr>
            <w:tcW w:w="6720" w:type="dxa"/>
            <w:vAlign w:val="bottom"/>
          </w:tcPr>
          <w:p>
            <w:pPr>
              <w:ind w:left="380"/>
              <w:spacing w:after="0"/>
              <w:rPr>
                <w:sz w:val="20"/>
                <w:szCs w:val="20"/>
                <w:color w:val="auto"/>
              </w:rPr>
            </w:pPr>
            <w:r>
              <w:rPr>
                <w:rFonts w:ascii="Arial" w:cs="Arial" w:eastAsia="Arial" w:hAnsi="Arial"/>
                <w:sz w:val="14"/>
                <w:szCs w:val="14"/>
                <w:color w:val="auto"/>
              </w:rPr>
              <w:t>Noncash impairment expense</w:t>
            </w:r>
          </w:p>
        </w:tc>
        <w:tc>
          <w:tcPr>
            <w:tcW w:w="30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2,050,817</w:t>
            </w:r>
          </w:p>
        </w:tc>
        <w:tc>
          <w:tcPr>
            <w:tcW w:w="2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r>
      <w:tr>
        <w:trPr>
          <w:trHeight w:val="176"/>
        </w:trPr>
        <w:tc>
          <w:tcPr>
            <w:tcW w:w="6720" w:type="dxa"/>
            <w:vAlign w:val="bottom"/>
            <w:shd w:val="clear" w:color="auto" w:fill="CFF0FC"/>
          </w:tcPr>
          <w:p>
            <w:pPr>
              <w:ind w:left="380"/>
              <w:spacing w:after="0"/>
              <w:rPr>
                <w:sz w:val="20"/>
                <w:szCs w:val="20"/>
                <w:color w:val="auto"/>
              </w:rPr>
            </w:pPr>
            <w:r>
              <w:rPr>
                <w:rFonts w:ascii="Arial" w:cs="Arial" w:eastAsia="Arial" w:hAnsi="Arial"/>
                <w:sz w:val="14"/>
                <w:szCs w:val="14"/>
                <w:color w:val="auto"/>
              </w:rPr>
              <w:t>Acquired-in-process research and development</w:t>
            </w:r>
          </w:p>
        </w:tc>
        <w:tc>
          <w:tcPr>
            <w:tcW w:w="300" w:type="dxa"/>
            <w:vAlign w:val="bottom"/>
            <w:shd w:val="clear" w:color="auto" w:fill="CFF0FC"/>
          </w:tcPr>
          <w:p>
            <w:pPr>
              <w:spacing w:after="0"/>
              <w:rPr>
                <w:sz w:val="15"/>
                <w:szCs w:val="15"/>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8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300" w:type="dxa"/>
            <w:vAlign w:val="bottom"/>
            <w:shd w:val="clear" w:color="auto" w:fill="CFF0FC"/>
          </w:tcPr>
          <w:p>
            <w:pPr>
              <w:spacing w:after="0"/>
              <w:rPr>
                <w:sz w:val="15"/>
                <w:szCs w:val="15"/>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60" w:type="dxa"/>
            <w:vAlign w:val="bottom"/>
            <w:shd w:val="clear" w:color="auto" w:fill="CFF0FC"/>
          </w:tcPr>
          <w:p>
            <w:pPr>
              <w:spacing w:after="0"/>
              <w:rPr>
                <w:sz w:val="15"/>
                <w:szCs w:val="15"/>
                <w:color w:val="auto"/>
              </w:rPr>
            </w:pPr>
          </w:p>
        </w:tc>
        <w:tc>
          <w:tcPr>
            <w:tcW w:w="300" w:type="dxa"/>
            <w:vAlign w:val="bottom"/>
            <w:shd w:val="clear" w:color="auto" w:fill="CFF0FC"/>
          </w:tcPr>
          <w:p>
            <w:pPr>
              <w:spacing w:after="0"/>
              <w:rPr>
                <w:sz w:val="15"/>
                <w:szCs w:val="15"/>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10,142,786</w:t>
            </w:r>
          </w:p>
        </w:tc>
        <w:tc>
          <w:tcPr>
            <w:tcW w:w="120" w:type="dxa"/>
            <w:vAlign w:val="bottom"/>
            <w:shd w:val="clear" w:color="auto" w:fill="CFF0FC"/>
          </w:tcPr>
          <w:p>
            <w:pPr>
              <w:spacing w:after="0"/>
              <w:rPr>
                <w:sz w:val="15"/>
                <w:szCs w:val="15"/>
                <w:color w:val="auto"/>
              </w:rPr>
            </w:pPr>
          </w:p>
        </w:tc>
      </w:tr>
      <w:tr>
        <w:trPr>
          <w:trHeight w:val="176"/>
        </w:trPr>
        <w:tc>
          <w:tcPr>
            <w:tcW w:w="6720" w:type="dxa"/>
            <w:vAlign w:val="bottom"/>
          </w:tcPr>
          <w:p>
            <w:pPr>
              <w:ind w:left="380"/>
              <w:spacing w:after="0"/>
              <w:rPr>
                <w:sz w:val="20"/>
                <w:szCs w:val="20"/>
                <w:color w:val="auto"/>
              </w:rPr>
            </w:pPr>
            <w:r>
              <w:rPr>
                <w:rFonts w:ascii="Arial" w:cs="Arial" w:eastAsia="Arial" w:hAnsi="Arial"/>
                <w:sz w:val="14"/>
                <w:szCs w:val="14"/>
                <w:color w:val="auto"/>
              </w:rPr>
              <w:t>Stock-based compensation</w:t>
            </w:r>
          </w:p>
        </w:tc>
        <w:tc>
          <w:tcPr>
            <w:tcW w:w="30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7,891,595</w:t>
            </w: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11,595,816</w:t>
            </w:r>
          </w:p>
        </w:tc>
        <w:tc>
          <w:tcPr>
            <w:tcW w:w="2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10,232,897</w:t>
            </w:r>
          </w:p>
        </w:tc>
        <w:tc>
          <w:tcPr>
            <w:tcW w:w="120" w:type="dxa"/>
            <w:vAlign w:val="bottom"/>
          </w:tcPr>
          <w:p>
            <w:pPr>
              <w:spacing w:after="0"/>
              <w:rPr>
                <w:sz w:val="15"/>
                <w:szCs w:val="15"/>
                <w:color w:val="auto"/>
              </w:rPr>
            </w:pPr>
          </w:p>
        </w:tc>
      </w:tr>
      <w:tr>
        <w:trPr>
          <w:trHeight w:val="162"/>
        </w:trPr>
        <w:tc>
          <w:tcPr>
            <w:tcW w:w="6720" w:type="dxa"/>
            <w:vAlign w:val="bottom"/>
            <w:shd w:val="clear" w:color="auto" w:fill="CFF0FC"/>
          </w:tcPr>
          <w:p>
            <w:pPr>
              <w:ind w:left="380"/>
              <w:spacing w:after="0"/>
              <w:rPr>
                <w:sz w:val="20"/>
                <w:szCs w:val="20"/>
                <w:color w:val="auto"/>
              </w:rPr>
            </w:pPr>
            <w:r>
              <w:rPr>
                <w:rFonts w:ascii="Arial" w:cs="Arial" w:eastAsia="Arial" w:hAnsi="Arial"/>
                <w:sz w:val="14"/>
                <w:szCs w:val="14"/>
                <w:color w:val="auto"/>
              </w:rPr>
              <w:t>Depreciation and amortization</w:t>
            </w:r>
          </w:p>
        </w:tc>
        <w:tc>
          <w:tcPr>
            <w:tcW w:w="300" w:type="dxa"/>
            <w:vAlign w:val="bottom"/>
            <w:shd w:val="clear" w:color="auto" w:fill="CFF0FC"/>
          </w:tcPr>
          <w:p>
            <w:pPr>
              <w:spacing w:after="0"/>
              <w:rPr>
                <w:sz w:val="14"/>
                <w:szCs w:val="14"/>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4,690,440</w:t>
            </w:r>
          </w:p>
        </w:tc>
        <w:tc>
          <w:tcPr>
            <w:tcW w:w="8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300" w:type="dxa"/>
            <w:vAlign w:val="bottom"/>
            <w:shd w:val="clear" w:color="auto" w:fill="CFF0FC"/>
          </w:tcPr>
          <w:p>
            <w:pPr>
              <w:spacing w:after="0"/>
              <w:rPr>
                <w:sz w:val="14"/>
                <w:szCs w:val="14"/>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3,260,045</w:t>
            </w:r>
          </w:p>
        </w:tc>
        <w:tc>
          <w:tcPr>
            <w:tcW w:w="260" w:type="dxa"/>
            <w:vAlign w:val="bottom"/>
            <w:shd w:val="clear" w:color="auto" w:fill="CFF0FC"/>
          </w:tcPr>
          <w:p>
            <w:pPr>
              <w:spacing w:after="0"/>
              <w:rPr>
                <w:sz w:val="14"/>
                <w:szCs w:val="14"/>
                <w:color w:val="auto"/>
              </w:rPr>
            </w:pPr>
          </w:p>
        </w:tc>
        <w:tc>
          <w:tcPr>
            <w:tcW w:w="300" w:type="dxa"/>
            <w:vAlign w:val="bottom"/>
            <w:shd w:val="clear" w:color="auto" w:fill="CFF0FC"/>
          </w:tcPr>
          <w:p>
            <w:pPr>
              <w:spacing w:after="0"/>
              <w:rPr>
                <w:sz w:val="14"/>
                <w:szCs w:val="14"/>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2,336,207</w:t>
            </w:r>
          </w:p>
        </w:tc>
        <w:tc>
          <w:tcPr>
            <w:tcW w:w="120" w:type="dxa"/>
            <w:vAlign w:val="bottom"/>
            <w:shd w:val="clear" w:color="auto" w:fill="CFF0FC"/>
          </w:tcPr>
          <w:p>
            <w:pPr>
              <w:spacing w:after="0"/>
              <w:rPr>
                <w:sz w:val="14"/>
                <w:szCs w:val="14"/>
                <w:color w:val="auto"/>
              </w:rPr>
            </w:pPr>
          </w:p>
        </w:tc>
      </w:tr>
      <w:tr>
        <w:trPr>
          <w:trHeight w:val="162"/>
        </w:trPr>
        <w:tc>
          <w:tcPr>
            <w:tcW w:w="6720" w:type="dxa"/>
            <w:vAlign w:val="bottom"/>
          </w:tcPr>
          <w:p>
            <w:pPr>
              <w:ind w:left="380"/>
              <w:spacing w:after="0"/>
              <w:rPr>
                <w:sz w:val="20"/>
                <w:szCs w:val="20"/>
                <w:color w:val="auto"/>
              </w:rPr>
            </w:pPr>
            <w:r>
              <w:rPr>
                <w:rFonts w:ascii="Arial" w:cs="Arial" w:eastAsia="Arial" w:hAnsi="Arial"/>
                <w:sz w:val="14"/>
                <w:szCs w:val="14"/>
                <w:color w:val="auto"/>
              </w:rPr>
              <w:t>Amortization/(accretion) of note premiums</w:t>
            </w:r>
          </w:p>
        </w:tc>
        <w:tc>
          <w:tcPr>
            <w:tcW w:w="300" w:type="dxa"/>
            <w:vAlign w:val="bottom"/>
          </w:tcPr>
          <w:p>
            <w:pPr>
              <w:spacing w:after="0"/>
              <w:rPr>
                <w:sz w:val="14"/>
                <w:szCs w:val="14"/>
                <w:color w:val="auto"/>
              </w:rPr>
            </w:pPr>
          </w:p>
        </w:tc>
        <w:tc>
          <w:tcPr>
            <w:tcW w:w="1140" w:type="dxa"/>
            <w:vAlign w:val="bottom"/>
            <w:gridSpan w:val="2"/>
          </w:tcPr>
          <w:p>
            <w:pPr>
              <w:jc w:val="right"/>
              <w:ind w:right="40"/>
              <w:spacing w:after="0"/>
              <w:rPr>
                <w:sz w:val="20"/>
                <w:szCs w:val="20"/>
                <w:color w:val="auto"/>
              </w:rPr>
            </w:pPr>
            <w:r>
              <w:rPr>
                <w:rFonts w:ascii="Arial" w:cs="Arial" w:eastAsia="Arial" w:hAnsi="Arial"/>
                <w:sz w:val="14"/>
                <w:szCs w:val="14"/>
                <w:color w:val="auto"/>
              </w:rPr>
              <w:t>(43,519)</w:t>
            </w:r>
          </w:p>
        </w:tc>
        <w:tc>
          <w:tcPr>
            <w:tcW w:w="1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231,902</w:t>
            </w:r>
          </w:p>
        </w:tc>
        <w:tc>
          <w:tcPr>
            <w:tcW w:w="2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1,110,524</w:t>
            </w:r>
          </w:p>
        </w:tc>
        <w:tc>
          <w:tcPr>
            <w:tcW w:w="120" w:type="dxa"/>
            <w:vAlign w:val="bottom"/>
          </w:tcPr>
          <w:p>
            <w:pPr>
              <w:spacing w:after="0"/>
              <w:rPr>
                <w:sz w:val="14"/>
                <w:szCs w:val="14"/>
                <w:color w:val="auto"/>
              </w:rPr>
            </w:pPr>
          </w:p>
        </w:tc>
      </w:tr>
      <w:tr>
        <w:trPr>
          <w:trHeight w:val="162"/>
        </w:trPr>
        <w:tc>
          <w:tcPr>
            <w:tcW w:w="6720" w:type="dxa"/>
            <w:vAlign w:val="bottom"/>
            <w:shd w:val="clear" w:color="auto" w:fill="CFF0FC"/>
          </w:tcPr>
          <w:p>
            <w:pPr>
              <w:ind w:left="380"/>
              <w:spacing w:after="0"/>
              <w:rPr>
                <w:sz w:val="20"/>
                <w:szCs w:val="20"/>
                <w:color w:val="auto"/>
              </w:rPr>
            </w:pPr>
            <w:r>
              <w:rPr>
                <w:rFonts w:ascii="Arial" w:cs="Arial" w:eastAsia="Arial" w:hAnsi="Arial"/>
                <w:sz w:val="14"/>
                <w:szCs w:val="14"/>
                <w:color w:val="auto"/>
              </w:rPr>
              <w:t>Changes in operating assets and liabilities:</w:t>
            </w:r>
          </w:p>
        </w:tc>
        <w:tc>
          <w:tcPr>
            <w:tcW w:w="300" w:type="dxa"/>
            <w:vAlign w:val="bottom"/>
            <w:shd w:val="clear" w:color="auto" w:fill="CFF0FC"/>
          </w:tcPr>
          <w:p>
            <w:pPr>
              <w:spacing w:after="0"/>
              <w:rPr>
                <w:sz w:val="14"/>
                <w:szCs w:val="14"/>
                <w:color w:val="auto"/>
              </w:rPr>
            </w:pPr>
          </w:p>
        </w:tc>
        <w:tc>
          <w:tcPr>
            <w:tcW w:w="106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300" w:type="dxa"/>
            <w:vAlign w:val="bottom"/>
            <w:shd w:val="clear" w:color="auto" w:fill="CFF0FC"/>
          </w:tcPr>
          <w:p>
            <w:pPr>
              <w:spacing w:after="0"/>
              <w:rPr>
                <w:sz w:val="14"/>
                <w:szCs w:val="14"/>
                <w:color w:val="auto"/>
              </w:rPr>
            </w:pPr>
          </w:p>
        </w:tc>
        <w:tc>
          <w:tcPr>
            <w:tcW w:w="106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300" w:type="dxa"/>
            <w:vAlign w:val="bottom"/>
            <w:shd w:val="clear" w:color="auto" w:fill="CFF0FC"/>
          </w:tcPr>
          <w:p>
            <w:pPr>
              <w:spacing w:after="0"/>
              <w:rPr>
                <w:sz w:val="14"/>
                <w:szCs w:val="14"/>
                <w:color w:val="auto"/>
              </w:rPr>
            </w:pPr>
          </w:p>
        </w:tc>
        <w:tc>
          <w:tcPr>
            <w:tcW w:w="106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r>
      <w:tr>
        <w:trPr>
          <w:trHeight w:val="162"/>
        </w:trPr>
        <w:tc>
          <w:tcPr>
            <w:tcW w:w="6720" w:type="dxa"/>
            <w:vAlign w:val="bottom"/>
          </w:tcPr>
          <w:p>
            <w:pPr>
              <w:ind w:left="620"/>
              <w:spacing w:after="0"/>
              <w:rPr>
                <w:sz w:val="20"/>
                <w:szCs w:val="20"/>
                <w:color w:val="auto"/>
              </w:rPr>
            </w:pPr>
            <w:r>
              <w:rPr>
                <w:rFonts w:ascii="Arial" w:cs="Arial" w:eastAsia="Arial" w:hAnsi="Arial"/>
                <w:sz w:val="14"/>
                <w:szCs w:val="14"/>
                <w:color w:val="auto"/>
              </w:rPr>
              <w:t>Accounts receivable</w:t>
            </w:r>
          </w:p>
        </w:tc>
        <w:tc>
          <w:tcPr>
            <w:tcW w:w="300" w:type="dxa"/>
            <w:vAlign w:val="bottom"/>
          </w:tcPr>
          <w:p>
            <w:pPr>
              <w:spacing w:after="0"/>
              <w:rPr>
                <w:sz w:val="14"/>
                <w:szCs w:val="14"/>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7,203</w:t>
            </w: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4"/>
                <w:szCs w:val="14"/>
                <w:color w:val="auto"/>
              </w:rPr>
              <w:t>(75,000)</w:t>
            </w:r>
          </w:p>
        </w:tc>
        <w:tc>
          <w:tcPr>
            <w:tcW w:w="300" w:type="dxa"/>
            <w:vAlign w:val="bottom"/>
          </w:tcPr>
          <w:p>
            <w:pPr>
              <w:spacing w:after="0"/>
              <w:rPr>
                <w:sz w:val="14"/>
                <w:szCs w:val="14"/>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r>
      <w:tr>
        <w:trPr>
          <w:trHeight w:val="162"/>
        </w:trPr>
        <w:tc>
          <w:tcPr>
            <w:tcW w:w="6720" w:type="dxa"/>
            <w:vAlign w:val="bottom"/>
            <w:shd w:val="clear" w:color="auto" w:fill="CFF0FC"/>
          </w:tcPr>
          <w:p>
            <w:pPr>
              <w:ind w:left="620"/>
              <w:spacing w:after="0"/>
              <w:rPr>
                <w:sz w:val="20"/>
                <w:szCs w:val="20"/>
                <w:color w:val="auto"/>
              </w:rPr>
            </w:pPr>
            <w:r>
              <w:rPr>
                <w:rFonts w:ascii="Arial" w:cs="Arial" w:eastAsia="Arial" w:hAnsi="Arial"/>
                <w:sz w:val="14"/>
                <w:szCs w:val="14"/>
                <w:color w:val="auto"/>
              </w:rPr>
              <w:t>Prepaid expenses and Other Current Assets</w:t>
            </w:r>
          </w:p>
        </w:tc>
        <w:tc>
          <w:tcPr>
            <w:tcW w:w="300" w:type="dxa"/>
            <w:vAlign w:val="bottom"/>
            <w:shd w:val="clear" w:color="auto" w:fill="CFF0FC"/>
          </w:tcPr>
          <w:p>
            <w:pPr>
              <w:spacing w:after="0"/>
              <w:rPr>
                <w:sz w:val="14"/>
                <w:szCs w:val="14"/>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2,814,509</w:t>
            </w:r>
          </w:p>
        </w:tc>
        <w:tc>
          <w:tcPr>
            <w:tcW w:w="8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300" w:type="dxa"/>
            <w:vAlign w:val="bottom"/>
            <w:shd w:val="clear" w:color="auto" w:fill="CFF0FC"/>
          </w:tcPr>
          <w:p>
            <w:pPr>
              <w:spacing w:after="0"/>
              <w:rPr>
                <w:sz w:val="14"/>
                <w:szCs w:val="14"/>
                <w:color w:val="auto"/>
              </w:rPr>
            </w:pPr>
          </w:p>
        </w:tc>
        <w:tc>
          <w:tcPr>
            <w:tcW w:w="1320" w:type="dxa"/>
            <w:vAlign w:val="bottom"/>
            <w:gridSpan w:val="2"/>
            <w:shd w:val="clear" w:color="auto" w:fill="CFF0FC"/>
          </w:tcPr>
          <w:p>
            <w:pPr>
              <w:jc w:val="right"/>
              <w:ind w:right="220"/>
              <w:spacing w:after="0"/>
              <w:rPr>
                <w:sz w:val="20"/>
                <w:szCs w:val="20"/>
                <w:color w:val="auto"/>
              </w:rPr>
            </w:pPr>
            <w:r>
              <w:rPr>
                <w:rFonts w:ascii="Arial" w:cs="Arial" w:eastAsia="Arial" w:hAnsi="Arial"/>
                <w:sz w:val="14"/>
                <w:szCs w:val="14"/>
                <w:color w:val="auto"/>
              </w:rPr>
              <w:t>(1,020,734)</w:t>
            </w:r>
          </w:p>
        </w:tc>
        <w:tc>
          <w:tcPr>
            <w:tcW w:w="300" w:type="dxa"/>
            <w:vAlign w:val="bottom"/>
            <w:shd w:val="clear" w:color="auto" w:fill="CFF0FC"/>
          </w:tcPr>
          <w:p>
            <w:pPr>
              <w:spacing w:after="0"/>
              <w:rPr>
                <w:sz w:val="14"/>
                <w:szCs w:val="14"/>
                <w:color w:val="auto"/>
              </w:rPr>
            </w:pPr>
          </w:p>
        </w:tc>
        <w:tc>
          <w:tcPr>
            <w:tcW w:w="1180" w:type="dxa"/>
            <w:vAlign w:val="bottom"/>
            <w:gridSpan w:val="2"/>
            <w:shd w:val="clear" w:color="auto" w:fill="CFF0FC"/>
          </w:tcPr>
          <w:p>
            <w:pPr>
              <w:jc w:val="right"/>
              <w:ind w:right="80"/>
              <w:spacing w:after="0"/>
              <w:rPr>
                <w:sz w:val="20"/>
                <w:szCs w:val="20"/>
                <w:color w:val="auto"/>
              </w:rPr>
            </w:pPr>
            <w:r>
              <w:rPr>
                <w:rFonts w:ascii="Arial" w:cs="Arial" w:eastAsia="Arial" w:hAnsi="Arial"/>
                <w:sz w:val="14"/>
                <w:szCs w:val="14"/>
                <w:color w:val="auto"/>
              </w:rPr>
              <w:t>(3,485,421)</w:t>
            </w:r>
          </w:p>
        </w:tc>
      </w:tr>
      <w:tr>
        <w:trPr>
          <w:trHeight w:val="162"/>
        </w:trPr>
        <w:tc>
          <w:tcPr>
            <w:tcW w:w="6720" w:type="dxa"/>
            <w:vAlign w:val="bottom"/>
          </w:tcPr>
          <w:p>
            <w:pPr>
              <w:ind w:left="620"/>
              <w:spacing w:after="0"/>
              <w:rPr>
                <w:sz w:val="20"/>
                <w:szCs w:val="20"/>
                <w:color w:val="auto"/>
              </w:rPr>
            </w:pPr>
            <w:r>
              <w:rPr>
                <w:rFonts w:ascii="Arial" w:cs="Arial" w:eastAsia="Arial" w:hAnsi="Arial"/>
                <w:sz w:val="14"/>
                <w:szCs w:val="14"/>
                <w:color w:val="auto"/>
              </w:rPr>
              <w:t>Deferred revenue</w:t>
            </w:r>
          </w:p>
        </w:tc>
        <w:tc>
          <w:tcPr>
            <w:tcW w:w="300" w:type="dxa"/>
            <w:vAlign w:val="bottom"/>
          </w:tcPr>
          <w:p>
            <w:pPr>
              <w:spacing w:after="0"/>
              <w:rPr>
                <w:sz w:val="14"/>
                <w:szCs w:val="14"/>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157,981</w:t>
            </w: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5,000,000</w:t>
            </w:r>
          </w:p>
        </w:tc>
        <w:tc>
          <w:tcPr>
            <w:tcW w:w="2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r>
      <w:tr>
        <w:trPr>
          <w:trHeight w:val="162"/>
        </w:trPr>
        <w:tc>
          <w:tcPr>
            <w:tcW w:w="6720" w:type="dxa"/>
            <w:vAlign w:val="bottom"/>
            <w:shd w:val="clear" w:color="auto" w:fill="CFF0FC"/>
          </w:tcPr>
          <w:p>
            <w:pPr>
              <w:ind w:left="620"/>
              <w:spacing w:after="0"/>
              <w:rPr>
                <w:sz w:val="20"/>
                <w:szCs w:val="20"/>
                <w:color w:val="auto"/>
              </w:rPr>
            </w:pPr>
            <w:r>
              <w:rPr>
                <w:rFonts w:ascii="Arial" w:cs="Arial" w:eastAsia="Arial" w:hAnsi="Arial"/>
                <w:sz w:val="14"/>
                <w:szCs w:val="14"/>
                <w:color w:val="auto"/>
              </w:rPr>
              <w:t>Accounts payable</w:t>
            </w:r>
          </w:p>
        </w:tc>
        <w:tc>
          <w:tcPr>
            <w:tcW w:w="300" w:type="dxa"/>
            <w:vAlign w:val="bottom"/>
            <w:shd w:val="clear" w:color="auto" w:fill="CFF0FC"/>
          </w:tcPr>
          <w:p>
            <w:pPr>
              <w:spacing w:after="0"/>
              <w:rPr>
                <w:sz w:val="14"/>
                <w:szCs w:val="14"/>
                <w:color w:val="auto"/>
              </w:rPr>
            </w:pPr>
          </w:p>
        </w:tc>
        <w:tc>
          <w:tcPr>
            <w:tcW w:w="1140" w:type="dxa"/>
            <w:vAlign w:val="bottom"/>
            <w:gridSpan w:val="2"/>
            <w:shd w:val="clear" w:color="auto" w:fill="CFF0FC"/>
          </w:tcPr>
          <w:p>
            <w:pPr>
              <w:jc w:val="right"/>
              <w:ind w:right="40"/>
              <w:spacing w:after="0"/>
              <w:rPr>
                <w:sz w:val="20"/>
                <w:szCs w:val="20"/>
                <w:color w:val="auto"/>
              </w:rPr>
            </w:pPr>
            <w:r>
              <w:rPr>
                <w:rFonts w:ascii="Arial" w:cs="Arial" w:eastAsia="Arial" w:hAnsi="Arial"/>
                <w:sz w:val="14"/>
                <w:szCs w:val="14"/>
                <w:color w:val="auto"/>
              </w:rPr>
              <w:t>(3,509,995)</w:t>
            </w:r>
          </w:p>
        </w:tc>
        <w:tc>
          <w:tcPr>
            <w:tcW w:w="160" w:type="dxa"/>
            <w:vAlign w:val="bottom"/>
            <w:shd w:val="clear" w:color="auto" w:fill="CFF0FC"/>
          </w:tcPr>
          <w:p>
            <w:pPr>
              <w:spacing w:after="0"/>
              <w:rPr>
                <w:sz w:val="14"/>
                <w:szCs w:val="14"/>
                <w:color w:val="auto"/>
              </w:rPr>
            </w:pPr>
          </w:p>
        </w:tc>
        <w:tc>
          <w:tcPr>
            <w:tcW w:w="300" w:type="dxa"/>
            <w:vAlign w:val="bottom"/>
            <w:shd w:val="clear" w:color="auto" w:fill="CFF0FC"/>
          </w:tcPr>
          <w:p>
            <w:pPr>
              <w:spacing w:after="0"/>
              <w:rPr>
                <w:sz w:val="14"/>
                <w:szCs w:val="14"/>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2,554,802</w:t>
            </w:r>
          </w:p>
        </w:tc>
        <w:tc>
          <w:tcPr>
            <w:tcW w:w="260" w:type="dxa"/>
            <w:vAlign w:val="bottom"/>
            <w:shd w:val="clear" w:color="auto" w:fill="CFF0FC"/>
          </w:tcPr>
          <w:p>
            <w:pPr>
              <w:spacing w:after="0"/>
              <w:rPr>
                <w:sz w:val="14"/>
                <w:szCs w:val="14"/>
                <w:color w:val="auto"/>
              </w:rPr>
            </w:pPr>
          </w:p>
        </w:tc>
        <w:tc>
          <w:tcPr>
            <w:tcW w:w="300" w:type="dxa"/>
            <w:vAlign w:val="bottom"/>
            <w:shd w:val="clear" w:color="auto" w:fill="CFF0FC"/>
          </w:tcPr>
          <w:p>
            <w:pPr>
              <w:spacing w:after="0"/>
              <w:rPr>
                <w:sz w:val="14"/>
                <w:szCs w:val="14"/>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2,497,804</w:t>
            </w:r>
          </w:p>
        </w:tc>
        <w:tc>
          <w:tcPr>
            <w:tcW w:w="120" w:type="dxa"/>
            <w:vAlign w:val="bottom"/>
            <w:shd w:val="clear" w:color="auto" w:fill="CFF0FC"/>
          </w:tcPr>
          <w:p>
            <w:pPr>
              <w:spacing w:after="0"/>
              <w:rPr>
                <w:sz w:val="14"/>
                <w:szCs w:val="14"/>
                <w:color w:val="auto"/>
              </w:rPr>
            </w:pPr>
          </w:p>
        </w:tc>
      </w:tr>
      <w:tr>
        <w:trPr>
          <w:trHeight w:val="162"/>
        </w:trPr>
        <w:tc>
          <w:tcPr>
            <w:tcW w:w="6720" w:type="dxa"/>
            <w:vAlign w:val="bottom"/>
          </w:tcPr>
          <w:p>
            <w:pPr>
              <w:ind w:left="620"/>
              <w:spacing w:after="0"/>
              <w:rPr>
                <w:sz w:val="20"/>
                <w:szCs w:val="20"/>
                <w:color w:val="auto"/>
              </w:rPr>
            </w:pPr>
            <w:r>
              <w:rPr>
                <w:rFonts w:ascii="Arial" w:cs="Arial" w:eastAsia="Arial" w:hAnsi="Arial"/>
                <w:sz w:val="14"/>
                <w:szCs w:val="14"/>
                <w:color w:val="auto"/>
              </w:rPr>
              <w:t>Accrued expenses</w:t>
            </w:r>
          </w:p>
        </w:tc>
        <w:tc>
          <w:tcPr>
            <w:tcW w:w="300" w:type="dxa"/>
            <w:vAlign w:val="bottom"/>
          </w:tcPr>
          <w:p>
            <w:pPr>
              <w:spacing w:after="0"/>
              <w:rPr>
                <w:sz w:val="14"/>
                <w:szCs w:val="14"/>
                <w:color w:val="auto"/>
              </w:rPr>
            </w:pPr>
          </w:p>
        </w:tc>
        <w:tc>
          <w:tcPr>
            <w:tcW w:w="1140" w:type="dxa"/>
            <w:vAlign w:val="bottom"/>
            <w:gridSpan w:val="2"/>
          </w:tcPr>
          <w:p>
            <w:pPr>
              <w:jc w:val="right"/>
              <w:ind w:right="40"/>
              <w:spacing w:after="0"/>
              <w:rPr>
                <w:sz w:val="20"/>
                <w:szCs w:val="20"/>
                <w:color w:val="auto"/>
              </w:rPr>
            </w:pPr>
            <w:r>
              <w:rPr>
                <w:rFonts w:ascii="Arial" w:cs="Arial" w:eastAsia="Arial" w:hAnsi="Arial"/>
                <w:sz w:val="14"/>
                <w:szCs w:val="14"/>
                <w:color w:val="auto"/>
              </w:rPr>
              <w:t>(401,777)</w:t>
            </w:r>
          </w:p>
        </w:tc>
        <w:tc>
          <w:tcPr>
            <w:tcW w:w="1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4"/>
                <w:szCs w:val="14"/>
                <w:color w:val="auto"/>
              </w:rPr>
              <w:t>(871,833)</w:t>
            </w:r>
          </w:p>
        </w:tc>
        <w:tc>
          <w:tcPr>
            <w:tcW w:w="300" w:type="dxa"/>
            <w:vAlign w:val="bottom"/>
          </w:tcPr>
          <w:p>
            <w:pPr>
              <w:spacing w:after="0"/>
              <w:rPr>
                <w:sz w:val="14"/>
                <w:szCs w:val="14"/>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4,435,784</w:t>
            </w:r>
          </w:p>
        </w:tc>
        <w:tc>
          <w:tcPr>
            <w:tcW w:w="120" w:type="dxa"/>
            <w:vAlign w:val="bottom"/>
          </w:tcPr>
          <w:p>
            <w:pPr>
              <w:spacing w:after="0"/>
              <w:rPr>
                <w:sz w:val="14"/>
                <w:szCs w:val="14"/>
                <w:color w:val="auto"/>
              </w:rPr>
            </w:pPr>
          </w:p>
        </w:tc>
      </w:tr>
      <w:tr>
        <w:trPr>
          <w:trHeight w:val="162"/>
        </w:trPr>
        <w:tc>
          <w:tcPr>
            <w:tcW w:w="6720" w:type="dxa"/>
            <w:vAlign w:val="bottom"/>
            <w:shd w:val="clear" w:color="auto" w:fill="CFF0FC"/>
          </w:tcPr>
          <w:p>
            <w:pPr>
              <w:ind w:left="620"/>
              <w:spacing w:after="0"/>
              <w:rPr>
                <w:sz w:val="20"/>
                <w:szCs w:val="20"/>
                <w:color w:val="auto"/>
              </w:rPr>
            </w:pPr>
            <w:r>
              <w:rPr>
                <w:rFonts w:ascii="Arial" w:cs="Arial" w:eastAsia="Arial" w:hAnsi="Arial"/>
                <w:sz w:val="14"/>
                <w:szCs w:val="14"/>
                <w:color w:val="auto"/>
              </w:rPr>
              <w:t>Other</w:t>
            </w:r>
          </w:p>
        </w:tc>
        <w:tc>
          <w:tcPr>
            <w:tcW w:w="300" w:type="dxa"/>
            <w:vAlign w:val="bottom"/>
            <w:shd w:val="clear" w:color="auto" w:fill="CFF0FC"/>
          </w:tcPr>
          <w:p>
            <w:pPr>
              <w:spacing w:after="0"/>
              <w:rPr>
                <w:sz w:val="14"/>
                <w:szCs w:val="14"/>
                <w:color w:val="auto"/>
              </w:rPr>
            </w:pPr>
          </w:p>
        </w:tc>
        <w:tc>
          <w:tcPr>
            <w:tcW w:w="1140" w:type="dxa"/>
            <w:vAlign w:val="bottom"/>
            <w:gridSpan w:val="2"/>
            <w:shd w:val="clear" w:color="auto" w:fill="CFF0FC"/>
          </w:tcPr>
          <w:p>
            <w:pPr>
              <w:jc w:val="right"/>
              <w:ind w:right="40"/>
              <w:spacing w:after="0"/>
              <w:rPr>
                <w:sz w:val="20"/>
                <w:szCs w:val="20"/>
                <w:color w:val="auto"/>
              </w:rPr>
            </w:pPr>
            <w:r>
              <w:rPr>
                <w:rFonts w:ascii="Arial" w:cs="Arial" w:eastAsia="Arial" w:hAnsi="Arial"/>
                <w:sz w:val="14"/>
                <w:szCs w:val="14"/>
                <w:color w:val="auto"/>
              </w:rPr>
              <w:t>(274,752)</w:t>
            </w:r>
          </w:p>
        </w:tc>
        <w:tc>
          <w:tcPr>
            <w:tcW w:w="160" w:type="dxa"/>
            <w:vAlign w:val="bottom"/>
            <w:shd w:val="clear" w:color="auto" w:fill="CFF0FC"/>
          </w:tcPr>
          <w:p>
            <w:pPr>
              <w:spacing w:after="0"/>
              <w:rPr>
                <w:sz w:val="14"/>
                <w:szCs w:val="14"/>
                <w:color w:val="auto"/>
              </w:rPr>
            </w:pPr>
          </w:p>
        </w:tc>
        <w:tc>
          <w:tcPr>
            <w:tcW w:w="300" w:type="dxa"/>
            <w:vAlign w:val="bottom"/>
            <w:shd w:val="clear" w:color="auto" w:fill="CFF0FC"/>
          </w:tcPr>
          <w:p>
            <w:pPr>
              <w:spacing w:after="0"/>
              <w:rPr>
                <w:sz w:val="14"/>
                <w:szCs w:val="14"/>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131,143</w:t>
            </w:r>
          </w:p>
        </w:tc>
        <w:tc>
          <w:tcPr>
            <w:tcW w:w="260" w:type="dxa"/>
            <w:vAlign w:val="bottom"/>
            <w:shd w:val="clear" w:color="auto" w:fill="CFF0FC"/>
          </w:tcPr>
          <w:p>
            <w:pPr>
              <w:spacing w:after="0"/>
              <w:rPr>
                <w:sz w:val="14"/>
                <w:szCs w:val="14"/>
                <w:color w:val="auto"/>
              </w:rPr>
            </w:pPr>
          </w:p>
        </w:tc>
        <w:tc>
          <w:tcPr>
            <w:tcW w:w="300" w:type="dxa"/>
            <w:vAlign w:val="bottom"/>
            <w:shd w:val="clear" w:color="auto" w:fill="CFF0FC"/>
          </w:tcPr>
          <w:p>
            <w:pPr>
              <w:spacing w:after="0"/>
              <w:rPr>
                <w:sz w:val="14"/>
                <w:szCs w:val="14"/>
                <w:color w:val="auto"/>
              </w:rPr>
            </w:pPr>
          </w:p>
        </w:tc>
        <w:tc>
          <w:tcPr>
            <w:tcW w:w="1180" w:type="dxa"/>
            <w:vAlign w:val="bottom"/>
            <w:gridSpan w:val="2"/>
            <w:shd w:val="clear" w:color="auto" w:fill="CFF0FC"/>
          </w:tcPr>
          <w:p>
            <w:pPr>
              <w:jc w:val="right"/>
              <w:ind w:right="80"/>
              <w:spacing w:after="0"/>
              <w:rPr>
                <w:sz w:val="20"/>
                <w:szCs w:val="20"/>
                <w:color w:val="auto"/>
              </w:rPr>
            </w:pPr>
            <w:r>
              <w:rPr>
                <w:rFonts w:ascii="Arial" w:cs="Arial" w:eastAsia="Arial" w:hAnsi="Arial"/>
                <w:sz w:val="14"/>
                <w:szCs w:val="14"/>
                <w:color w:val="auto"/>
              </w:rPr>
              <w:t>(40,385)</w:t>
            </w:r>
          </w:p>
        </w:tc>
      </w:tr>
      <w:tr>
        <w:trPr>
          <w:trHeight w:val="156"/>
        </w:trPr>
        <w:tc>
          <w:tcPr>
            <w:tcW w:w="6720" w:type="dxa"/>
            <w:vAlign w:val="bottom"/>
          </w:tcPr>
          <w:p>
            <w:pPr>
              <w:ind w:left="380"/>
              <w:spacing w:after="0" w:line="155" w:lineRule="exact"/>
              <w:rPr>
                <w:sz w:val="20"/>
                <w:szCs w:val="20"/>
                <w:color w:val="auto"/>
              </w:rPr>
            </w:pPr>
            <w:r>
              <w:rPr>
                <w:rFonts w:ascii="Arial" w:cs="Arial" w:eastAsia="Arial" w:hAnsi="Arial"/>
                <w:sz w:val="14"/>
                <w:szCs w:val="14"/>
                <w:color w:val="auto"/>
              </w:rPr>
              <w:t>NET CASH PROVIDED BY (USED IN) OPERATING ACTIVITIES</w:t>
            </w:r>
          </w:p>
        </w:tc>
        <w:tc>
          <w:tcPr>
            <w:tcW w:w="300" w:type="dxa"/>
            <w:vAlign w:val="bottom"/>
            <w:tcBorders>
              <w:top w:val="single" w:sz="8" w:color="auto"/>
            </w:tcBorders>
          </w:tcPr>
          <w:p>
            <w:pPr>
              <w:spacing w:after="0"/>
              <w:rPr>
                <w:sz w:val="13"/>
                <w:szCs w:val="13"/>
                <w:color w:val="auto"/>
              </w:rPr>
            </w:pPr>
          </w:p>
        </w:tc>
        <w:tc>
          <w:tcPr>
            <w:tcW w:w="106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rPr>
              <w:t>(23,938,972)</w:t>
            </w: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300" w:type="dxa"/>
            <w:vAlign w:val="bottom"/>
            <w:tcBorders>
              <w:top w:val="single" w:sz="8" w:color="auto"/>
            </w:tcBorders>
          </w:tcPr>
          <w:p>
            <w:pPr>
              <w:spacing w:after="0"/>
              <w:rPr>
                <w:sz w:val="13"/>
                <w:szCs w:val="13"/>
                <w:color w:val="auto"/>
              </w:rPr>
            </w:pPr>
          </w:p>
        </w:tc>
        <w:tc>
          <w:tcPr>
            <w:tcW w:w="106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rPr>
              <w:t>(64,427,486)</w:t>
            </w:r>
          </w:p>
        </w:tc>
        <w:tc>
          <w:tcPr>
            <w:tcW w:w="260" w:type="dxa"/>
            <w:vAlign w:val="bottom"/>
          </w:tcPr>
          <w:p>
            <w:pPr>
              <w:spacing w:after="0"/>
              <w:rPr>
                <w:sz w:val="13"/>
                <w:szCs w:val="13"/>
                <w:color w:val="auto"/>
              </w:rPr>
            </w:pPr>
          </w:p>
        </w:tc>
        <w:tc>
          <w:tcPr>
            <w:tcW w:w="300" w:type="dxa"/>
            <w:vAlign w:val="bottom"/>
            <w:tcBorders>
              <w:top w:val="single" w:sz="8" w:color="auto"/>
            </w:tcBorders>
          </w:tcPr>
          <w:p>
            <w:pPr>
              <w:spacing w:after="0"/>
              <w:rPr>
                <w:sz w:val="13"/>
                <w:szCs w:val="13"/>
                <w:color w:val="auto"/>
              </w:rPr>
            </w:pPr>
          </w:p>
        </w:tc>
        <w:tc>
          <w:tcPr>
            <w:tcW w:w="106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rPr>
              <w:t>(65,707,615)</w:t>
            </w:r>
          </w:p>
        </w:tc>
        <w:tc>
          <w:tcPr>
            <w:tcW w:w="120" w:type="dxa"/>
            <w:vAlign w:val="bottom"/>
          </w:tcPr>
          <w:p>
            <w:pPr>
              <w:spacing w:after="0"/>
              <w:rPr>
                <w:sz w:val="13"/>
                <w:szCs w:val="13"/>
                <w:color w:val="auto"/>
              </w:rPr>
            </w:pPr>
          </w:p>
        </w:tc>
      </w:tr>
      <w:tr>
        <w:trPr>
          <w:trHeight w:val="162"/>
        </w:trPr>
        <w:tc>
          <w:tcPr>
            <w:tcW w:w="6720" w:type="dxa"/>
            <w:vAlign w:val="bottom"/>
            <w:shd w:val="clear" w:color="auto" w:fill="CFF0FC"/>
          </w:tcPr>
          <w:p>
            <w:pPr>
              <w:ind w:left="140"/>
              <w:spacing w:after="0"/>
              <w:rPr>
                <w:sz w:val="20"/>
                <w:szCs w:val="20"/>
                <w:color w:val="auto"/>
              </w:rPr>
            </w:pPr>
            <w:r>
              <w:rPr>
                <w:rFonts w:ascii="Arial" w:cs="Arial" w:eastAsia="Arial" w:hAnsi="Arial"/>
                <w:sz w:val="14"/>
                <w:szCs w:val="14"/>
                <w:color w:val="auto"/>
              </w:rPr>
              <w:t>CASH FLOWS FROM INVESTING ACTIVITIES:</w:t>
            </w:r>
          </w:p>
        </w:tc>
        <w:tc>
          <w:tcPr>
            <w:tcW w:w="300" w:type="dxa"/>
            <w:vAlign w:val="bottom"/>
            <w:shd w:val="clear" w:color="auto" w:fill="CFF0FC"/>
          </w:tcPr>
          <w:p>
            <w:pPr>
              <w:spacing w:after="0"/>
              <w:rPr>
                <w:sz w:val="14"/>
                <w:szCs w:val="14"/>
                <w:color w:val="auto"/>
              </w:rPr>
            </w:pPr>
          </w:p>
        </w:tc>
        <w:tc>
          <w:tcPr>
            <w:tcW w:w="106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300" w:type="dxa"/>
            <w:vAlign w:val="bottom"/>
            <w:shd w:val="clear" w:color="auto" w:fill="CFF0FC"/>
          </w:tcPr>
          <w:p>
            <w:pPr>
              <w:spacing w:after="0"/>
              <w:rPr>
                <w:sz w:val="14"/>
                <w:szCs w:val="14"/>
                <w:color w:val="auto"/>
              </w:rPr>
            </w:pPr>
          </w:p>
        </w:tc>
        <w:tc>
          <w:tcPr>
            <w:tcW w:w="106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300" w:type="dxa"/>
            <w:vAlign w:val="bottom"/>
            <w:shd w:val="clear" w:color="auto" w:fill="CFF0FC"/>
          </w:tcPr>
          <w:p>
            <w:pPr>
              <w:spacing w:after="0"/>
              <w:rPr>
                <w:sz w:val="14"/>
                <w:szCs w:val="14"/>
                <w:color w:val="auto"/>
              </w:rPr>
            </w:pPr>
          </w:p>
        </w:tc>
        <w:tc>
          <w:tcPr>
            <w:tcW w:w="106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r>
      <w:tr>
        <w:trPr>
          <w:trHeight w:val="162"/>
        </w:trPr>
        <w:tc>
          <w:tcPr>
            <w:tcW w:w="6720" w:type="dxa"/>
            <w:vAlign w:val="bottom"/>
          </w:tcPr>
          <w:p>
            <w:pPr>
              <w:ind w:left="380"/>
              <w:spacing w:after="0"/>
              <w:rPr>
                <w:sz w:val="20"/>
                <w:szCs w:val="20"/>
                <w:color w:val="auto"/>
              </w:rPr>
            </w:pPr>
            <w:r>
              <w:rPr>
                <w:rFonts w:ascii="Arial" w:cs="Arial" w:eastAsia="Arial" w:hAnsi="Arial"/>
                <w:sz w:val="14"/>
                <w:szCs w:val="14"/>
                <w:color w:val="auto"/>
              </w:rPr>
              <w:t>Purchases of property and equipment</w:t>
            </w:r>
          </w:p>
        </w:tc>
        <w:tc>
          <w:tcPr>
            <w:tcW w:w="300" w:type="dxa"/>
            <w:vAlign w:val="bottom"/>
          </w:tcPr>
          <w:p>
            <w:pPr>
              <w:spacing w:after="0"/>
              <w:rPr>
                <w:sz w:val="14"/>
                <w:szCs w:val="14"/>
                <w:color w:val="auto"/>
              </w:rPr>
            </w:pPr>
          </w:p>
        </w:tc>
        <w:tc>
          <w:tcPr>
            <w:tcW w:w="1140" w:type="dxa"/>
            <w:vAlign w:val="bottom"/>
            <w:gridSpan w:val="2"/>
          </w:tcPr>
          <w:p>
            <w:pPr>
              <w:jc w:val="right"/>
              <w:ind w:right="40"/>
              <w:spacing w:after="0"/>
              <w:rPr>
                <w:sz w:val="20"/>
                <w:szCs w:val="20"/>
                <w:color w:val="auto"/>
              </w:rPr>
            </w:pPr>
            <w:r>
              <w:rPr>
                <w:rFonts w:ascii="Arial" w:cs="Arial" w:eastAsia="Arial" w:hAnsi="Arial"/>
                <w:sz w:val="14"/>
                <w:szCs w:val="14"/>
                <w:color w:val="auto"/>
              </w:rPr>
              <w:t>(7,918,198)</w:t>
            </w:r>
          </w:p>
        </w:tc>
        <w:tc>
          <w:tcPr>
            <w:tcW w:w="1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4"/>
                <w:szCs w:val="14"/>
                <w:color w:val="auto"/>
              </w:rPr>
              <w:t>(3,860,237)</w:t>
            </w:r>
          </w:p>
        </w:tc>
        <w:tc>
          <w:tcPr>
            <w:tcW w:w="300" w:type="dxa"/>
            <w:vAlign w:val="bottom"/>
          </w:tcPr>
          <w:p>
            <w:pPr>
              <w:spacing w:after="0"/>
              <w:rPr>
                <w:sz w:val="14"/>
                <w:szCs w:val="14"/>
                <w:color w:val="auto"/>
              </w:rPr>
            </w:pPr>
          </w:p>
        </w:tc>
        <w:tc>
          <w:tcPr>
            <w:tcW w:w="1180" w:type="dxa"/>
            <w:vAlign w:val="bottom"/>
            <w:gridSpan w:val="2"/>
          </w:tcPr>
          <w:p>
            <w:pPr>
              <w:jc w:val="right"/>
              <w:ind w:right="80"/>
              <w:spacing w:after="0"/>
              <w:rPr>
                <w:sz w:val="20"/>
                <w:szCs w:val="20"/>
                <w:color w:val="auto"/>
              </w:rPr>
            </w:pPr>
            <w:r>
              <w:rPr>
                <w:rFonts w:ascii="Arial" w:cs="Arial" w:eastAsia="Arial" w:hAnsi="Arial"/>
                <w:sz w:val="14"/>
                <w:szCs w:val="14"/>
                <w:color w:val="auto"/>
              </w:rPr>
              <w:t>(1,970,612)</w:t>
            </w:r>
          </w:p>
        </w:tc>
      </w:tr>
      <w:tr>
        <w:trPr>
          <w:trHeight w:val="162"/>
        </w:trPr>
        <w:tc>
          <w:tcPr>
            <w:tcW w:w="6720" w:type="dxa"/>
            <w:vAlign w:val="bottom"/>
            <w:shd w:val="clear" w:color="auto" w:fill="CFF0FC"/>
          </w:tcPr>
          <w:p>
            <w:pPr>
              <w:ind w:left="380"/>
              <w:spacing w:after="0"/>
              <w:rPr>
                <w:sz w:val="20"/>
                <w:szCs w:val="20"/>
                <w:color w:val="auto"/>
              </w:rPr>
            </w:pPr>
            <w:r>
              <w:rPr>
                <w:rFonts w:ascii="Arial" w:cs="Arial" w:eastAsia="Arial" w:hAnsi="Arial"/>
                <w:sz w:val="14"/>
                <w:szCs w:val="14"/>
                <w:color w:val="auto"/>
              </w:rPr>
              <w:t>Proceeds from sale of fixed assets</w:t>
            </w:r>
          </w:p>
        </w:tc>
        <w:tc>
          <w:tcPr>
            <w:tcW w:w="300" w:type="dxa"/>
            <w:vAlign w:val="bottom"/>
            <w:shd w:val="clear" w:color="auto" w:fill="CFF0FC"/>
          </w:tcPr>
          <w:p>
            <w:pPr>
              <w:spacing w:after="0"/>
              <w:rPr>
                <w:sz w:val="14"/>
                <w:szCs w:val="14"/>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8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300" w:type="dxa"/>
            <w:vAlign w:val="bottom"/>
            <w:shd w:val="clear" w:color="auto" w:fill="CFF0FC"/>
          </w:tcPr>
          <w:p>
            <w:pPr>
              <w:spacing w:after="0"/>
              <w:rPr>
                <w:sz w:val="14"/>
                <w:szCs w:val="14"/>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60" w:type="dxa"/>
            <w:vAlign w:val="bottom"/>
            <w:shd w:val="clear" w:color="auto" w:fill="CFF0FC"/>
          </w:tcPr>
          <w:p>
            <w:pPr>
              <w:spacing w:after="0"/>
              <w:rPr>
                <w:sz w:val="14"/>
                <w:szCs w:val="14"/>
                <w:color w:val="auto"/>
              </w:rPr>
            </w:pPr>
          </w:p>
        </w:tc>
        <w:tc>
          <w:tcPr>
            <w:tcW w:w="300" w:type="dxa"/>
            <w:vAlign w:val="bottom"/>
            <w:shd w:val="clear" w:color="auto" w:fill="CFF0FC"/>
          </w:tcPr>
          <w:p>
            <w:pPr>
              <w:spacing w:after="0"/>
              <w:rPr>
                <w:sz w:val="14"/>
                <w:szCs w:val="14"/>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500</w:t>
            </w:r>
          </w:p>
        </w:tc>
        <w:tc>
          <w:tcPr>
            <w:tcW w:w="120" w:type="dxa"/>
            <w:vAlign w:val="bottom"/>
            <w:shd w:val="clear" w:color="auto" w:fill="CFF0FC"/>
          </w:tcPr>
          <w:p>
            <w:pPr>
              <w:spacing w:after="0"/>
              <w:rPr>
                <w:sz w:val="14"/>
                <w:szCs w:val="14"/>
                <w:color w:val="auto"/>
              </w:rPr>
            </w:pPr>
          </w:p>
        </w:tc>
      </w:tr>
      <w:tr>
        <w:trPr>
          <w:trHeight w:val="162"/>
        </w:trPr>
        <w:tc>
          <w:tcPr>
            <w:tcW w:w="6720" w:type="dxa"/>
            <w:vAlign w:val="bottom"/>
          </w:tcPr>
          <w:p>
            <w:pPr>
              <w:ind w:left="380"/>
              <w:spacing w:after="0"/>
              <w:rPr>
                <w:sz w:val="20"/>
                <w:szCs w:val="20"/>
                <w:color w:val="auto"/>
              </w:rPr>
            </w:pPr>
            <w:r>
              <w:rPr>
                <w:rFonts w:ascii="Arial" w:cs="Arial" w:eastAsia="Arial" w:hAnsi="Arial"/>
                <w:sz w:val="14"/>
                <w:szCs w:val="14"/>
                <w:color w:val="auto"/>
              </w:rPr>
              <w:t>Purchases of marketable securities</w:t>
            </w:r>
          </w:p>
        </w:tc>
        <w:tc>
          <w:tcPr>
            <w:tcW w:w="300" w:type="dxa"/>
            <w:vAlign w:val="bottom"/>
          </w:tcPr>
          <w:p>
            <w:pPr>
              <w:spacing w:after="0"/>
              <w:rPr>
                <w:sz w:val="14"/>
                <w:szCs w:val="14"/>
                <w:color w:val="auto"/>
              </w:rPr>
            </w:pPr>
          </w:p>
        </w:tc>
        <w:tc>
          <w:tcPr>
            <w:tcW w:w="1140" w:type="dxa"/>
            <w:vAlign w:val="bottom"/>
            <w:gridSpan w:val="2"/>
          </w:tcPr>
          <w:p>
            <w:pPr>
              <w:jc w:val="right"/>
              <w:ind w:right="40"/>
              <w:spacing w:after="0"/>
              <w:rPr>
                <w:sz w:val="20"/>
                <w:szCs w:val="20"/>
                <w:color w:val="auto"/>
              </w:rPr>
            </w:pPr>
            <w:r>
              <w:rPr>
                <w:rFonts w:ascii="Arial" w:cs="Arial" w:eastAsia="Arial" w:hAnsi="Arial"/>
                <w:sz w:val="14"/>
                <w:szCs w:val="14"/>
                <w:color w:val="auto"/>
              </w:rPr>
              <w:t>(44,974,736)</w:t>
            </w:r>
          </w:p>
        </w:tc>
        <w:tc>
          <w:tcPr>
            <w:tcW w:w="1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r>
      <w:tr>
        <w:trPr>
          <w:trHeight w:val="162"/>
        </w:trPr>
        <w:tc>
          <w:tcPr>
            <w:tcW w:w="6720" w:type="dxa"/>
            <w:vAlign w:val="bottom"/>
            <w:shd w:val="clear" w:color="auto" w:fill="CFF0FC"/>
          </w:tcPr>
          <w:p>
            <w:pPr>
              <w:ind w:left="380"/>
              <w:spacing w:after="0"/>
              <w:rPr>
                <w:sz w:val="20"/>
                <w:szCs w:val="20"/>
                <w:color w:val="auto"/>
              </w:rPr>
            </w:pPr>
            <w:r>
              <w:rPr>
                <w:rFonts w:ascii="Arial" w:cs="Arial" w:eastAsia="Arial" w:hAnsi="Arial"/>
                <w:sz w:val="14"/>
                <w:szCs w:val="14"/>
                <w:color w:val="auto"/>
              </w:rPr>
              <w:t>Proceeds from sale of marketable securities</w:t>
            </w:r>
          </w:p>
        </w:tc>
        <w:tc>
          <w:tcPr>
            <w:tcW w:w="300" w:type="dxa"/>
            <w:vAlign w:val="bottom"/>
            <w:shd w:val="clear" w:color="auto" w:fill="CFF0FC"/>
          </w:tcPr>
          <w:p>
            <w:pPr>
              <w:spacing w:after="0"/>
              <w:rPr>
                <w:sz w:val="14"/>
                <w:szCs w:val="14"/>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4,248,716</w:t>
            </w:r>
          </w:p>
        </w:tc>
        <w:tc>
          <w:tcPr>
            <w:tcW w:w="8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300" w:type="dxa"/>
            <w:vAlign w:val="bottom"/>
            <w:shd w:val="clear" w:color="auto" w:fill="CFF0FC"/>
          </w:tcPr>
          <w:p>
            <w:pPr>
              <w:spacing w:after="0"/>
              <w:rPr>
                <w:sz w:val="14"/>
                <w:szCs w:val="14"/>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17,308,000</w:t>
            </w:r>
          </w:p>
        </w:tc>
        <w:tc>
          <w:tcPr>
            <w:tcW w:w="260" w:type="dxa"/>
            <w:vAlign w:val="bottom"/>
            <w:shd w:val="clear" w:color="auto" w:fill="CFF0FC"/>
          </w:tcPr>
          <w:p>
            <w:pPr>
              <w:spacing w:after="0"/>
              <w:rPr>
                <w:sz w:val="14"/>
                <w:szCs w:val="14"/>
                <w:color w:val="auto"/>
              </w:rPr>
            </w:pPr>
          </w:p>
        </w:tc>
        <w:tc>
          <w:tcPr>
            <w:tcW w:w="300" w:type="dxa"/>
            <w:vAlign w:val="bottom"/>
            <w:shd w:val="clear" w:color="auto" w:fill="CFF0FC"/>
          </w:tcPr>
          <w:p>
            <w:pPr>
              <w:spacing w:after="0"/>
              <w:rPr>
                <w:sz w:val="14"/>
                <w:szCs w:val="14"/>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26,090,950</w:t>
            </w:r>
          </w:p>
        </w:tc>
        <w:tc>
          <w:tcPr>
            <w:tcW w:w="120" w:type="dxa"/>
            <w:vAlign w:val="bottom"/>
            <w:shd w:val="clear" w:color="auto" w:fill="CFF0FC"/>
          </w:tcPr>
          <w:p>
            <w:pPr>
              <w:spacing w:after="0"/>
              <w:rPr>
                <w:sz w:val="14"/>
                <w:szCs w:val="14"/>
                <w:color w:val="auto"/>
              </w:rPr>
            </w:pPr>
          </w:p>
        </w:tc>
      </w:tr>
      <w:tr>
        <w:trPr>
          <w:trHeight w:val="162"/>
        </w:trPr>
        <w:tc>
          <w:tcPr>
            <w:tcW w:w="6720" w:type="dxa"/>
            <w:vAlign w:val="bottom"/>
          </w:tcPr>
          <w:p>
            <w:pPr>
              <w:ind w:left="380"/>
              <w:spacing w:after="0"/>
              <w:rPr>
                <w:sz w:val="20"/>
                <w:szCs w:val="20"/>
                <w:color w:val="auto"/>
              </w:rPr>
            </w:pPr>
            <w:r>
              <w:rPr>
                <w:rFonts w:ascii="Arial" w:cs="Arial" w:eastAsia="Arial" w:hAnsi="Arial"/>
                <w:sz w:val="14"/>
                <w:szCs w:val="14"/>
                <w:color w:val="auto"/>
              </w:rPr>
              <w:t>Cash paid for acquisitions</w:t>
            </w:r>
          </w:p>
        </w:tc>
        <w:tc>
          <w:tcPr>
            <w:tcW w:w="300" w:type="dxa"/>
            <w:vAlign w:val="bottom"/>
          </w:tcPr>
          <w:p>
            <w:pPr>
              <w:spacing w:after="0"/>
              <w:rPr>
                <w:sz w:val="14"/>
                <w:szCs w:val="14"/>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80" w:type="dxa"/>
            <w:vAlign w:val="bottom"/>
            <w:gridSpan w:val="2"/>
          </w:tcPr>
          <w:p>
            <w:pPr>
              <w:jc w:val="right"/>
              <w:ind w:right="80"/>
              <w:spacing w:after="0"/>
              <w:rPr>
                <w:sz w:val="20"/>
                <w:szCs w:val="20"/>
                <w:color w:val="auto"/>
              </w:rPr>
            </w:pPr>
            <w:r>
              <w:rPr>
                <w:rFonts w:ascii="Arial" w:cs="Arial" w:eastAsia="Arial" w:hAnsi="Arial"/>
                <w:sz w:val="14"/>
                <w:szCs w:val="14"/>
                <w:color w:val="auto"/>
              </w:rPr>
              <w:t>(10,000,000)</w:t>
            </w:r>
          </w:p>
        </w:tc>
      </w:tr>
      <w:tr>
        <w:trPr>
          <w:trHeight w:val="156"/>
        </w:trPr>
        <w:tc>
          <w:tcPr>
            <w:tcW w:w="6720" w:type="dxa"/>
            <w:vAlign w:val="bottom"/>
            <w:tcBorders>
              <w:top w:val="single" w:sz="8" w:color="CFF0FC"/>
            </w:tcBorders>
            <w:shd w:val="clear" w:color="auto" w:fill="CFF0FC"/>
          </w:tcPr>
          <w:p>
            <w:pPr>
              <w:ind w:left="380"/>
              <w:spacing w:after="0" w:line="155" w:lineRule="exact"/>
              <w:rPr>
                <w:sz w:val="20"/>
                <w:szCs w:val="20"/>
                <w:color w:val="auto"/>
              </w:rPr>
            </w:pPr>
            <w:r>
              <w:rPr>
                <w:rFonts w:ascii="Arial" w:cs="Arial" w:eastAsia="Arial" w:hAnsi="Arial"/>
                <w:sz w:val="14"/>
                <w:szCs w:val="14"/>
                <w:color w:val="auto"/>
              </w:rPr>
              <w:t>NET CASH PROVIDED BY (USED IN) INVESTING ACTIVITIES</w:t>
            </w:r>
          </w:p>
        </w:tc>
        <w:tc>
          <w:tcPr>
            <w:tcW w:w="300" w:type="dxa"/>
            <w:vAlign w:val="bottom"/>
            <w:tcBorders>
              <w:top w:val="single" w:sz="8" w:color="auto"/>
            </w:tcBorders>
            <w:shd w:val="clear" w:color="auto" w:fill="CFF0FC"/>
          </w:tcPr>
          <w:p>
            <w:pPr>
              <w:spacing w:after="0"/>
              <w:rPr>
                <w:sz w:val="13"/>
                <w:szCs w:val="13"/>
                <w:color w:val="auto"/>
              </w:rPr>
            </w:pPr>
          </w:p>
        </w:tc>
        <w:tc>
          <w:tcPr>
            <w:tcW w:w="1060" w:type="dxa"/>
            <w:vAlign w:val="bottom"/>
            <w:tcBorders>
              <w:top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(48,644,218)</w:t>
            </w:r>
          </w:p>
        </w:tc>
        <w:tc>
          <w:tcPr>
            <w:tcW w:w="80" w:type="dxa"/>
            <w:vAlign w:val="bottom"/>
            <w:tcBorders>
              <w:top w:val="single" w:sz="8" w:color="CFF0FC"/>
            </w:tcBorders>
            <w:shd w:val="clear" w:color="auto" w:fill="CFF0FC"/>
          </w:tcPr>
          <w:p>
            <w:pPr>
              <w:spacing w:after="0"/>
              <w:rPr>
                <w:sz w:val="13"/>
                <w:szCs w:val="13"/>
                <w:color w:val="auto"/>
              </w:rPr>
            </w:pPr>
          </w:p>
        </w:tc>
        <w:tc>
          <w:tcPr>
            <w:tcW w:w="160" w:type="dxa"/>
            <w:vAlign w:val="bottom"/>
            <w:tcBorders>
              <w:top w:val="single" w:sz="8" w:color="CFF0FC"/>
            </w:tcBorders>
            <w:shd w:val="clear" w:color="auto" w:fill="CFF0FC"/>
          </w:tcPr>
          <w:p>
            <w:pPr>
              <w:spacing w:after="0"/>
              <w:rPr>
                <w:sz w:val="13"/>
                <w:szCs w:val="13"/>
                <w:color w:val="auto"/>
              </w:rPr>
            </w:pPr>
          </w:p>
        </w:tc>
        <w:tc>
          <w:tcPr>
            <w:tcW w:w="300" w:type="dxa"/>
            <w:vAlign w:val="bottom"/>
            <w:tcBorders>
              <w:top w:val="single" w:sz="8" w:color="auto"/>
            </w:tcBorders>
            <w:shd w:val="clear" w:color="auto" w:fill="CFF0FC"/>
          </w:tcPr>
          <w:p>
            <w:pPr>
              <w:spacing w:after="0"/>
              <w:rPr>
                <w:sz w:val="13"/>
                <w:szCs w:val="13"/>
                <w:color w:val="auto"/>
              </w:rPr>
            </w:pPr>
          </w:p>
        </w:tc>
        <w:tc>
          <w:tcPr>
            <w:tcW w:w="1060" w:type="dxa"/>
            <w:vAlign w:val="bottom"/>
            <w:tcBorders>
              <w:top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13,447,763</w:t>
            </w:r>
          </w:p>
        </w:tc>
        <w:tc>
          <w:tcPr>
            <w:tcW w:w="260" w:type="dxa"/>
            <w:vAlign w:val="bottom"/>
            <w:tcBorders>
              <w:top w:val="single" w:sz="8" w:color="CFF0FC"/>
            </w:tcBorders>
            <w:shd w:val="clear" w:color="auto" w:fill="CFF0FC"/>
          </w:tcPr>
          <w:p>
            <w:pPr>
              <w:spacing w:after="0"/>
              <w:rPr>
                <w:sz w:val="13"/>
                <w:szCs w:val="13"/>
                <w:color w:val="auto"/>
              </w:rPr>
            </w:pPr>
          </w:p>
        </w:tc>
        <w:tc>
          <w:tcPr>
            <w:tcW w:w="300" w:type="dxa"/>
            <w:vAlign w:val="bottom"/>
            <w:tcBorders>
              <w:top w:val="single" w:sz="8" w:color="auto"/>
            </w:tcBorders>
            <w:shd w:val="clear" w:color="auto" w:fill="CFF0FC"/>
          </w:tcPr>
          <w:p>
            <w:pPr>
              <w:spacing w:after="0"/>
              <w:rPr>
                <w:sz w:val="13"/>
                <w:szCs w:val="13"/>
                <w:color w:val="auto"/>
              </w:rPr>
            </w:pPr>
          </w:p>
        </w:tc>
        <w:tc>
          <w:tcPr>
            <w:tcW w:w="1060" w:type="dxa"/>
            <w:vAlign w:val="bottom"/>
            <w:tcBorders>
              <w:top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14,120,838</w:t>
            </w:r>
          </w:p>
        </w:tc>
        <w:tc>
          <w:tcPr>
            <w:tcW w:w="120" w:type="dxa"/>
            <w:vAlign w:val="bottom"/>
            <w:tcBorders>
              <w:top w:val="single" w:sz="8" w:color="CFF0FC"/>
            </w:tcBorders>
            <w:shd w:val="clear" w:color="auto" w:fill="CFF0FC"/>
          </w:tcPr>
          <w:p>
            <w:pPr>
              <w:spacing w:after="0"/>
              <w:rPr>
                <w:sz w:val="13"/>
                <w:szCs w:val="13"/>
                <w:color w:val="auto"/>
              </w:rPr>
            </w:pPr>
          </w:p>
        </w:tc>
      </w:tr>
      <w:tr>
        <w:trPr>
          <w:trHeight w:val="162"/>
        </w:trPr>
        <w:tc>
          <w:tcPr>
            <w:tcW w:w="6720" w:type="dxa"/>
            <w:vAlign w:val="bottom"/>
          </w:tcPr>
          <w:p>
            <w:pPr>
              <w:ind w:left="140"/>
              <w:spacing w:after="0"/>
              <w:rPr>
                <w:sz w:val="20"/>
                <w:szCs w:val="20"/>
                <w:color w:val="auto"/>
              </w:rPr>
            </w:pPr>
            <w:r>
              <w:rPr>
                <w:rFonts w:ascii="Arial" w:cs="Arial" w:eastAsia="Arial" w:hAnsi="Arial"/>
                <w:sz w:val="14"/>
                <w:szCs w:val="14"/>
                <w:color w:val="auto"/>
              </w:rPr>
              <w:t>CASH FLOWS FROM FINANCING ACTIVITIES:</w:t>
            </w:r>
          </w:p>
        </w:tc>
        <w:tc>
          <w:tcPr>
            <w:tcW w:w="3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20" w:type="dxa"/>
            <w:vAlign w:val="bottom"/>
          </w:tcPr>
          <w:p>
            <w:pPr>
              <w:spacing w:after="0"/>
              <w:rPr>
                <w:sz w:val="14"/>
                <w:szCs w:val="14"/>
                <w:color w:val="auto"/>
              </w:rPr>
            </w:pPr>
          </w:p>
        </w:tc>
      </w:tr>
      <w:tr>
        <w:trPr>
          <w:trHeight w:val="162"/>
        </w:trPr>
        <w:tc>
          <w:tcPr>
            <w:tcW w:w="6720" w:type="dxa"/>
            <w:vAlign w:val="bottom"/>
            <w:shd w:val="clear" w:color="auto" w:fill="CFF0FC"/>
          </w:tcPr>
          <w:p>
            <w:pPr>
              <w:ind w:left="380"/>
              <w:spacing w:after="0"/>
              <w:rPr>
                <w:sz w:val="20"/>
                <w:szCs w:val="20"/>
                <w:color w:val="auto"/>
              </w:rPr>
            </w:pPr>
            <w:r>
              <w:rPr>
                <w:rFonts w:ascii="Arial" w:cs="Arial" w:eastAsia="Arial" w:hAnsi="Arial"/>
                <w:sz w:val="14"/>
                <w:szCs w:val="14"/>
                <w:color w:val="auto"/>
              </w:rPr>
              <w:t>Principal payments on notes payable</w:t>
            </w:r>
          </w:p>
        </w:tc>
        <w:tc>
          <w:tcPr>
            <w:tcW w:w="300" w:type="dxa"/>
            <w:vAlign w:val="bottom"/>
            <w:shd w:val="clear" w:color="auto" w:fill="CFF0FC"/>
          </w:tcPr>
          <w:p>
            <w:pPr>
              <w:spacing w:after="0"/>
              <w:rPr>
                <w:sz w:val="14"/>
                <w:szCs w:val="14"/>
                <w:color w:val="auto"/>
              </w:rPr>
            </w:pPr>
          </w:p>
        </w:tc>
        <w:tc>
          <w:tcPr>
            <w:tcW w:w="1140" w:type="dxa"/>
            <w:vAlign w:val="bottom"/>
            <w:gridSpan w:val="2"/>
            <w:shd w:val="clear" w:color="auto" w:fill="CFF0FC"/>
          </w:tcPr>
          <w:p>
            <w:pPr>
              <w:jc w:val="right"/>
              <w:ind w:right="40"/>
              <w:spacing w:after="0"/>
              <w:rPr>
                <w:sz w:val="20"/>
                <w:szCs w:val="20"/>
                <w:color w:val="auto"/>
              </w:rPr>
            </w:pPr>
            <w:r>
              <w:rPr>
                <w:rFonts w:ascii="Arial" w:cs="Arial" w:eastAsia="Arial" w:hAnsi="Arial"/>
                <w:sz w:val="14"/>
                <w:szCs w:val="14"/>
                <w:color w:val="auto"/>
              </w:rPr>
              <w:t>(197,790)</w:t>
            </w:r>
          </w:p>
        </w:tc>
        <w:tc>
          <w:tcPr>
            <w:tcW w:w="160" w:type="dxa"/>
            <w:vAlign w:val="bottom"/>
            <w:shd w:val="clear" w:color="auto" w:fill="CFF0FC"/>
          </w:tcPr>
          <w:p>
            <w:pPr>
              <w:spacing w:after="0"/>
              <w:rPr>
                <w:sz w:val="14"/>
                <w:szCs w:val="14"/>
                <w:color w:val="auto"/>
              </w:rPr>
            </w:pPr>
          </w:p>
        </w:tc>
        <w:tc>
          <w:tcPr>
            <w:tcW w:w="300" w:type="dxa"/>
            <w:vAlign w:val="bottom"/>
            <w:shd w:val="clear" w:color="auto" w:fill="CFF0FC"/>
          </w:tcPr>
          <w:p>
            <w:pPr>
              <w:spacing w:after="0"/>
              <w:rPr>
                <w:sz w:val="14"/>
                <w:szCs w:val="14"/>
                <w:color w:val="auto"/>
              </w:rPr>
            </w:pPr>
          </w:p>
        </w:tc>
        <w:tc>
          <w:tcPr>
            <w:tcW w:w="1320" w:type="dxa"/>
            <w:vAlign w:val="bottom"/>
            <w:gridSpan w:val="2"/>
            <w:shd w:val="clear" w:color="auto" w:fill="CFF0FC"/>
          </w:tcPr>
          <w:p>
            <w:pPr>
              <w:jc w:val="right"/>
              <w:ind w:right="220"/>
              <w:spacing w:after="0"/>
              <w:rPr>
                <w:sz w:val="20"/>
                <w:szCs w:val="20"/>
                <w:color w:val="auto"/>
              </w:rPr>
            </w:pPr>
            <w:r>
              <w:rPr>
                <w:rFonts w:ascii="Arial" w:cs="Arial" w:eastAsia="Arial" w:hAnsi="Arial"/>
                <w:sz w:val="14"/>
                <w:szCs w:val="14"/>
                <w:color w:val="auto"/>
              </w:rPr>
              <w:t>(217,549)</w:t>
            </w:r>
          </w:p>
        </w:tc>
        <w:tc>
          <w:tcPr>
            <w:tcW w:w="300" w:type="dxa"/>
            <w:vAlign w:val="bottom"/>
            <w:shd w:val="clear" w:color="auto" w:fill="CFF0FC"/>
          </w:tcPr>
          <w:p>
            <w:pPr>
              <w:spacing w:after="0"/>
              <w:rPr>
                <w:sz w:val="14"/>
                <w:szCs w:val="14"/>
                <w:color w:val="auto"/>
              </w:rPr>
            </w:pPr>
          </w:p>
        </w:tc>
        <w:tc>
          <w:tcPr>
            <w:tcW w:w="1180" w:type="dxa"/>
            <w:vAlign w:val="bottom"/>
            <w:gridSpan w:val="2"/>
            <w:shd w:val="clear" w:color="auto" w:fill="CFF0FC"/>
          </w:tcPr>
          <w:p>
            <w:pPr>
              <w:jc w:val="right"/>
              <w:ind w:right="80"/>
              <w:spacing w:after="0"/>
              <w:rPr>
                <w:sz w:val="20"/>
                <w:szCs w:val="20"/>
                <w:color w:val="auto"/>
              </w:rPr>
            </w:pPr>
            <w:r>
              <w:rPr>
                <w:rFonts w:ascii="Arial" w:cs="Arial" w:eastAsia="Arial" w:hAnsi="Arial"/>
                <w:sz w:val="14"/>
                <w:szCs w:val="14"/>
                <w:color w:val="auto"/>
              </w:rPr>
              <w:t>(213,991)</w:t>
            </w:r>
          </w:p>
        </w:tc>
      </w:tr>
      <w:tr>
        <w:trPr>
          <w:trHeight w:val="162"/>
        </w:trPr>
        <w:tc>
          <w:tcPr>
            <w:tcW w:w="6720" w:type="dxa"/>
            <w:vAlign w:val="bottom"/>
          </w:tcPr>
          <w:p>
            <w:pPr>
              <w:ind w:left="380"/>
              <w:spacing w:after="0"/>
              <w:rPr>
                <w:sz w:val="20"/>
                <w:szCs w:val="20"/>
                <w:color w:val="auto"/>
              </w:rPr>
            </w:pPr>
            <w:r>
              <w:rPr>
                <w:rFonts w:ascii="Arial" w:cs="Arial" w:eastAsia="Arial" w:hAnsi="Arial"/>
                <w:sz w:val="14"/>
                <w:szCs w:val="14"/>
                <w:color w:val="auto"/>
              </w:rPr>
              <w:t>Payments of taxes for net share settled restricted stock unit issuances</w:t>
            </w:r>
          </w:p>
        </w:tc>
        <w:tc>
          <w:tcPr>
            <w:tcW w:w="300" w:type="dxa"/>
            <w:vAlign w:val="bottom"/>
          </w:tcPr>
          <w:p>
            <w:pPr>
              <w:spacing w:after="0"/>
              <w:rPr>
                <w:sz w:val="14"/>
                <w:szCs w:val="14"/>
                <w:color w:val="auto"/>
              </w:rPr>
            </w:pPr>
          </w:p>
        </w:tc>
        <w:tc>
          <w:tcPr>
            <w:tcW w:w="1140" w:type="dxa"/>
            <w:vAlign w:val="bottom"/>
            <w:gridSpan w:val="2"/>
          </w:tcPr>
          <w:p>
            <w:pPr>
              <w:jc w:val="right"/>
              <w:ind w:right="40"/>
              <w:spacing w:after="0"/>
              <w:rPr>
                <w:sz w:val="20"/>
                <w:szCs w:val="20"/>
                <w:color w:val="auto"/>
              </w:rPr>
            </w:pPr>
            <w:r>
              <w:rPr>
                <w:rFonts w:ascii="Arial" w:cs="Arial" w:eastAsia="Arial" w:hAnsi="Arial"/>
                <w:sz w:val="14"/>
                <w:szCs w:val="14"/>
                <w:color w:val="auto"/>
              </w:rPr>
              <w:t>(438,838)</w:t>
            </w:r>
          </w:p>
        </w:tc>
        <w:tc>
          <w:tcPr>
            <w:tcW w:w="1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4"/>
                <w:szCs w:val="14"/>
                <w:color w:val="auto"/>
              </w:rPr>
              <w:t>(634,187)</w:t>
            </w:r>
          </w:p>
        </w:tc>
        <w:tc>
          <w:tcPr>
            <w:tcW w:w="300" w:type="dxa"/>
            <w:vAlign w:val="bottom"/>
          </w:tcPr>
          <w:p>
            <w:pPr>
              <w:spacing w:after="0"/>
              <w:rPr>
                <w:sz w:val="14"/>
                <w:szCs w:val="14"/>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r>
      <w:tr>
        <w:trPr>
          <w:trHeight w:val="162"/>
        </w:trPr>
        <w:tc>
          <w:tcPr>
            <w:tcW w:w="6720" w:type="dxa"/>
            <w:vAlign w:val="bottom"/>
            <w:shd w:val="clear" w:color="auto" w:fill="CFF0FC"/>
          </w:tcPr>
          <w:p>
            <w:pPr>
              <w:ind w:left="380"/>
              <w:spacing w:after="0"/>
              <w:rPr>
                <w:sz w:val="20"/>
                <w:szCs w:val="20"/>
                <w:color w:val="auto"/>
              </w:rPr>
            </w:pPr>
            <w:r>
              <w:rPr>
                <w:rFonts w:ascii="Arial" w:cs="Arial" w:eastAsia="Arial" w:hAnsi="Arial"/>
                <w:sz w:val="14"/>
                <w:szCs w:val="14"/>
                <w:color w:val="auto"/>
              </w:rPr>
              <w:t>Proceeds from the exercises of warrants and stock options</w:t>
            </w:r>
          </w:p>
        </w:tc>
        <w:tc>
          <w:tcPr>
            <w:tcW w:w="300" w:type="dxa"/>
            <w:vAlign w:val="bottom"/>
            <w:shd w:val="clear" w:color="auto" w:fill="CFF0FC"/>
          </w:tcPr>
          <w:p>
            <w:pPr>
              <w:spacing w:after="0"/>
              <w:rPr>
                <w:sz w:val="14"/>
                <w:szCs w:val="14"/>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272,818</w:t>
            </w:r>
          </w:p>
        </w:tc>
        <w:tc>
          <w:tcPr>
            <w:tcW w:w="8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300" w:type="dxa"/>
            <w:vAlign w:val="bottom"/>
            <w:shd w:val="clear" w:color="auto" w:fill="CFF0FC"/>
          </w:tcPr>
          <w:p>
            <w:pPr>
              <w:spacing w:after="0"/>
              <w:rPr>
                <w:sz w:val="14"/>
                <w:szCs w:val="14"/>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3,752,120</w:t>
            </w:r>
          </w:p>
        </w:tc>
        <w:tc>
          <w:tcPr>
            <w:tcW w:w="260" w:type="dxa"/>
            <w:vAlign w:val="bottom"/>
            <w:shd w:val="clear" w:color="auto" w:fill="CFF0FC"/>
          </w:tcPr>
          <w:p>
            <w:pPr>
              <w:spacing w:after="0"/>
              <w:rPr>
                <w:sz w:val="14"/>
                <w:szCs w:val="14"/>
                <w:color w:val="auto"/>
              </w:rPr>
            </w:pPr>
          </w:p>
        </w:tc>
        <w:tc>
          <w:tcPr>
            <w:tcW w:w="300" w:type="dxa"/>
            <w:vAlign w:val="bottom"/>
            <w:shd w:val="clear" w:color="auto" w:fill="CFF0FC"/>
          </w:tcPr>
          <w:p>
            <w:pPr>
              <w:spacing w:after="0"/>
              <w:rPr>
                <w:sz w:val="14"/>
                <w:szCs w:val="14"/>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504,512</w:t>
            </w:r>
          </w:p>
        </w:tc>
        <w:tc>
          <w:tcPr>
            <w:tcW w:w="120" w:type="dxa"/>
            <w:vAlign w:val="bottom"/>
            <w:shd w:val="clear" w:color="auto" w:fill="CFF0FC"/>
          </w:tcPr>
          <w:p>
            <w:pPr>
              <w:spacing w:after="0"/>
              <w:rPr>
                <w:sz w:val="14"/>
                <w:szCs w:val="14"/>
                <w:color w:val="auto"/>
              </w:rPr>
            </w:pPr>
          </w:p>
        </w:tc>
      </w:tr>
      <w:tr>
        <w:trPr>
          <w:trHeight w:val="162"/>
        </w:trPr>
        <w:tc>
          <w:tcPr>
            <w:tcW w:w="6720" w:type="dxa"/>
            <w:vAlign w:val="bottom"/>
            <w:tcBorders>
              <w:bottom w:val="single" w:sz="8" w:color="CFF0FC"/>
            </w:tcBorders>
          </w:tcPr>
          <w:p>
            <w:pPr>
              <w:ind w:left="380"/>
              <w:spacing w:after="0"/>
              <w:rPr>
                <w:sz w:val="20"/>
                <w:szCs w:val="20"/>
                <w:color w:val="auto"/>
              </w:rPr>
            </w:pPr>
            <w:r>
              <w:rPr>
                <w:rFonts w:ascii="Arial" w:cs="Arial" w:eastAsia="Arial" w:hAnsi="Arial"/>
                <w:sz w:val="14"/>
                <w:szCs w:val="14"/>
                <w:color w:val="auto"/>
              </w:rPr>
              <w:t>Proceeds from the issuance of common stock</w:t>
            </w:r>
          </w:p>
        </w:tc>
        <w:tc>
          <w:tcPr>
            <w:tcW w:w="30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12,419,119</w:t>
            </w:r>
          </w:p>
        </w:tc>
        <w:tc>
          <w:tcPr>
            <w:tcW w:w="80" w:type="dxa"/>
            <w:vAlign w:val="bottom"/>
            <w:tcBorders>
              <w:bottom w:val="single" w:sz="8" w:color="CFF0FC"/>
            </w:tcBorders>
          </w:tcPr>
          <w:p>
            <w:pPr>
              <w:spacing w:after="0"/>
              <w:rPr>
                <w:sz w:val="14"/>
                <w:szCs w:val="14"/>
                <w:color w:val="auto"/>
              </w:rPr>
            </w:pPr>
          </w:p>
        </w:tc>
        <w:tc>
          <w:tcPr>
            <w:tcW w:w="160" w:type="dxa"/>
            <w:vAlign w:val="bottom"/>
            <w:tcBorders>
              <w:bottom w:val="single" w:sz="8" w:color="CFF0FC"/>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52,231,433</w:t>
            </w:r>
          </w:p>
        </w:tc>
        <w:tc>
          <w:tcPr>
            <w:tcW w:w="260" w:type="dxa"/>
            <w:vAlign w:val="bottom"/>
            <w:tcBorders>
              <w:bottom w:val="single" w:sz="8" w:color="CFF0FC"/>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FF0FC"/>
            </w:tcBorders>
          </w:tcPr>
          <w:p>
            <w:pPr>
              <w:spacing w:after="0"/>
              <w:rPr>
                <w:sz w:val="14"/>
                <w:szCs w:val="14"/>
                <w:color w:val="auto"/>
              </w:rPr>
            </w:pPr>
          </w:p>
        </w:tc>
      </w:tr>
      <w:tr>
        <w:trPr>
          <w:trHeight w:val="156"/>
        </w:trPr>
        <w:tc>
          <w:tcPr>
            <w:tcW w:w="6720" w:type="dxa"/>
            <w:vAlign w:val="bottom"/>
            <w:shd w:val="clear" w:color="auto" w:fill="CFF0FC"/>
          </w:tcPr>
          <w:p>
            <w:pPr>
              <w:ind w:left="380"/>
              <w:spacing w:after="0" w:line="155" w:lineRule="exact"/>
              <w:rPr>
                <w:sz w:val="20"/>
                <w:szCs w:val="20"/>
                <w:color w:val="auto"/>
              </w:rPr>
            </w:pPr>
            <w:r>
              <w:rPr>
                <w:rFonts w:ascii="Arial" w:cs="Arial" w:eastAsia="Arial" w:hAnsi="Arial"/>
                <w:sz w:val="14"/>
                <w:szCs w:val="14"/>
                <w:color w:val="auto"/>
              </w:rPr>
              <w:t>NET CASH PROVIDED BY (USED IN) FINANCING ACTIVITIES</w:t>
            </w:r>
          </w:p>
        </w:tc>
        <w:tc>
          <w:tcPr>
            <w:tcW w:w="300" w:type="dxa"/>
            <w:vAlign w:val="bottom"/>
            <w:shd w:val="clear" w:color="auto" w:fill="CFF0FC"/>
          </w:tcPr>
          <w:p>
            <w:pPr>
              <w:spacing w:after="0"/>
              <w:rPr>
                <w:sz w:val="13"/>
                <w:szCs w:val="13"/>
                <w:color w:val="auto"/>
              </w:rPr>
            </w:pPr>
          </w:p>
        </w:tc>
        <w:tc>
          <w:tcPr>
            <w:tcW w:w="1060" w:type="dxa"/>
            <w:vAlign w:val="bottom"/>
            <w:shd w:val="clear" w:color="auto" w:fill="CFF0FC"/>
          </w:tcPr>
          <w:p>
            <w:pPr>
              <w:jc w:val="right"/>
              <w:spacing w:after="0" w:line="155" w:lineRule="exact"/>
              <w:rPr>
                <w:sz w:val="20"/>
                <w:szCs w:val="20"/>
                <w:color w:val="auto"/>
              </w:rPr>
            </w:pPr>
            <w:r>
              <w:rPr>
                <w:rFonts w:ascii="Arial" w:cs="Arial" w:eastAsia="Arial" w:hAnsi="Arial"/>
                <w:sz w:val="14"/>
                <w:szCs w:val="14"/>
                <w:color w:val="auto"/>
              </w:rPr>
              <w:t>12,055,309</w:t>
            </w:r>
          </w:p>
        </w:tc>
        <w:tc>
          <w:tcPr>
            <w:tcW w:w="8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300" w:type="dxa"/>
            <w:vAlign w:val="bottom"/>
            <w:shd w:val="clear" w:color="auto" w:fill="CFF0FC"/>
          </w:tcPr>
          <w:p>
            <w:pPr>
              <w:spacing w:after="0"/>
              <w:rPr>
                <w:sz w:val="13"/>
                <w:szCs w:val="13"/>
                <w:color w:val="auto"/>
              </w:rPr>
            </w:pPr>
          </w:p>
        </w:tc>
        <w:tc>
          <w:tcPr>
            <w:tcW w:w="1060" w:type="dxa"/>
            <w:vAlign w:val="bottom"/>
            <w:shd w:val="clear" w:color="auto" w:fill="CFF0FC"/>
          </w:tcPr>
          <w:p>
            <w:pPr>
              <w:jc w:val="right"/>
              <w:spacing w:after="0" w:line="155" w:lineRule="exact"/>
              <w:rPr>
                <w:sz w:val="20"/>
                <w:szCs w:val="20"/>
                <w:color w:val="auto"/>
              </w:rPr>
            </w:pPr>
            <w:r>
              <w:rPr>
                <w:rFonts w:ascii="Arial" w:cs="Arial" w:eastAsia="Arial" w:hAnsi="Arial"/>
                <w:sz w:val="14"/>
                <w:szCs w:val="14"/>
                <w:color w:val="auto"/>
              </w:rPr>
              <w:t>55,131,817</w:t>
            </w:r>
          </w:p>
        </w:tc>
        <w:tc>
          <w:tcPr>
            <w:tcW w:w="260" w:type="dxa"/>
            <w:vAlign w:val="bottom"/>
            <w:shd w:val="clear" w:color="auto" w:fill="CFF0FC"/>
          </w:tcPr>
          <w:p>
            <w:pPr>
              <w:spacing w:after="0"/>
              <w:rPr>
                <w:sz w:val="13"/>
                <w:szCs w:val="13"/>
                <w:color w:val="auto"/>
              </w:rPr>
            </w:pPr>
          </w:p>
        </w:tc>
        <w:tc>
          <w:tcPr>
            <w:tcW w:w="300" w:type="dxa"/>
            <w:vAlign w:val="bottom"/>
            <w:shd w:val="clear" w:color="auto" w:fill="CFF0FC"/>
          </w:tcPr>
          <w:p>
            <w:pPr>
              <w:spacing w:after="0"/>
              <w:rPr>
                <w:sz w:val="13"/>
                <w:szCs w:val="13"/>
                <w:color w:val="auto"/>
              </w:rPr>
            </w:pPr>
          </w:p>
        </w:tc>
        <w:tc>
          <w:tcPr>
            <w:tcW w:w="1060" w:type="dxa"/>
            <w:vAlign w:val="bottom"/>
            <w:shd w:val="clear" w:color="auto" w:fill="CFF0FC"/>
          </w:tcPr>
          <w:p>
            <w:pPr>
              <w:jc w:val="right"/>
              <w:spacing w:after="0" w:line="155" w:lineRule="exact"/>
              <w:rPr>
                <w:sz w:val="20"/>
                <w:szCs w:val="20"/>
                <w:color w:val="auto"/>
              </w:rPr>
            </w:pPr>
            <w:r>
              <w:rPr>
                <w:rFonts w:ascii="Arial" w:cs="Arial" w:eastAsia="Arial" w:hAnsi="Arial"/>
                <w:sz w:val="14"/>
                <w:szCs w:val="14"/>
                <w:color w:val="auto"/>
              </w:rPr>
              <w:t>290,521</w:t>
            </w:r>
          </w:p>
        </w:tc>
        <w:tc>
          <w:tcPr>
            <w:tcW w:w="120" w:type="dxa"/>
            <w:vAlign w:val="bottom"/>
            <w:shd w:val="clear" w:color="auto" w:fill="CFF0FC"/>
          </w:tcPr>
          <w:p>
            <w:pPr>
              <w:spacing w:after="0"/>
              <w:rPr>
                <w:sz w:val="13"/>
                <w:szCs w:val="13"/>
                <w:color w:val="auto"/>
              </w:rPr>
            </w:pPr>
          </w:p>
        </w:tc>
      </w:tr>
      <w:tr>
        <w:trPr>
          <w:trHeight w:val="162"/>
        </w:trPr>
        <w:tc>
          <w:tcPr>
            <w:tcW w:w="6720" w:type="dxa"/>
            <w:vAlign w:val="bottom"/>
          </w:tcPr>
          <w:p>
            <w:pPr>
              <w:ind w:left="380"/>
              <w:spacing w:after="0"/>
              <w:rPr>
                <w:sz w:val="20"/>
                <w:szCs w:val="20"/>
                <w:color w:val="auto"/>
              </w:rPr>
            </w:pPr>
            <w:r>
              <w:rPr>
                <w:rFonts w:ascii="Arial" w:cs="Arial" w:eastAsia="Arial" w:hAnsi="Arial"/>
                <w:sz w:val="14"/>
                <w:szCs w:val="14"/>
                <w:color w:val="auto"/>
              </w:rPr>
              <w:t>NET INCREASE (DECREASE) IN CASH</w:t>
            </w:r>
          </w:p>
        </w:tc>
        <w:tc>
          <w:tcPr>
            <w:tcW w:w="300" w:type="dxa"/>
            <w:vAlign w:val="bottom"/>
          </w:tcPr>
          <w:p>
            <w:pPr>
              <w:spacing w:after="0"/>
              <w:rPr>
                <w:sz w:val="14"/>
                <w:szCs w:val="14"/>
                <w:color w:val="auto"/>
              </w:rPr>
            </w:pPr>
          </w:p>
        </w:tc>
        <w:tc>
          <w:tcPr>
            <w:tcW w:w="1140" w:type="dxa"/>
            <w:vAlign w:val="bottom"/>
            <w:gridSpan w:val="2"/>
          </w:tcPr>
          <w:p>
            <w:pPr>
              <w:jc w:val="right"/>
              <w:ind w:right="40"/>
              <w:spacing w:after="0"/>
              <w:rPr>
                <w:sz w:val="20"/>
                <w:szCs w:val="20"/>
                <w:color w:val="auto"/>
              </w:rPr>
            </w:pPr>
            <w:r>
              <w:rPr>
                <w:rFonts w:ascii="Arial" w:cs="Arial" w:eastAsia="Arial" w:hAnsi="Arial"/>
                <w:sz w:val="14"/>
                <w:szCs w:val="14"/>
                <w:color w:val="auto"/>
              </w:rPr>
              <w:t>(60,527,881)</w:t>
            </w:r>
          </w:p>
        </w:tc>
        <w:tc>
          <w:tcPr>
            <w:tcW w:w="1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4,152,094</w:t>
            </w:r>
          </w:p>
        </w:tc>
        <w:tc>
          <w:tcPr>
            <w:tcW w:w="2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80" w:type="dxa"/>
            <w:vAlign w:val="bottom"/>
            <w:gridSpan w:val="2"/>
          </w:tcPr>
          <w:p>
            <w:pPr>
              <w:jc w:val="right"/>
              <w:ind w:right="80"/>
              <w:spacing w:after="0"/>
              <w:rPr>
                <w:sz w:val="20"/>
                <w:szCs w:val="20"/>
                <w:color w:val="auto"/>
              </w:rPr>
            </w:pPr>
            <w:r>
              <w:rPr>
                <w:rFonts w:ascii="Arial" w:cs="Arial" w:eastAsia="Arial" w:hAnsi="Arial"/>
                <w:sz w:val="14"/>
                <w:szCs w:val="14"/>
                <w:color w:val="auto"/>
              </w:rPr>
              <w:t>(51,296,256)</w:t>
            </w:r>
          </w:p>
        </w:tc>
      </w:tr>
      <w:tr>
        <w:trPr>
          <w:trHeight w:val="162"/>
        </w:trPr>
        <w:tc>
          <w:tcPr>
            <w:tcW w:w="6720" w:type="dxa"/>
            <w:vAlign w:val="bottom"/>
            <w:shd w:val="clear" w:color="auto" w:fill="CFF0FC"/>
          </w:tcPr>
          <w:p>
            <w:pPr>
              <w:ind w:left="140"/>
              <w:spacing w:after="0"/>
              <w:rPr>
                <w:sz w:val="20"/>
                <w:szCs w:val="20"/>
                <w:color w:val="auto"/>
              </w:rPr>
            </w:pPr>
            <w:r>
              <w:rPr>
                <w:rFonts w:ascii="Arial" w:cs="Arial" w:eastAsia="Arial" w:hAnsi="Arial"/>
                <w:sz w:val="14"/>
                <w:szCs w:val="14"/>
                <w:color w:val="auto"/>
              </w:rPr>
              <w:t>CASH AT BEGINNING OF PERIOD</w:t>
            </w:r>
          </w:p>
        </w:tc>
        <w:tc>
          <w:tcPr>
            <w:tcW w:w="300" w:type="dxa"/>
            <w:vAlign w:val="bottom"/>
            <w:tcBorders>
              <w:bottom w:val="single" w:sz="8" w:color="auto"/>
            </w:tcBorders>
            <w:shd w:val="clear" w:color="auto" w:fill="CFF0FC"/>
          </w:tcPr>
          <w:p>
            <w:pPr>
              <w:spacing w:after="0"/>
              <w:rPr>
                <w:sz w:val="14"/>
                <w:szCs w:val="14"/>
                <w:color w:val="auto"/>
              </w:rPr>
            </w:pPr>
          </w:p>
        </w:tc>
        <w:tc>
          <w:tcPr>
            <w:tcW w:w="10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85,366,448</w:t>
            </w:r>
          </w:p>
        </w:tc>
        <w:tc>
          <w:tcPr>
            <w:tcW w:w="8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300" w:type="dxa"/>
            <w:vAlign w:val="bottom"/>
            <w:tcBorders>
              <w:bottom w:val="single" w:sz="8" w:color="auto"/>
            </w:tcBorders>
            <w:shd w:val="clear" w:color="auto" w:fill="CFF0FC"/>
          </w:tcPr>
          <w:p>
            <w:pPr>
              <w:spacing w:after="0"/>
              <w:rPr>
                <w:sz w:val="14"/>
                <w:szCs w:val="14"/>
                <w:color w:val="auto"/>
              </w:rPr>
            </w:pPr>
          </w:p>
        </w:tc>
        <w:tc>
          <w:tcPr>
            <w:tcW w:w="10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81,214,354</w:t>
            </w:r>
          </w:p>
        </w:tc>
        <w:tc>
          <w:tcPr>
            <w:tcW w:w="260" w:type="dxa"/>
            <w:vAlign w:val="bottom"/>
            <w:shd w:val="clear" w:color="auto" w:fill="CFF0FC"/>
          </w:tcPr>
          <w:p>
            <w:pPr>
              <w:spacing w:after="0"/>
              <w:rPr>
                <w:sz w:val="14"/>
                <w:szCs w:val="14"/>
                <w:color w:val="auto"/>
              </w:rPr>
            </w:pPr>
          </w:p>
        </w:tc>
        <w:tc>
          <w:tcPr>
            <w:tcW w:w="300" w:type="dxa"/>
            <w:vAlign w:val="bottom"/>
            <w:tcBorders>
              <w:bottom w:val="single" w:sz="8" w:color="auto"/>
            </w:tcBorders>
            <w:shd w:val="clear" w:color="auto" w:fill="CFF0FC"/>
          </w:tcPr>
          <w:p>
            <w:pPr>
              <w:spacing w:after="0"/>
              <w:rPr>
                <w:sz w:val="14"/>
                <w:szCs w:val="14"/>
                <w:color w:val="auto"/>
              </w:rPr>
            </w:pPr>
          </w:p>
        </w:tc>
        <w:tc>
          <w:tcPr>
            <w:tcW w:w="10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132,510,610</w:t>
            </w:r>
          </w:p>
        </w:tc>
        <w:tc>
          <w:tcPr>
            <w:tcW w:w="120" w:type="dxa"/>
            <w:vAlign w:val="bottom"/>
            <w:shd w:val="clear" w:color="auto" w:fill="CFF0FC"/>
          </w:tcPr>
          <w:p>
            <w:pPr>
              <w:spacing w:after="0"/>
              <w:rPr>
                <w:sz w:val="14"/>
                <w:szCs w:val="14"/>
                <w:color w:val="auto"/>
              </w:rPr>
            </w:pPr>
          </w:p>
        </w:tc>
      </w:tr>
      <w:tr>
        <w:trPr>
          <w:trHeight w:val="196"/>
        </w:trPr>
        <w:tc>
          <w:tcPr>
            <w:tcW w:w="6720" w:type="dxa"/>
            <w:vAlign w:val="bottom"/>
            <w:tcBorders>
              <w:bottom w:val="single" w:sz="8" w:color="CFF0FC"/>
            </w:tcBorders>
          </w:tcPr>
          <w:p>
            <w:pPr>
              <w:ind w:left="140"/>
              <w:spacing w:after="0" w:line="155" w:lineRule="exact"/>
              <w:rPr>
                <w:sz w:val="20"/>
                <w:szCs w:val="20"/>
                <w:color w:val="auto"/>
              </w:rPr>
            </w:pPr>
            <w:r>
              <w:rPr>
                <w:rFonts w:ascii="Arial" w:cs="Arial" w:eastAsia="Arial" w:hAnsi="Arial"/>
                <w:sz w:val="14"/>
                <w:szCs w:val="14"/>
                <w:color w:val="auto"/>
              </w:rPr>
              <w:t>CASH AT END OF PERIOD</w:t>
            </w:r>
          </w:p>
        </w:tc>
        <w:tc>
          <w:tcPr>
            <w:tcW w:w="300" w:type="dxa"/>
            <w:vAlign w:val="bottom"/>
            <w:tcBorders>
              <w:bottom w:val="single" w:sz="8" w:color="auto"/>
            </w:tcBorders>
          </w:tcPr>
          <w:p>
            <w:pPr>
              <w:jc w:val="right"/>
              <w:ind w:right="148"/>
              <w:spacing w:after="0" w:line="155" w:lineRule="exact"/>
              <w:rPr>
                <w:sz w:val="20"/>
                <w:szCs w:val="20"/>
                <w:color w:val="auto"/>
              </w:rPr>
            </w:pPr>
            <w:r>
              <w:rPr>
                <w:rFonts w:ascii="Arial" w:cs="Arial" w:eastAsia="Arial" w:hAnsi="Arial"/>
                <w:sz w:val="14"/>
                <w:szCs w:val="14"/>
                <w:color w:val="auto"/>
                <w:w w:val="76"/>
              </w:rPr>
              <w:t>$</w:t>
            </w:r>
          </w:p>
        </w:tc>
        <w:tc>
          <w:tcPr>
            <w:tcW w:w="106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24,838,567</w:t>
            </w:r>
          </w:p>
        </w:tc>
        <w:tc>
          <w:tcPr>
            <w:tcW w:w="80" w:type="dxa"/>
            <w:vAlign w:val="bottom"/>
            <w:tcBorders>
              <w:bottom w:val="single" w:sz="8" w:color="CFF0FC"/>
            </w:tcBorders>
          </w:tcPr>
          <w:p>
            <w:pPr>
              <w:spacing w:after="0"/>
              <w:rPr>
                <w:sz w:val="17"/>
                <w:szCs w:val="17"/>
                <w:color w:val="auto"/>
              </w:rPr>
            </w:pPr>
          </w:p>
        </w:tc>
        <w:tc>
          <w:tcPr>
            <w:tcW w:w="160" w:type="dxa"/>
            <w:vAlign w:val="bottom"/>
            <w:tcBorders>
              <w:bottom w:val="single" w:sz="8" w:color="CFF0FC"/>
            </w:tcBorders>
          </w:tcPr>
          <w:p>
            <w:pPr>
              <w:spacing w:after="0"/>
              <w:rPr>
                <w:sz w:val="17"/>
                <w:szCs w:val="17"/>
                <w:color w:val="auto"/>
              </w:rPr>
            </w:pPr>
          </w:p>
        </w:tc>
        <w:tc>
          <w:tcPr>
            <w:tcW w:w="300" w:type="dxa"/>
            <w:vAlign w:val="bottom"/>
            <w:tcBorders>
              <w:bottom w:val="single" w:sz="8" w:color="auto"/>
            </w:tcBorders>
          </w:tcPr>
          <w:p>
            <w:pPr>
              <w:jc w:val="right"/>
              <w:ind w:right="148"/>
              <w:spacing w:after="0" w:line="155" w:lineRule="exact"/>
              <w:rPr>
                <w:sz w:val="20"/>
                <w:szCs w:val="20"/>
                <w:color w:val="auto"/>
              </w:rPr>
            </w:pPr>
            <w:r>
              <w:rPr>
                <w:rFonts w:ascii="Arial" w:cs="Arial" w:eastAsia="Arial" w:hAnsi="Arial"/>
                <w:sz w:val="14"/>
                <w:szCs w:val="14"/>
                <w:color w:val="auto"/>
                <w:w w:val="76"/>
              </w:rPr>
              <w:t>$</w:t>
            </w:r>
          </w:p>
        </w:tc>
        <w:tc>
          <w:tcPr>
            <w:tcW w:w="106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85,366,448</w:t>
            </w:r>
          </w:p>
        </w:tc>
        <w:tc>
          <w:tcPr>
            <w:tcW w:w="260" w:type="dxa"/>
            <w:vAlign w:val="bottom"/>
            <w:tcBorders>
              <w:bottom w:val="single" w:sz="8" w:color="CFF0FC"/>
            </w:tcBorders>
          </w:tcPr>
          <w:p>
            <w:pPr>
              <w:spacing w:after="0"/>
              <w:rPr>
                <w:sz w:val="17"/>
                <w:szCs w:val="17"/>
                <w:color w:val="auto"/>
              </w:rPr>
            </w:pPr>
          </w:p>
        </w:tc>
        <w:tc>
          <w:tcPr>
            <w:tcW w:w="300" w:type="dxa"/>
            <w:vAlign w:val="bottom"/>
            <w:tcBorders>
              <w:bottom w:val="single" w:sz="8" w:color="auto"/>
            </w:tcBorders>
          </w:tcPr>
          <w:p>
            <w:pPr>
              <w:jc w:val="right"/>
              <w:ind w:right="189"/>
              <w:spacing w:after="0"/>
              <w:rPr>
                <w:sz w:val="20"/>
                <w:szCs w:val="20"/>
                <w:color w:val="auto"/>
              </w:rPr>
            </w:pPr>
            <w:r>
              <w:rPr>
                <w:rFonts w:ascii="Arial" w:cs="Arial" w:eastAsia="Arial" w:hAnsi="Arial"/>
                <w:sz w:val="10"/>
                <w:szCs w:val="10"/>
                <w:color w:val="auto"/>
                <w:w w:val="71"/>
              </w:rPr>
              <w:t>$</w:t>
            </w:r>
          </w:p>
        </w:tc>
        <w:tc>
          <w:tcPr>
            <w:tcW w:w="106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81,214,354</w:t>
            </w:r>
          </w:p>
        </w:tc>
        <w:tc>
          <w:tcPr>
            <w:tcW w:w="120" w:type="dxa"/>
            <w:vAlign w:val="bottom"/>
            <w:tcBorders>
              <w:bottom w:val="single" w:sz="8" w:color="CFF0FC"/>
            </w:tcBorders>
          </w:tcPr>
          <w:p>
            <w:pPr>
              <w:spacing w:after="0"/>
              <w:rPr>
                <w:sz w:val="17"/>
                <w:szCs w:val="17"/>
                <w:color w:val="auto"/>
              </w:rPr>
            </w:pPr>
          </w:p>
        </w:tc>
      </w:tr>
      <w:tr>
        <w:trPr>
          <w:trHeight w:val="143"/>
        </w:trPr>
        <w:tc>
          <w:tcPr>
            <w:tcW w:w="6720" w:type="dxa"/>
            <w:vAlign w:val="bottom"/>
            <w:shd w:val="clear" w:color="auto" w:fill="CFF0FC"/>
          </w:tcPr>
          <w:p>
            <w:pPr>
              <w:ind w:left="140"/>
              <w:spacing w:after="0" w:line="143" w:lineRule="exact"/>
              <w:rPr>
                <w:sz w:val="20"/>
                <w:szCs w:val="20"/>
                <w:color w:val="auto"/>
              </w:rPr>
            </w:pPr>
            <w:r>
              <w:rPr>
                <w:rFonts w:ascii="Arial" w:cs="Arial" w:eastAsia="Arial" w:hAnsi="Arial"/>
                <w:sz w:val="14"/>
                <w:szCs w:val="14"/>
                <w:color w:val="auto"/>
              </w:rPr>
              <w:t>Supplementary disclosures:</w:t>
            </w:r>
          </w:p>
        </w:tc>
        <w:tc>
          <w:tcPr>
            <w:tcW w:w="300" w:type="dxa"/>
            <w:vAlign w:val="bottom"/>
            <w:shd w:val="clear" w:color="auto" w:fill="CFF0FC"/>
          </w:tcPr>
          <w:p>
            <w:pPr>
              <w:spacing w:after="0"/>
              <w:rPr>
                <w:sz w:val="12"/>
                <w:szCs w:val="12"/>
                <w:color w:val="auto"/>
              </w:rPr>
            </w:pPr>
          </w:p>
        </w:tc>
        <w:tc>
          <w:tcPr>
            <w:tcW w:w="106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300" w:type="dxa"/>
            <w:vAlign w:val="bottom"/>
            <w:shd w:val="clear" w:color="auto" w:fill="CFF0FC"/>
          </w:tcPr>
          <w:p>
            <w:pPr>
              <w:spacing w:after="0"/>
              <w:rPr>
                <w:sz w:val="12"/>
                <w:szCs w:val="12"/>
                <w:color w:val="auto"/>
              </w:rPr>
            </w:pPr>
          </w:p>
        </w:tc>
        <w:tc>
          <w:tcPr>
            <w:tcW w:w="106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300" w:type="dxa"/>
            <w:vAlign w:val="bottom"/>
            <w:shd w:val="clear" w:color="auto" w:fill="CFF0FC"/>
          </w:tcPr>
          <w:p>
            <w:pPr>
              <w:spacing w:after="0"/>
              <w:rPr>
                <w:sz w:val="12"/>
                <w:szCs w:val="12"/>
                <w:color w:val="auto"/>
              </w:rPr>
            </w:pPr>
          </w:p>
        </w:tc>
        <w:tc>
          <w:tcPr>
            <w:tcW w:w="106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r>
      <w:tr>
        <w:trPr>
          <w:trHeight w:val="162"/>
        </w:trPr>
        <w:tc>
          <w:tcPr>
            <w:tcW w:w="6720" w:type="dxa"/>
            <w:vAlign w:val="bottom"/>
          </w:tcPr>
          <w:p>
            <w:pPr>
              <w:ind w:left="380"/>
              <w:spacing w:after="0"/>
              <w:rPr>
                <w:sz w:val="20"/>
                <w:szCs w:val="20"/>
                <w:color w:val="auto"/>
              </w:rPr>
            </w:pPr>
            <w:r>
              <w:rPr>
                <w:rFonts w:ascii="Arial" w:cs="Arial" w:eastAsia="Arial" w:hAnsi="Arial"/>
                <w:sz w:val="14"/>
                <w:szCs w:val="14"/>
                <w:color w:val="auto"/>
              </w:rPr>
              <w:t>Interest Paid</w:t>
            </w:r>
          </w:p>
        </w:tc>
        <w:tc>
          <w:tcPr>
            <w:tcW w:w="300" w:type="dxa"/>
            <w:vAlign w:val="bottom"/>
          </w:tcPr>
          <w:p>
            <w:pPr>
              <w:jc w:val="right"/>
              <w:ind w:right="148"/>
              <w:spacing w:after="0"/>
              <w:rPr>
                <w:sz w:val="20"/>
                <w:szCs w:val="20"/>
                <w:color w:val="auto"/>
              </w:rPr>
            </w:pPr>
            <w:r>
              <w:rPr>
                <w:rFonts w:ascii="Arial" w:cs="Arial" w:eastAsia="Arial" w:hAnsi="Arial"/>
                <w:sz w:val="14"/>
                <w:szCs w:val="14"/>
                <w:color w:val="auto"/>
                <w:w w:val="76"/>
              </w:rPr>
              <w:t>$</w:t>
            </w:r>
          </w:p>
        </w:tc>
        <w:tc>
          <w:tcPr>
            <w:tcW w:w="1140" w:type="dxa"/>
            <w:vAlign w:val="bottom"/>
            <w:gridSpan w:val="2"/>
          </w:tcPr>
          <w:p>
            <w:pPr>
              <w:jc w:val="right"/>
              <w:ind w:right="40"/>
              <w:spacing w:after="0"/>
              <w:rPr>
                <w:sz w:val="20"/>
                <w:szCs w:val="20"/>
                <w:color w:val="auto"/>
              </w:rPr>
            </w:pPr>
            <w:r>
              <w:rPr>
                <w:rFonts w:ascii="Arial" w:cs="Arial" w:eastAsia="Arial" w:hAnsi="Arial"/>
                <w:sz w:val="14"/>
                <w:szCs w:val="14"/>
                <w:color w:val="auto"/>
              </w:rPr>
              <w:t>(187,647)</w:t>
            </w:r>
          </w:p>
        </w:tc>
        <w:tc>
          <w:tcPr>
            <w:tcW w:w="460" w:type="dxa"/>
            <w:vAlign w:val="bottom"/>
            <w:gridSpan w:val="2"/>
          </w:tcPr>
          <w:p>
            <w:pPr>
              <w:jc w:val="right"/>
              <w:ind w:right="148"/>
              <w:spacing w:after="0"/>
              <w:rPr>
                <w:sz w:val="20"/>
                <w:szCs w:val="20"/>
                <w:color w:val="auto"/>
              </w:rPr>
            </w:pPr>
            <w:r>
              <w:rPr>
                <w:rFonts w:ascii="Arial" w:cs="Arial" w:eastAsia="Arial" w:hAnsi="Arial"/>
                <w:sz w:val="14"/>
                <w:szCs w:val="14"/>
                <w:color w:val="auto"/>
              </w:rPr>
              <w:t>$</w:t>
            </w:r>
          </w:p>
        </w:tc>
        <w:tc>
          <w:tcPr>
            <w:tcW w:w="1320" w:type="dxa"/>
            <w:vAlign w:val="bottom"/>
            <w:gridSpan w:val="2"/>
          </w:tcPr>
          <w:p>
            <w:pPr>
              <w:jc w:val="right"/>
              <w:ind w:right="220"/>
              <w:spacing w:after="0"/>
              <w:rPr>
                <w:sz w:val="20"/>
                <w:szCs w:val="20"/>
                <w:color w:val="auto"/>
              </w:rPr>
            </w:pPr>
            <w:r>
              <w:rPr>
                <w:rFonts w:ascii="Arial" w:cs="Arial" w:eastAsia="Arial" w:hAnsi="Arial"/>
                <w:sz w:val="14"/>
                <w:szCs w:val="14"/>
                <w:color w:val="auto"/>
              </w:rPr>
              <w:t>(11,287)</w:t>
            </w:r>
          </w:p>
        </w:tc>
        <w:tc>
          <w:tcPr>
            <w:tcW w:w="300" w:type="dxa"/>
            <w:vAlign w:val="bottom"/>
          </w:tcPr>
          <w:p>
            <w:pPr>
              <w:jc w:val="right"/>
              <w:ind w:right="189"/>
              <w:spacing w:after="0"/>
              <w:rPr>
                <w:sz w:val="20"/>
                <w:szCs w:val="20"/>
                <w:color w:val="auto"/>
              </w:rPr>
            </w:pPr>
            <w:r>
              <w:rPr>
                <w:rFonts w:ascii="Arial" w:cs="Arial" w:eastAsia="Arial" w:hAnsi="Arial"/>
                <w:sz w:val="10"/>
                <w:szCs w:val="10"/>
                <w:color w:val="auto"/>
                <w:w w:val="71"/>
              </w:rPr>
              <w:t>$</w:t>
            </w:r>
          </w:p>
        </w:tc>
        <w:tc>
          <w:tcPr>
            <w:tcW w:w="1180" w:type="dxa"/>
            <w:vAlign w:val="bottom"/>
            <w:gridSpan w:val="2"/>
          </w:tcPr>
          <w:p>
            <w:pPr>
              <w:jc w:val="right"/>
              <w:ind w:right="80"/>
              <w:spacing w:after="0"/>
              <w:rPr>
                <w:sz w:val="20"/>
                <w:szCs w:val="20"/>
                <w:color w:val="auto"/>
              </w:rPr>
            </w:pPr>
            <w:r>
              <w:rPr>
                <w:rFonts w:ascii="Arial" w:cs="Arial" w:eastAsia="Arial" w:hAnsi="Arial"/>
                <w:sz w:val="14"/>
                <w:szCs w:val="14"/>
                <w:color w:val="auto"/>
              </w:rPr>
              <w:t>(14,429)</w:t>
            </w:r>
          </w:p>
        </w:tc>
      </w:tr>
      <w:tr>
        <w:trPr>
          <w:trHeight w:val="162"/>
        </w:trPr>
        <w:tc>
          <w:tcPr>
            <w:tcW w:w="6720" w:type="dxa"/>
            <w:vAlign w:val="bottom"/>
            <w:shd w:val="clear" w:color="auto" w:fill="CFF0FC"/>
          </w:tcPr>
          <w:p>
            <w:pPr>
              <w:ind w:left="380"/>
              <w:spacing w:after="0"/>
              <w:rPr>
                <w:sz w:val="20"/>
                <w:szCs w:val="20"/>
                <w:color w:val="auto"/>
              </w:rPr>
            </w:pPr>
            <w:r>
              <w:rPr>
                <w:rFonts w:ascii="Arial" w:cs="Arial" w:eastAsia="Arial" w:hAnsi="Arial"/>
                <w:sz w:val="14"/>
                <w:szCs w:val="14"/>
                <w:color w:val="auto"/>
              </w:rPr>
              <w:t>Property and equipment purchased through tenant improvement allowance financing</w:t>
            </w:r>
          </w:p>
        </w:tc>
        <w:tc>
          <w:tcPr>
            <w:tcW w:w="300" w:type="dxa"/>
            <w:vAlign w:val="bottom"/>
            <w:shd w:val="clear" w:color="auto" w:fill="CFF0FC"/>
          </w:tcPr>
          <w:p>
            <w:pPr>
              <w:jc w:val="right"/>
              <w:ind w:right="148"/>
              <w:spacing w:after="0"/>
              <w:rPr>
                <w:sz w:val="20"/>
                <w:szCs w:val="20"/>
                <w:color w:val="auto"/>
              </w:rPr>
            </w:pPr>
            <w:r>
              <w:rPr>
                <w:rFonts w:ascii="Arial" w:cs="Arial" w:eastAsia="Arial" w:hAnsi="Arial"/>
                <w:sz w:val="14"/>
                <w:szCs w:val="14"/>
                <w:color w:val="auto"/>
                <w:w w:val="76"/>
              </w:rPr>
              <w:t>$</w:t>
            </w:r>
          </w:p>
        </w:tc>
        <w:tc>
          <w:tcPr>
            <w:tcW w:w="10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80" w:type="dxa"/>
            <w:vAlign w:val="bottom"/>
            <w:shd w:val="clear" w:color="auto" w:fill="CFF0FC"/>
          </w:tcPr>
          <w:p>
            <w:pPr>
              <w:spacing w:after="0"/>
              <w:rPr>
                <w:sz w:val="14"/>
                <w:szCs w:val="14"/>
                <w:color w:val="auto"/>
              </w:rPr>
            </w:pPr>
          </w:p>
        </w:tc>
        <w:tc>
          <w:tcPr>
            <w:tcW w:w="460" w:type="dxa"/>
            <w:vAlign w:val="bottom"/>
            <w:gridSpan w:val="2"/>
            <w:shd w:val="clear" w:color="auto" w:fill="CFF0FC"/>
          </w:tcPr>
          <w:p>
            <w:pPr>
              <w:jc w:val="right"/>
              <w:ind w:right="148"/>
              <w:spacing w:after="0"/>
              <w:rPr>
                <w:sz w:val="20"/>
                <w:szCs w:val="20"/>
                <w:color w:val="auto"/>
              </w:rPr>
            </w:pPr>
            <w:r>
              <w:rPr>
                <w:rFonts w:ascii="Arial" w:cs="Arial" w:eastAsia="Arial" w:hAnsi="Arial"/>
                <w:sz w:val="14"/>
                <w:szCs w:val="14"/>
                <w:color w:val="auto"/>
              </w:rPr>
              <w:t>$</w:t>
            </w:r>
          </w:p>
        </w:tc>
        <w:tc>
          <w:tcPr>
            <w:tcW w:w="1320" w:type="dxa"/>
            <w:vAlign w:val="bottom"/>
            <w:gridSpan w:val="2"/>
            <w:shd w:val="clear" w:color="auto" w:fill="CFF0FC"/>
          </w:tcPr>
          <w:p>
            <w:pPr>
              <w:jc w:val="right"/>
              <w:ind w:right="220"/>
              <w:spacing w:after="0"/>
              <w:rPr>
                <w:sz w:val="20"/>
                <w:szCs w:val="20"/>
                <w:color w:val="auto"/>
              </w:rPr>
            </w:pPr>
            <w:r>
              <w:rPr>
                <w:rFonts w:ascii="Arial" w:cs="Arial" w:eastAsia="Arial" w:hAnsi="Arial"/>
                <w:sz w:val="14"/>
                <w:szCs w:val="14"/>
                <w:color w:val="auto"/>
              </w:rPr>
              <w:t>(4,849,360)</w:t>
            </w:r>
          </w:p>
        </w:tc>
        <w:tc>
          <w:tcPr>
            <w:tcW w:w="300" w:type="dxa"/>
            <w:vAlign w:val="bottom"/>
            <w:shd w:val="clear" w:color="auto" w:fill="CFF0FC"/>
          </w:tcPr>
          <w:p>
            <w:pPr>
              <w:jc w:val="right"/>
              <w:ind w:right="189"/>
              <w:spacing w:after="0"/>
              <w:rPr>
                <w:sz w:val="20"/>
                <w:szCs w:val="20"/>
                <w:color w:val="auto"/>
              </w:rPr>
            </w:pPr>
            <w:r>
              <w:rPr>
                <w:rFonts w:ascii="Arial" w:cs="Arial" w:eastAsia="Arial" w:hAnsi="Arial"/>
                <w:sz w:val="10"/>
                <w:szCs w:val="10"/>
                <w:color w:val="auto"/>
                <w:w w:val="71"/>
              </w:rPr>
              <w:t>$</w:t>
            </w:r>
          </w:p>
        </w:tc>
        <w:tc>
          <w:tcPr>
            <w:tcW w:w="10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20" w:type="dxa"/>
            <w:vAlign w:val="bottom"/>
            <w:shd w:val="clear" w:color="auto" w:fill="CFF0FC"/>
          </w:tcPr>
          <w:p>
            <w:pPr>
              <w:spacing w:after="0"/>
              <w:rPr>
                <w:sz w:val="14"/>
                <w:szCs w:val="14"/>
                <w:color w:val="auto"/>
              </w:rPr>
            </w:pPr>
          </w:p>
        </w:tc>
      </w:tr>
      <w:tr>
        <w:trPr>
          <w:trHeight w:val="162"/>
        </w:trPr>
        <w:tc>
          <w:tcPr>
            <w:tcW w:w="6720" w:type="dxa"/>
            <w:vAlign w:val="bottom"/>
          </w:tcPr>
          <w:p>
            <w:pPr>
              <w:ind w:left="380"/>
              <w:spacing w:after="0"/>
              <w:rPr>
                <w:sz w:val="20"/>
                <w:szCs w:val="20"/>
                <w:color w:val="auto"/>
              </w:rPr>
            </w:pPr>
            <w:r>
              <w:rPr>
                <w:rFonts w:ascii="Arial" w:cs="Arial" w:eastAsia="Arial" w:hAnsi="Arial"/>
                <w:sz w:val="14"/>
                <w:szCs w:val="14"/>
                <w:color w:val="auto"/>
              </w:rPr>
              <w:t>Property and Equipment expenditures included in accounts payable and accrued expenses</w:t>
            </w:r>
          </w:p>
        </w:tc>
        <w:tc>
          <w:tcPr>
            <w:tcW w:w="300" w:type="dxa"/>
            <w:vAlign w:val="bottom"/>
          </w:tcPr>
          <w:p>
            <w:pPr>
              <w:jc w:val="right"/>
              <w:ind w:right="148"/>
              <w:spacing w:after="0"/>
              <w:rPr>
                <w:sz w:val="20"/>
                <w:szCs w:val="20"/>
                <w:color w:val="auto"/>
              </w:rPr>
            </w:pPr>
            <w:r>
              <w:rPr>
                <w:rFonts w:ascii="Arial" w:cs="Arial" w:eastAsia="Arial" w:hAnsi="Arial"/>
                <w:sz w:val="14"/>
                <w:szCs w:val="14"/>
                <w:color w:val="auto"/>
                <w:w w:val="76"/>
              </w:rPr>
              <w:t>$</w:t>
            </w:r>
          </w:p>
        </w:tc>
        <w:tc>
          <w:tcPr>
            <w:tcW w:w="1060" w:type="dxa"/>
            <w:vAlign w:val="bottom"/>
          </w:tcPr>
          <w:p>
            <w:pPr>
              <w:jc w:val="right"/>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460" w:type="dxa"/>
            <w:vAlign w:val="bottom"/>
            <w:gridSpan w:val="2"/>
          </w:tcPr>
          <w:p>
            <w:pPr>
              <w:jc w:val="right"/>
              <w:ind w:right="148"/>
              <w:spacing w:after="0"/>
              <w:rPr>
                <w:sz w:val="20"/>
                <w:szCs w:val="20"/>
                <w:color w:val="auto"/>
              </w:rPr>
            </w:pPr>
            <w:r>
              <w:rPr>
                <w:rFonts w:ascii="Arial" w:cs="Arial" w:eastAsia="Arial" w:hAnsi="Arial"/>
                <w:sz w:val="14"/>
                <w:szCs w:val="14"/>
                <w:color w:val="auto"/>
              </w:rPr>
              <w:t>$</w:t>
            </w:r>
          </w:p>
        </w:tc>
        <w:tc>
          <w:tcPr>
            <w:tcW w:w="1320" w:type="dxa"/>
            <w:vAlign w:val="bottom"/>
            <w:gridSpan w:val="2"/>
          </w:tcPr>
          <w:p>
            <w:pPr>
              <w:jc w:val="right"/>
              <w:ind w:right="220"/>
              <w:spacing w:after="0"/>
              <w:rPr>
                <w:sz w:val="20"/>
                <w:szCs w:val="20"/>
                <w:color w:val="auto"/>
              </w:rPr>
            </w:pPr>
            <w:r>
              <w:rPr>
                <w:rFonts w:ascii="Arial" w:cs="Arial" w:eastAsia="Arial" w:hAnsi="Arial"/>
                <w:sz w:val="14"/>
                <w:szCs w:val="14"/>
                <w:color w:val="auto"/>
              </w:rPr>
              <w:t>(4,801,930)</w:t>
            </w:r>
          </w:p>
        </w:tc>
        <w:tc>
          <w:tcPr>
            <w:tcW w:w="300" w:type="dxa"/>
            <w:vAlign w:val="bottom"/>
          </w:tcPr>
          <w:p>
            <w:pPr>
              <w:jc w:val="right"/>
              <w:ind w:right="189"/>
              <w:spacing w:after="0"/>
              <w:rPr>
                <w:sz w:val="20"/>
                <w:szCs w:val="20"/>
                <w:color w:val="auto"/>
              </w:rPr>
            </w:pPr>
            <w:r>
              <w:rPr>
                <w:rFonts w:ascii="Arial" w:cs="Arial" w:eastAsia="Arial" w:hAnsi="Arial"/>
                <w:sz w:val="10"/>
                <w:szCs w:val="10"/>
                <w:color w:val="auto"/>
                <w:w w:val="71"/>
              </w:rPr>
              <w:t>$</w:t>
            </w:r>
          </w:p>
        </w:tc>
        <w:tc>
          <w:tcPr>
            <w:tcW w:w="1060" w:type="dxa"/>
            <w:vAlign w:val="bottom"/>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r>
      <w:tr>
        <w:trPr>
          <w:trHeight w:val="162"/>
        </w:trPr>
        <w:tc>
          <w:tcPr>
            <w:tcW w:w="6720" w:type="dxa"/>
            <w:vAlign w:val="bottom"/>
            <w:shd w:val="clear" w:color="auto" w:fill="CFF0FC"/>
          </w:tcPr>
          <w:p>
            <w:pPr>
              <w:ind w:left="380"/>
              <w:spacing w:after="0"/>
              <w:rPr>
                <w:sz w:val="20"/>
                <w:szCs w:val="20"/>
                <w:color w:val="auto"/>
              </w:rPr>
            </w:pPr>
            <w:r>
              <w:rPr>
                <w:rFonts w:ascii="Arial" w:cs="Arial" w:eastAsia="Arial" w:hAnsi="Arial"/>
                <w:sz w:val="14"/>
                <w:szCs w:val="14"/>
                <w:color w:val="auto"/>
              </w:rPr>
              <w:t>Income Tax Credits Refunded</w:t>
            </w:r>
          </w:p>
        </w:tc>
        <w:tc>
          <w:tcPr>
            <w:tcW w:w="300" w:type="dxa"/>
            <w:vAlign w:val="bottom"/>
            <w:shd w:val="clear" w:color="auto" w:fill="CFF0FC"/>
          </w:tcPr>
          <w:p>
            <w:pPr>
              <w:jc w:val="right"/>
              <w:ind w:right="148"/>
              <w:spacing w:after="0"/>
              <w:rPr>
                <w:sz w:val="20"/>
                <w:szCs w:val="20"/>
                <w:color w:val="auto"/>
              </w:rPr>
            </w:pPr>
            <w:r>
              <w:rPr>
                <w:rFonts w:ascii="Arial" w:cs="Arial" w:eastAsia="Arial" w:hAnsi="Arial"/>
                <w:sz w:val="14"/>
                <w:szCs w:val="14"/>
                <w:color w:val="auto"/>
                <w:w w:val="76"/>
              </w:rPr>
              <w:t>$</w:t>
            </w:r>
          </w:p>
        </w:tc>
        <w:tc>
          <w:tcPr>
            <w:tcW w:w="10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3,635,016</w:t>
            </w:r>
          </w:p>
        </w:tc>
        <w:tc>
          <w:tcPr>
            <w:tcW w:w="80" w:type="dxa"/>
            <w:vAlign w:val="bottom"/>
            <w:shd w:val="clear" w:color="auto" w:fill="CFF0FC"/>
          </w:tcPr>
          <w:p>
            <w:pPr>
              <w:spacing w:after="0"/>
              <w:rPr>
                <w:sz w:val="14"/>
                <w:szCs w:val="14"/>
                <w:color w:val="auto"/>
              </w:rPr>
            </w:pPr>
          </w:p>
        </w:tc>
        <w:tc>
          <w:tcPr>
            <w:tcW w:w="460" w:type="dxa"/>
            <w:vAlign w:val="bottom"/>
            <w:gridSpan w:val="2"/>
            <w:shd w:val="clear" w:color="auto" w:fill="CFF0FC"/>
          </w:tcPr>
          <w:p>
            <w:pPr>
              <w:jc w:val="right"/>
              <w:ind w:right="148"/>
              <w:spacing w:after="0"/>
              <w:rPr>
                <w:sz w:val="20"/>
                <w:szCs w:val="20"/>
                <w:color w:val="auto"/>
              </w:rPr>
            </w:pPr>
            <w:r>
              <w:rPr>
                <w:rFonts w:ascii="Arial" w:cs="Arial" w:eastAsia="Arial" w:hAnsi="Arial"/>
                <w:sz w:val="14"/>
                <w:szCs w:val="14"/>
                <w:color w:val="auto"/>
              </w:rPr>
              <w:t>$</w:t>
            </w:r>
          </w:p>
        </w:tc>
        <w:tc>
          <w:tcPr>
            <w:tcW w:w="10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1,365,288</w:t>
            </w:r>
          </w:p>
        </w:tc>
        <w:tc>
          <w:tcPr>
            <w:tcW w:w="260" w:type="dxa"/>
            <w:vAlign w:val="bottom"/>
            <w:shd w:val="clear" w:color="auto" w:fill="CFF0FC"/>
          </w:tcPr>
          <w:p>
            <w:pPr>
              <w:spacing w:after="0"/>
              <w:rPr>
                <w:sz w:val="14"/>
                <w:szCs w:val="14"/>
                <w:color w:val="auto"/>
              </w:rPr>
            </w:pPr>
          </w:p>
        </w:tc>
        <w:tc>
          <w:tcPr>
            <w:tcW w:w="300" w:type="dxa"/>
            <w:vAlign w:val="bottom"/>
            <w:shd w:val="clear" w:color="auto" w:fill="CFF0FC"/>
          </w:tcPr>
          <w:p>
            <w:pPr>
              <w:jc w:val="right"/>
              <w:ind w:right="189"/>
              <w:spacing w:after="0"/>
              <w:rPr>
                <w:sz w:val="20"/>
                <w:szCs w:val="20"/>
                <w:color w:val="auto"/>
              </w:rPr>
            </w:pPr>
            <w:r>
              <w:rPr>
                <w:rFonts w:ascii="Arial" w:cs="Arial" w:eastAsia="Arial" w:hAnsi="Arial"/>
                <w:sz w:val="10"/>
                <w:szCs w:val="10"/>
                <w:color w:val="auto"/>
                <w:w w:val="71"/>
              </w:rPr>
              <w:t>$</w:t>
            </w:r>
          </w:p>
        </w:tc>
        <w:tc>
          <w:tcPr>
            <w:tcW w:w="10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20" w:type="dxa"/>
            <w:vAlign w:val="bottom"/>
            <w:shd w:val="clear" w:color="auto" w:fill="CFF0FC"/>
          </w:tcPr>
          <w:p>
            <w:pPr>
              <w:spacing w:after="0"/>
              <w:rPr>
                <w:sz w:val="14"/>
                <w:szCs w:val="14"/>
                <w:color w:val="auto"/>
              </w:rPr>
            </w:pPr>
          </w:p>
        </w:tc>
      </w:tr>
      <w:tr>
        <w:trPr>
          <w:trHeight w:val="162"/>
        </w:trPr>
        <w:tc>
          <w:tcPr>
            <w:tcW w:w="6720" w:type="dxa"/>
            <w:vAlign w:val="bottom"/>
          </w:tcPr>
          <w:p>
            <w:pPr>
              <w:ind w:left="380"/>
              <w:spacing w:after="0"/>
              <w:rPr>
                <w:sz w:val="20"/>
                <w:szCs w:val="20"/>
                <w:color w:val="auto"/>
              </w:rPr>
            </w:pPr>
            <w:r>
              <w:rPr>
                <w:rFonts w:ascii="Arial" w:cs="Arial" w:eastAsia="Arial" w:hAnsi="Arial"/>
                <w:sz w:val="14"/>
                <w:szCs w:val="14"/>
                <w:color w:val="auto"/>
              </w:rPr>
              <w:t>Income Tax Paid</w:t>
            </w:r>
          </w:p>
        </w:tc>
        <w:tc>
          <w:tcPr>
            <w:tcW w:w="300" w:type="dxa"/>
            <w:vAlign w:val="bottom"/>
          </w:tcPr>
          <w:p>
            <w:pPr>
              <w:jc w:val="right"/>
              <w:ind w:right="148"/>
              <w:spacing w:after="0"/>
              <w:rPr>
                <w:sz w:val="20"/>
                <w:szCs w:val="20"/>
                <w:color w:val="auto"/>
              </w:rPr>
            </w:pPr>
            <w:r>
              <w:rPr>
                <w:rFonts w:ascii="Arial" w:cs="Arial" w:eastAsia="Arial" w:hAnsi="Arial"/>
                <w:sz w:val="14"/>
                <w:szCs w:val="14"/>
                <w:color w:val="auto"/>
                <w:w w:val="76"/>
              </w:rPr>
              <w:t>$</w:t>
            </w:r>
          </w:p>
        </w:tc>
        <w:tc>
          <w:tcPr>
            <w:tcW w:w="1140" w:type="dxa"/>
            <w:vAlign w:val="bottom"/>
            <w:gridSpan w:val="2"/>
          </w:tcPr>
          <w:p>
            <w:pPr>
              <w:jc w:val="right"/>
              <w:ind w:right="40"/>
              <w:spacing w:after="0"/>
              <w:rPr>
                <w:sz w:val="20"/>
                <w:szCs w:val="20"/>
                <w:color w:val="auto"/>
              </w:rPr>
            </w:pPr>
            <w:r>
              <w:rPr>
                <w:rFonts w:ascii="Arial" w:cs="Arial" w:eastAsia="Arial" w:hAnsi="Arial"/>
                <w:sz w:val="14"/>
                <w:szCs w:val="14"/>
                <w:color w:val="auto"/>
              </w:rPr>
              <w:t>(2,400)</w:t>
            </w:r>
          </w:p>
        </w:tc>
        <w:tc>
          <w:tcPr>
            <w:tcW w:w="460" w:type="dxa"/>
            <w:vAlign w:val="bottom"/>
            <w:gridSpan w:val="2"/>
          </w:tcPr>
          <w:p>
            <w:pPr>
              <w:jc w:val="right"/>
              <w:ind w:right="148"/>
              <w:spacing w:after="0"/>
              <w:rPr>
                <w:sz w:val="20"/>
                <w:szCs w:val="20"/>
                <w:color w:val="auto"/>
              </w:rPr>
            </w:pPr>
            <w:r>
              <w:rPr>
                <w:rFonts w:ascii="Arial" w:cs="Arial" w:eastAsia="Arial" w:hAnsi="Arial"/>
                <w:sz w:val="14"/>
                <w:szCs w:val="14"/>
                <w:color w:val="auto"/>
              </w:rPr>
              <w:t>$</w:t>
            </w:r>
          </w:p>
        </w:tc>
        <w:tc>
          <w:tcPr>
            <w:tcW w:w="1320" w:type="dxa"/>
            <w:vAlign w:val="bottom"/>
            <w:gridSpan w:val="2"/>
          </w:tcPr>
          <w:p>
            <w:pPr>
              <w:jc w:val="right"/>
              <w:ind w:right="220"/>
              <w:spacing w:after="0"/>
              <w:rPr>
                <w:sz w:val="20"/>
                <w:szCs w:val="20"/>
                <w:color w:val="auto"/>
              </w:rPr>
            </w:pPr>
            <w:r>
              <w:rPr>
                <w:rFonts w:ascii="Arial" w:cs="Arial" w:eastAsia="Arial" w:hAnsi="Arial"/>
                <w:sz w:val="14"/>
                <w:szCs w:val="14"/>
                <w:color w:val="auto"/>
              </w:rPr>
              <w:t>(2,400)</w:t>
            </w:r>
          </w:p>
        </w:tc>
        <w:tc>
          <w:tcPr>
            <w:tcW w:w="300" w:type="dxa"/>
            <w:vAlign w:val="bottom"/>
          </w:tcPr>
          <w:p>
            <w:pPr>
              <w:jc w:val="right"/>
              <w:ind w:right="189"/>
              <w:spacing w:after="0"/>
              <w:rPr>
                <w:sz w:val="20"/>
                <w:szCs w:val="20"/>
                <w:color w:val="auto"/>
              </w:rPr>
            </w:pPr>
            <w:r>
              <w:rPr>
                <w:rFonts w:ascii="Arial" w:cs="Arial" w:eastAsia="Arial" w:hAnsi="Arial"/>
                <w:sz w:val="10"/>
                <w:szCs w:val="10"/>
                <w:color w:val="auto"/>
                <w:w w:val="71"/>
              </w:rPr>
              <w:t>$</w:t>
            </w:r>
          </w:p>
        </w:tc>
        <w:tc>
          <w:tcPr>
            <w:tcW w:w="1180" w:type="dxa"/>
            <w:vAlign w:val="bottom"/>
            <w:gridSpan w:val="2"/>
          </w:tcPr>
          <w:p>
            <w:pPr>
              <w:jc w:val="right"/>
              <w:ind w:right="80"/>
              <w:spacing w:after="0"/>
              <w:rPr>
                <w:sz w:val="20"/>
                <w:szCs w:val="20"/>
                <w:color w:val="auto"/>
              </w:rPr>
            </w:pPr>
            <w:r>
              <w:rPr>
                <w:rFonts w:ascii="Arial" w:cs="Arial" w:eastAsia="Arial" w:hAnsi="Arial"/>
                <w:sz w:val="14"/>
                <w:szCs w:val="14"/>
                <w:color w:val="auto"/>
              </w:rPr>
              <w:t>(2,400)</w:t>
            </w:r>
          </w:p>
        </w:tc>
      </w:tr>
      <w:tr>
        <w:trPr>
          <w:trHeight w:val="162"/>
        </w:trPr>
        <w:tc>
          <w:tcPr>
            <w:tcW w:w="6720" w:type="dxa"/>
            <w:vAlign w:val="bottom"/>
            <w:shd w:val="clear" w:color="auto" w:fill="CFF0FC"/>
          </w:tcPr>
          <w:p>
            <w:pPr>
              <w:ind w:left="380"/>
              <w:spacing w:after="0"/>
              <w:rPr>
                <w:sz w:val="20"/>
                <w:szCs w:val="20"/>
                <w:color w:val="auto"/>
              </w:rPr>
            </w:pPr>
            <w:r>
              <w:rPr>
                <w:rFonts w:ascii="Arial" w:cs="Arial" w:eastAsia="Arial" w:hAnsi="Arial"/>
                <w:sz w:val="14"/>
                <w:szCs w:val="14"/>
                <w:color w:val="auto"/>
              </w:rPr>
              <w:t>Common Stock issued to Novartis for asset acquisition</w:t>
            </w:r>
          </w:p>
        </w:tc>
        <w:tc>
          <w:tcPr>
            <w:tcW w:w="300" w:type="dxa"/>
            <w:vAlign w:val="bottom"/>
            <w:shd w:val="clear" w:color="auto" w:fill="CFF0FC"/>
          </w:tcPr>
          <w:p>
            <w:pPr>
              <w:jc w:val="right"/>
              <w:ind w:right="148"/>
              <w:spacing w:after="0"/>
              <w:rPr>
                <w:sz w:val="20"/>
                <w:szCs w:val="20"/>
                <w:color w:val="auto"/>
              </w:rPr>
            </w:pPr>
            <w:r>
              <w:rPr>
                <w:rFonts w:ascii="Arial" w:cs="Arial" w:eastAsia="Arial" w:hAnsi="Arial"/>
                <w:sz w:val="14"/>
                <w:szCs w:val="14"/>
                <w:color w:val="auto"/>
                <w:w w:val="76"/>
              </w:rPr>
              <w:t>$</w:t>
            </w:r>
          </w:p>
        </w:tc>
        <w:tc>
          <w:tcPr>
            <w:tcW w:w="10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80" w:type="dxa"/>
            <w:vAlign w:val="bottom"/>
            <w:shd w:val="clear" w:color="auto" w:fill="CFF0FC"/>
          </w:tcPr>
          <w:p>
            <w:pPr>
              <w:spacing w:after="0"/>
              <w:rPr>
                <w:sz w:val="14"/>
                <w:szCs w:val="14"/>
                <w:color w:val="auto"/>
              </w:rPr>
            </w:pPr>
          </w:p>
        </w:tc>
        <w:tc>
          <w:tcPr>
            <w:tcW w:w="460" w:type="dxa"/>
            <w:vAlign w:val="bottom"/>
            <w:gridSpan w:val="2"/>
            <w:shd w:val="clear" w:color="auto" w:fill="CFF0FC"/>
          </w:tcPr>
          <w:p>
            <w:pPr>
              <w:jc w:val="right"/>
              <w:ind w:right="148"/>
              <w:spacing w:after="0"/>
              <w:rPr>
                <w:sz w:val="20"/>
                <w:szCs w:val="20"/>
                <w:color w:val="auto"/>
              </w:rPr>
            </w:pPr>
            <w:r>
              <w:rPr>
                <w:rFonts w:ascii="Arial" w:cs="Arial" w:eastAsia="Arial" w:hAnsi="Arial"/>
                <w:sz w:val="14"/>
                <w:szCs w:val="14"/>
                <w:color w:val="auto"/>
              </w:rPr>
              <w:t>$</w:t>
            </w:r>
          </w:p>
        </w:tc>
        <w:tc>
          <w:tcPr>
            <w:tcW w:w="10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60" w:type="dxa"/>
            <w:vAlign w:val="bottom"/>
            <w:shd w:val="clear" w:color="auto" w:fill="CFF0FC"/>
          </w:tcPr>
          <w:p>
            <w:pPr>
              <w:spacing w:after="0"/>
              <w:rPr>
                <w:sz w:val="14"/>
                <w:szCs w:val="14"/>
                <w:color w:val="auto"/>
              </w:rPr>
            </w:pPr>
          </w:p>
        </w:tc>
        <w:tc>
          <w:tcPr>
            <w:tcW w:w="300" w:type="dxa"/>
            <w:vAlign w:val="bottom"/>
            <w:shd w:val="clear" w:color="auto" w:fill="CFF0FC"/>
          </w:tcPr>
          <w:p>
            <w:pPr>
              <w:jc w:val="right"/>
              <w:ind w:right="189"/>
              <w:spacing w:after="0"/>
              <w:rPr>
                <w:sz w:val="20"/>
                <w:szCs w:val="20"/>
                <w:color w:val="auto"/>
              </w:rPr>
            </w:pPr>
            <w:r>
              <w:rPr>
                <w:rFonts w:ascii="Arial" w:cs="Arial" w:eastAsia="Arial" w:hAnsi="Arial"/>
                <w:sz w:val="10"/>
                <w:szCs w:val="10"/>
                <w:color w:val="auto"/>
                <w:w w:val="71"/>
              </w:rPr>
              <w:t>$</w:t>
            </w:r>
          </w:p>
        </w:tc>
        <w:tc>
          <w:tcPr>
            <w:tcW w:w="1180" w:type="dxa"/>
            <w:vAlign w:val="bottom"/>
            <w:gridSpan w:val="2"/>
            <w:shd w:val="clear" w:color="auto" w:fill="CFF0FC"/>
          </w:tcPr>
          <w:p>
            <w:pPr>
              <w:jc w:val="right"/>
              <w:ind w:right="80"/>
              <w:spacing w:after="0"/>
              <w:rPr>
                <w:sz w:val="20"/>
                <w:szCs w:val="20"/>
                <w:color w:val="auto"/>
              </w:rPr>
            </w:pPr>
            <w:r>
              <w:rPr>
                <w:rFonts w:ascii="Arial" w:cs="Arial" w:eastAsia="Arial" w:hAnsi="Arial"/>
                <w:sz w:val="14"/>
                <w:szCs w:val="14"/>
                <w:color w:val="auto"/>
              </w:rPr>
              <w:t>(25,000,000)</w:t>
            </w:r>
          </w:p>
        </w:tc>
      </w:tr>
    </w:tbl>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Arial" w:cs="Arial" w:eastAsia="Arial" w:hAnsi="Arial"/>
          <w:sz w:val="14"/>
          <w:szCs w:val="14"/>
          <w:i w:val="1"/>
          <w:iCs w:val="1"/>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12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67" w:name="page68"/>
    <w:bookmarkEnd w:id="67"/>
    <w:p>
      <w:pPr>
        <w:jc w:val="center"/>
        <w:ind w:right="-39"/>
        <w:spacing w:after="0"/>
        <w:rPr>
          <w:sz w:val="20"/>
          <w:szCs w:val="20"/>
          <w:color w:val="auto"/>
        </w:rPr>
      </w:pPr>
      <w:r>
        <w:rPr>
          <w:rFonts w:ascii="Arial" w:cs="Arial" w:eastAsia="Arial" w:hAnsi="Arial"/>
          <w:sz w:val="18"/>
          <w:szCs w:val="18"/>
          <w:b w:val="1"/>
          <w:bCs w:val="1"/>
          <w:color w:val="auto"/>
        </w:rPr>
        <w:t>Arrowhead Pharmaceuticals, Inc.</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0" w:lineRule="exact"/>
        <w:rPr>
          <w:sz w:val="20"/>
          <w:szCs w:val="20"/>
          <w:color w:val="auto"/>
        </w:rPr>
      </w:pPr>
    </w:p>
    <w:p>
      <w:pPr>
        <w:spacing w:after="0" w:line="254" w:lineRule="exact"/>
        <w:rPr>
          <w:sz w:val="20"/>
          <w:szCs w:val="20"/>
          <w:color w:val="auto"/>
        </w:rPr>
      </w:pPr>
    </w:p>
    <w:p>
      <w:pPr>
        <w:ind w:right="80" w:firstLine="518"/>
        <w:spacing w:after="0" w:line="297" w:lineRule="auto"/>
        <w:rPr>
          <w:sz w:val="20"/>
          <w:szCs w:val="20"/>
          <w:color w:val="auto"/>
        </w:rPr>
      </w:pPr>
      <w:r>
        <w:rPr>
          <w:rFonts w:ascii="Arial" w:cs="Arial" w:eastAsia="Arial" w:hAnsi="Arial"/>
          <w:sz w:val="16"/>
          <w:szCs w:val="16"/>
          <w:i w:val="1"/>
          <w:iCs w:val="1"/>
          <w:color w:val="auto"/>
        </w:rPr>
        <w:t>Unless otherwise noted, (1) the term “Arrowhead” refers to Arrowhead Pharmaceuticals, Inc., a Delaware corporation and its Subsidiaries, (2) the terms “Company,” “we,” “us,” and “our,” refer to the ongoing business operations of Arrowhead and its Subsidiaries, whether conducted through Arrowhead or a subsidiary of Arrowhead, (3) the term “Subsidiaries” refers collectively to Arrowhead Madison Inc. (“Arrowhead Madison”), Arrowhead Australia Pty Ltd (“Arrowhead Australia”) and Ablaris Therapeutics, Inc. (“Ablaris”), (4) the term “Common Stock” refers to Arrowhead’s Common Stock, (5) the term “Preferred Stock” refers to Arrowhead’s Preferred Stock and (6) the term “Stockholder(s)” refers to the holders of Arrowhead Common Stock.</w:t>
      </w:r>
    </w:p>
    <w:p>
      <w:pPr>
        <w:spacing w:after="0" w:line="303" w:lineRule="exact"/>
        <w:rPr>
          <w:sz w:val="20"/>
          <w:szCs w:val="20"/>
          <w:color w:val="auto"/>
        </w:rPr>
      </w:pPr>
    </w:p>
    <w:p>
      <w:pPr>
        <w:ind w:right="5520"/>
        <w:spacing w:after="0" w:line="407" w:lineRule="auto"/>
        <w:rPr>
          <w:sz w:val="20"/>
          <w:szCs w:val="20"/>
          <w:color w:val="auto"/>
        </w:rPr>
      </w:pPr>
      <w:r>
        <w:rPr>
          <w:rFonts w:ascii="Arial" w:cs="Arial" w:eastAsia="Arial" w:hAnsi="Arial"/>
          <w:sz w:val="18"/>
          <w:szCs w:val="18"/>
          <w:b w:val="1"/>
          <w:bCs w:val="1"/>
          <w:color w:val="auto"/>
        </w:rPr>
        <w:t xml:space="preserve">NOTE 1. </w:t>
      </w:r>
      <w:r>
        <w:rPr>
          <w:rFonts w:ascii="Arial" w:cs="Arial" w:eastAsia="Arial" w:hAnsi="Arial"/>
          <w:sz w:val="18"/>
          <w:szCs w:val="18"/>
          <w:b w:val="1"/>
          <w:bCs w:val="1"/>
          <w:i w:val="1"/>
          <w:iCs w:val="1"/>
          <w:color w:val="auto"/>
        </w:rPr>
        <w:t>ORGANIZATION AND SIGNIFICANT ACCOUNTING POLICIES</w:t>
      </w:r>
      <w:r>
        <w:rPr>
          <w:rFonts w:ascii="Arial" w:cs="Arial" w:eastAsia="Arial" w:hAnsi="Arial"/>
          <w:sz w:val="18"/>
          <w:szCs w:val="18"/>
          <w:b w:val="1"/>
          <w:bCs w:val="1"/>
          <w:color w:val="auto"/>
        </w:rPr>
        <w:t xml:space="preserve"> </w:t>
      </w:r>
      <w:r>
        <w:rPr>
          <w:rFonts w:ascii="Arial" w:cs="Arial" w:eastAsia="Arial" w:hAnsi="Arial"/>
          <w:sz w:val="18"/>
          <w:szCs w:val="18"/>
          <w:i w:val="1"/>
          <w:iCs w:val="1"/>
          <w:color w:val="auto"/>
        </w:rPr>
        <w:t>Nature of Business and Recent Developments</w:t>
      </w:r>
    </w:p>
    <w:p>
      <w:pPr>
        <w:spacing w:after="0" w:line="166" w:lineRule="exact"/>
        <w:rPr>
          <w:sz w:val="20"/>
          <w:szCs w:val="20"/>
          <w:color w:val="auto"/>
        </w:rPr>
      </w:pPr>
    </w:p>
    <w:p>
      <w:pPr>
        <w:ind w:right="100" w:firstLine="665"/>
        <w:spacing w:after="0" w:line="270" w:lineRule="auto"/>
        <w:rPr>
          <w:sz w:val="20"/>
          <w:szCs w:val="20"/>
          <w:color w:val="auto"/>
        </w:rPr>
      </w:pPr>
      <w:r>
        <w:rPr>
          <w:rFonts w:ascii="Arial" w:cs="Arial" w:eastAsia="Arial" w:hAnsi="Arial"/>
          <w:sz w:val="17"/>
          <w:szCs w:val="17"/>
          <w:color w:val="auto"/>
        </w:rPr>
        <w:t>Arrowhead Pharmaceuticals, Inc. develops medicines that treat intractable diseases by silencing the genes that cause them. Using a broad portfolio of RNA chemistries and efficient modes of delivery, Arrowhead therapies trigger the RNA interference mechanism to induce rapid, deep and durable knockdown of target genes. RNA interference, or RNAi, is a mechanism present in living cells that inhibits the expression of a specific gene, thereby affecting the production of a specific protein. Deemed to be one of the most important recent discoveries in life science with the potential to transform medicine, the discoverers of RNAi were awarded a Nobel Prize in 2006 for their work. Arrowhead’s RNAi-based therapeutics leverage this natural pathway of gene silencing. The company's pipeline includes ARO-HBV for chronic hepatitis B virus, ARO-AAT for liver disease associated with alpha-1 antitrypsin deficiency (AATD), ARO-APOC3 and ARO-ANG3 for hypertriglyceridemia, ARO-Lung1 for an undisclosed pulmonary target, ARO-HIF2 for renal cell carcinoma, ARO-F12 for hereditary angioedema and thromboembolic disorders, and ARO-AMG1 for an undisclosed genetically validated cardiovascular target under a license and collaboration agreement with Amgen, Inc., a Delaware corporation (“Amgen”). ARO-LPA (AMG 890) for cardiovascular disease was out-licensed to Amgen in 2016.</w:t>
      </w:r>
    </w:p>
    <w:p>
      <w:pPr>
        <w:spacing w:after="0" w:line="178" w:lineRule="exact"/>
        <w:rPr>
          <w:sz w:val="20"/>
          <w:szCs w:val="20"/>
          <w:color w:val="auto"/>
        </w:rPr>
      </w:pPr>
    </w:p>
    <w:p>
      <w:pPr>
        <w:ind w:right="120" w:firstLine="665"/>
        <w:spacing w:after="0" w:line="277" w:lineRule="auto"/>
        <w:rPr>
          <w:sz w:val="20"/>
          <w:szCs w:val="20"/>
          <w:color w:val="auto"/>
        </w:rPr>
      </w:pPr>
      <w:r>
        <w:rPr>
          <w:rFonts w:ascii="Arial" w:cs="Arial" w:eastAsia="Arial" w:hAnsi="Arial"/>
          <w:sz w:val="18"/>
          <w:szCs w:val="18"/>
          <w:color w:val="auto"/>
        </w:rPr>
        <w:t>Arrowhead operates a lab facility in Madison, Wisconsin, where the Company’s research and development activities, including the development of RNAi therapeutics, are based. The Company’s principal executive offices are located in Pasadena, California.</w:t>
      </w:r>
    </w:p>
    <w:p>
      <w:pPr>
        <w:spacing w:after="0" w:line="62" w:lineRule="exact"/>
        <w:rPr>
          <w:sz w:val="20"/>
          <w:szCs w:val="20"/>
          <w:color w:val="auto"/>
        </w:rPr>
      </w:pPr>
    </w:p>
    <w:p>
      <w:pPr>
        <w:ind w:firstLine="665"/>
        <w:spacing w:after="0" w:line="255" w:lineRule="auto"/>
        <w:rPr>
          <w:sz w:val="20"/>
          <w:szCs w:val="20"/>
          <w:color w:val="auto"/>
        </w:rPr>
      </w:pPr>
      <w:r>
        <w:rPr>
          <w:rFonts w:ascii="Arial" w:cs="Arial" w:eastAsia="Arial" w:hAnsi="Arial"/>
          <w:sz w:val="18"/>
          <w:szCs w:val="18"/>
          <w:color w:val="auto"/>
        </w:rPr>
        <w:t>In fiscal 2017, Arrowhead refocused its resources on therapeutics that exclusively utilize the company’s Targeted RNAi Molecule (TRiM</w:t>
      </w:r>
      <w:r>
        <w:rPr>
          <w:rFonts w:ascii="Arial" w:cs="Arial" w:eastAsia="Arial" w:hAnsi="Arial"/>
          <w:sz w:val="15"/>
          <w:szCs w:val="15"/>
          <w:color w:val="auto"/>
        </w:rPr>
        <w:t>TM</w:t>
      </w:r>
      <w:r>
        <w:rPr>
          <w:rFonts w:ascii="Arial" w:cs="Arial" w:eastAsia="Arial" w:hAnsi="Arial"/>
          <w:sz w:val="18"/>
          <w:szCs w:val="18"/>
          <w:color w:val="auto"/>
        </w:rPr>
        <w:t>) platform technology. Therapeutics built on the TRiM</w:t>
      </w:r>
      <w:r>
        <w:rPr>
          <w:rFonts w:ascii="Arial" w:cs="Arial" w:eastAsia="Arial" w:hAnsi="Arial"/>
          <w:sz w:val="15"/>
          <w:szCs w:val="15"/>
          <w:color w:val="auto"/>
        </w:rPr>
        <w:t>TM</w:t>
      </w:r>
      <w:r>
        <w:rPr>
          <w:rFonts w:ascii="Arial" w:cs="Arial" w:eastAsia="Arial" w:hAnsi="Arial"/>
          <w:sz w:val="18"/>
          <w:szCs w:val="18"/>
          <w:color w:val="auto"/>
        </w:rPr>
        <w:t xml:space="preserve"> platform have demonstrated high levels of pharmacologic activity in multiple animal models spanning several therapeutic areas. TRiM</w:t>
      </w:r>
      <w:r>
        <w:rPr>
          <w:rFonts w:ascii="Arial" w:cs="Arial" w:eastAsia="Arial" w:hAnsi="Arial"/>
          <w:sz w:val="15"/>
          <w:szCs w:val="15"/>
          <w:color w:val="auto"/>
        </w:rPr>
        <w:t>TM</w:t>
      </w:r>
      <w:r>
        <w:rPr>
          <w:rFonts w:ascii="Arial" w:cs="Arial" w:eastAsia="Arial" w:hAnsi="Arial"/>
          <w:sz w:val="18"/>
          <w:szCs w:val="18"/>
          <w:color w:val="auto"/>
        </w:rPr>
        <w:t xml:space="preserve"> enabled therapeutics offer several potential advantages over prior generation and competing technologies, including: simplified manufacturing and reduced costs; multiple routes of administration including subcutaneous injection and inhaled administration; the ability to target multiple tissue types including liver, lung, and tumors; and the potential for improved safety and reduced risk of intracellular buildup, because there are less metabolites from smaller, simpler molecules.</w:t>
      </w:r>
    </w:p>
    <w:p>
      <w:pPr>
        <w:spacing w:after="0" w:line="112" w:lineRule="exact"/>
        <w:rPr>
          <w:sz w:val="20"/>
          <w:szCs w:val="20"/>
          <w:color w:val="auto"/>
        </w:rPr>
      </w:pPr>
    </w:p>
    <w:p>
      <w:pPr>
        <w:ind w:firstLine="655"/>
        <w:spacing w:after="0" w:line="287" w:lineRule="auto"/>
        <w:rPr>
          <w:sz w:val="20"/>
          <w:szCs w:val="20"/>
          <w:color w:val="auto"/>
        </w:rPr>
      </w:pPr>
      <w:r>
        <w:rPr>
          <w:rFonts w:ascii="Arial" w:cs="Arial" w:eastAsia="Arial" w:hAnsi="Arial"/>
          <w:sz w:val="17"/>
          <w:szCs w:val="17"/>
          <w:color w:val="auto"/>
        </w:rPr>
        <w:t>As part of the refocusing of resources, Arrowhead announced in November 2016 that it would be discontinuing all clinical programs that utilized the intravenously administered DPC, or EX1, delivery vehicle. The decision to discontinue development of EX1-containing programs was based primarily on two factors. First, during discussions with regulatory agencies and outside experts, it became apparent that there would be substantial delays in all clinical programs that utilize EX1, while the Company further explored the cause of deaths in a non-clinical toxicology study in non-human primates exploring doses of EX1 higher than those planned to be used in humans. Second, the Company had made substantial advances in RNA chemistry and targeting resulting in large potency gains for development programs utilizing the TRiM</w:t>
      </w:r>
      <w:r>
        <w:rPr>
          <w:rFonts w:ascii="Arial" w:cs="Arial" w:eastAsia="Arial" w:hAnsi="Arial"/>
          <w:sz w:val="14"/>
          <w:szCs w:val="14"/>
          <w:color w:val="auto"/>
        </w:rPr>
        <w:t>TM</w:t>
      </w:r>
      <w:r>
        <w:rPr>
          <w:rFonts w:ascii="Arial" w:cs="Arial" w:eastAsia="Arial" w:hAnsi="Arial"/>
          <w:sz w:val="17"/>
          <w:szCs w:val="17"/>
          <w:color w:val="auto"/>
        </w:rPr>
        <w:t xml:space="preserve"> technology, making EX1 no longer necessary.</w:t>
      </w:r>
    </w:p>
    <w:p>
      <w:pPr>
        <w:spacing w:after="0" w:line="27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Liquidity</w:t>
      </w:r>
    </w:p>
    <w:p>
      <w:pPr>
        <w:spacing w:after="0" w:line="117" w:lineRule="exact"/>
        <w:rPr>
          <w:sz w:val="20"/>
          <w:szCs w:val="20"/>
          <w:color w:val="auto"/>
        </w:rPr>
      </w:pPr>
    </w:p>
    <w:p>
      <w:pPr>
        <w:ind w:right="20" w:firstLine="518"/>
        <w:spacing w:after="0" w:line="257" w:lineRule="auto"/>
        <w:rPr>
          <w:sz w:val="20"/>
          <w:szCs w:val="20"/>
          <w:color w:val="auto"/>
        </w:rPr>
      </w:pPr>
      <w:r>
        <w:rPr>
          <w:rFonts w:ascii="Arial" w:cs="Arial" w:eastAsia="Arial" w:hAnsi="Arial"/>
          <w:sz w:val="18"/>
          <w:szCs w:val="18"/>
          <w:color w:val="auto"/>
        </w:rPr>
        <w:t>The Consolidated Financial Statements have been prepared in conformity with the accounting principles generally accepted in the United States of America, which contemplate the continuation of the Company as a going concern. Historically, the Company’s primary source of financing has been through the sale of its securities. Research and development activities have required significant capital investment since the Company’s inception. The Company expects its operations to continue to require cash investment to pursue its research and development goals, including clinical trials and related drug manufacturing.</w:t>
      </w:r>
    </w:p>
    <w:p>
      <w:pPr>
        <w:spacing w:after="0" w:line="18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12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80"/>
          </w:cols>
          <w:pgMar w:left="240" w:top="121" w:right="279" w:bottom="1440" w:gutter="0" w:footer="0" w:header="0"/>
        </w:sectPr>
      </w:pPr>
    </w:p>
    <w:bookmarkStart w:id="68" w:name="page69"/>
    <w:bookmarkEnd w:id="68"/>
    <w:p>
      <w:pPr>
        <w:ind w:right="20" w:firstLine="518"/>
        <w:spacing w:after="0" w:line="291" w:lineRule="auto"/>
        <w:rPr>
          <w:sz w:val="20"/>
          <w:szCs w:val="20"/>
          <w:color w:val="auto"/>
        </w:rPr>
      </w:pPr>
      <w:r>
        <w:rPr>
          <w:rFonts w:ascii="Arial" w:cs="Arial" w:eastAsia="Arial" w:hAnsi="Arial"/>
          <w:sz w:val="16"/>
          <w:szCs w:val="16"/>
          <w:color w:val="auto"/>
        </w:rPr>
        <w:t>At September 30, 2017, the Company had $24.8 million in cash to fund operations. In addition to its cash resources, the Company has invested excess cash in investment grade commercial bonds maturing in less than 12 months. At September 30, 2017, the Company had invested $40.8 million in</w:t>
      </w:r>
    </w:p>
    <w:p>
      <w:pPr>
        <w:spacing w:after="0" w:line="255" w:lineRule="auto"/>
        <w:rPr>
          <w:sz w:val="20"/>
          <w:szCs w:val="20"/>
          <w:color w:val="auto"/>
        </w:rPr>
      </w:pPr>
      <w:r>
        <w:rPr>
          <w:rFonts w:ascii="Arial" w:cs="Arial" w:eastAsia="Arial" w:hAnsi="Arial"/>
          <w:sz w:val="18"/>
          <w:szCs w:val="18"/>
          <w:color w:val="auto"/>
        </w:rPr>
        <w:t>bonds. During the year ended September 30, 2017, the Company’s cash and investments balances combined decreased by $19.8 million, which was the result of $53.9 million in cash outflows related to operating activities (excluding the upfront payment from Amgen discussed below), and $7.9 million of capital expenditures, offset by $42.5 million in upfront payments and equity investments from Amgen.</w:t>
      </w:r>
    </w:p>
    <w:p>
      <w:pPr>
        <w:spacing w:after="0" w:line="190" w:lineRule="exact"/>
        <w:rPr>
          <w:sz w:val="20"/>
          <w:szCs w:val="20"/>
          <w:color w:val="auto"/>
        </w:rPr>
      </w:pPr>
    </w:p>
    <w:p>
      <w:pPr>
        <w:ind w:right="240" w:firstLine="518"/>
        <w:spacing w:after="0" w:line="259" w:lineRule="auto"/>
        <w:rPr>
          <w:sz w:val="20"/>
          <w:szCs w:val="20"/>
          <w:color w:val="auto"/>
        </w:rPr>
      </w:pPr>
      <w:r>
        <w:rPr>
          <w:rFonts w:ascii="Arial" w:cs="Arial" w:eastAsia="Arial" w:hAnsi="Arial"/>
          <w:sz w:val="18"/>
          <w:szCs w:val="18"/>
          <w:color w:val="auto"/>
        </w:rPr>
        <w:t>On November 18, 2016, the Company and Amgen received Hart-Scott-Rodino clearance with regard to the ARO-LPA (AMG 890) Agreement discussed in Note 2 below. Based on the terms of this agreement, and the Common Stock Purchase Agreement, the Company issued 1,745,810 shares of Common Stock to Amgen, and received proceeds of approximately $12.5 million. Additionally, the Company received a $30 million upfront payment due under the ARO-LPA (AMG 890) Agreement discussed below.</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Summary of Significant Accounting Policies</w:t>
      </w:r>
    </w:p>
    <w:p>
      <w:pPr>
        <w:spacing w:after="0" w:line="117" w:lineRule="exact"/>
        <w:rPr>
          <w:sz w:val="20"/>
          <w:szCs w:val="20"/>
          <w:color w:val="auto"/>
        </w:rPr>
      </w:pPr>
    </w:p>
    <w:p>
      <w:pPr>
        <w:ind w:right="40" w:firstLine="518"/>
        <w:spacing w:after="0" w:line="264" w:lineRule="auto"/>
        <w:rPr>
          <w:sz w:val="20"/>
          <w:szCs w:val="20"/>
          <w:color w:val="auto"/>
        </w:rPr>
      </w:pPr>
      <w:r>
        <w:rPr>
          <w:rFonts w:ascii="Arial" w:cs="Arial" w:eastAsia="Arial" w:hAnsi="Arial"/>
          <w:sz w:val="18"/>
          <w:szCs w:val="18"/>
          <w:color w:val="auto"/>
        </w:rPr>
        <w:t>Principles of Consolidation—The consolidated financial statements include the accounts of Arrowhead and its Subsidiaries. Arrowhead’s primary operating subsidiary is Arrowhead Madison, which is located in Madison, Wisconsin, where the Company’s research and development facility is located. All significant intercompany accounts and transactions are eliminated in consolidation.</w:t>
      </w:r>
    </w:p>
    <w:p>
      <w:pPr>
        <w:spacing w:after="0" w:line="181" w:lineRule="exact"/>
        <w:rPr>
          <w:sz w:val="20"/>
          <w:szCs w:val="20"/>
          <w:color w:val="auto"/>
        </w:rPr>
      </w:pPr>
    </w:p>
    <w:p>
      <w:pPr>
        <w:ind w:right="80" w:firstLine="518"/>
        <w:spacing w:after="0" w:line="257" w:lineRule="auto"/>
        <w:rPr>
          <w:sz w:val="20"/>
          <w:szCs w:val="20"/>
          <w:color w:val="auto"/>
        </w:rPr>
      </w:pPr>
      <w:r>
        <w:rPr>
          <w:rFonts w:ascii="Arial" w:cs="Arial" w:eastAsia="Arial" w:hAnsi="Arial"/>
          <w:sz w:val="18"/>
          <w:szCs w:val="18"/>
          <w:color w:val="auto"/>
        </w:rPr>
        <w:t>Basis of Presentation and Use of Estimates—The preparation of financial statements in conformity with accounting principles generally accepted in the United States requires management to make estimates and assumptions that affect the reported amounts of assets and liabilities and disclosure of contingent assets and liabilities at the date of the financial statements and the reported amounts of revenues and expenses during the reporting period. Actual results could materially differ from those estimates. Additionally, certain reclassifications have been made to prior period financial statements to conform to the current period presentation.</w:t>
      </w:r>
    </w:p>
    <w:p>
      <w:pPr>
        <w:spacing w:after="0" w:line="188" w:lineRule="exact"/>
        <w:rPr>
          <w:sz w:val="20"/>
          <w:szCs w:val="20"/>
          <w:color w:val="auto"/>
        </w:rPr>
      </w:pPr>
    </w:p>
    <w:p>
      <w:pPr>
        <w:ind w:right="680" w:firstLine="518"/>
        <w:spacing w:after="0" w:line="277" w:lineRule="auto"/>
        <w:rPr>
          <w:sz w:val="20"/>
          <w:szCs w:val="20"/>
          <w:color w:val="auto"/>
        </w:rPr>
      </w:pPr>
      <w:r>
        <w:rPr>
          <w:rFonts w:ascii="Arial" w:cs="Arial" w:eastAsia="Arial" w:hAnsi="Arial"/>
          <w:sz w:val="18"/>
          <w:szCs w:val="18"/>
          <w:color w:val="auto"/>
        </w:rPr>
        <w:t>Cash and Cash Equivalents—The Company considers all liquid debt instruments purchased with a maturity of three months or less to be cash equivalents. The Company had no restricted cash at September 30, 2017 and September 30, 2016.</w:t>
      </w:r>
    </w:p>
    <w:p>
      <w:pPr>
        <w:spacing w:after="0" w:line="170" w:lineRule="exact"/>
        <w:rPr>
          <w:sz w:val="20"/>
          <w:szCs w:val="20"/>
          <w:color w:val="auto"/>
        </w:rPr>
      </w:pPr>
    </w:p>
    <w:p>
      <w:pPr>
        <w:ind w:right="480" w:firstLine="518"/>
        <w:spacing w:after="0" w:line="286" w:lineRule="auto"/>
        <w:rPr>
          <w:sz w:val="20"/>
          <w:szCs w:val="20"/>
          <w:color w:val="auto"/>
        </w:rPr>
      </w:pPr>
      <w:r>
        <w:rPr>
          <w:rFonts w:ascii="Arial" w:cs="Arial" w:eastAsia="Arial" w:hAnsi="Arial"/>
          <w:sz w:val="17"/>
          <w:szCs w:val="17"/>
          <w:color w:val="auto"/>
        </w:rPr>
        <w:t>Concentration of Credit Risk—The Company maintains several bank accounts at two financial institutions for its operations. These accounts are insured by the Federal Deposit Insurance Corporation (FDIC) for up to $250,000 per institution. Management believes the Company is not exposed to significant credit risk due to the financial position of the depository institutions in which these deposits are held.</w:t>
      </w:r>
    </w:p>
    <w:p>
      <w:pPr>
        <w:spacing w:after="0" w:line="166" w:lineRule="exact"/>
        <w:rPr>
          <w:sz w:val="20"/>
          <w:szCs w:val="20"/>
          <w:color w:val="auto"/>
        </w:rPr>
      </w:pPr>
    </w:p>
    <w:p>
      <w:pPr>
        <w:ind w:right="260" w:firstLine="518"/>
        <w:spacing w:after="0" w:line="259" w:lineRule="auto"/>
        <w:rPr>
          <w:sz w:val="20"/>
          <w:szCs w:val="20"/>
          <w:color w:val="auto"/>
        </w:rPr>
      </w:pPr>
      <w:r>
        <w:rPr>
          <w:rFonts w:ascii="Arial" w:cs="Arial" w:eastAsia="Arial" w:hAnsi="Arial"/>
          <w:sz w:val="18"/>
          <w:szCs w:val="18"/>
          <w:color w:val="auto"/>
        </w:rPr>
        <w:t>Investments—The Company may invest excess cash balances in short-term and long-term marketable debt securities. Investments may include certificates of deposits, money market accounts, government-sponsored enterprise securities, corporate bonds and/or commercial paper. The Company accounts for its investment in marketable securities in accordance with FASB ASC 320, Investments – Debt and Equity Securities. This statement requires certain securities to be classified into three categories:</w:t>
      </w:r>
    </w:p>
    <w:p>
      <w:pPr>
        <w:spacing w:after="0" w:line="79" w:lineRule="exact"/>
        <w:rPr>
          <w:sz w:val="20"/>
          <w:szCs w:val="20"/>
          <w:color w:val="auto"/>
        </w:rPr>
      </w:pPr>
    </w:p>
    <w:p>
      <w:pPr>
        <w:ind w:left="520"/>
        <w:spacing w:after="0"/>
        <w:rPr>
          <w:sz w:val="20"/>
          <w:szCs w:val="20"/>
          <w:color w:val="auto"/>
        </w:rPr>
      </w:pPr>
      <w:r>
        <w:rPr>
          <w:rFonts w:ascii="Arial" w:cs="Arial" w:eastAsia="Arial" w:hAnsi="Arial"/>
          <w:sz w:val="18"/>
          <w:szCs w:val="18"/>
          <w:color w:val="auto"/>
        </w:rPr>
        <w:t>Held-to-maturity—Debt securities that the entity has the positive intent and ability to hold to maturity are reported at amortized cost.</w:t>
      </w:r>
    </w:p>
    <w:p>
      <w:pPr>
        <w:spacing w:after="0" w:line="117" w:lineRule="exact"/>
        <w:rPr>
          <w:sz w:val="20"/>
          <w:szCs w:val="20"/>
          <w:color w:val="auto"/>
        </w:rPr>
      </w:pPr>
    </w:p>
    <w:p>
      <w:pPr>
        <w:ind w:left="520" w:right="120"/>
        <w:spacing w:after="0" w:line="277" w:lineRule="auto"/>
        <w:rPr>
          <w:sz w:val="20"/>
          <w:szCs w:val="20"/>
          <w:color w:val="auto"/>
        </w:rPr>
      </w:pPr>
      <w:r>
        <w:rPr>
          <w:rFonts w:ascii="Arial" w:cs="Arial" w:eastAsia="Arial" w:hAnsi="Arial"/>
          <w:sz w:val="18"/>
          <w:szCs w:val="18"/>
          <w:color w:val="auto"/>
        </w:rPr>
        <w:t>Trading Securities—Debt and equity securities that are bought and held primarily for the purpose of selling in the near term are reported at fair value, with unrealized gains and losses included in earnings.</w:t>
      </w:r>
    </w:p>
    <w:p>
      <w:pPr>
        <w:spacing w:after="0" w:line="62" w:lineRule="exact"/>
        <w:rPr>
          <w:sz w:val="20"/>
          <w:szCs w:val="20"/>
          <w:color w:val="auto"/>
        </w:rPr>
      </w:pPr>
    </w:p>
    <w:p>
      <w:pPr>
        <w:ind w:left="520" w:right="240"/>
        <w:spacing w:after="0" w:line="277" w:lineRule="auto"/>
        <w:rPr>
          <w:sz w:val="20"/>
          <w:szCs w:val="20"/>
          <w:color w:val="auto"/>
        </w:rPr>
      </w:pPr>
      <w:r>
        <w:rPr>
          <w:rFonts w:ascii="Arial" w:cs="Arial" w:eastAsia="Arial" w:hAnsi="Arial"/>
          <w:sz w:val="18"/>
          <w:szCs w:val="18"/>
          <w:color w:val="auto"/>
        </w:rPr>
        <w:t>Available-for-Sale—Debt and equity securities not classified as either securities held-to-maturity or trading securities are reported at fair value with unrealized gains or losses excluded from earnings and reported as a separate component of shareholders’ equity.</w:t>
      </w:r>
    </w:p>
    <w:p>
      <w:pPr>
        <w:spacing w:after="0" w:line="170" w:lineRule="exact"/>
        <w:rPr>
          <w:sz w:val="20"/>
          <w:szCs w:val="20"/>
          <w:color w:val="auto"/>
        </w:rPr>
      </w:pPr>
    </w:p>
    <w:p>
      <w:pPr>
        <w:ind w:right="500" w:firstLine="518"/>
        <w:spacing w:after="0" w:line="308" w:lineRule="auto"/>
        <w:rPr>
          <w:sz w:val="20"/>
          <w:szCs w:val="20"/>
          <w:color w:val="auto"/>
        </w:rPr>
      </w:pPr>
      <w:r>
        <w:rPr>
          <w:rFonts w:ascii="Arial" w:cs="Arial" w:eastAsia="Arial" w:hAnsi="Arial"/>
          <w:sz w:val="17"/>
          <w:szCs w:val="17"/>
          <w:color w:val="auto"/>
        </w:rPr>
        <w:t>The Company classifies its investments in marketable debt securities based on the facts and circumstances present at the time of purchase of the securities. During the year ended September 30, 2017, all of the Company’s investments were classified as held-to-maturity.</w:t>
      </w:r>
    </w:p>
    <w:p>
      <w:pPr>
        <w:spacing w:after="0" w:line="147" w:lineRule="exact"/>
        <w:rPr>
          <w:sz w:val="20"/>
          <w:szCs w:val="20"/>
          <w:color w:val="auto"/>
        </w:rPr>
      </w:pPr>
    </w:p>
    <w:p>
      <w:pPr>
        <w:jc w:val="both"/>
        <w:ind w:right="20" w:firstLine="518"/>
        <w:spacing w:after="0" w:line="264" w:lineRule="auto"/>
        <w:rPr>
          <w:sz w:val="20"/>
          <w:szCs w:val="20"/>
          <w:color w:val="auto"/>
        </w:rPr>
      </w:pPr>
      <w:r>
        <w:rPr>
          <w:rFonts w:ascii="Arial" w:cs="Arial" w:eastAsia="Arial" w:hAnsi="Arial"/>
          <w:sz w:val="18"/>
          <w:szCs w:val="18"/>
          <w:color w:val="auto"/>
        </w:rPr>
        <w:t>Held-to-maturity investments are measured and recorded at amortized cost on the Company’s Consolidated Balance Sheet. Discounts and premiums to par value of the debt securities are amortized to interest income/expense over the term of the security. No gains or losses on investment securities are realized until they are sold or a decline in fair value is determined to be other-than-temporary.</w:t>
      </w:r>
    </w:p>
    <w:p>
      <w:pPr>
        <w:spacing w:after="0" w:line="181" w:lineRule="exact"/>
        <w:rPr>
          <w:sz w:val="20"/>
          <w:szCs w:val="20"/>
          <w:color w:val="auto"/>
        </w:rPr>
      </w:pPr>
    </w:p>
    <w:p>
      <w:pPr>
        <w:ind w:right="20" w:firstLine="518"/>
        <w:spacing w:after="0" w:line="257" w:lineRule="auto"/>
        <w:rPr>
          <w:sz w:val="20"/>
          <w:szCs w:val="20"/>
          <w:color w:val="auto"/>
        </w:rPr>
      </w:pPr>
      <w:r>
        <w:rPr>
          <w:rFonts w:ascii="Arial" w:cs="Arial" w:eastAsia="Arial" w:hAnsi="Arial"/>
          <w:sz w:val="18"/>
          <w:szCs w:val="18"/>
          <w:color w:val="auto"/>
        </w:rPr>
        <w:t>Property and Equipment—Property and equipment are recorded at cost, which may equal fair market value in the case of property and equipment acquired in conjunction with a business acquisition. Depreciation of property and equipment is recorded using the straight-line method over the respective useful lives of the assets ranging from three to seven years. Leasehold improvements are amortized over the lesser of the expected useful life or the remaining lease term. Long-lived assets, including property and equipment are reviewed for impairment whenever events or circumstances indicate that the carrying amount of these assets may not be recoverable.</w:t>
      </w:r>
    </w:p>
    <w:p>
      <w:pPr>
        <w:spacing w:after="0" w:line="18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12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341" w:right="259" w:bottom="1440" w:gutter="0" w:footer="0" w:header="0"/>
        </w:sectPr>
      </w:pPr>
    </w:p>
    <w:bookmarkStart w:id="69" w:name="page70"/>
    <w:bookmarkEnd w:id="69"/>
    <w:p>
      <w:pPr>
        <w:ind w:right="80" w:firstLine="518"/>
        <w:spacing w:after="0" w:line="264" w:lineRule="auto"/>
        <w:rPr>
          <w:sz w:val="20"/>
          <w:szCs w:val="20"/>
          <w:color w:val="auto"/>
        </w:rPr>
      </w:pPr>
      <w:r>
        <w:rPr>
          <w:rFonts w:ascii="Arial" w:cs="Arial" w:eastAsia="Arial" w:hAnsi="Arial"/>
          <w:sz w:val="18"/>
          <w:szCs w:val="18"/>
          <w:color w:val="auto"/>
        </w:rPr>
        <w:t>Intangible Assets Subject to Amortization—Intangible assets subject to amortization include certain patents and a license agreement. Intangible assets subject to amortization are reviewed for impairment whenever events or circumstances indicate that the carrying amount of these assets may not be recoverable.</w:t>
      </w:r>
    </w:p>
    <w:p>
      <w:pPr>
        <w:spacing w:after="0" w:line="208" w:lineRule="exact"/>
        <w:rPr>
          <w:sz w:val="20"/>
          <w:szCs w:val="20"/>
          <w:color w:val="auto"/>
        </w:rPr>
      </w:pPr>
    </w:p>
    <w:p>
      <w:pPr>
        <w:ind w:firstLine="518"/>
        <w:spacing w:after="0" w:line="268" w:lineRule="auto"/>
        <w:rPr>
          <w:sz w:val="20"/>
          <w:szCs w:val="20"/>
          <w:color w:val="auto"/>
        </w:rPr>
      </w:pPr>
      <w:r>
        <w:rPr>
          <w:rFonts w:ascii="Arial" w:cs="Arial" w:eastAsia="Arial" w:hAnsi="Arial"/>
          <w:sz w:val="17"/>
          <w:szCs w:val="17"/>
          <w:color w:val="auto"/>
        </w:rPr>
        <w:t>Contingent Consideration - The consideration for the Company’s acquisitions may include potential future payments that are contingent upon the occurrence of a particular event. For example, milestone payments might be based on the achievement of various regulatory approvals or future sales milestones, and royalty payments might be based on drug product sales levels. The Company records a contingent consideration obligation for such contingent payments at fair value on the acquisition date. The Company estimates the fair value of contingent consideration obligations through valuation models designed to estimate the probability of such contingent payments based on various assumptions and incorporating estimated success rates. Estimated payments are discounted using present value techniques to arrive at an estimated fair value at the balance sheet date. Changes in the fair value of the contingent consideration obligations are recognized within the Company’s Consolidated Statements of Operations and Comprehensive Loss. Changes in the fair value of the contingent consideration obligations can result from changes to one or multiple inputs, including adjustments to the discount rates, changes in the amount or timing of expected expenditures associated with product development, changes in the amount or timing of cash flows from products upon commercialization, changes in the assumed achievement or timing of any development milestones, changes in the probability of certain clinical events and changes in the assumed probability associated with regulatory approval. These fair value measurements are based on significant inputs not observable in the market. Substantial judgment is employed in determining the appropriateness of these assumptions as of the acquisition date and for each subsequent period. Accordingly, changes in assumptions could have a material impact on the amount of contingent consideration expense the Company records in any given period. The Company determined the fair value of its contingent consideration obligation to be $0 at September 30, 2017 and September 30, 2016, given the discontinuation of its clinical trials.</w:t>
      </w:r>
    </w:p>
    <w:p>
      <w:pPr>
        <w:spacing w:after="0" w:line="183" w:lineRule="exact"/>
        <w:rPr>
          <w:sz w:val="20"/>
          <w:szCs w:val="20"/>
          <w:color w:val="auto"/>
        </w:rPr>
      </w:pPr>
    </w:p>
    <w:p>
      <w:pPr>
        <w:ind w:right="60" w:firstLine="575"/>
        <w:spacing w:after="0" w:line="277" w:lineRule="auto"/>
        <w:rPr>
          <w:sz w:val="20"/>
          <w:szCs w:val="20"/>
          <w:color w:val="auto"/>
        </w:rPr>
      </w:pPr>
      <w:r>
        <w:rPr>
          <w:rFonts w:ascii="Arial" w:cs="Arial" w:eastAsia="Arial" w:hAnsi="Arial"/>
          <w:sz w:val="18"/>
          <w:szCs w:val="18"/>
          <w:color w:val="auto"/>
        </w:rPr>
        <w:t>Revenue Recognition— Revenue from product sales is recorded when persuasive evidence of an arrangement exists, title has passed and delivery has occurred, a price is fixed and determinable, and collection is reasonably assured.</w:t>
      </w:r>
    </w:p>
    <w:p>
      <w:pPr>
        <w:spacing w:after="0" w:line="170" w:lineRule="exact"/>
        <w:rPr>
          <w:sz w:val="20"/>
          <w:szCs w:val="20"/>
          <w:color w:val="auto"/>
        </w:rPr>
      </w:pPr>
    </w:p>
    <w:p>
      <w:pPr>
        <w:ind w:right="80" w:firstLine="588"/>
        <w:spacing w:after="0" w:line="259" w:lineRule="auto"/>
        <w:rPr>
          <w:sz w:val="20"/>
          <w:szCs w:val="20"/>
          <w:color w:val="auto"/>
        </w:rPr>
      </w:pPr>
      <w:r>
        <w:rPr>
          <w:rFonts w:ascii="Arial" w:cs="Arial" w:eastAsia="Arial" w:hAnsi="Arial"/>
          <w:sz w:val="18"/>
          <w:szCs w:val="18"/>
          <w:color w:val="auto"/>
        </w:rPr>
        <w:t>The Company may generate revenue from technology licenses, collaborative research and development arrangements, and product sales. Revenue under technology licenses and collaborative agreements typically consists of nonrefundable and/or guaranteed technology license fees, collaborative research funding, manufacturing and development services and various milestone and future product royalty or profit-sharing payments. These agreements are considered to be multiple element arrangements.</w:t>
      </w:r>
    </w:p>
    <w:p>
      <w:pPr>
        <w:spacing w:after="0" w:line="187" w:lineRule="exact"/>
        <w:rPr>
          <w:sz w:val="20"/>
          <w:szCs w:val="20"/>
          <w:color w:val="auto"/>
        </w:rPr>
      </w:pPr>
    </w:p>
    <w:p>
      <w:pPr>
        <w:ind w:right="60" w:firstLine="518"/>
        <w:spacing w:after="0" w:line="257" w:lineRule="auto"/>
        <w:rPr>
          <w:sz w:val="20"/>
          <w:szCs w:val="20"/>
          <w:color w:val="auto"/>
        </w:rPr>
      </w:pPr>
      <w:r>
        <w:rPr>
          <w:rFonts w:ascii="Arial" w:cs="Arial" w:eastAsia="Arial" w:hAnsi="Arial"/>
          <w:sz w:val="18"/>
          <w:szCs w:val="18"/>
          <w:color w:val="auto"/>
        </w:rPr>
        <w:t>The Company applies the accounting standard on revenue recognition for multiple element arrangements. The fair value of deliverables under the arrangement may be derived using a best estimate of selling price if vendor specific objective evidence and third-party evidence is not available. Deliverables under the arrangement will be separate units of accounting if a delivered item has value to the customer on a standalone basis, if the arrangement includes a general right of return for the delivered item, and if delivery or performance of the undelivered item is considered probable and substantially in the Company’s control.</w:t>
      </w:r>
    </w:p>
    <w:p>
      <w:pPr>
        <w:spacing w:after="0" w:line="188" w:lineRule="exact"/>
        <w:rPr>
          <w:sz w:val="20"/>
          <w:szCs w:val="20"/>
          <w:color w:val="auto"/>
        </w:rPr>
      </w:pPr>
    </w:p>
    <w:p>
      <w:pPr>
        <w:ind w:right="100" w:firstLine="518"/>
        <w:spacing w:after="0" w:line="255" w:lineRule="auto"/>
        <w:rPr>
          <w:sz w:val="20"/>
          <w:szCs w:val="20"/>
          <w:color w:val="auto"/>
        </w:rPr>
      </w:pPr>
      <w:r>
        <w:rPr>
          <w:rFonts w:ascii="Arial" w:cs="Arial" w:eastAsia="Arial" w:hAnsi="Arial"/>
          <w:sz w:val="18"/>
          <w:szCs w:val="18"/>
          <w:color w:val="auto"/>
        </w:rPr>
        <w:t>The Company recognizes upfront license payments as revenue upon delivery of the license only if the license has standalone value from any undelivered performance obligations and that value can be determined. The undelivered performance obligations typically include manufacturing or development services or research and/or steering committee services. If the fair value of the undelivered performance obligations can be determined, then these obligations would be accounted for separately. If the license is not considered to have standalone value, then the license and other undelivered performance obligations would be accounted for as a single unit of accounting. In this case, the license payments and payments for performance obligations are recognized as revenue over the estimated period of when the performance obligations are performed or deferred indefinitely until the undelivered performance obligation is determined.</w:t>
      </w:r>
    </w:p>
    <w:p>
      <w:pPr>
        <w:spacing w:after="0" w:line="189" w:lineRule="exact"/>
        <w:rPr>
          <w:sz w:val="20"/>
          <w:szCs w:val="20"/>
          <w:color w:val="auto"/>
        </w:rPr>
      </w:pPr>
    </w:p>
    <w:p>
      <w:pPr>
        <w:ind w:right="40" w:firstLine="518"/>
        <w:spacing w:after="0" w:line="289" w:lineRule="auto"/>
        <w:rPr>
          <w:sz w:val="20"/>
          <w:szCs w:val="20"/>
          <w:color w:val="auto"/>
        </w:rPr>
      </w:pPr>
      <w:r>
        <w:rPr>
          <w:rFonts w:ascii="Arial" w:cs="Arial" w:eastAsia="Arial" w:hAnsi="Arial"/>
          <w:sz w:val="16"/>
          <w:szCs w:val="16"/>
          <w:color w:val="auto"/>
        </w:rPr>
        <w:t>Whenever the Company determines that an arrangement should be accounted for as a single unit of accounting, the Company determines the period over which the performance obligations will be performed and revenue will be recognized. Revenue is recognized using a proportional performance or straight-line method. The proportional performance method is used when the level of effort required to complete performance obligations under an arrangement can be reasonably estimated. The amount of revenue recognized under the proportional performance method is determined by multiplying the total payments under the contract, excluding royalties and payments contingent upon achievement of milestones, by the ratio of the level of effort performed to date to the estimated total level of effort required to complete performance obligations under the arrangement. If the Company cannot reasonably estimate the level of effort to complete performance obligations under an arrangement, the Company recognizes revenue under the arrangement on a straight-line basis over the period the Company is expected to complete its performance obligations. Significant management judgment is required in determining the level of effort required under an arrangement and the period over which the Company is expected to complete its performance obligations under an arrangement.</w:t>
      </w:r>
    </w:p>
    <w:p>
      <w:pPr>
        <w:spacing w:after="0" w:line="167" w:lineRule="exact"/>
        <w:rPr>
          <w:sz w:val="20"/>
          <w:szCs w:val="20"/>
          <w:color w:val="auto"/>
        </w:rPr>
      </w:pPr>
    </w:p>
    <w:p>
      <w:pPr>
        <w:ind w:right="180" w:firstLine="518"/>
        <w:spacing w:after="0" w:line="259" w:lineRule="auto"/>
        <w:rPr>
          <w:sz w:val="20"/>
          <w:szCs w:val="20"/>
          <w:color w:val="auto"/>
        </w:rPr>
      </w:pPr>
      <w:r>
        <w:rPr>
          <w:rFonts w:ascii="Arial" w:cs="Arial" w:eastAsia="Arial" w:hAnsi="Arial"/>
          <w:sz w:val="18"/>
          <w:szCs w:val="18"/>
          <w:color w:val="auto"/>
        </w:rPr>
        <w:t>Many of the Company’s collaboration agreements entitle the Company to additional payments upon the achievement of development, regulatory and sales performance-based milestones. If the achievement of a milestone is considered probable at the inception of the collaboration agreement, the related milestone payment is included with other collaboration consideration, such as upfront fees and research funding, in the Company’s revenue calculation. Typically these milestones are not considered probable at</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12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70" w:name="page71"/>
    <w:bookmarkEnd w:id="70"/>
    <w:p>
      <w:pPr>
        <w:ind w:right="40"/>
        <w:spacing w:after="0" w:line="297" w:lineRule="auto"/>
        <w:rPr>
          <w:sz w:val="20"/>
          <w:szCs w:val="20"/>
          <w:color w:val="auto"/>
        </w:rPr>
      </w:pPr>
      <w:r>
        <w:rPr>
          <w:rFonts w:ascii="Arial" w:cs="Arial" w:eastAsia="Arial" w:hAnsi="Arial"/>
          <w:sz w:val="16"/>
          <w:szCs w:val="16"/>
          <w:color w:val="auto"/>
        </w:rPr>
        <w:t>the inception of the collaboration. As such, milestones will typically be recognized in one of two ways depending on the timing of when the milestone is achieved. If the milestone is achieved during the performance period, the Company will only recognize revenue to the extent of the proportional performance achieved at that date, or the proportion of the straight-line basis achieved at that date, and the remainder will be recorded as deferred revenue to be amortized over the remaining performance period. If the milestone is achieved after the performance period has completed and all performance obligations have been delivered, the Company will recognize the milestone payment as revenue in its entirety in the period the milestone was achieved.</w:t>
      </w:r>
    </w:p>
    <w:p>
      <w:pPr>
        <w:spacing w:after="0" w:line="158" w:lineRule="exact"/>
        <w:rPr>
          <w:sz w:val="20"/>
          <w:szCs w:val="20"/>
          <w:color w:val="auto"/>
        </w:rPr>
      </w:pPr>
    </w:p>
    <w:p>
      <w:pPr>
        <w:ind w:right="300" w:firstLine="518"/>
        <w:spacing w:after="0" w:line="279" w:lineRule="auto"/>
        <w:rPr>
          <w:sz w:val="20"/>
          <w:szCs w:val="20"/>
          <w:color w:val="auto"/>
        </w:rPr>
      </w:pPr>
      <w:r>
        <w:rPr>
          <w:rFonts w:ascii="Arial" w:cs="Arial" w:eastAsia="Arial" w:hAnsi="Arial"/>
          <w:sz w:val="17"/>
          <w:szCs w:val="17"/>
          <w:color w:val="auto"/>
        </w:rPr>
        <w:t>Deferred revenue will be classified as part of Current or Long-Term Liabilities in the accompanying Consolidated Balance Sheets based on the Company’s estimate of the portion of the performance obligations regarding that revenue will be completed within the next 12 months divided by the total performance period estimate. This estimate is based on the Company’s current operating plan and, if the Company’s operating plan should change in the future, the Company may recognize a different amount of deferred revenue over the next 12-month period.</w:t>
      </w:r>
    </w:p>
    <w:p>
      <w:pPr>
        <w:spacing w:after="0" w:line="171" w:lineRule="exact"/>
        <w:rPr>
          <w:sz w:val="20"/>
          <w:szCs w:val="20"/>
          <w:color w:val="auto"/>
        </w:rPr>
      </w:pPr>
    </w:p>
    <w:p>
      <w:pPr>
        <w:ind w:right="380" w:firstLine="518"/>
        <w:spacing w:after="0" w:line="342" w:lineRule="auto"/>
        <w:rPr>
          <w:sz w:val="20"/>
          <w:szCs w:val="20"/>
          <w:color w:val="auto"/>
        </w:rPr>
      </w:pPr>
      <w:r>
        <w:rPr>
          <w:rFonts w:ascii="Arial" w:cs="Arial" w:eastAsia="Arial" w:hAnsi="Arial"/>
          <w:sz w:val="16"/>
          <w:szCs w:val="16"/>
          <w:color w:val="auto"/>
        </w:rPr>
        <w:t>Allowance for Doubtful Accounts—The Company accrues an allowance for doubtful accounts based on estimates of uncollectible revenues by analyzing historical collections, accounts receivable aging and other factors. Accounts receivable are written off when all collection attempts have failed.</w:t>
      </w:r>
    </w:p>
    <w:p>
      <w:pPr>
        <w:spacing w:after="0" w:line="124" w:lineRule="exact"/>
        <w:rPr>
          <w:sz w:val="20"/>
          <w:szCs w:val="20"/>
          <w:color w:val="auto"/>
        </w:rPr>
      </w:pPr>
    </w:p>
    <w:p>
      <w:pPr>
        <w:ind w:right="180" w:firstLine="518"/>
        <w:spacing w:after="0" w:line="312" w:lineRule="auto"/>
        <w:rPr>
          <w:sz w:val="20"/>
          <w:szCs w:val="20"/>
          <w:color w:val="auto"/>
        </w:rPr>
      </w:pPr>
      <w:r>
        <w:rPr>
          <w:rFonts w:ascii="Arial" w:cs="Arial" w:eastAsia="Arial" w:hAnsi="Arial"/>
          <w:sz w:val="16"/>
          <w:szCs w:val="16"/>
          <w:color w:val="auto"/>
        </w:rPr>
        <w:t>Research and Development—Costs and expenses that can be clearly identified as research and development are charged to expense as incurred in accordance with FASB ASC 730-10. Included in research and development costs are operating costs, facilities, supplies, external services, clinical trial and manufacturing costs, overhead directly related to the Company’s research and development operations, and costs to acquire technology licenses.</w:t>
      </w:r>
    </w:p>
    <w:p>
      <w:pPr>
        <w:spacing w:after="0" w:line="147" w:lineRule="exact"/>
        <w:rPr>
          <w:sz w:val="20"/>
          <w:szCs w:val="20"/>
          <w:color w:val="auto"/>
        </w:rPr>
      </w:pPr>
    </w:p>
    <w:p>
      <w:pPr>
        <w:ind w:firstLine="518"/>
        <w:spacing w:after="0" w:line="276" w:lineRule="auto"/>
        <w:rPr>
          <w:sz w:val="20"/>
          <w:szCs w:val="20"/>
          <w:color w:val="auto"/>
        </w:rPr>
      </w:pPr>
      <w:r>
        <w:rPr>
          <w:rFonts w:ascii="Arial" w:cs="Arial" w:eastAsia="Arial" w:hAnsi="Arial"/>
          <w:sz w:val="17"/>
          <w:szCs w:val="17"/>
          <w:color w:val="auto"/>
        </w:rPr>
        <w:t>Earnings (Loss) per Share—Basic earnings (loss) per share is computed using the weighted-average number of common shares outstanding during the period. Diluted earnings (loss) per share are computed using the weighted-average number of common shares and dilutive potential common shares outstanding during the period. Dilutive potential common shares primarily consist of stock options and restricted stock units issued to employees and warrants to purchase Common Stock of the Company. All outstanding stock options, restricted stock units and warrants for the years ended September 30, 2017, 2016 and 2015 have been excluded from the calculation of Diluted earnings (loss) per share due to their anti-dilutive effect.</w:t>
      </w:r>
    </w:p>
    <w:p>
      <w:pPr>
        <w:spacing w:after="0" w:line="173" w:lineRule="exact"/>
        <w:rPr>
          <w:sz w:val="20"/>
          <w:szCs w:val="20"/>
          <w:color w:val="auto"/>
        </w:rPr>
      </w:pPr>
    </w:p>
    <w:p>
      <w:pPr>
        <w:ind w:right="60" w:firstLine="518"/>
        <w:spacing w:after="0" w:line="285" w:lineRule="auto"/>
        <w:rPr>
          <w:sz w:val="20"/>
          <w:szCs w:val="20"/>
          <w:color w:val="auto"/>
        </w:rPr>
      </w:pPr>
      <w:r>
        <w:rPr>
          <w:rFonts w:ascii="Arial" w:cs="Arial" w:eastAsia="Arial" w:hAnsi="Arial"/>
          <w:sz w:val="16"/>
          <w:szCs w:val="16"/>
          <w:color w:val="auto"/>
        </w:rPr>
        <w:t>Stock-Based Compensation—The Company accounts for share-based compensation arrangements in accordance with FASB ASC 718, which requires the measurement and recognition of compensation expense for all share-based payment awards to be based on estimated fair values. The Company uses the Black-Scholes option valuation model to estimate the fair value of its stock options at the date of grant. The Black-Scholes option valuation model requires the input of subjective assumptions to calculate the value of stock options. For restricted stock units, the value of the award is based on the Company’s stock price at the grant date. For performance-based restricted stock unit awards, the value of the award is based on the Company’s stock price at the grant</w:t>
      </w:r>
    </w:p>
    <w:p>
      <w:pPr>
        <w:spacing w:after="0" w:line="2"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date. The Company uses historical data and other information to estimate the expected price volatility for stock option awards and the expected forfeiture rate for all awards. Expense is recognized over the vesting period for all awards, and commences at the grant date for time-based awards and upon the Company’s determination that the achievement of such performance conditions is probable for performance-based awards. This determination requires significant judgment by management.</w:t>
      </w:r>
    </w:p>
    <w:p>
      <w:pPr>
        <w:spacing w:after="0" w:line="190" w:lineRule="exact"/>
        <w:rPr>
          <w:sz w:val="20"/>
          <w:szCs w:val="20"/>
          <w:color w:val="auto"/>
        </w:rPr>
      </w:pPr>
    </w:p>
    <w:p>
      <w:pPr>
        <w:ind w:right="80" w:firstLine="518"/>
        <w:spacing w:after="0" w:line="290" w:lineRule="auto"/>
        <w:rPr>
          <w:sz w:val="20"/>
          <w:szCs w:val="20"/>
          <w:color w:val="auto"/>
        </w:rPr>
      </w:pPr>
      <w:r>
        <w:rPr>
          <w:rFonts w:ascii="Arial" w:cs="Arial" w:eastAsia="Arial" w:hAnsi="Arial"/>
          <w:sz w:val="16"/>
          <w:szCs w:val="16"/>
          <w:color w:val="auto"/>
        </w:rPr>
        <w:t>Derivative Assets and Liabilities – The Company accounts for warrants and other derivative financial instruments as either equity or assets/liabilities based upon the characteristics and provisions of each instrument. Warrants classified as equity are recorded as Additional Paid-In Capital on the Company’s Consolidated Balance Sheet. Some of the Company’s warrants were determined to be ineligible for equity classification due to provisions that may result in an adjustment to their exercise price. Warrants classified as derivative liabilities and other derivative financial instruments that require separate accounting as assets or liabilities are recorded on the Company’s Consolidated Balance Sheet at their fair value on the date of issuance and are revalued on each subsequent balance sheet date until such instruments are exercised or expire, with any changes in the fair value between reporting periods recorded as Other Income or Expense. The Company estimates the fair value of these assets/liabilities using option pricing models that are based on the individual characteristics of the warrants or instruments on the valuation date, as well as assumptions for expected volatility, expected life and risk-free interest rate.</w:t>
      </w:r>
    </w:p>
    <w:p>
      <w:pPr>
        <w:spacing w:after="0" w:line="166" w:lineRule="exact"/>
        <w:rPr>
          <w:sz w:val="20"/>
          <w:szCs w:val="20"/>
          <w:color w:val="auto"/>
        </w:rPr>
      </w:pPr>
    </w:p>
    <w:p>
      <w:pPr>
        <w:ind w:right="80" w:firstLine="518"/>
        <w:spacing w:after="0" w:line="293" w:lineRule="auto"/>
        <w:rPr>
          <w:sz w:val="20"/>
          <w:szCs w:val="20"/>
          <w:color w:val="auto"/>
        </w:rPr>
      </w:pPr>
      <w:r>
        <w:rPr>
          <w:rFonts w:ascii="Arial" w:cs="Arial" w:eastAsia="Arial" w:hAnsi="Arial"/>
          <w:sz w:val="16"/>
          <w:szCs w:val="16"/>
          <w:color w:val="auto"/>
        </w:rPr>
        <w:t>Income Taxes—The Company accounts for income taxes under the liability method, which requires the recognition of deferred income tax assets and liabilities for the expected future tax consequences of events that have been included in the financial statements or tax returns. Under this method, deferred income taxes are recognized for the tax consequences in future years of differences between the tax bases of assets and liabilities and their financial reporting amounts at each period end based on enacted tax laws and statutory tax rates applicable to the periods in which the differences are expected to affect taxable income. Valuation allowances are established, when necessary, to reduce deferred income tax assets to the amount expected to be realized. The provision for income taxes, if any, represents the tax payable for the period and the change in deferred income tax assets and liabilities during the period.</w:t>
      </w:r>
    </w:p>
    <w:p>
      <w:pPr>
        <w:spacing w:after="0" w:line="3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Recent Accounting Pronouncements</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3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71" w:name="page72"/>
    <w:bookmarkEnd w:id="71"/>
    <w:p>
      <w:pPr>
        <w:ind w:right="140" w:firstLine="407"/>
        <w:spacing w:after="0" w:line="272" w:lineRule="auto"/>
        <w:rPr>
          <w:sz w:val="20"/>
          <w:szCs w:val="20"/>
          <w:color w:val="auto"/>
        </w:rPr>
      </w:pPr>
      <w:r>
        <w:rPr>
          <w:rFonts w:ascii="Arial" w:cs="Arial" w:eastAsia="Arial" w:hAnsi="Arial"/>
          <w:sz w:val="17"/>
          <w:szCs w:val="17"/>
          <w:color w:val="auto"/>
        </w:rPr>
        <w:t>In May 2014, the FASB issued ASU No. 2014-09 Revenue from Contracts with Customers (Topic 606), which will supersede nearly all existing revenue recognition guidance under GAAP. ASU No. 2014-09 provides that an entity recognize revenue when it transfers promised goods or services to customers in an amount that reflects the consideration to which the entity expects to be entitled in exchange for those goods or services. This update also requires additional disclosure about the nature, amount, timing and uncertainty of revenue and cash flows arising from customer contracts, including significant judgments and changes in judgments, and assets recognized from costs incurred to obtain or fulfill a contract. ASU No. 2014-09 allows for either full retrospective or modified retrospective adoption and will become effective for the Company in the first quarter of 2019. The Company is evaluating the potential effects of the adoption of this update on its financial statements.</w:t>
      </w:r>
    </w:p>
    <w:p>
      <w:pPr>
        <w:spacing w:after="0" w:line="178" w:lineRule="exact"/>
        <w:rPr>
          <w:sz w:val="20"/>
          <w:szCs w:val="20"/>
          <w:color w:val="auto"/>
        </w:rPr>
      </w:pPr>
    </w:p>
    <w:p>
      <w:pPr>
        <w:ind w:right="120" w:firstLine="407"/>
        <w:spacing w:after="0" w:line="255" w:lineRule="auto"/>
        <w:rPr>
          <w:sz w:val="20"/>
          <w:szCs w:val="20"/>
          <w:color w:val="auto"/>
        </w:rPr>
      </w:pPr>
      <w:r>
        <w:rPr>
          <w:rFonts w:ascii="Arial" w:cs="Arial" w:eastAsia="Arial" w:hAnsi="Arial"/>
          <w:sz w:val="18"/>
          <w:szCs w:val="18"/>
          <w:color w:val="auto"/>
        </w:rPr>
        <w:t>In March 2016, the FASB issued ASU No. 2016-02, Leases. Under ASU 2016-02, lessees will be required to recognize a right-of-use asset and a lease liability for virtually all of their leases (other than leases that meet the definition of a short-term lease). For income statement purposes, a dual model was retained, requiring leases to be classified as either operating or finance. Operating leases will result in straight-line expense (similar to current operating leases) while finance leases will result in a front-loaded expense pattern (similar to current capital leases). ASU 2016-02 becomes effective for the Company in the first quarter of fiscal 2020. The Company expects the adoption of this update to have a material effect on the classification and disclosure of its leased facilities in Madison, Wisconsin.</w:t>
      </w:r>
    </w:p>
    <w:p>
      <w:pPr>
        <w:spacing w:after="0" w:line="193" w:lineRule="exact"/>
        <w:rPr>
          <w:sz w:val="20"/>
          <w:szCs w:val="20"/>
          <w:color w:val="auto"/>
        </w:rPr>
      </w:pPr>
    </w:p>
    <w:p>
      <w:pPr>
        <w:ind w:left="500"/>
        <w:spacing w:after="0"/>
        <w:rPr>
          <w:sz w:val="20"/>
          <w:szCs w:val="20"/>
          <w:color w:val="auto"/>
        </w:rPr>
      </w:pPr>
      <w:r>
        <w:rPr>
          <w:rFonts w:ascii="Arial" w:cs="Arial" w:eastAsia="Arial" w:hAnsi="Arial"/>
          <w:sz w:val="18"/>
          <w:szCs w:val="18"/>
          <w:color w:val="auto"/>
        </w:rPr>
        <w:t>In May 2017, the FASB issued ASU No. 2017-09, which is an update to Topic 718, Compensation - Stock Compensation. The update</w:t>
      </w:r>
    </w:p>
    <w:p>
      <w:pPr>
        <w:spacing w:after="0" w:line="23" w:lineRule="exact"/>
        <w:rPr>
          <w:sz w:val="20"/>
          <w:szCs w:val="20"/>
          <w:color w:val="auto"/>
        </w:rPr>
      </w:pPr>
    </w:p>
    <w:p>
      <w:pPr>
        <w:ind w:right="100"/>
        <w:spacing w:after="0" w:line="302" w:lineRule="auto"/>
        <w:rPr>
          <w:sz w:val="20"/>
          <w:szCs w:val="20"/>
          <w:color w:val="auto"/>
        </w:rPr>
      </w:pPr>
      <w:r>
        <w:rPr>
          <w:rFonts w:ascii="Arial" w:cs="Arial" w:eastAsia="Arial" w:hAnsi="Arial"/>
          <w:sz w:val="16"/>
          <w:szCs w:val="16"/>
          <w:color w:val="auto"/>
        </w:rPr>
        <w:t>provides guidance on determining which changes to the terms and conditions of share-based payment awards, including stock options, require an entity to apply modification accounting under Topic 718. ASU 2017-09 becomes effective for the Company in the first quarter of fiscal 2019. The Company does not expect that ASU 2017-09 will have a material impact on the Company's results of operations and consolidated financial statements.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NOTE 2. </w:t>
      </w:r>
      <w:r>
        <w:rPr>
          <w:rFonts w:ascii="Arial" w:cs="Arial" w:eastAsia="Arial" w:hAnsi="Arial"/>
          <w:sz w:val="18"/>
          <w:szCs w:val="18"/>
          <w:b w:val="1"/>
          <w:bCs w:val="1"/>
          <w:i w:val="1"/>
          <w:iCs w:val="1"/>
          <w:color w:val="auto"/>
        </w:rPr>
        <w:t>COLLABORATION AND LICENSE AGREEMENTS – AMGEN, INC.</w:t>
      </w:r>
    </w:p>
    <w:p>
      <w:pPr>
        <w:spacing w:after="0" w:line="121" w:lineRule="exact"/>
        <w:rPr>
          <w:sz w:val="20"/>
          <w:szCs w:val="20"/>
          <w:color w:val="auto"/>
        </w:rPr>
      </w:pPr>
    </w:p>
    <w:p>
      <w:pPr>
        <w:ind w:firstLine="305"/>
        <w:spacing w:after="0" w:line="291" w:lineRule="auto"/>
        <w:rPr>
          <w:sz w:val="20"/>
          <w:szCs w:val="20"/>
          <w:color w:val="auto"/>
        </w:rPr>
      </w:pPr>
      <w:r>
        <w:rPr>
          <w:rFonts w:ascii="Arial" w:cs="Arial" w:eastAsia="Arial" w:hAnsi="Arial"/>
          <w:sz w:val="16"/>
          <w:szCs w:val="16"/>
          <w:color w:val="auto"/>
        </w:rPr>
        <w:t>On September 28, 2016, the Company entered into two Collaboration and License agreements, and a Common Stock Purchase Agreement with Amgen Inc., a Delaware corporation (“Amgen”). Under one of the license agreements (the “Second Collaboration and License Agreement” or “ARO-LPA (AMG</w:t>
      </w:r>
    </w:p>
    <w:p>
      <w:pPr>
        <w:jc w:val="both"/>
        <w:ind w:firstLine="8"/>
        <w:spacing w:after="0" w:line="271" w:lineRule="auto"/>
        <w:tabs>
          <w:tab w:leader="none" w:pos="368" w:val="left"/>
        </w:tabs>
        <w:numPr>
          <w:ilvl w:val="0"/>
          <w:numId w:val="36"/>
        </w:numPr>
        <w:rPr>
          <w:rFonts w:ascii="Arial" w:cs="Arial" w:eastAsia="Arial" w:hAnsi="Arial"/>
          <w:sz w:val="17"/>
          <w:szCs w:val="17"/>
          <w:color w:val="auto"/>
        </w:rPr>
      </w:pPr>
      <w:r>
        <w:rPr>
          <w:rFonts w:ascii="Arial" w:cs="Arial" w:eastAsia="Arial" w:hAnsi="Arial"/>
          <w:sz w:val="17"/>
          <w:szCs w:val="17"/>
          <w:color w:val="auto"/>
        </w:rPr>
        <w:t>Agreement”), Amgen has received a worldwide, exclusive license to Arrowhead’s novel, RNAi ARO-LPA (AMG 890) program. These RNAi molecules are designed to reduce elevated lipoprotein(a), which is a genetically validated, independent risk factor for atherosclerotic cardiovascular disease. Under the other license agreement (the “First Collaboration and License Agreement” or “ARO-AMG1 Agreement”), Amgen received an option to a worldwide, exclusive license for ARO-AMG1, an RNAi therapy for an undisclosed genetically validated cardiovascular target. In both agreements, Amgen is wholly responsible for clinical development and commercialization.</w:t>
      </w:r>
    </w:p>
    <w:p>
      <w:pPr>
        <w:spacing w:after="0" w:line="179" w:lineRule="exact"/>
        <w:rPr>
          <w:sz w:val="20"/>
          <w:szCs w:val="20"/>
          <w:color w:val="auto"/>
        </w:rPr>
      </w:pPr>
    </w:p>
    <w:p>
      <w:pPr>
        <w:jc w:val="both"/>
        <w:ind w:firstLine="305"/>
        <w:spacing w:after="0" w:line="302" w:lineRule="auto"/>
        <w:rPr>
          <w:sz w:val="20"/>
          <w:szCs w:val="20"/>
          <w:color w:val="auto"/>
        </w:rPr>
      </w:pPr>
      <w:r>
        <w:rPr>
          <w:rFonts w:ascii="Arial" w:cs="Arial" w:eastAsia="Arial" w:hAnsi="Arial"/>
          <w:sz w:val="16"/>
          <w:szCs w:val="16"/>
          <w:color w:val="auto"/>
        </w:rPr>
        <w:t>Under the Common Stock Purchase Agreement, the Company has sold 3,002,793 shares of Common Stock to Amgen at a price of $7.16 per share, which represents the 30-day volume-weighted average price of the Common Stock on the NASDAQ stock market over the 30 trading days preceding contract execution. Subject to Amgen’s exercise of the Option, as defined in the ARO-AMG1 Agreement, Amgen has agreed to purchase, and the Company has agreed to sell, an additional $5 million worth of shares of Common Stock based on a 30 trading day formula surrounding the date of the Option exercise.</w:t>
      </w:r>
    </w:p>
    <w:p>
      <w:pPr>
        <w:spacing w:after="0" w:line="154" w:lineRule="exact"/>
        <w:rPr>
          <w:sz w:val="20"/>
          <w:szCs w:val="20"/>
          <w:color w:val="auto"/>
        </w:rPr>
      </w:pPr>
    </w:p>
    <w:p>
      <w:pPr>
        <w:jc w:val="both"/>
        <w:ind w:firstLine="305"/>
        <w:spacing w:after="0" w:line="259" w:lineRule="auto"/>
        <w:rPr>
          <w:sz w:val="20"/>
          <w:szCs w:val="20"/>
          <w:color w:val="auto"/>
        </w:rPr>
      </w:pPr>
      <w:r>
        <w:rPr>
          <w:rFonts w:ascii="Arial" w:cs="Arial" w:eastAsia="Arial" w:hAnsi="Arial"/>
          <w:sz w:val="18"/>
          <w:szCs w:val="18"/>
          <w:color w:val="auto"/>
        </w:rPr>
        <w:t>Under the terms of the agreements taken together, the Company has received $35 million in upfront payments, $21.5 million in the form of an equity investment by Amgen in the Company’s Common Stock, and could receive up to $617 million in option payments, and development, regulatory and sales milestone payments. The Company is further eligible to receive single-digit royalties for sales of products under the ARO-AMG1 Agreement and up to low double-digit royalties for sales of products under the ARO-LPA (AMG 890) Agreement.</w:t>
      </w:r>
    </w:p>
    <w:p>
      <w:pPr>
        <w:spacing w:after="0" w:line="187" w:lineRule="exact"/>
        <w:rPr>
          <w:sz w:val="20"/>
          <w:szCs w:val="20"/>
          <w:color w:val="auto"/>
        </w:rPr>
      </w:pPr>
    </w:p>
    <w:p>
      <w:pPr>
        <w:jc w:val="both"/>
        <w:ind w:firstLine="305"/>
        <w:spacing w:after="0" w:line="270" w:lineRule="auto"/>
        <w:rPr>
          <w:sz w:val="20"/>
          <w:szCs w:val="20"/>
          <w:color w:val="auto"/>
        </w:rPr>
      </w:pPr>
      <w:r>
        <w:rPr>
          <w:rFonts w:ascii="Arial" w:cs="Arial" w:eastAsia="Arial" w:hAnsi="Arial"/>
          <w:sz w:val="17"/>
          <w:szCs w:val="17"/>
          <w:color w:val="auto"/>
        </w:rPr>
        <w:t>Under the terms of the ARO-AMG1 Agreement, the Company has granted an option to a worldwide, exclusive license to ARO-AMG1, an undisclosed genetically validated cardiovascular target. The collaboration between the Company and Amgen is governed by a joint steering committee comprised of an equal number of representatives from each party. The Company is also responsible for developing, optimizing and manufacturing the candidate through certain preclinical efficacy and toxicology studies to determine whether the candidate the Company has developed meets the required criteria as defined in the agreement (the “Arrowhead Deliverable”). If this is achieved, Amgen will then have the option to an exclusive license for the intellectual property generated through the Company’s development efforts, and will likely assume all development, regulatory and commercialization efforts for the candidate upon the option exercise. The Company has determined that the significant deliverables under the ARO-AMG1 Agreement include the license, the joint research committee and the development and manufacturing activities toward achieving the Arrowhead Deliverable. The Company also determined that, pursuant to the accounting guidance governing revenue recognition on multiple</w:t>
      </w:r>
    </w:p>
    <w:p>
      <w:pPr>
        <w:spacing w:after="0" w:line="1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3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72" w:name="page73"/>
    <w:bookmarkEnd w:id="72"/>
    <w:p>
      <w:pPr>
        <w:jc w:val="both"/>
        <w:ind w:right="20"/>
        <w:spacing w:after="0" w:line="273" w:lineRule="auto"/>
        <w:rPr>
          <w:sz w:val="20"/>
          <w:szCs w:val="20"/>
          <w:color w:val="auto"/>
        </w:rPr>
      </w:pPr>
      <w:r>
        <w:rPr>
          <w:rFonts w:ascii="Arial" w:cs="Arial" w:eastAsia="Arial" w:hAnsi="Arial"/>
          <w:sz w:val="17"/>
          <w:szCs w:val="17"/>
          <w:color w:val="auto"/>
        </w:rPr>
        <w:t>element arrangements, the license and collective undelivered activities and services do not have standalone value due to the specialized nature of the activities and services to be provided by the Company. Therefore, the deliverables are not separable and, accordingly, the license and undelivered services are being treated as a single unit of accounting. The Company will recognize revenue on a straight-line basis from October 1, 2016, through September 30, 2018. The due date for achieving the Arrowhead Deliverable is September 28, 2018. The initial $5 million upfront payment was recorded as Deferred Revenue and $2.5 million of this initial payment was amortized into Revenue during the year ended September 30, 2017. Should the Company achieve the Arrowhead Deliverable prior to the due date, unrecognized revenue will be accelerated and recognized.</w:t>
      </w:r>
    </w:p>
    <w:p>
      <w:pPr>
        <w:spacing w:after="0" w:line="178" w:lineRule="exact"/>
        <w:rPr>
          <w:sz w:val="20"/>
          <w:szCs w:val="20"/>
          <w:color w:val="auto"/>
        </w:rPr>
      </w:pPr>
    </w:p>
    <w:p>
      <w:pPr>
        <w:jc w:val="both"/>
        <w:ind w:right="20" w:firstLine="305"/>
        <w:spacing w:after="0" w:line="269" w:lineRule="auto"/>
        <w:rPr>
          <w:sz w:val="20"/>
          <w:szCs w:val="20"/>
          <w:color w:val="auto"/>
        </w:rPr>
      </w:pPr>
      <w:r>
        <w:rPr>
          <w:rFonts w:ascii="Arial" w:cs="Arial" w:eastAsia="Arial" w:hAnsi="Arial"/>
          <w:sz w:val="17"/>
          <w:szCs w:val="17"/>
          <w:color w:val="auto"/>
        </w:rPr>
        <w:t>Under the terms of the ARO-LPA (AMG 890) Agreement, the Company has granted a worldwide, exclusive license to ARO-LPA (AMG 890). The collaboration between the Company and Amgen is governed by a joint research committee comprised of an equal number of representatives from each party, however Amgen has the final decision making authority regarding ARO-LPA (AMG 890) in this committee. The Company is also responsible for assisting Amgen in the oversight of certain development and manufacturing activities, most of which are to be covered at Amgen’s cost. The Company has determined that the significant deliverables under the ARO-LPA (AMG 890) Agreement include the license and the oversight of certain of the development and manufacturing activities. The Company also determined that, pursuant to the accounting guidance governing revenue recognition on multiple element arrangements, the license and collective undelivered activities and services do not have standalone value due to the specialized nature of the activities and services to be provided by the Company. Therefore, the deliverables are not separable and, accordingly, the license and undelivered services are being treated as a single unit of accounting. The Company will recognize revenue on a straight-line basis from November 18, 2016 (the Hart-Scott-Rodino clearance date), through October 31, 2017, which is the date where the significant development and manufacturing related deliverables were completed. The initial $30 million payment was recorded as Deferred Revenue, and $27.3 million of this initial payment was amortized into Revenue during the year ended September 30, 2017.</w:t>
      </w:r>
    </w:p>
    <w:p>
      <w:pPr>
        <w:spacing w:after="0" w:line="180" w:lineRule="exact"/>
        <w:rPr>
          <w:sz w:val="20"/>
          <w:szCs w:val="20"/>
          <w:color w:val="auto"/>
        </w:rPr>
      </w:pPr>
    </w:p>
    <w:p>
      <w:pPr>
        <w:jc w:val="both"/>
        <w:ind w:right="20" w:firstLine="305"/>
        <w:spacing w:after="0" w:line="279" w:lineRule="auto"/>
        <w:rPr>
          <w:sz w:val="20"/>
          <w:szCs w:val="20"/>
          <w:color w:val="auto"/>
        </w:rPr>
      </w:pPr>
      <w:r>
        <w:rPr>
          <w:rFonts w:ascii="Arial" w:cs="Arial" w:eastAsia="Arial" w:hAnsi="Arial"/>
          <w:sz w:val="18"/>
          <w:szCs w:val="18"/>
          <w:color w:val="auto"/>
        </w:rPr>
        <w:t>In January 2017, the Company also entered into a separate services agreement with Amgen to provide certain services related to process development, manufacturing, materials supply, discovery studies, and other consulting services related to ARO -LPA (AMG 890). During the year ended September 30, 2017, work orders under this services agreement generated approximately $1.5 million of Revenue.</w:t>
      </w:r>
    </w:p>
    <w:p>
      <w:pPr>
        <w:spacing w:after="0" w:line="3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NOTE 3. </w:t>
      </w:r>
      <w:r>
        <w:rPr>
          <w:rFonts w:ascii="Arial" w:cs="Arial" w:eastAsia="Arial" w:hAnsi="Arial"/>
          <w:sz w:val="18"/>
          <w:szCs w:val="18"/>
          <w:b w:val="1"/>
          <w:bCs w:val="1"/>
          <w:i w:val="1"/>
          <w:iCs w:val="1"/>
          <w:color w:val="auto"/>
        </w:rPr>
        <w:t>PROPERTY AND EQUIPMENT</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following table summarizes the Company’s major classes of property and equipment:</w:t>
      </w:r>
    </w:p>
    <w:p>
      <w:pPr>
        <w:spacing w:after="0" w:line="272"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476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4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auto"/>
                <w:w w:val="93"/>
              </w:rPr>
              <w:t>September 30,</w:t>
            </w:r>
          </w:p>
        </w:tc>
        <w:tc>
          <w:tcPr>
            <w:tcW w:w="100" w:type="dxa"/>
            <w:vAlign w:val="bottom"/>
          </w:tcPr>
          <w:p>
            <w:pPr>
              <w:spacing w:after="0"/>
              <w:rPr>
                <w:sz w:val="13"/>
                <w:szCs w:val="13"/>
                <w:color w:val="auto"/>
              </w:rPr>
            </w:pPr>
          </w:p>
        </w:tc>
        <w:tc>
          <w:tcPr>
            <w:tcW w:w="136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September 30, 2016</w:t>
            </w:r>
          </w:p>
        </w:tc>
        <w:tc>
          <w:tcPr>
            <w:tcW w:w="0" w:type="dxa"/>
            <w:vAlign w:val="bottom"/>
          </w:tcPr>
          <w:p>
            <w:pPr>
              <w:spacing w:after="0"/>
              <w:rPr>
                <w:sz w:val="1"/>
                <w:szCs w:val="1"/>
                <w:color w:val="auto"/>
              </w:rPr>
            </w:pPr>
          </w:p>
        </w:tc>
      </w:tr>
      <w:tr>
        <w:trPr>
          <w:trHeight w:val="171"/>
        </w:trPr>
        <w:tc>
          <w:tcPr>
            <w:tcW w:w="47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20" w:type="dxa"/>
            <w:vAlign w:val="bottom"/>
          </w:tcPr>
          <w:p>
            <w:pPr>
              <w:jc w:val="right"/>
              <w:ind w:right="414"/>
              <w:spacing w:after="0"/>
              <w:rPr>
                <w:sz w:val="20"/>
                <w:szCs w:val="20"/>
                <w:color w:val="auto"/>
              </w:rPr>
            </w:pPr>
            <w:r>
              <w:rPr>
                <w:rFonts w:ascii="Arial" w:cs="Arial" w:eastAsia="Arial" w:hAnsi="Arial"/>
                <w:sz w:val="14"/>
                <w:szCs w:val="14"/>
                <w:b w:val="1"/>
                <w:bCs w:val="1"/>
                <w:color w:val="auto"/>
              </w:rPr>
              <w:t>2017</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60" w:type="dxa"/>
            <w:vAlign w:val="bottom"/>
            <w:gridSpan w:val="3"/>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476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Computers, office equipment and furniture</w:t>
            </w:r>
          </w:p>
        </w:tc>
        <w:tc>
          <w:tcPr>
            <w:tcW w:w="1100" w:type="dxa"/>
            <w:vAlign w:val="bottom"/>
            <w:tcBorders>
              <w:top w:val="single" w:sz="8" w:color="CFF0FC"/>
            </w:tcBorders>
            <w:shd w:val="clear" w:color="auto" w:fill="CFF0FC"/>
          </w:tcPr>
          <w:p>
            <w:pPr>
              <w:spacing w:after="0"/>
              <w:rPr>
                <w:sz w:val="18"/>
                <w:szCs w:val="18"/>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600,334</w:t>
            </w:r>
          </w:p>
        </w:tc>
        <w:tc>
          <w:tcPr>
            <w:tcW w:w="120" w:type="dxa"/>
            <w:vAlign w:val="bottom"/>
            <w:tcBorders>
              <w:top w:val="single" w:sz="8" w:color="CFF0FC"/>
            </w:tcBorders>
            <w:shd w:val="clear" w:color="auto" w:fill="CFF0FC"/>
          </w:tcPr>
          <w:p>
            <w:pPr>
              <w:spacing w:after="0"/>
              <w:rPr>
                <w:sz w:val="18"/>
                <w:szCs w:val="18"/>
                <w:color w:val="auto"/>
              </w:rPr>
            </w:pPr>
          </w:p>
        </w:tc>
        <w:tc>
          <w:tcPr>
            <w:tcW w:w="100" w:type="dxa"/>
            <w:vAlign w:val="bottom"/>
            <w:tcBorders>
              <w:top w:val="single" w:sz="8" w:color="CFF0FC"/>
            </w:tcBorders>
            <w:shd w:val="clear" w:color="auto" w:fill="CFF0FC"/>
          </w:tcPr>
          <w:p>
            <w:pPr>
              <w:spacing w:after="0"/>
              <w:rPr>
                <w:sz w:val="18"/>
                <w:szCs w:val="18"/>
                <w:color w:val="auto"/>
              </w:rPr>
            </w:pPr>
          </w:p>
        </w:tc>
        <w:tc>
          <w:tcPr>
            <w:tcW w:w="24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w:t>
            </w:r>
          </w:p>
        </w:tc>
        <w:tc>
          <w:tcPr>
            <w:tcW w:w="10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442,915</w:t>
            </w:r>
          </w:p>
        </w:tc>
        <w:tc>
          <w:tcPr>
            <w:tcW w:w="120" w:type="dxa"/>
            <w:vAlign w:val="bottom"/>
            <w:tcBorders>
              <w:top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760" w:type="dxa"/>
            <w:vAlign w:val="bottom"/>
          </w:tcPr>
          <w:p>
            <w:pPr>
              <w:spacing w:after="0"/>
              <w:rPr>
                <w:sz w:val="20"/>
                <w:szCs w:val="20"/>
                <w:color w:val="auto"/>
              </w:rPr>
            </w:pPr>
            <w:r>
              <w:rPr>
                <w:rFonts w:ascii="Arial" w:cs="Arial" w:eastAsia="Arial" w:hAnsi="Arial"/>
                <w:sz w:val="18"/>
                <w:szCs w:val="18"/>
                <w:color w:val="auto"/>
              </w:rPr>
              <w:t>Research equipment</w:t>
            </w:r>
          </w:p>
        </w:tc>
        <w:tc>
          <w:tcPr>
            <w:tcW w:w="1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9,660,960</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7,490,400</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760" w:type="dxa"/>
            <w:vAlign w:val="bottom"/>
            <w:shd w:val="clear" w:color="auto" w:fill="CFF0FC"/>
          </w:tcPr>
          <w:p>
            <w:pPr>
              <w:spacing w:after="0"/>
              <w:rPr>
                <w:sz w:val="20"/>
                <w:szCs w:val="20"/>
                <w:color w:val="auto"/>
              </w:rPr>
            </w:pPr>
            <w:r>
              <w:rPr>
                <w:rFonts w:ascii="Arial" w:cs="Arial" w:eastAsia="Arial" w:hAnsi="Arial"/>
                <w:sz w:val="18"/>
                <w:szCs w:val="18"/>
                <w:color w:val="auto"/>
              </w:rPr>
              <w:t>Software</w:t>
            </w:r>
          </w:p>
        </w:tc>
        <w:tc>
          <w:tcPr>
            <w:tcW w:w="11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132,078</w:t>
            </w:r>
          </w:p>
        </w:tc>
        <w:tc>
          <w:tcPr>
            <w:tcW w:w="1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80,841</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76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Leasehold improvements</w:t>
            </w:r>
          </w:p>
        </w:tc>
        <w:tc>
          <w:tcPr>
            <w:tcW w:w="1100" w:type="dxa"/>
            <w:vAlign w:val="bottom"/>
            <w:tcBorders>
              <w:bottom w:val="single" w:sz="8" w:color="CFF0FC"/>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12,208,380</w:t>
            </w:r>
          </w:p>
        </w:tc>
        <w:tc>
          <w:tcPr>
            <w:tcW w:w="120" w:type="dxa"/>
            <w:vAlign w:val="bottom"/>
            <w:tcBorders>
              <w:bottom w:val="single" w:sz="8" w:color="CFF0FC"/>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11,885,365</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760" w:type="dxa"/>
            <w:vAlign w:val="bottom"/>
            <w:shd w:val="clear" w:color="auto" w:fill="CFF0FC"/>
          </w:tcPr>
          <w:p>
            <w:pPr>
              <w:spacing w:after="0"/>
              <w:rPr>
                <w:sz w:val="20"/>
                <w:szCs w:val="20"/>
                <w:color w:val="auto"/>
              </w:rPr>
            </w:pPr>
            <w:r>
              <w:rPr>
                <w:rFonts w:ascii="Arial" w:cs="Arial" w:eastAsia="Arial" w:hAnsi="Arial"/>
                <w:sz w:val="18"/>
                <w:szCs w:val="18"/>
                <w:color w:val="auto"/>
              </w:rPr>
              <w:t>Total gross fixed assets</w:t>
            </w:r>
          </w:p>
        </w:tc>
        <w:tc>
          <w:tcPr>
            <w:tcW w:w="11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22,601,752</w:t>
            </w:r>
          </w:p>
        </w:tc>
        <w:tc>
          <w:tcPr>
            <w:tcW w:w="1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19,899,521</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760" w:type="dxa"/>
            <w:vAlign w:val="bottom"/>
          </w:tcPr>
          <w:p>
            <w:pPr>
              <w:spacing w:after="0"/>
              <w:rPr>
                <w:sz w:val="20"/>
                <w:szCs w:val="20"/>
                <w:color w:val="auto"/>
              </w:rPr>
            </w:pPr>
            <w:r>
              <w:rPr>
                <w:rFonts w:ascii="Arial" w:cs="Arial" w:eastAsia="Arial" w:hAnsi="Arial"/>
                <w:sz w:val="18"/>
                <w:szCs w:val="18"/>
                <w:color w:val="auto"/>
              </w:rPr>
              <w:t>Less:  Accumulated depreciation and amortization</w:t>
            </w:r>
          </w:p>
        </w:tc>
        <w:tc>
          <w:tcPr>
            <w:tcW w:w="1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40" w:type="dxa"/>
            <w:vAlign w:val="bottom"/>
            <w:gridSpan w:val="2"/>
          </w:tcPr>
          <w:p>
            <w:pPr>
              <w:jc w:val="right"/>
              <w:ind w:right="80"/>
              <w:spacing w:after="0"/>
              <w:rPr>
                <w:sz w:val="20"/>
                <w:szCs w:val="20"/>
                <w:color w:val="auto"/>
              </w:rPr>
            </w:pPr>
            <w:r>
              <w:rPr>
                <w:rFonts w:ascii="Arial" w:cs="Arial" w:eastAsia="Arial" w:hAnsi="Arial"/>
                <w:sz w:val="18"/>
                <w:szCs w:val="18"/>
                <w:color w:val="auto"/>
              </w:rPr>
              <w:t>(7,088,733)</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20" w:type="dxa"/>
            <w:vAlign w:val="bottom"/>
            <w:gridSpan w:val="2"/>
          </w:tcPr>
          <w:p>
            <w:pPr>
              <w:jc w:val="right"/>
              <w:ind w:right="80"/>
              <w:spacing w:after="0"/>
              <w:rPr>
                <w:sz w:val="20"/>
                <w:szCs w:val="20"/>
                <w:color w:val="auto"/>
              </w:rPr>
            </w:pPr>
            <w:r>
              <w:rPr>
                <w:rFonts w:ascii="Arial" w:cs="Arial" w:eastAsia="Arial" w:hAnsi="Arial"/>
                <w:sz w:val="18"/>
                <w:szCs w:val="18"/>
                <w:color w:val="auto"/>
              </w:rPr>
              <w:t>(4,512,760)</w:t>
            </w:r>
          </w:p>
        </w:tc>
        <w:tc>
          <w:tcPr>
            <w:tcW w:w="0" w:type="dxa"/>
            <w:vAlign w:val="bottom"/>
          </w:tcPr>
          <w:p>
            <w:pPr>
              <w:spacing w:after="0"/>
              <w:rPr>
                <w:sz w:val="1"/>
                <w:szCs w:val="1"/>
                <w:color w:val="auto"/>
              </w:rPr>
            </w:pPr>
          </w:p>
        </w:tc>
      </w:tr>
      <w:tr>
        <w:trPr>
          <w:trHeight w:val="223"/>
        </w:trPr>
        <w:tc>
          <w:tcPr>
            <w:tcW w:w="4760" w:type="dxa"/>
            <w:vAlign w:val="bottom"/>
            <w:tcBorders>
              <w:top w:val="single" w:sz="8" w:color="CFF0FC"/>
              <w:bottom w:val="single" w:sz="8" w:color="CFF0FC"/>
            </w:tcBorders>
            <w:shd w:val="clear" w:color="auto" w:fill="CFF0FC"/>
          </w:tcPr>
          <w:p>
            <w:pPr>
              <w:ind w:left="260"/>
              <w:spacing w:after="0"/>
              <w:rPr>
                <w:sz w:val="20"/>
                <w:szCs w:val="20"/>
                <w:color w:val="auto"/>
              </w:rPr>
            </w:pPr>
            <w:r>
              <w:rPr>
                <w:rFonts w:ascii="Arial" w:cs="Arial" w:eastAsia="Arial" w:hAnsi="Arial"/>
                <w:sz w:val="18"/>
                <w:szCs w:val="18"/>
                <w:color w:val="auto"/>
              </w:rPr>
              <w:t>Property and equipment, net</w:t>
            </w:r>
          </w:p>
        </w:tc>
        <w:tc>
          <w:tcPr>
            <w:tcW w:w="1100" w:type="dxa"/>
            <w:vAlign w:val="bottom"/>
            <w:tcBorders>
              <w:top w:val="single" w:sz="8" w:color="CFF0FC"/>
              <w:bottom w:val="single" w:sz="8" w:color="CFF0FC"/>
            </w:tcBorders>
            <w:shd w:val="clear" w:color="auto" w:fill="CFF0FC"/>
          </w:tcPr>
          <w:p>
            <w:pPr>
              <w:spacing w:after="0"/>
              <w:rPr>
                <w:sz w:val="19"/>
                <w:szCs w:val="19"/>
                <w:color w:val="auto"/>
              </w:rPr>
            </w:pP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b w:val="1"/>
                <w:bCs w:val="1"/>
                <w:color w:val="auto"/>
                <w:w w:val="71"/>
              </w:rPr>
              <w:t>$</w:t>
            </w:r>
          </w:p>
        </w:tc>
        <w:tc>
          <w:tcPr>
            <w:tcW w:w="1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15,513,019</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240" w:type="dxa"/>
            <w:vAlign w:val="bottom"/>
            <w:tcBorders>
              <w:top w:val="single" w:sz="8" w:color="auto"/>
              <w:bottom w:val="single" w:sz="8" w:color="auto"/>
            </w:tcBorders>
            <w:shd w:val="clear" w:color="auto" w:fill="CFF0FC"/>
          </w:tcPr>
          <w:p>
            <w:pPr>
              <w:spacing w:after="0"/>
              <w:rPr>
                <w:sz w:val="20"/>
                <w:szCs w:val="20"/>
                <w:color w:val="auto"/>
              </w:rPr>
            </w:pPr>
            <w:r>
              <w:rPr>
                <w:rFonts w:ascii="Arial" w:cs="Arial" w:eastAsia="Arial" w:hAnsi="Arial"/>
                <w:sz w:val="18"/>
                <w:szCs w:val="18"/>
                <w:b w:val="1"/>
                <w:bCs w:val="1"/>
                <w:color w:val="auto"/>
              </w:rPr>
              <w:t>$</w:t>
            </w:r>
          </w:p>
        </w:tc>
        <w:tc>
          <w:tcPr>
            <w:tcW w:w="10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15,386,761</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7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660"/>
        <w:spacing w:after="0" w:line="277" w:lineRule="auto"/>
        <w:rPr>
          <w:sz w:val="20"/>
          <w:szCs w:val="20"/>
          <w:color w:val="auto"/>
        </w:rPr>
      </w:pPr>
      <w:r>
        <w:rPr>
          <w:rFonts w:ascii="Arial" w:cs="Arial" w:eastAsia="Arial" w:hAnsi="Arial"/>
          <w:sz w:val="18"/>
          <w:szCs w:val="18"/>
          <w:color w:val="auto"/>
        </w:rPr>
        <w:t>During the year ended September 30, 2017, the Company’s research equipment increased as the Company has moved into a larger research facility in Madison, Wisconsin.</w:t>
      </w:r>
    </w:p>
    <w:p>
      <w:pPr>
        <w:spacing w:after="0" w:line="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NOTE 4. </w:t>
      </w:r>
      <w:r>
        <w:rPr>
          <w:rFonts w:ascii="Arial" w:cs="Arial" w:eastAsia="Arial" w:hAnsi="Arial"/>
          <w:sz w:val="18"/>
          <w:szCs w:val="18"/>
          <w:b w:val="1"/>
          <w:bCs w:val="1"/>
          <w:i w:val="1"/>
          <w:iCs w:val="1"/>
          <w:color w:val="auto"/>
        </w:rPr>
        <w:t>INVESTMENTS</w:t>
      </w:r>
    </w:p>
    <w:p>
      <w:pPr>
        <w:spacing w:after="0" w:line="121" w:lineRule="exact"/>
        <w:rPr>
          <w:sz w:val="20"/>
          <w:szCs w:val="20"/>
          <w:color w:val="auto"/>
        </w:rPr>
      </w:pPr>
    </w:p>
    <w:p>
      <w:pPr>
        <w:ind w:right="100" w:firstLine="518"/>
        <w:spacing w:after="0" w:line="257" w:lineRule="auto"/>
        <w:rPr>
          <w:sz w:val="20"/>
          <w:szCs w:val="20"/>
          <w:color w:val="auto"/>
        </w:rPr>
      </w:pPr>
      <w:r>
        <w:rPr>
          <w:rFonts w:ascii="Arial" w:cs="Arial" w:eastAsia="Arial" w:hAnsi="Arial"/>
          <w:sz w:val="18"/>
          <w:szCs w:val="18"/>
          <w:color w:val="auto"/>
        </w:rPr>
        <w:t>The Company invests a portion of its excess cash balances in short-term debt securities and may, from time to time, also invest in long-term debt securities. Investments at September 30, 2017 consisted of corporate bonds with maturities remaining of less than one year. The Company may also invest excess cash balances in certificates of deposits, money market accounts, government-sponsored enterprise securities, corporate bonds and/or commercial paper. The Company accounts for its investments in accordance with FASB ASC 320, Investments – Debt and Equity Securities. At September 30, 2017, all investments were classified as held-to-maturity securities.</w:t>
      </w:r>
    </w:p>
    <w:p>
      <w:pPr>
        <w:spacing w:after="0" w:line="188"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following tables summarize the Company’s short-term investments as of September 30, 2017, and September 30, 2016.</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70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32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2960" w:type="dxa"/>
            <w:vAlign w:val="bottom"/>
            <w:tcBorders>
              <w:bottom w:val="single" w:sz="8" w:color="auto"/>
            </w:tcBorders>
            <w:gridSpan w:val="5"/>
          </w:tcPr>
          <w:p>
            <w:pPr>
              <w:ind w:left="340"/>
              <w:spacing w:after="0"/>
              <w:rPr>
                <w:sz w:val="20"/>
                <w:szCs w:val="20"/>
                <w:color w:val="auto"/>
              </w:rPr>
            </w:pPr>
            <w:r>
              <w:rPr>
                <w:rFonts w:ascii="Arial" w:cs="Arial" w:eastAsia="Arial" w:hAnsi="Arial"/>
                <w:sz w:val="14"/>
                <w:szCs w:val="14"/>
                <w:b w:val="1"/>
                <w:bCs w:val="1"/>
                <w:color w:val="auto"/>
              </w:rPr>
              <w:t>As of September 30, 2017</w:t>
            </w:r>
          </w:p>
        </w:tc>
        <w:tc>
          <w:tcPr>
            <w:tcW w:w="26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47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56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Amortized Cost</w:t>
            </w:r>
          </w:p>
        </w:tc>
        <w:tc>
          <w:tcPr>
            <w:tcW w:w="1860" w:type="dxa"/>
            <w:vAlign w:val="bottom"/>
            <w:gridSpan w:val="4"/>
            <w:vMerge w:val="restart"/>
          </w:tcPr>
          <w:p>
            <w:pPr>
              <w:ind w:left="20"/>
              <w:spacing w:after="0"/>
              <w:rPr>
                <w:sz w:val="20"/>
                <w:szCs w:val="20"/>
                <w:color w:val="auto"/>
              </w:rPr>
            </w:pPr>
            <w:r>
              <w:rPr>
                <w:rFonts w:ascii="Arial" w:cs="Arial" w:eastAsia="Arial" w:hAnsi="Arial"/>
                <w:sz w:val="14"/>
                <w:szCs w:val="14"/>
                <w:b w:val="1"/>
                <w:bCs w:val="1"/>
                <w:color w:val="auto"/>
              </w:rPr>
              <w:t>Gross Unrealized Gains</w:t>
            </w:r>
          </w:p>
        </w:tc>
        <w:tc>
          <w:tcPr>
            <w:tcW w:w="1540" w:type="dxa"/>
            <w:vAlign w:val="bottom"/>
            <w:gridSpan w:val="2"/>
          </w:tcPr>
          <w:p>
            <w:pPr>
              <w:jc w:val="center"/>
              <w:ind w:right="360"/>
              <w:spacing w:after="0" w:line="119" w:lineRule="exact"/>
              <w:rPr>
                <w:sz w:val="20"/>
                <w:szCs w:val="20"/>
                <w:color w:val="auto"/>
              </w:rPr>
            </w:pPr>
            <w:r>
              <w:rPr>
                <w:rFonts w:ascii="Arial" w:cs="Arial" w:eastAsia="Arial" w:hAnsi="Arial"/>
                <w:sz w:val="13"/>
                <w:szCs w:val="13"/>
                <w:b w:val="1"/>
                <w:bCs w:val="1"/>
                <w:color w:val="auto"/>
                <w:w w:val="99"/>
              </w:rPr>
              <w:t>Gross Unrealized</w:t>
            </w:r>
          </w:p>
        </w:tc>
        <w:tc>
          <w:tcPr>
            <w:tcW w:w="260" w:type="dxa"/>
            <w:vAlign w:val="bottom"/>
          </w:tcPr>
          <w:p>
            <w:pPr>
              <w:spacing w:after="0"/>
              <w:rPr>
                <w:sz w:val="10"/>
                <w:szCs w:val="10"/>
                <w:color w:val="auto"/>
              </w:rPr>
            </w:pPr>
          </w:p>
        </w:tc>
        <w:tc>
          <w:tcPr>
            <w:tcW w:w="1320" w:type="dxa"/>
            <w:vAlign w:val="bottom"/>
            <w:gridSpan w:val="2"/>
            <w:vMerge w:val="restart"/>
          </w:tcPr>
          <w:p>
            <w:pPr>
              <w:ind w:left="160"/>
              <w:spacing w:after="0"/>
              <w:rPr>
                <w:sz w:val="20"/>
                <w:szCs w:val="20"/>
                <w:color w:val="auto"/>
              </w:rPr>
            </w:pPr>
            <w:r>
              <w:rPr>
                <w:rFonts w:ascii="Arial" w:cs="Arial" w:eastAsia="Arial" w:hAnsi="Arial"/>
                <w:sz w:val="14"/>
                <w:szCs w:val="14"/>
                <w:b w:val="1"/>
                <w:bCs w:val="1"/>
                <w:color w:val="auto"/>
              </w:rPr>
              <w:t>Fair Value</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47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560" w:type="dxa"/>
            <w:vAlign w:val="bottom"/>
            <w:gridSpan w:val="2"/>
            <w:vMerge w:val="continue"/>
          </w:tcPr>
          <w:p>
            <w:pPr>
              <w:spacing w:after="0"/>
              <w:rPr>
                <w:sz w:val="14"/>
                <w:szCs w:val="14"/>
                <w:color w:val="auto"/>
              </w:rPr>
            </w:pPr>
          </w:p>
        </w:tc>
        <w:tc>
          <w:tcPr>
            <w:tcW w:w="1860" w:type="dxa"/>
            <w:vAlign w:val="bottom"/>
            <w:gridSpan w:val="4"/>
            <w:vMerge w:val="continue"/>
          </w:tcPr>
          <w:p>
            <w:pPr>
              <w:spacing w:after="0"/>
              <w:rPr>
                <w:sz w:val="14"/>
                <w:szCs w:val="14"/>
                <w:color w:val="auto"/>
              </w:rPr>
            </w:pPr>
          </w:p>
        </w:tc>
        <w:tc>
          <w:tcPr>
            <w:tcW w:w="154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82"/>
              </w:rPr>
              <w:t>Losses</w:t>
            </w:r>
          </w:p>
        </w:tc>
        <w:tc>
          <w:tcPr>
            <w:tcW w:w="260" w:type="dxa"/>
            <w:vAlign w:val="bottom"/>
          </w:tcPr>
          <w:p>
            <w:pPr>
              <w:spacing w:after="0"/>
              <w:rPr>
                <w:sz w:val="14"/>
                <w:szCs w:val="14"/>
                <w:color w:val="auto"/>
              </w:rPr>
            </w:pPr>
          </w:p>
        </w:tc>
        <w:tc>
          <w:tcPr>
            <w:tcW w:w="1320" w:type="dxa"/>
            <w:vAlign w:val="bottom"/>
            <w:gridSpan w:val="2"/>
            <w:vMerge w:val="continue"/>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470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Commercial notes (due within one year)</w:t>
            </w:r>
          </w:p>
        </w:tc>
        <w:tc>
          <w:tcPr>
            <w:tcW w:w="180" w:type="dxa"/>
            <w:vAlign w:val="bottom"/>
            <w:tcBorders>
              <w:top w:val="single" w:sz="8" w:color="auto"/>
              <w:bottom w:val="single" w:sz="8" w:color="auto"/>
            </w:tcBorders>
            <w:shd w:val="clear" w:color="auto" w:fill="CFF0FC"/>
          </w:tcPr>
          <w:p>
            <w:pPr>
              <w:jc w:val="right"/>
              <w:ind w:right="25"/>
              <w:spacing w:after="0"/>
              <w:rPr>
                <w:sz w:val="20"/>
                <w:szCs w:val="20"/>
                <w:color w:val="auto"/>
              </w:rPr>
            </w:pPr>
            <w:r>
              <w:rPr>
                <w:rFonts w:ascii="Arial" w:cs="Arial" w:eastAsia="Arial" w:hAnsi="Arial"/>
                <w:sz w:val="15"/>
                <w:szCs w:val="15"/>
                <w:color w:val="auto"/>
                <w:w w:val="71"/>
              </w:rPr>
              <w:t>$</w:t>
            </w:r>
          </w:p>
        </w:tc>
        <w:tc>
          <w:tcPr>
            <w:tcW w:w="13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40,769,539</w:t>
            </w:r>
          </w:p>
        </w:tc>
        <w:tc>
          <w:tcPr>
            <w:tcW w:w="240" w:type="dxa"/>
            <w:vAlign w:val="bottom"/>
            <w:tcBorders>
              <w:top w:val="single" w:sz="8" w:color="CFF0FC"/>
              <w:bottom w:val="single" w:sz="8" w:color="CFF0FC"/>
            </w:tcBorders>
            <w:shd w:val="clear" w:color="auto" w:fill="CFF0FC"/>
          </w:tcPr>
          <w:p>
            <w:pPr>
              <w:spacing w:after="0"/>
              <w:rPr>
                <w:sz w:val="18"/>
                <w:szCs w:val="18"/>
                <w:color w:val="auto"/>
              </w:rPr>
            </w:pPr>
          </w:p>
        </w:tc>
        <w:tc>
          <w:tcPr>
            <w:tcW w:w="440" w:type="dxa"/>
            <w:vAlign w:val="bottom"/>
            <w:tcBorders>
              <w:top w:val="single" w:sz="8" w:color="auto"/>
              <w:bottom w:val="single" w:sz="8" w:color="auto"/>
            </w:tcBorders>
            <w:shd w:val="clear" w:color="auto" w:fill="CFF0FC"/>
          </w:tcPr>
          <w:p>
            <w:pPr>
              <w:spacing w:after="0"/>
              <w:rPr>
                <w:sz w:val="20"/>
                <w:szCs w:val="20"/>
                <w:color w:val="auto"/>
              </w:rPr>
            </w:pPr>
            <w:r>
              <w:rPr>
                <w:rFonts w:ascii="Arial" w:cs="Arial" w:eastAsia="Arial" w:hAnsi="Arial"/>
                <w:sz w:val="18"/>
                <w:szCs w:val="18"/>
                <w:color w:val="auto"/>
              </w:rPr>
              <w:t>$</w:t>
            </w:r>
          </w:p>
        </w:tc>
        <w:tc>
          <w:tcPr>
            <w:tcW w:w="1060" w:type="dxa"/>
            <w:vAlign w:val="bottom"/>
            <w:tcBorders>
              <w:top w:val="single" w:sz="8" w:color="auto"/>
              <w:bottom w:val="single" w:sz="8" w:color="auto"/>
            </w:tcBorders>
            <w:shd w:val="clear" w:color="auto" w:fill="CFF0FC"/>
          </w:tcPr>
          <w:p>
            <w:pPr>
              <w:ind w:left="880"/>
              <w:spacing w:after="0"/>
              <w:rPr>
                <w:sz w:val="20"/>
                <w:szCs w:val="20"/>
                <w:color w:val="auto"/>
              </w:rPr>
            </w:pPr>
            <w:r>
              <w:rPr>
                <w:rFonts w:ascii="Arial" w:cs="Arial" w:eastAsia="Arial" w:hAnsi="Arial"/>
                <w:sz w:val="18"/>
                <w:szCs w:val="18"/>
                <w:color w:val="auto"/>
                <w:w w:val="88"/>
              </w:rPr>
              <w:t>—</w:t>
            </w:r>
          </w:p>
        </w:tc>
        <w:tc>
          <w:tcPr>
            <w:tcW w:w="220" w:type="dxa"/>
            <w:vAlign w:val="bottom"/>
            <w:tcBorders>
              <w:top w:val="single" w:sz="8" w:color="CFF0FC"/>
              <w:bottom w:val="single" w:sz="8" w:color="CFF0FC"/>
            </w:tcBorders>
            <w:shd w:val="clear" w:color="auto" w:fill="CFF0FC"/>
          </w:tcPr>
          <w:p>
            <w:pPr>
              <w:spacing w:after="0"/>
              <w:rPr>
                <w:sz w:val="18"/>
                <w:szCs w:val="18"/>
                <w:color w:val="auto"/>
              </w:rPr>
            </w:pP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3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(334,755)</w:t>
            </w:r>
          </w:p>
        </w:tc>
        <w:tc>
          <w:tcPr>
            <w:tcW w:w="220" w:type="dxa"/>
            <w:vAlign w:val="bottom"/>
            <w:tcBorders>
              <w:top w:val="single" w:sz="8" w:color="CFF0FC"/>
              <w:bottom w:val="single" w:sz="8" w:color="CFF0FC"/>
            </w:tcBorders>
            <w:shd w:val="clear" w:color="auto" w:fill="CFF0FC"/>
          </w:tcPr>
          <w:p>
            <w:pPr>
              <w:spacing w:after="0"/>
              <w:rPr>
                <w:sz w:val="18"/>
                <w:szCs w:val="18"/>
                <w:color w:val="auto"/>
              </w:rPr>
            </w:pPr>
          </w:p>
        </w:tc>
        <w:tc>
          <w:tcPr>
            <w:tcW w:w="260" w:type="dxa"/>
            <w:vAlign w:val="bottom"/>
            <w:tcBorders>
              <w:top w:val="single" w:sz="8" w:color="auto"/>
              <w:bottom w:val="single" w:sz="8" w:color="auto"/>
            </w:tcBorders>
            <w:shd w:val="clear" w:color="auto" w:fill="CFF0FC"/>
          </w:tcPr>
          <w:p>
            <w:pPr>
              <w:jc w:val="right"/>
              <w:ind w:right="105"/>
              <w:spacing w:after="0"/>
              <w:rPr>
                <w:sz w:val="20"/>
                <w:szCs w:val="20"/>
                <w:color w:val="auto"/>
              </w:rPr>
            </w:pPr>
            <w:r>
              <w:rPr>
                <w:rFonts w:ascii="Arial" w:cs="Arial" w:eastAsia="Arial" w:hAnsi="Arial"/>
                <w:sz w:val="15"/>
                <w:szCs w:val="15"/>
                <w:color w:val="auto"/>
                <w:w w:val="71"/>
              </w:rPr>
              <w:t>$</w:t>
            </w:r>
          </w:p>
        </w:tc>
        <w:tc>
          <w:tcPr>
            <w:tcW w:w="12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40,434,784</w:t>
            </w:r>
          </w:p>
        </w:tc>
        <w:tc>
          <w:tcPr>
            <w:tcW w:w="100" w:type="dxa"/>
            <w:vAlign w:val="bottom"/>
            <w:tcBorders>
              <w:top w:val="single" w:sz="8" w:color="CFF0FC"/>
              <w:bottom w:val="single" w:sz="8" w:color="CFF0FC"/>
            </w:tcBorders>
            <w:shd w:val="clear" w:color="auto" w:fill="CFF0FC"/>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7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56"/>
        </w:trPr>
        <w:tc>
          <w:tcPr>
            <w:tcW w:w="47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560" w:type="dxa"/>
            <w:vAlign w:val="bottom"/>
            <w:gridSpan w:val="2"/>
          </w:tcPr>
          <w:p>
            <w:pPr>
              <w:ind w:left="660"/>
              <w:spacing w:after="0"/>
              <w:rPr>
                <w:sz w:val="20"/>
                <w:szCs w:val="20"/>
                <w:color w:val="auto"/>
              </w:rPr>
            </w:pPr>
            <w:r>
              <w:rPr>
                <w:rFonts w:ascii="Arial" w:cs="Arial" w:eastAsia="Arial" w:hAnsi="Arial"/>
                <w:sz w:val="18"/>
                <w:szCs w:val="18"/>
                <w:color w:val="auto"/>
              </w:rPr>
              <w:t>F-13</w:t>
            </w:r>
          </w:p>
        </w:tc>
        <w:tc>
          <w:tcPr>
            <w:tcW w:w="4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470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132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440" w:type="dxa"/>
            <w:vAlign w:val="bottom"/>
            <w:tcBorders>
              <w:bottom w:val="single" w:sz="8" w:color="9A9A9A"/>
            </w:tcBorders>
          </w:tcPr>
          <w:p>
            <w:pPr>
              <w:spacing w:after="0"/>
              <w:rPr>
                <w:sz w:val="10"/>
                <w:szCs w:val="10"/>
                <w:color w:val="auto"/>
              </w:rPr>
            </w:pPr>
          </w:p>
        </w:tc>
        <w:tc>
          <w:tcPr>
            <w:tcW w:w="106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132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12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32">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3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341" w:right="219" w:bottom="1440" w:gutter="0" w:footer="0" w:header="0"/>
        </w:sectPr>
      </w:pPr>
    </w:p>
    <w:bookmarkStart w:id="73" w:name="page74"/>
    <w:bookmarkEnd w:id="73"/>
    <w:tbl>
      <w:tblPr>
        <w:tblLayout w:type="fixed"/>
        <w:tblInd w:w="0" w:type="dxa"/>
        <w:tblCellMar>
          <w:top w:w="0" w:type="dxa"/>
          <w:left w:w="0" w:type="dxa"/>
          <w:bottom w:w="0" w:type="dxa"/>
          <w:right w:w="0" w:type="dxa"/>
        </w:tblCellMar>
      </w:tblPr>
      <w:tr>
        <w:trPr>
          <w:trHeight w:val="171"/>
        </w:trPr>
        <w:tc>
          <w:tcPr>
            <w:tcW w:w="4700" w:type="dxa"/>
            <w:vAlign w:val="bottom"/>
          </w:tcPr>
          <w:p>
            <w:pPr>
              <w:spacing w:after="0"/>
              <w:rPr>
                <w:sz w:val="14"/>
                <w:szCs w:val="14"/>
                <w:color w:val="auto"/>
              </w:rPr>
            </w:pPr>
          </w:p>
        </w:tc>
        <w:tc>
          <w:tcPr>
            <w:tcW w:w="128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3220" w:type="dxa"/>
            <w:vAlign w:val="bottom"/>
            <w:tcBorders>
              <w:bottom w:val="single" w:sz="8" w:color="auto"/>
            </w:tcBorders>
            <w:gridSpan w:val="6"/>
          </w:tcPr>
          <w:p>
            <w:pPr>
              <w:jc w:val="right"/>
              <w:ind w:right="1245"/>
              <w:spacing w:after="0"/>
              <w:rPr>
                <w:sz w:val="20"/>
                <w:szCs w:val="20"/>
                <w:color w:val="auto"/>
              </w:rPr>
            </w:pPr>
            <w:r>
              <w:rPr>
                <w:rFonts w:ascii="Arial" w:cs="Arial" w:eastAsia="Arial" w:hAnsi="Arial"/>
                <w:sz w:val="14"/>
                <w:szCs w:val="14"/>
                <w:b w:val="1"/>
                <w:bCs w:val="1"/>
                <w:color w:val="auto"/>
              </w:rPr>
              <w:t>As of September 30, 2016</w:t>
            </w:r>
          </w:p>
        </w:tc>
        <w:tc>
          <w:tcPr>
            <w:tcW w:w="12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4700" w:type="dxa"/>
            <w:vAlign w:val="bottom"/>
          </w:tcPr>
          <w:p>
            <w:pPr>
              <w:spacing w:after="0"/>
              <w:rPr>
                <w:sz w:val="10"/>
                <w:szCs w:val="10"/>
                <w:color w:val="auto"/>
              </w:rPr>
            </w:pPr>
          </w:p>
        </w:tc>
        <w:tc>
          <w:tcPr>
            <w:tcW w:w="128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Amortized Cost</w:t>
            </w:r>
          </w:p>
        </w:tc>
        <w:tc>
          <w:tcPr>
            <w:tcW w:w="2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860" w:type="dxa"/>
            <w:vAlign w:val="bottom"/>
            <w:gridSpan w:val="4"/>
            <w:vMerge w:val="restart"/>
          </w:tcPr>
          <w:p>
            <w:pPr>
              <w:ind w:left="20"/>
              <w:spacing w:after="0"/>
              <w:rPr>
                <w:sz w:val="20"/>
                <w:szCs w:val="20"/>
                <w:color w:val="auto"/>
              </w:rPr>
            </w:pPr>
            <w:r>
              <w:rPr>
                <w:rFonts w:ascii="Arial" w:cs="Arial" w:eastAsia="Arial" w:hAnsi="Arial"/>
                <w:sz w:val="14"/>
                <w:szCs w:val="14"/>
                <w:b w:val="1"/>
                <w:bCs w:val="1"/>
                <w:color w:val="auto"/>
              </w:rPr>
              <w:t>Gross Unrealized Gains</w:t>
            </w:r>
          </w:p>
        </w:tc>
        <w:tc>
          <w:tcPr>
            <w:tcW w:w="1800" w:type="dxa"/>
            <w:vAlign w:val="bottom"/>
            <w:gridSpan w:val="3"/>
          </w:tcPr>
          <w:p>
            <w:pPr>
              <w:jc w:val="center"/>
              <w:ind w:right="545"/>
              <w:spacing w:after="0" w:line="119" w:lineRule="exact"/>
              <w:rPr>
                <w:sz w:val="20"/>
                <w:szCs w:val="20"/>
                <w:color w:val="auto"/>
              </w:rPr>
            </w:pPr>
            <w:r>
              <w:rPr>
                <w:rFonts w:ascii="Arial" w:cs="Arial" w:eastAsia="Arial" w:hAnsi="Arial"/>
                <w:sz w:val="13"/>
                <w:szCs w:val="13"/>
                <w:b w:val="1"/>
                <w:bCs w:val="1"/>
                <w:color w:val="auto"/>
                <w:w w:val="99"/>
              </w:rPr>
              <w:t>Gross Unrealized</w:t>
            </w:r>
          </w:p>
        </w:tc>
        <w:tc>
          <w:tcPr>
            <w:tcW w:w="1320" w:type="dxa"/>
            <w:vAlign w:val="bottom"/>
            <w:gridSpan w:val="2"/>
            <w:vMerge w:val="restart"/>
          </w:tcPr>
          <w:p>
            <w:pPr>
              <w:ind w:left="160"/>
              <w:spacing w:after="0"/>
              <w:rPr>
                <w:sz w:val="20"/>
                <w:szCs w:val="20"/>
                <w:color w:val="auto"/>
              </w:rPr>
            </w:pPr>
            <w:r>
              <w:rPr>
                <w:rFonts w:ascii="Arial" w:cs="Arial" w:eastAsia="Arial" w:hAnsi="Arial"/>
                <w:sz w:val="14"/>
                <w:szCs w:val="14"/>
                <w:b w:val="1"/>
                <w:bCs w:val="1"/>
                <w:color w:val="auto"/>
              </w:rPr>
              <w:t>Fair Value</w:t>
            </w:r>
          </w:p>
        </w:tc>
        <w:tc>
          <w:tcPr>
            <w:tcW w:w="0" w:type="dxa"/>
            <w:vAlign w:val="bottom"/>
          </w:tcPr>
          <w:p>
            <w:pPr>
              <w:spacing w:after="0"/>
              <w:rPr>
                <w:sz w:val="1"/>
                <w:szCs w:val="1"/>
                <w:color w:val="auto"/>
              </w:rPr>
            </w:pPr>
          </w:p>
        </w:tc>
      </w:tr>
      <w:tr>
        <w:trPr>
          <w:trHeight w:val="171"/>
        </w:trPr>
        <w:tc>
          <w:tcPr>
            <w:tcW w:w="4700" w:type="dxa"/>
            <w:vAlign w:val="bottom"/>
          </w:tcPr>
          <w:p>
            <w:pPr>
              <w:spacing w:after="0"/>
              <w:rPr>
                <w:sz w:val="14"/>
                <w:szCs w:val="14"/>
                <w:color w:val="auto"/>
              </w:rPr>
            </w:pPr>
          </w:p>
        </w:tc>
        <w:tc>
          <w:tcPr>
            <w:tcW w:w="128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860" w:type="dxa"/>
            <w:vAlign w:val="bottom"/>
            <w:gridSpan w:val="4"/>
            <w:vMerge w:val="continue"/>
          </w:tcPr>
          <w:p>
            <w:pPr>
              <w:spacing w:after="0"/>
              <w:rPr>
                <w:sz w:val="14"/>
                <w:szCs w:val="14"/>
                <w:color w:val="auto"/>
              </w:rPr>
            </w:pPr>
          </w:p>
        </w:tc>
        <w:tc>
          <w:tcPr>
            <w:tcW w:w="1800" w:type="dxa"/>
            <w:vAlign w:val="bottom"/>
            <w:gridSpan w:val="3"/>
          </w:tcPr>
          <w:p>
            <w:pPr>
              <w:jc w:val="center"/>
              <w:ind w:right="565"/>
              <w:spacing w:after="0"/>
              <w:rPr>
                <w:sz w:val="20"/>
                <w:szCs w:val="20"/>
                <w:color w:val="auto"/>
              </w:rPr>
            </w:pPr>
            <w:r>
              <w:rPr>
                <w:rFonts w:ascii="Arial" w:cs="Arial" w:eastAsia="Arial" w:hAnsi="Arial"/>
                <w:sz w:val="14"/>
                <w:szCs w:val="14"/>
                <w:b w:val="1"/>
                <w:bCs w:val="1"/>
                <w:color w:val="auto"/>
                <w:w w:val="82"/>
              </w:rPr>
              <w:t>Losses</w:t>
            </w:r>
          </w:p>
        </w:tc>
        <w:tc>
          <w:tcPr>
            <w:tcW w:w="132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470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Commercial notes (due within one year)</w:t>
            </w:r>
          </w:p>
        </w:tc>
        <w:tc>
          <w:tcPr>
            <w:tcW w:w="1280" w:type="dxa"/>
            <w:vAlign w:val="bottom"/>
            <w:tcBorders>
              <w:top w:val="single" w:sz="8" w:color="auto"/>
              <w:bottom w:val="single" w:sz="8" w:color="auto"/>
            </w:tcBorders>
            <w:shd w:val="clear" w:color="auto" w:fill="CFF0FC"/>
          </w:tcPr>
          <w:p>
            <w:pPr>
              <w:jc w:val="right"/>
              <w:ind w:right="1127"/>
              <w:spacing w:after="0"/>
              <w:rPr>
                <w:sz w:val="20"/>
                <w:szCs w:val="20"/>
                <w:color w:val="auto"/>
              </w:rPr>
            </w:pPr>
            <w:r>
              <w:rPr>
                <w:rFonts w:ascii="Arial" w:cs="Arial" w:eastAsia="Arial" w:hAnsi="Arial"/>
                <w:sz w:val="15"/>
                <w:szCs w:val="15"/>
                <w:color w:val="auto"/>
                <w:w w:val="71"/>
              </w:rPr>
              <w:t>$</w:t>
            </w:r>
          </w:p>
        </w:tc>
        <w:tc>
          <w:tcPr>
            <w:tcW w:w="220" w:type="dxa"/>
            <w:vAlign w:val="bottom"/>
            <w:tcBorders>
              <w:top w:val="single" w:sz="8" w:color="auto"/>
              <w:bottom w:val="single" w:sz="8" w:color="auto"/>
            </w:tcBorders>
            <w:shd w:val="clear" w:color="auto" w:fill="CFF0FC"/>
          </w:tcPr>
          <w:p>
            <w:pPr>
              <w:ind w:left="40"/>
              <w:spacing w:after="0"/>
              <w:rPr>
                <w:sz w:val="20"/>
                <w:szCs w:val="20"/>
                <w:color w:val="auto"/>
              </w:rPr>
            </w:pPr>
            <w:r>
              <w:rPr>
                <w:rFonts w:ascii="Arial" w:cs="Arial" w:eastAsia="Arial" w:hAnsi="Arial"/>
                <w:sz w:val="18"/>
                <w:szCs w:val="18"/>
                <w:color w:val="auto"/>
                <w:w w:val="88"/>
              </w:rPr>
              <w:t>—</w:t>
            </w:r>
          </w:p>
        </w:tc>
        <w:tc>
          <w:tcPr>
            <w:tcW w:w="240" w:type="dxa"/>
            <w:vAlign w:val="bottom"/>
            <w:tcBorders>
              <w:top w:val="single" w:sz="8" w:color="CFF0FC"/>
              <w:bottom w:val="single" w:sz="8" w:color="CFF0FC"/>
            </w:tcBorders>
            <w:shd w:val="clear" w:color="auto" w:fill="CFF0FC"/>
          </w:tcPr>
          <w:p>
            <w:pPr>
              <w:spacing w:after="0"/>
              <w:rPr>
                <w:sz w:val="18"/>
                <w:szCs w:val="18"/>
                <w:color w:val="auto"/>
              </w:rPr>
            </w:pPr>
          </w:p>
        </w:tc>
        <w:tc>
          <w:tcPr>
            <w:tcW w:w="440" w:type="dxa"/>
            <w:vAlign w:val="bottom"/>
            <w:tcBorders>
              <w:top w:val="single" w:sz="8" w:color="auto"/>
              <w:bottom w:val="single" w:sz="8" w:color="auto"/>
            </w:tcBorders>
            <w:shd w:val="clear" w:color="auto" w:fill="CFF0FC"/>
          </w:tcPr>
          <w:p>
            <w:pPr>
              <w:spacing w:after="0"/>
              <w:rPr>
                <w:sz w:val="20"/>
                <w:szCs w:val="20"/>
                <w:color w:val="auto"/>
              </w:rPr>
            </w:pPr>
            <w:r>
              <w:rPr>
                <w:rFonts w:ascii="Arial" w:cs="Arial" w:eastAsia="Arial" w:hAnsi="Arial"/>
                <w:sz w:val="18"/>
                <w:szCs w:val="18"/>
                <w:color w:val="auto"/>
              </w:rPr>
              <w:t>$</w:t>
            </w:r>
          </w:p>
        </w:tc>
        <w:tc>
          <w:tcPr>
            <w:tcW w:w="1060" w:type="dxa"/>
            <w:vAlign w:val="bottom"/>
            <w:tcBorders>
              <w:top w:val="single" w:sz="8" w:color="auto"/>
              <w:bottom w:val="single" w:sz="8" w:color="auto"/>
            </w:tcBorders>
            <w:shd w:val="clear" w:color="auto" w:fill="CFF0FC"/>
          </w:tcPr>
          <w:p>
            <w:pPr>
              <w:ind w:left="880"/>
              <w:spacing w:after="0"/>
              <w:rPr>
                <w:sz w:val="20"/>
                <w:szCs w:val="20"/>
                <w:color w:val="auto"/>
              </w:rPr>
            </w:pPr>
            <w:r>
              <w:rPr>
                <w:rFonts w:ascii="Arial" w:cs="Arial" w:eastAsia="Arial" w:hAnsi="Arial"/>
                <w:sz w:val="18"/>
                <w:szCs w:val="18"/>
                <w:color w:val="auto"/>
                <w:w w:val="88"/>
              </w:rPr>
              <w:t>—</w:t>
            </w:r>
          </w:p>
        </w:tc>
        <w:tc>
          <w:tcPr>
            <w:tcW w:w="220" w:type="dxa"/>
            <w:vAlign w:val="bottom"/>
            <w:tcBorders>
              <w:top w:val="single" w:sz="8" w:color="CFF0FC"/>
              <w:bottom w:val="single" w:sz="8" w:color="CFF0FC"/>
            </w:tcBorders>
            <w:shd w:val="clear" w:color="auto" w:fill="CFF0FC"/>
          </w:tcPr>
          <w:p>
            <w:pPr>
              <w:spacing w:after="0"/>
              <w:rPr>
                <w:sz w:val="18"/>
                <w:szCs w:val="18"/>
                <w:color w:val="auto"/>
              </w:rPr>
            </w:pP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3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top w:val="single" w:sz="8" w:color="CFF0FC"/>
              <w:bottom w:val="single" w:sz="8" w:color="CFF0FC"/>
            </w:tcBorders>
            <w:shd w:val="clear" w:color="auto" w:fill="CFF0FC"/>
          </w:tcPr>
          <w:p>
            <w:pPr>
              <w:spacing w:after="0"/>
              <w:rPr>
                <w:sz w:val="18"/>
                <w:szCs w:val="18"/>
                <w:color w:val="auto"/>
              </w:rPr>
            </w:pPr>
          </w:p>
        </w:tc>
        <w:tc>
          <w:tcPr>
            <w:tcW w:w="260" w:type="dxa"/>
            <w:vAlign w:val="bottom"/>
            <w:tcBorders>
              <w:top w:val="single" w:sz="8" w:color="auto"/>
              <w:bottom w:val="single" w:sz="8" w:color="auto"/>
            </w:tcBorders>
            <w:shd w:val="clear" w:color="auto" w:fill="CFF0FC"/>
          </w:tcPr>
          <w:p>
            <w:pPr>
              <w:jc w:val="right"/>
              <w:ind w:right="105"/>
              <w:spacing w:after="0"/>
              <w:rPr>
                <w:sz w:val="20"/>
                <w:szCs w:val="20"/>
                <w:color w:val="auto"/>
              </w:rPr>
            </w:pPr>
            <w:r>
              <w:rPr>
                <w:rFonts w:ascii="Arial" w:cs="Arial" w:eastAsia="Arial" w:hAnsi="Arial"/>
                <w:sz w:val="15"/>
                <w:szCs w:val="15"/>
                <w:color w:val="auto"/>
                <w:w w:val="71"/>
              </w:rPr>
              <w:t>$</w:t>
            </w:r>
          </w:p>
        </w:tc>
        <w:tc>
          <w:tcPr>
            <w:tcW w:w="1220" w:type="dxa"/>
            <w:vAlign w:val="bottom"/>
            <w:tcBorders>
              <w:top w:val="single" w:sz="8" w:color="auto"/>
              <w:bottom w:val="single" w:sz="8" w:color="auto"/>
            </w:tcBorders>
            <w:shd w:val="clear" w:color="auto" w:fill="CFF0FC"/>
          </w:tcPr>
          <w:p>
            <w:pPr>
              <w:ind w:left="1040"/>
              <w:spacing w:after="0"/>
              <w:rPr>
                <w:sz w:val="20"/>
                <w:szCs w:val="20"/>
                <w:color w:val="auto"/>
              </w:rPr>
            </w:pPr>
            <w:r>
              <w:rPr>
                <w:rFonts w:ascii="Arial" w:cs="Arial" w:eastAsia="Arial" w:hAnsi="Arial"/>
                <w:sz w:val="18"/>
                <w:szCs w:val="18"/>
                <w:color w:val="auto"/>
                <w:w w:val="88"/>
              </w:rPr>
              <w:t>—</w:t>
            </w:r>
          </w:p>
        </w:tc>
        <w:tc>
          <w:tcPr>
            <w:tcW w:w="100" w:type="dxa"/>
            <w:vAlign w:val="bottom"/>
            <w:tcBorders>
              <w:top w:val="single" w:sz="8" w:color="CFF0FC"/>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700" w:type="dxa"/>
            <w:vAlign w:val="bottom"/>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NOTE 5. </w:t>
      </w:r>
      <w:r>
        <w:rPr>
          <w:rFonts w:ascii="Arial" w:cs="Arial" w:eastAsia="Arial" w:hAnsi="Arial"/>
          <w:sz w:val="18"/>
          <w:szCs w:val="18"/>
          <w:b w:val="1"/>
          <w:bCs w:val="1"/>
          <w:i w:val="1"/>
          <w:iCs w:val="1"/>
          <w:color w:val="auto"/>
        </w:rPr>
        <w:t>INTANGIBLE ASSETS</w:t>
      </w:r>
    </w:p>
    <w:p>
      <w:pPr>
        <w:spacing w:after="0" w:line="229" w:lineRule="exact"/>
        <w:rPr>
          <w:sz w:val="20"/>
          <w:szCs w:val="20"/>
          <w:color w:val="auto"/>
        </w:rPr>
      </w:pPr>
    </w:p>
    <w:p>
      <w:pPr>
        <w:ind w:left="520"/>
        <w:spacing w:after="0"/>
        <w:rPr>
          <w:sz w:val="20"/>
          <w:szCs w:val="20"/>
          <w:color w:val="auto"/>
        </w:rPr>
      </w:pPr>
      <w:r>
        <w:rPr>
          <w:rFonts w:ascii="Arial" w:cs="Arial" w:eastAsia="Arial" w:hAnsi="Arial"/>
          <w:sz w:val="16"/>
          <w:szCs w:val="16"/>
          <w:color w:val="auto"/>
        </w:rPr>
        <w:t>Intangible assets subject to amortization include patents and a license agreement capitalized as part of the Novartis RNAi asset acquisition in March</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color w:val="auto"/>
        </w:rPr>
        <w:t>2015. The license agreement associated with the Novartis RNAi asset acquisition is being amortized over the estimated life remaining at the time of</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acquisition, which was 21 years, and the accumulated amortization of the asset is approximately $383,330. The patents associated with the Novartis RNAi</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asset acquisition are being amortized over the estimated life remaining at the time of acquisition, which was 14 years, and the accumulated amortization of the</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assets is approximately $4,009,395. Amortization expense for the years ended September 30, 2017, 2016 and 2015 was $1,700,429, $1,714,313 and</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$1,046,571, respectively. Amortization expense is expected to be approximately $1,700,429 for fiscal year 2018, $1,700,429 in 2019, $1,700,429 in 2020,</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$1,700,429 in 2021, $1,700,429 in 2022, and $11,962,294 thereafter.</w:t>
      </w:r>
    </w:p>
    <w:p>
      <w:pPr>
        <w:spacing w:after="0" w:line="21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following table provides details on the Company’s intangible asset balances:</w:t>
      </w:r>
    </w:p>
    <w:p>
      <w:pPr>
        <w:spacing w:after="0" w:line="231" w:lineRule="exact"/>
        <w:rPr>
          <w:sz w:val="20"/>
          <w:szCs w:val="20"/>
          <w:color w:val="auto"/>
        </w:rPr>
      </w:pPr>
    </w:p>
    <w:tbl>
      <w:tblPr>
        <w:tblLayout w:type="fixed"/>
        <w:tblInd w:w="2240" w:type="dxa"/>
        <w:tblCellMar>
          <w:top w:w="0" w:type="dxa"/>
          <w:left w:w="0" w:type="dxa"/>
          <w:bottom w:w="0" w:type="dxa"/>
          <w:right w:w="0" w:type="dxa"/>
        </w:tblCellMar>
      </w:tblPr>
      <w:tr>
        <w:trPr>
          <w:trHeight w:val="161"/>
        </w:trPr>
        <w:tc>
          <w:tcPr>
            <w:tcW w:w="50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60" w:type="dxa"/>
            <w:vAlign w:val="bottom"/>
            <w:gridSpan w:val="3"/>
          </w:tcPr>
          <w:p>
            <w:pPr>
              <w:spacing w:after="0"/>
              <w:rPr>
                <w:sz w:val="20"/>
                <w:szCs w:val="20"/>
                <w:color w:val="auto"/>
              </w:rPr>
            </w:pPr>
            <w:r>
              <w:rPr>
                <w:rFonts w:ascii="Arial" w:cs="Arial" w:eastAsia="Arial" w:hAnsi="Arial"/>
                <w:sz w:val="14"/>
                <w:szCs w:val="14"/>
                <w:b w:val="1"/>
                <w:bCs w:val="1"/>
                <w:color w:val="auto"/>
              </w:rPr>
              <w:t>Intangible assets</w:t>
            </w:r>
          </w:p>
        </w:tc>
      </w:tr>
      <w:tr>
        <w:trPr>
          <w:trHeight w:val="149"/>
        </w:trPr>
        <w:tc>
          <w:tcPr>
            <w:tcW w:w="50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780" w:type="dxa"/>
            <w:vAlign w:val="bottom"/>
            <w:gridSpan w:val="2"/>
          </w:tcPr>
          <w:p>
            <w:pPr>
              <w:jc w:val="right"/>
              <w:ind w:right="1060"/>
              <w:spacing w:after="0" w:line="149" w:lineRule="exact"/>
              <w:rPr>
                <w:sz w:val="20"/>
                <w:szCs w:val="20"/>
                <w:color w:val="auto"/>
              </w:rPr>
            </w:pPr>
            <w:r>
              <w:rPr>
                <w:rFonts w:ascii="Arial" w:cs="Arial" w:eastAsia="Arial" w:hAnsi="Arial"/>
                <w:sz w:val="14"/>
                <w:szCs w:val="14"/>
                <w:b w:val="1"/>
                <w:bCs w:val="1"/>
                <w:color w:val="auto"/>
              </w:rPr>
              <w:t>subject to</w:t>
            </w:r>
          </w:p>
        </w:tc>
      </w:tr>
      <w:tr>
        <w:trPr>
          <w:trHeight w:val="171"/>
        </w:trPr>
        <w:tc>
          <w:tcPr>
            <w:tcW w:w="50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780" w:type="dxa"/>
            <w:vAlign w:val="bottom"/>
            <w:gridSpan w:val="2"/>
          </w:tcPr>
          <w:p>
            <w:pPr>
              <w:jc w:val="right"/>
              <w:ind w:right="960"/>
              <w:spacing w:after="0"/>
              <w:rPr>
                <w:sz w:val="20"/>
                <w:szCs w:val="20"/>
                <w:color w:val="auto"/>
              </w:rPr>
            </w:pPr>
            <w:r>
              <w:rPr>
                <w:rFonts w:ascii="Arial" w:cs="Arial" w:eastAsia="Arial" w:hAnsi="Arial"/>
                <w:sz w:val="14"/>
                <w:szCs w:val="14"/>
                <w:b w:val="1"/>
                <w:bCs w:val="1"/>
                <w:color w:val="auto"/>
                <w:w w:val="96"/>
              </w:rPr>
              <w:t>amortization</w:t>
            </w:r>
          </w:p>
        </w:tc>
      </w:tr>
      <w:tr>
        <w:trPr>
          <w:trHeight w:val="216"/>
        </w:trPr>
        <w:tc>
          <w:tcPr>
            <w:tcW w:w="5080" w:type="dxa"/>
            <w:vAlign w:val="bottom"/>
            <w:shd w:val="clear" w:color="auto" w:fill="CFF0FC"/>
          </w:tcPr>
          <w:p>
            <w:pPr>
              <w:spacing w:after="0"/>
              <w:rPr>
                <w:sz w:val="20"/>
                <w:szCs w:val="20"/>
                <w:color w:val="auto"/>
              </w:rPr>
            </w:pPr>
            <w:r>
              <w:rPr>
                <w:rFonts w:ascii="Arial" w:cs="Arial" w:eastAsia="Arial" w:hAnsi="Arial"/>
                <w:sz w:val="18"/>
                <w:szCs w:val="18"/>
                <w:color w:val="auto"/>
              </w:rPr>
              <w:t>Balance at September 30, 2016</w:t>
            </w:r>
          </w:p>
        </w:tc>
        <w:tc>
          <w:tcPr>
            <w:tcW w:w="100" w:type="dxa"/>
            <w:vAlign w:val="bottom"/>
            <w:gridSpan w:val="2"/>
            <w:shd w:val="clear" w:color="auto" w:fill="CFF0FC"/>
          </w:tcPr>
          <w:p>
            <w:pPr>
              <w:spacing w:after="0"/>
              <w:rPr>
                <w:sz w:val="20"/>
                <w:szCs w:val="20"/>
                <w:color w:val="auto"/>
              </w:rPr>
            </w:pPr>
            <w:r>
              <w:rPr>
                <w:rFonts w:ascii="Arial" w:cs="Arial" w:eastAsia="Arial" w:hAnsi="Arial"/>
                <w:sz w:val="18"/>
                <w:szCs w:val="18"/>
                <w:color w:val="auto"/>
                <w:w w:val="79"/>
              </w:rPr>
              <w:t>$</w:t>
            </w:r>
          </w:p>
        </w:tc>
        <w:tc>
          <w:tcPr>
            <w:tcW w:w="1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22,164,868</w:t>
            </w:r>
          </w:p>
        </w:tc>
        <w:tc>
          <w:tcPr>
            <w:tcW w:w="120" w:type="dxa"/>
            <w:vAlign w:val="bottom"/>
            <w:shd w:val="clear" w:color="auto" w:fill="CFF0FC"/>
          </w:tcPr>
          <w:p>
            <w:pPr>
              <w:spacing w:after="0"/>
              <w:rPr>
                <w:sz w:val="18"/>
                <w:szCs w:val="18"/>
                <w:color w:val="auto"/>
              </w:rPr>
            </w:pPr>
          </w:p>
        </w:tc>
      </w:tr>
      <w:tr>
        <w:trPr>
          <w:trHeight w:val="216"/>
        </w:trPr>
        <w:tc>
          <w:tcPr>
            <w:tcW w:w="5080" w:type="dxa"/>
            <w:vAlign w:val="bottom"/>
          </w:tcPr>
          <w:p>
            <w:pPr>
              <w:spacing w:after="0"/>
              <w:rPr>
                <w:sz w:val="20"/>
                <w:szCs w:val="20"/>
                <w:color w:val="auto"/>
              </w:rPr>
            </w:pPr>
            <w:r>
              <w:rPr>
                <w:rFonts w:ascii="Arial" w:cs="Arial" w:eastAsia="Arial" w:hAnsi="Arial"/>
                <w:sz w:val="18"/>
                <w:szCs w:val="18"/>
                <w:color w:val="auto"/>
              </w:rPr>
              <w:t>Impairment</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r>
      <w:tr>
        <w:trPr>
          <w:trHeight w:val="216"/>
        </w:trPr>
        <w:tc>
          <w:tcPr>
            <w:tcW w:w="5080" w:type="dxa"/>
            <w:vAlign w:val="bottom"/>
            <w:shd w:val="clear" w:color="auto" w:fill="CFF0FC"/>
          </w:tcPr>
          <w:p>
            <w:pPr>
              <w:spacing w:after="0"/>
              <w:rPr>
                <w:sz w:val="20"/>
                <w:szCs w:val="20"/>
                <w:color w:val="auto"/>
              </w:rPr>
            </w:pPr>
            <w:r>
              <w:rPr>
                <w:rFonts w:ascii="Arial" w:cs="Arial" w:eastAsia="Arial" w:hAnsi="Arial"/>
                <w:sz w:val="18"/>
                <w:szCs w:val="18"/>
                <w:color w:val="auto"/>
              </w:rPr>
              <w:t>Amortization</w:t>
            </w:r>
          </w:p>
        </w:tc>
        <w:tc>
          <w:tcPr>
            <w:tcW w:w="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78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(1,700,429)</w:t>
            </w:r>
          </w:p>
        </w:tc>
      </w:tr>
      <w:tr>
        <w:trPr>
          <w:trHeight w:val="210"/>
        </w:trPr>
        <w:tc>
          <w:tcPr>
            <w:tcW w:w="5080" w:type="dxa"/>
            <w:vAlign w:val="bottom"/>
          </w:tcPr>
          <w:p>
            <w:pPr>
              <w:spacing w:after="0"/>
              <w:rPr>
                <w:sz w:val="20"/>
                <w:szCs w:val="20"/>
                <w:color w:val="auto"/>
              </w:rPr>
            </w:pPr>
            <w:r>
              <w:rPr>
                <w:rFonts w:ascii="Arial" w:cs="Arial" w:eastAsia="Arial" w:hAnsi="Arial"/>
                <w:sz w:val="18"/>
                <w:szCs w:val="18"/>
                <w:color w:val="auto"/>
              </w:rPr>
              <w:t>Balance at September 30, 2017</w:t>
            </w:r>
          </w:p>
        </w:tc>
        <w:tc>
          <w:tcPr>
            <w:tcW w:w="20" w:type="dxa"/>
            <w:vAlign w:val="bottom"/>
            <w:tcBorders>
              <w:bottom w:val="single" w:sz="8" w:color="auto"/>
            </w:tcBorders>
          </w:tcPr>
          <w:p>
            <w:pPr>
              <w:spacing w:after="0"/>
              <w:rPr>
                <w:sz w:val="18"/>
                <w:szCs w:val="18"/>
                <w:color w:val="auto"/>
              </w:rPr>
            </w:pPr>
          </w:p>
        </w:tc>
        <w:tc>
          <w:tcPr>
            <w:tcW w:w="80" w:type="dxa"/>
            <w:vAlign w:val="bottom"/>
            <w:tcBorders>
              <w:top w:val="single" w:sz="8" w:color="auto"/>
              <w:bottom w:val="single" w:sz="8" w:color="auto"/>
            </w:tcBorders>
          </w:tcPr>
          <w:p>
            <w:pPr>
              <w:spacing w:after="0"/>
              <w:rPr>
                <w:sz w:val="20"/>
                <w:szCs w:val="20"/>
                <w:color w:val="auto"/>
              </w:rPr>
            </w:pPr>
            <w:r>
              <w:rPr>
                <w:rFonts w:ascii="Arial" w:cs="Arial" w:eastAsia="Arial" w:hAnsi="Arial"/>
                <w:sz w:val="15"/>
                <w:szCs w:val="15"/>
                <w:color w:val="auto"/>
                <w:w w:val="71"/>
              </w:rPr>
              <w:t>$</w:t>
            </w:r>
          </w:p>
        </w:tc>
        <w:tc>
          <w:tcPr>
            <w:tcW w:w="1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20,464,439</w:t>
            </w:r>
          </w:p>
        </w:tc>
        <w:tc>
          <w:tcPr>
            <w:tcW w:w="120" w:type="dxa"/>
            <w:vAlign w:val="bottom"/>
          </w:tcPr>
          <w:p>
            <w:pPr>
              <w:spacing w:after="0"/>
              <w:rPr>
                <w:sz w:val="18"/>
                <w:szCs w:val="18"/>
                <w:color w:val="auto"/>
              </w:rPr>
            </w:pPr>
          </w:p>
        </w:tc>
      </w:tr>
      <w:tr>
        <w:trPr>
          <w:trHeight w:val="20"/>
        </w:trPr>
        <w:tc>
          <w:tcPr>
            <w:tcW w:w="50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NOTE 6. </w:t>
      </w:r>
      <w:r>
        <w:rPr>
          <w:rFonts w:ascii="Arial" w:cs="Arial" w:eastAsia="Arial" w:hAnsi="Arial"/>
          <w:sz w:val="18"/>
          <w:szCs w:val="18"/>
          <w:b w:val="1"/>
          <w:bCs w:val="1"/>
          <w:i w:val="1"/>
          <w:iCs w:val="1"/>
          <w:color w:val="auto"/>
        </w:rPr>
        <w:t>STOCKHOLDERS’ EQUITY</w:t>
      </w:r>
    </w:p>
    <w:p>
      <w:pPr>
        <w:spacing w:after="0" w:line="121" w:lineRule="exact"/>
        <w:rPr>
          <w:sz w:val="20"/>
          <w:szCs w:val="20"/>
          <w:color w:val="auto"/>
        </w:rPr>
      </w:pPr>
    </w:p>
    <w:p>
      <w:pPr>
        <w:ind w:right="240" w:firstLine="518"/>
        <w:spacing w:after="0" w:line="277" w:lineRule="auto"/>
        <w:rPr>
          <w:sz w:val="20"/>
          <w:szCs w:val="20"/>
          <w:color w:val="auto"/>
        </w:rPr>
      </w:pPr>
      <w:r>
        <w:rPr>
          <w:rFonts w:ascii="Arial" w:cs="Arial" w:eastAsia="Arial" w:hAnsi="Arial"/>
          <w:sz w:val="18"/>
          <w:szCs w:val="18"/>
          <w:color w:val="auto"/>
        </w:rPr>
        <w:t>At September 30, 2017, the Company had a total of 150,000,000 shares of capital stock authorized for issuance, consisting of 145,000,000 shares of Common Stock, par value $0.001 per share, and 5,000,000 shares of Preferred Stock, par value $0.001 per share.</w:t>
      </w:r>
    </w:p>
    <w:p>
      <w:pPr>
        <w:spacing w:after="0" w:line="170" w:lineRule="exact"/>
        <w:rPr>
          <w:sz w:val="20"/>
          <w:szCs w:val="20"/>
          <w:color w:val="auto"/>
        </w:rPr>
      </w:pPr>
    </w:p>
    <w:p>
      <w:pPr>
        <w:jc w:val="both"/>
        <w:ind w:right="260" w:firstLine="518"/>
        <w:spacing w:after="0" w:line="264" w:lineRule="auto"/>
        <w:rPr>
          <w:sz w:val="20"/>
          <w:szCs w:val="20"/>
          <w:color w:val="auto"/>
        </w:rPr>
      </w:pPr>
      <w:r>
        <w:rPr>
          <w:rFonts w:ascii="Arial" w:cs="Arial" w:eastAsia="Arial" w:hAnsi="Arial"/>
          <w:sz w:val="18"/>
          <w:szCs w:val="18"/>
          <w:color w:val="auto"/>
        </w:rPr>
        <w:t>At September 30, 2017, 74,785,426 shares of Common Stock were outstanding. At September 30, 2017, 8,902,416 shares of Common Stock were reserved for issuance upon exercise of options and vesting of restricted stock units granted or available for grant under Arrowhead’s 2004 Equity Incentive Plan and 2013 Incentive Plan, as well as for inducement grants made to new employees.</w:t>
      </w:r>
    </w:p>
    <w:p>
      <w:pPr>
        <w:spacing w:after="0" w:line="181" w:lineRule="exact"/>
        <w:rPr>
          <w:sz w:val="20"/>
          <w:szCs w:val="20"/>
          <w:color w:val="auto"/>
        </w:rPr>
      </w:pPr>
    </w:p>
    <w:p>
      <w:pPr>
        <w:ind w:right="300" w:firstLine="518"/>
        <w:spacing w:after="0" w:line="277" w:lineRule="auto"/>
        <w:rPr>
          <w:sz w:val="20"/>
          <w:szCs w:val="20"/>
          <w:color w:val="auto"/>
        </w:rPr>
      </w:pPr>
      <w:r>
        <w:rPr>
          <w:rFonts w:ascii="Arial" w:cs="Arial" w:eastAsia="Arial" w:hAnsi="Arial"/>
          <w:sz w:val="18"/>
          <w:szCs w:val="18"/>
          <w:color w:val="auto"/>
        </w:rPr>
        <w:t>During the year ended September 30, 2017, 15,652 shares of Series C Preferred Stock were converted into 2,670,989 shares of Common Stock. No preferred stock was outstanding as of September 30, 2017.</w:t>
      </w:r>
    </w:p>
    <w:p>
      <w:pPr>
        <w:spacing w:after="0" w:line="170" w:lineRule="exact"/>
        <w:rPr>
          <w:sz w:val="20"/>
          <w:szCs w:val="20"/>
          <w:color w:val="auto"/>
        </w:rPr>
      </w:pPr>
    </w:p>
    <w:p>
      <w:pPr>
        <w:ind w:right="60" w:firstLine="518"/>
        <w:spacing w:after="0" w:line="286" w:lineRule="auto"/>
        <w:rPr>
          <w:sz w:val="20"/>
          <w:szCs w:val="20"/>
          <w:color w:val="auto"/>
        </w:rPr>
      </w:pPr>
      <w:r>
        <w:rPr>
          <w:rFonts w:ascii="Arial" w:cs="Arial" w:eastAsia="Arial" w:hAnsi="Arial"/>
          <w:sz w:val="16"/>
          <w:szCs w:val="16"/>
          <w:color w:val="auto"/>
        </w:rPr>
        <w:t>On March 21, 2017, the Board of Directors (the “Board”) of the Company authorized and declared a dividend distribution of one right (a “Right”) for each outstanding share of Common Stock of the Company to stockholders of record at the close of business on March 22, 2017 (the “Record Date”). Each Right entitles the registered holder to purchase from the Company one one-thousandth of a share of Series D Junior Participating Preferred Stock, par value $0.001 per share (the “Preferred Shares”), of the Company at a purchase price of $20 per one one-thousandth of a Preferred Share (the “Purchase Price”). This portion of a share of Preferred Stock would give the holder thereof approximately the same dividend, voting and liquidation rights as would one share of Common Stock, with any variations set forth in the Certificate of Designation, Preferences, and Rights of Series D Junior Participating Preferred Stock attached hereto as Exhibit 3.3. The Rights become exercisable on the earlier of (i) 10 business days following a public announcement that a person has become an “Acquiring Person” by acquiring beneficial ownership of 15% or more of the Common Stock then outstanding, other than as a result of repurchases of Common Stock by the Company or certain inadvertent acquisitions; or (ii) 10 business days (or such later date as the Board shall determine prior to the time a person becomes an Acquiring Person) after the commencement of a tender offer or an exchange offer by or on behalf of any person (other than the Company and certain related entities) that, if completed, would result in such person becoming an Acquiring Person. In the event that a person becomes an Acquiring Person, each holder of a Right shall thereafter have the right to receive, upon exercise, Common Stock (or, in certain circumstances, other securities, cash, or other assets of the Company) having a value equal to two times the Purchase Price. The Rights expire on March 21, 2018.</w:t>
      </w:r>
    </w:p>
    <w:p>
      <w:pPr>
        <w:spacing w:after="0" w:line="17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3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74" w:name="page75"/>
    <w:bookmarkEnd w:id="74"/>
    <w:p>
      <w:pPr>
        <w:ind w:right="40" w:firstLine="518"/>
        <w:spacing w:after="0" w:line="279" w:lineRule="auto"/>
        <w:rPr>
          <w:sz w:val="20"/>
          <w:szCs w:val="20"/>
          <w:color w:val="auto"/>
        </w:rPr>
      </w:pPr>
      <w:r>
        <w:rPr>
          <w:rFonts w:ascii="Arial" w:cs="Arial" w:eastAsia="Arial" w:hAnsi="Arial"/>
          <w:sz w:val="17"/>
          <w:szCs w:val="17"/>
          <w:color w:val="auto"/>
        </w:rPr>
        <w:t xml:space="preserve">On September 28, 2016, the Company sold 1,256,983 shares of Common Stock to Amgen, Inc. at a price of $7.16 per share as part of the Common Stock Purchase Agreement executed with Amgen and discussed further in Note 2 – </w:t>
      </w:r>
      <w:r>
        <w:rPr>
          <w:rFonts w:ascii="Arial" w:cs="Arial" w:eastAsia="Arial" w:hAnsi="Arial"/>
          <w:sz w:val="17"/>
          <w:szCs w:val="17"/>
          <w:i w:val="1"/>
          <w:iCs w:val="1"/>
          <w:color w:val="auto"/>
        </w:rPr>
        <w:t>Collaboration and License Agreements – Amgen, Inc</w:t>
      </w:r>
      <w:r>
        <w:rPr>
          <w:rFonts w:ascii="Arial" w:cs="Arial" w:eastAsia="Arial" w:hAnsi="Arial"/>
          <w:sz w:val="17"/>
          <w:szCs w:val="17"/>
          <w:color w:val="auto"/>
        </w:rPr>
        <w:t>. The Company received proceeds of $9 million. On November 18, 2016, a second tranche of 1,745,810 shares was also sold to Amgen at a price of $7.16 per share as part of the Common Stock Purchase Agreement. The Company received proceeds of $12.5 million in November 2016.</w:t>
      </w:r>
    </w:p>
    <w:p>
      <w:pPr>
        <w:spacing w:after="0" w:line="17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following table summarizes information about warrants outstanding at September 30, 2017:</w:t>
      </w:r>
    </w:p>
    <w:p>
      <w:pPr>
        <w:spacing w:after="0" w:line="231" w:lineRule="exact"/>
        <w:rPr>
          <w:sz w:val="20"/>
          <w:szCs w:val="20"/>
          <w:color w:val="auto"/>
        </w:rPr>
      </w:pPr>
    </w:p>
    <w:tbl>
      <w:tblPr>
        <w:tblLayout w:type="fixed"/>
        <w:tblInd w:w="2640" w:type="dxa"/>
        <w:tblCellMar>
          <w:top w:w="0" w:type="dxa"/>
          <w:left w:w="0" w:type="dxa"/>
          <w:bottom w:w="0" w:type="dxa"/>
          <w:right w:w="0" w:type="dxa"/>
        </w:tblCellMar>
      </w:tblPr>
      <w:tr>
        <w:trPr>
          <w:trHeight w:val="161"/>
        </w:trPr>
        <w:tc>
          <w:tcPr>
            <w:tcW w:w="3860" w:type="dxa"/>
            <w:vAlign w:val="bottom"/>
            <w:gridSpan w:val="4"/>
            <w:vMerge w:val="restart"/>
          </w:tcPr>
          <w:p>
            <w:pPr>
              <w:spacing w:after="0"/>
              <w:rPr>
                <w:sz w:val="20"/>
                <w:szCs w:val="20"/>
                <w:color w:val="auto"/>
              </w:rPr>
            </w:pPr>
            <w:r>
              <w:rPr>
                <w:rFonts w:ascii="Arial" w:cs="Arial" w:eastAsia="Arial" w:hAnsi="Arial"/>
                <w:sz w:val="14"/>
                <w:szCs w:val="14"/>
                <w:b w:val="1"/>
                <w:bCs w:val="1"/>
                <w:color w:val="auto"/>
              </w:rPr>
              <w:t>Exercise prices</w:t>
            </w:r>
          </w:p>
        </w:tc>
        <w:tc>
          <w:tcPr>
            <w:tcW w:w="980" w:type="dxa"/>
            <w:vAlign w:val="bottom"/>
          </w:tcPr>
          <w:p>
            <w:pPr>
              <w:jc w:val="right"/>
              <w:ind w:right="136"/>
              <w:spacing w:after="0"/>
              <w:rPr>
                <w:sz w:val="20"/>
                <w:szCs w:val="20"/>
                <w:color w:val="auto"/>
              </w:rPr>
            </w:pPr>
            <w:r>
              <w:rPr>
                <w:rFonts w:ascii="Arial" w:cs="Arial" w:eastAsia="Arial" w:hAnsi="Arial"/>
                <w:sz w:val="14"/>
                <w:szCs w:val="14"/>
                <w:b w:val="1"/>
                <w:bCs w:val="1"/>
                <w:color w:val="auto"/>
              </w:rPr>
              <w:t>Number of</w:t>
            </w:r>
          </w:p>
        </w:tc>
        <w:tc>
          <w:tcPr>
            <w:tcW w:w="180" w:type="dxa"/>
            <w:vAlign w:val="bottom"/>
          </w:tcPr>
          <w:p>
            <w:pPr>
              <w:spacing w:after="0"/>
              <w:rPr>
                <w:sz w:val="14"/>
                <w:szCs w:val="14"/>
                <w:color w:val="auto"/>
              </w:rPr>
            </w:pPr>
          </w:p>
        </w:tc>
        <w:tc>
          <w:tcPr>
            <w:tcW w:w="114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4"/>
              </w:rPr>
              <w:t>Remaining</w:t>
            </w:r>
          </w:p>
        </w:tc>
        <w:tc>
          <w:tcPr>
            <w:tcW w:w="0" w:type="dxa"/>
            <w:vAlign w:val="bottom"/>
          </w:tcPr>
          <w:p>
            <w:pPr>
              <w:spacing w:after="0"/>
              <w:rPr>
                <w:sz w:val="1"/>
                <w:szCs w:val="1"/>
                <w:color w:val="auto"/>
              </w:rPr>
            </w:pPr>
          </w:p>
        </w:tc>
      </w:tr>
      <w:tr>
        <w:trPr>
          <w:trHeight w:val="171"/>
        </w:trPr>
        <w:tc>
          <w:tcPr>
            <w:tcW w:w="3860" w:type="dxa"/>
            <w:vAlign w:val="bottom"/>
            <w:gridSpan w:val="4"/>
            <w:vMerge w:val="continue"/>
          </w:tcPr>
          <w:p>
            <w:pPr>
              <w:spacing w:after="0"/>
              <w:rPr>
                <w:sz w:val="14"/>
                <w:szCs w:val="14"/>
                <w:color w:val="auto"/>
              </w:rPr>
            </w:pPr>
          </w:p>
        </w:tc>
        <w:tc>
          <w:tcPr>
            <w:tcW w:w="980" w:type="dxa"/>
            <w:vAlign w:val="bottom"/>
          </w:tcPr>
          <w:p>
            <w:pPr>
              <w:jc w:val="right"/>
              <w:ind w:right="156"/>
              <w:spacing w:after="0"/>
              <w:rPr>
                <w:sz w:val="20"/>
                <w:szCs w:val="20"/>
                <w:color w:val="auto"/>
              </w:rPr>
            </w:pPr>
            <w:r>
              <w:rPr>
                <w:rFonts w:ascii="Arial" w:cs="Arial" w:eastAsia="Arial" w:hAnsi="Arial"/>
                <w:sz w:val="14"/>
                <w:szCs w:val="14"/>
                <w:b w:val="1"/>
                <w:bCs w:val="1"/>
                <w:color w:val="auto"/>
              </w:rPr>
              <w:t>Warrants</w:t>
            </w:r>
          </w:p>
        </w:tc>
        <w:tc>
          <w:tcPr>
            <w:tcW w:w="180" w:type="dxa"/>
            <w:vAlign w:val="bottom"/>
          </w:tcPr>
          <w:p>
            <w:pPr>
              <w:spacing w:after="0"/>
              <w:rPr>
                <w:sz w:val="14"/>
                <w:szCs w:val="14"/>
                <w:color w:val="auto"/>
              </w:rPr>
            </w:pPr>
          </w:p>
        </w:tc>
        <w:tc>
          <w:tcPr>
            <w:tcW w:w="114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93"/>
              </w:rPr>
              <w:t>Life in Years</w:t>
            </w:r>
          </w:p>
        </w:tc>
        <w:tc>
          <w:tcPr>
            <w:tcW w:w="0" w:type="dxa"/>
            <w:vAlign w:val="bottom"/>
          </w:tcPr>
          <w:p>
            <w:pPr>
              <w:spacing w:after="0"/>
              <w:rPr>
                <w:sz w:val="1"/>
                <w:szCs w:val="1"/>
                <w:color w:val="auto"/>
              </w:rPr>
            </w:pPr>
          </w:p>
        </w:tc>
      </w:tr>
      <w:tr>
        <w:trPr>
          <w:trHeight w:val="210"/>
        </w:trPr>
        <w:tc>
          <w:tcPr>
            <w:tcW w:w="24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w:t>
            </w:r>
          </w:p>
        </w:tc>
        <w:tc>
          <w:tcPr>
            <w:tcW w:w="3440" w:type="dxa"/>
            <w:vAlign w:val="bottom"/>
            <w:tcBorders>
              <w:top w:val="single" w:sz="8" w:color="auto"/>
            </w:tcBorders>
            <w:shd w:val="clear" w:color="auto" w:fill="CFF0FC"/>
          </w:tcPr>
          <w:p>
            <w:pPr>
              <w:jc w:val="right"/>
              <w:ind w:right="2870"/>
              <w:spacing w:after="0"/>
              <w:rPr>
                <w:sz w:val="20"/>
                <w:szCs w:val="20"/>
                <w:color w:val="auto"/>
              </w:rPr>
            </w:pPr>
            <w:r>
              <w:rPr>
                <w:rFonts w:ascii="Arial" w:cs="Arial" w:eastAsia="Arial" w:hAnsi="Arial"/>
                <w:sz w:val="18"/>
                <w:szCs w:val="18"/>
                <w:color w:val="auto"/>
              </w:rPr>
              <w:t>2.12</w:t>
            </w:r>
          </w:p>
        </w:tc>
        <w:tc>
          <w:tcPr>
            <w:tcW w:w="80" w:type="dxa"/>
            <w:vAlign w:val="bottom"/>
            <w:tcBorders>
              <w:top w:val="single" w:sz="8" w:color="CFF0FC"/>
            </w:tcBorders>
            <w:shd w:val="clear" w:color="auto" w:fill="CFF0FC"/>
          </w:tcPr>
          <w:p>
            <w:pPr>
              <w:spacing w:after="0"/>
              <w:rPr>
                <w:sz w:val="18"/>
                <w:szCs w:val="18"/>
                <w:color w:val="auto"/>
              </w:rPr>
            </w:pPr>
          </w:p>
        </w:tc>
        <w:tc>
          <w:tcPr>
            <w:tcW w:w="100" w:type="dxa"/>
            <w:vAlign w:val="bottom"/>
            <w:tcBorders>
              <w:top w:val="single" w:sz="8" w:color="auto"/>
            </w:tcBorders>
            <w:shd w:val="clear" w:color="auto" w:fill="CFF0FC"/>
          </w:tcPr>
          <w:p>
            <w:pPr>
              <w:spacing w:after="0"/>
              <w:rPr>
                <w:sz w:val="18"/>
                <w:szCs w:val="18"/>
                <w:color w:val="auto"/>
              </w:rPr>
            </w:pPr>
          </w:p>
        </w:tc>
        <w:tc>
          <w:tcPr>
            <w:tcW w:w="9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75,000</w:t>
            </w:r>
          </w:p>
        </w:tc>
        <w:tc>
          <w:tcPr>
            <w:tcW w:w="180" w:type="dxa"/>
            <w:vAlign w:val="bottom"/>
            <w:tcBorders>
              <w:top w:val="single" w:sz="8" w:color="CFF0FC"/>
            </w:tcBorders>
            <w:shd w:val="clear" w:color="auto" w:fill="CFF0FC"/>
          </w:tcPr>
          <w:p>
            <w:pPr>
              <w:spacing w:after="0"/>
              <w:rPr>
                <w:sz w:val="18"/>
                <w:szCs w:val="18"/>
                <w:color w:val="auto"/>
              </w:rPr>
            </w:pPr>
          </w:p>
        </w:tc>
        <w:tc>
          <w:tcPr>
            <w:tcW w:w="10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0.4</w:t>
            </w:r>
          </w:p>
        </w:tc>
        <w:tc>
          <w:tcPr>
            <w:tcW w:w="60" w:type="dxa"/>
            <w:vAlign w:val="bottom"/>
            <w:tcBorders>
              <w:top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40" w:type="dxa"/>
            <w:vAlign w:val="bottom"/>
          </w:tcPr>
          <w:p>
            <w:pPr>
              <w:spacing w:after="0"/>
              <w:rPr>
                <w:sz w:val="20"/>
                <w:szCs w:val="20"/>
                <w:color w:val="auto"/>
              </w:rPr>
            </w:pPr>
            <w:r>
              <w:rPr>
                <w:rFonts w:ascii="Arial" w:cs="Arial" w:eastAsia="Arial" w:hAnsi="Arial"/>
                <w:sz w:val="18"/>
                <w:szCs w:val="18"/>
                <w:color w:val="auto"/>
              </w:rPr>
              <w:t>$</w:t>
            </w:r>
          </w:p>
        </w:tc>
        <w:tc>
          <w:tcPr>
            <w:tcW w:w="3440" w:type="dxa"/>
            <w:vAlign w:val="bottom"/>
          </w:tcPr>
          <w:p>
            <w:pPr>
              <w:jc w:val="right"/>
              <w:ind w:right="2870"/>
              <w:spacing w:after="0"/>
              <w:rPr>
                <w:sz w:val="20"/>
                <w:szCs w:val="20"/>
                <w:color w:val="auto"/>
              </w:rPr>
            </w:pPr>
            <w:r>
              <w:rPr>
                <w:rFonts w:ascii="Arial" w:cs="Arial" w:eastAsia="Arial" w:hAnsi="Arial"/>
                <w:sz w:val="18"/>
                <w:szCs w:val="18"/>
                <w:color w:val="auto"/>
              </w:rPr>
              <w:t>1.83</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277,284</w:t>
            </w:r>
          </w:p>
        </w:tc>
        <w:tc>
          <w:tcPr>
            <w:tcW w:w="1260" w:type="dxa"/>
            <w:vAlign w:val="bottom"/>
            <w:gridSpan w:val="2"/>
          </w:tcPr>
          <w:p>
            <w:pPr>
              <w:jc w:val="right"/>
              <w:spacing w:after="0"/>
              <w:rPr>
                <w:sz w:val="20"/>
                <w:szCs w:val="20"/>
                <w:color w:val="auto"/>
              </w:rPr>
            </w:pPr>
            <w:r>
              <w:rPr>
                <w:rFonts w:ascii="Arial" w:cs="Arial" w:eastAsia="Arial" w:hAnsi="Arial"/>
                <w:sz w:val="18"/>
                <w:szCs w:val="18"/>
                <w:color w:val="auto"/>
              </w:rPr>
              <w:t>0.2</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40" w:type="dxa"/>
            <w:vAlign w:val="bottom"/>
            <w:shd w:val="clear" w:color="auto" w:fill="CFF0FC"/>
          </w:tcPr>
          <w:p>
            <w:pPr>
              <w:spacing w:after="0"/>
              <w:rPr>
                <w:sz w:val="20"/>
                <w:szCs w:val="20"/>
                <w:color w:val="auto"/>
              </w:rPr>
            </w:pPr>
            <w:r>
              <w:rPr>
                <w:rFonts w:ascii="Arial" w:cs="Arial" w:eastAsia="Arial" w:hAnsi="Arial"/>
                <w:sz w:val="18"/>
                <w:szCs w:val="18"/>
                <w:color w:val="auto"/>
              </w:rPr>
              <w:t>$</w:t>
            </w:r>
          </w:p>
        </w:tc>
        <w:tc>
          <w:tcPr>
            <w:tcW w:w="3440" w:type="dxa"/>
            <w:vAlign w:val="bottom"/>
            <w:shd w:val="clear" w:color="auto" w:fill="CFF0FC"/>
          </w:tcPr>
          <w:p>
            <w:pPr>
              <w:jc w:val="right"/>
              <w:ind w:right="2870"/>
              <w:spacing w:after="0"/>
              <w:rPr>
                <w:sz w:val="20"/>
                <w:szCs w:val="20"/>
                <w:color w:val="auto"/>
              </w:rPr>
            </w:pPr>
            <w:r>
              <w:rPr>
                <w:rFonts w:ascii="Arial" w:cs="Arial" w:eastAsia="Arial" w:hAnsi="Arial"/>
                <w:sz w:val="18"/>
                <w:szCs w:val="18"/>
                <w:color w:val="auto"/>
              </w:rPr>
              <w:t>7.14</w:t>
            </w:r>
          </w:p>
        </w:tc>
        <w:tc>
          <w:tcPr>
            <w:tcW w:w="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80,000</w:t>
            </w:r>
          </w:p>
        </w:tc>
        <w:tc>
          <w:tcPr>
            <w:tcW w:w="12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0.7</w:t>
            </w:r>
          </w:p>
        </w:tc>
        <w:tc>
          <w:tcPr>
            <w:tcW w:w="6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860" w:type="dxa"/>
            <w:vAlign w:val="bottom"/>
            <w:gridSpan w:val="4"/>
          </w:tcPr>
          <w:p>
            <w:pPr>
              <w:spacing w:after="0"/>
              <w:rPr>
                <w:sz w:val="20"/>
                <w:szCs w:val="20"/>
                <w:color w:val="auto"/>
              </w:rPr>
            </w:pPr>
            <w:r>
              <w:rPr>
                <w:rFonts w:ascii="Arial" w:cs="Arial" w:eastAsia="Arial" w:hAnsi="Arial"/>
                <w:sz w:val="18"/>
                <w:szCs w:val="18"/>
                <w:color w:val="auto"/>
              </w:rPr>
              <w:t>Total warrants outstanding</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432,284</w:t>
            </w: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40" w:type="dxa"/>
            <w:vAlign w:val="bottom"/>
          </w:tcPr>
          <w:p>
            <w:pPr>
              <w:spacing w:after="0" w:line="20" w:lineRule="exact"/>
              <w:rPr>
                <w:sz w:val="1"/>
                <w:szCs w:val="1"/>
                <w:color w:val="auto"/>
              </w:rPr>
            </w:pPr>
          </w:p>
        </w:tc>
        <w:tc>
          <w:tcPr>
            <w:tcW w:w="34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NOTE 7. </w:t>
      </w:r>
      <w:r>
        <w:rPr>
          <w:rFonts w:ascii="Arial" w:cs="Arial" w:eastAsia="Arial" w:hAnsi="Arial"/>
          <w:sz w:val="18"/>
          <w:szCs w:val="18"/>
          <w:b w:val="1"/>
          <w:bCs w:val="1"/>
          <w:i w:val="1"/>
          <w:iCs w:val="1"/>
          <w:color w:val="auto"/>
        </w:rPr>
        <w:t>COMMITMENTS AND CONTINGENCIES</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8"/>
          <w:szCs w:val="18"/>
          <w:i w:val="1"/>
          <w:iCs w:val="1"/>
          <w:color w:val="auto"/>
        </w:rPr>
        <w:t>Leases</w:t>
      </w:r>
    </w:p>
    <w:p>
      <w:pPr>
        <w:spacing w:after="0" w:line="117" w:lineRule="exact"/>
        <w:rPr>
          <w:sz w:val="20"/>
          <w:szCs w:val="20"/>
          <w:color w:val="auto"/>
        </w:rPr>
      </w:pPr>
    </w:p>
    <w:p>
      <w:pPr>
        <w:jc w:val="both"/>
        <w:ind w:right="240" w:firstLine="518"/>
        <w:spacing w:after="0" w:line="264" w:lineRule="auto"/>
        <w:rPr>
          <w:sz w:val="20"/>
          <w:szCs w:val="20"/>
          <w:color w:val="auto"/>
        </w:rPr>
      </w:pPr>
      <w:r>
        <w:rPr>
          <w:rFonts w:ascii="Arial" w:cs="Arial" w:eastAsia="Arial" w:hAnsi="Arial"/>
          <w:sz w:val="18"/>
          <w:szCs w:val="18"/>
          <w:color w:val="auto"/>
        </w:rPr>
        <w:t>The Company leases approximately 8,500 square feet of office space for its corporate headquarters in Pasadena, California. The lease will expire in September 2019. Rental costs, including common area maintenance and real estate taxes, are approximately $27,000 per month, increasing approximately 3% annually.</w:t>
      </w:r>
    </w:p>
    <w:p>
      <w:pPr>
        <w:spacing w:after="0" w:line="289" w:lineRule="exact"/>
        <w:rPr>
          <w:sz w:val="20"/>
          <w:szCs w:val="20"/>
          <w:color w:val="auto"/>
        </w:rPr>
      </w:pPr>
    </w:p>
    <w:p>
      <w:pPr>
        <w:ind w:right="40" w:firstLine="530"/>
        <w:spacing w:after="0" w:line="255" w:lineRule="auto"/>
        <w:rPr>
          <w:sz w:val="20"/>
          <w:szCs w:val="20"/>
          <w:color w:val="auto"/>
        </w:rPr>
      </w:pPr>
      <w:r>
        <w:rPr>
          <w:rFonts w:ascii="Arial" w:cs="Arial" w:eastAsia="Arial" w:hAnsi="Arial"/>
          <w:sz w:val="18"/>
          <w:szCs w:val="18"/>
          <w:color w:val="auto"/>
        </w:rPr>
        <w:t>The Company also leases approximately 60,000 square feet of office and laboratory space for its research facility in Madison, Wisconsin. The lease will expire in September 2026. As part of this lease, the Company was provided a primary tenant improvement allowance of $2.1 million, which is accounted for as Deferred Rent and a secondary tenant improvement allowance of $2.7 million, which is accounted for as a Note Payable on the Company’s Consolidated Balance Sheet. Monthly rental payments, including common area maintenance, real estate taxes and payments of principal and interest on the Note Payable are approximately $182,200 per month. The monthly rental payments (excluding principal and interest on the Note Payable), will increase approximately 2.5% annually.</w:t>
      </w:r>
    </w:p>
    <w:p>
      <w:pPr>
        <w:spacing w:after="0" w:line="193" w:lineRule="exact"/>
        <w:rPr>
          <w:sz w:val="20"/>
          <w:szCs w:val="20"/>
          <w:color w:val="auto"/>
        </w:rPr>
      </w:pPr>
    </w:p>
    <w:p>
      <w:pPr>
        <w:ind w:right="440" w:firstLine="305"/>
        <w:spacing w:after="0" w:line="308" w:lineRule="auto"/>
        <w:rPr>
          <w:sz w:val="20"/>
          <w:szCs w:val="20"/>
          <w:color w:val="auto"/>
        </w:rPr>
      </w:pPr>
      <w:r>
        <w:rPr>
          <w:rFonts w:ascii="Arial" w:cs="Arial" w:eastAsia="Arial" w:hAnsi="Arial"/>
          <w:sz w:val="17"/>
          <w:szCs w:val="17"/>
          <w:color w:val="auto"/>
        </w:rPr>
        <w:t>The Company previously leased additional research facility space in Middleton, Wisconsin; however this lease expired in December 2016. Monthly rental payments including common area maintenance and real estate taxes for the additional space was approximately $18,000.</w:t>
      </w:r>
    </w:p>
    <w:p>
      <w:pPr>
        <w:spacing w:after="0" w:line="14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Facility rent expense for the years ended September 30, 2017, 2016 and 2015 was $1,554,000, $926,000 and $831,000, respectively.</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left="520"/>
        <w:spacing w:after="0"/>
        <w:rPr>
          <w:sz w:val="20"/>
          <w:szCs w:val="20"/>
          <w:color w:val="auto"/>
        </w:rPr>
      </w:pPr>
      <w:r>
        <w:rPr>
          <w:rFonts w:ascii="Arial" w:cs="Arial" w:eastAsia="Arial" w:hAnsi="Arial"/>
          <w:sz w:val="18"/>
          <w:szCs w:val="18"/>
          <w:color w:val="auto"/>
        </w:rPr>
        <w:t>As of September 30, 2017, future minimum lease payments due in fiscal years under operating leases are as follows:</w:t>
      </w:r>
    </w:p>
    <w:p>
      <w:pPr>
        <w:spacing w:after="0" w:line="26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840" w:type="dxa"/>
            <w:vAlign w:val="bottom"/>
          </w:tcPr>
          <w:p>
            <w:pPr>
              <w:spacing w:after="0"/>
              <w:rPr>
                <w:sz w:val="18"/>
                <w:szCs w:val="18"/>
                <w:color w:val="auto"/>
              </w:rPr>
            </w:pPr>
          </w:p>
        </w:tc>
        <w:tc>
          <w:tcPr>
            <w:tcW w:w="2560" w:type="dxa"/>
            <w:vAlign w:val="bottom"/>
            <w:shd w:val="clear" w:color="auto" w:fill="CFF0FC"/>
          </w:tcPr>
          <w:p>
            <w:pPr>
              <w:spacing w:after="0"/>
              <w:rPr>
                <w:sz w:val="20"/>
                <w:szCs w:val="20"/>
                <w:color w:val="auto"/>
              </w:rPr>
            </w:pPr>
            <w:r>
              <w:rPr>
                <w:rFonts w:ascii="Arial" w:cs="Arial" w:eastAsia="Arial" w:hAnsi="Arial"/>
                <w:sz w:val="18"/>
                <w:szCs w:val="18"/>
                <w:color w:val="auto"/>
              </w:rPr>
              <w:t>2018</w:t>
            </w:r>
          </w:p>
        </w:tc>
        <w:tc>
          <w:tcPr>
            <w:tcW w:w="4200" w:type="dxa"/>
            <w:vAlign w:val="bottom"/>
            <w:gridSpan w:val="2"/>
            <w:shd w:val="clear" w:color="auto" w:fill="CFF0FC"/>
          </w:tcPr>
          <w:p>
            <w:pPr>
              <w:jc w:val="right"/>
              <w:ind w:right="65"/>
              <w:spacing w:after="0"/>
              <w:rPr>
                <w:sz w:val="20"/>
                <w:szCs w:val="20"/>
                <w:color w:val="auto"/>
              </w:rPr>
            </w:pPr>
            <w:r>
              <w:rPr>
                <w:rFonts w:ascii="Arial" w:cs="Arial" w:eastAsia="Arial" w:hAnsi="Arial"/>
                <w:sz w:val="18"/>
                <w:szCs w:val="18"/>
                <w:color w:val="auto"/>
              </w:rPr>
              <w:t>$</w:t>
            </w:r>
          </w:p>
        </w:tc>
        <w:tc>
          <w:tcPr>
            <w:tcW w:w="100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1,531,234</w:t>
            </w:r>
          </w:p>
        </w:tc>
        <w:tc>
          <w:tcPr>
            <w:tcW w:w="1840" w:type="dxa"/>
            <w:vAlign w:val="bottom"/>
          </w:tcPr>
          <w:p>
            <w:pPr>
              <w:spacing w:after="0"/>
              <w:rPr>
                <w:sz w:val="18"/>
                <w:szCs w:val="18"/>
                <w:color w:val="auto"/>
              </w:rPr>
            </w:pPr>
          </w:p>
        </w:tc>
      </w:tr>
      <w:tr>
        <w:trPr>
          <w:trHeight w:val="216"/>
        </w:trPr>
        <w:tc>
          <w:tcPr>
            <w:tcW w:w="1840" w:type="dxa"/>
            <w:vAlign w:val="bottom"/>
          </w:tcPr>
          <w:p>
            <w:pPr>
              <w:spacing w:after="0"/>
              <w:rPr>
                <w:sz w:val="18"/>
                <w:szCs w:val="18"/>
                <w:color w:val="auto"/>
              </w:rPr>
            </w:pPr>
          </w:p>
        </w:tc>
        <w:tc>
          <w:tcPr>
            <w:tcW w:w="2560" w:type="dxa"/>
            <w:vAlign w:val="bottom"/>
          </w:tcPr>
          <w:p>
            <w:pPr>
              <w:spacing w:after="0"/>
              <w:rPr>
                <w:sz w:val="20"/>
                <w:szCs w:val="20"/>
                <w:color w:val="auto"/>
              </w:rPr>
            </w:pPr>
            <w:r>
              <w:rPr>
                <w:rFonts w:ascii="Arial" w:cs="Arial" w:eastAsia="Arial" w:hAnsi="Arial"/>
                <w:sz w:val="18"/>
                <w:szCs w:val="18"/>
                <w:color w:val="auto"/>
              </w:rPr>
              <w:t>2019</w:t>
            </w:r>
          </w:p>
        </w:tc>
        <w:tc>
          <w:tcPr>
            <w:tcW w:w="3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1,435,409</w:t>
            </w:r>
          </w:p>
        </w:tc>
        <w:tc>
          <w:tcPr>
            <w:tcW w:w="1840" w:type="dxa"/>
            <w:vAlign w:val="bottom"/>
          </w:tcPr>
          <w:p>
            <w:pPr>
              <w:spacing w:after="0"/>
              <w:rPr>
                <w:sz w:val="18"/>
                <w:szCs w:val="18"/>
                <w:color w:val="auto"/>
              </w:rPr>
            </w:pPr>
          </w:p>
        </w:tc>
      </w:tr>
      <w:tr>
        <w:trPr>
          <w:trHeight w:val="216"/>
        </w:trPr>
        <w:tc>
          <w:tcPr>
            <w:tcW w:w="1840" w:type="dxa"/>
            <w:vAlign w:val="bottom"/>
          </w:tcPr>
          <w:p>
            <w:pPr>
              <w:spacing w:after="0"/>
              <w:rPr>
                <w:sz w:val="18"/>
                <w:szCs w:val="18"/>
                <w:color w:val="auto"/>
              </w:rPr>
            </w:pPr>
          </w:p>
        </w:tc>
        <w:tc>
          <w:tcPr>
            <w:tcW w:w="2560" w:type="dxa"/>
            <w:vAlign w:val="bottom"/>
            <w:shd w:val="clear" w:color="auto" w:fill="CFF0FC"/>
          </w:tcPr>
          <w:p>
            <w:pPr>
              <w:spacing w:after="0"/>
              <w:rPr>
                <w:sz w:val="20"/>
                <w:szCs w:val="20"/>
                <w:color w:val="auto"/>
              </w:rPr>
            </w:pPr>
            <w:r>
              <w:rPr>
                <w:rFonts w:ascii="Arial" w:cs="Arial" w:eastAsia="Arial" w:hAnsi="Arial"/>
                <w:sz w:val="18"/>
                <w:szCs w:val="18"/>
                <w:color w:val="auto"/>
              </w:rPr>
              <w:t>2020</w:t>
            </w:r>
          </w:p>
        </w:tc>
        <w:tc>
          <w:tcPr>
            <w:tcW w:w="39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0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1,044,431</w:t>
            </w:r>
          </w:p>
        </w:tc>
        <w:tc>
          <w:tcPr>
            <w:tcW w:w="1840" w:type="dxa"/>
            <w:vAlign w:val="bottom"/>
          </w:tcPr>
          <w:p>
            <w:pPr>
              <w:spacing w:after="0"/>
              <w:rPr>
                <w:sz w:val="18"/>
                <w:szCs w:val="18"/>
                <w:color w:val="auto"/>
              </w:rPr>
            </w:pPr>
          </w:p>
        </w:tc>
      </w:tr>
      <w:tr>
        <w:trPr>
          <w:trHeight w:val="216"/>
        </w:trPr>
        <w:tc>
          <w:tcPr>
            <w:tcW w:w="1840" w:type="dxa"/>
            <w:vAlign w:val="bottom"/>
          </w:tcPr>
          <w:p>
            <w:pPr>
              <w:spacing w:after="0"/>
              <w:rPr>
                <w:sz w:val="18"/>
                <w:szCs w:val="18"/>
                <w:color w:val="auto"/>
              </w:rPr>
            </w:pPr>
          </w:p>
        </w:tc>
        <w:tc>
          <w:tcPr>
            <w:tcW w:w="2560" w:type="dxa"/>
            <w:vAlign w:val="bottom"/>
          </w:tcPr>
          <w:p>
            <w:pPr>
              <w:spacing w:after="0"/>
              <w:rPr>
                <w:sz w:val="20"/>
                <w:szCs w:val="20"/>
                <w:color w:val="auto"/>
              </w:rPr>
            </w:pPr>
            <w:r>
              <w:rPr>
                <w:rFonts w:ascii="Arial" w:cs="Arial" w:eastAsia="Arial" w:hAnsi="Arial"/>
                <w:sz w:val="18"/>
                <w:szCs w:val="18"/>
                <w:color w:val="auto"/>
              </w:rPr>
              <w:t>2021</w:t>
            </w:r>
          </w:p>
        </w:tc>
        <w:tc>
          <w:tcPr>
            <w:tcW w:w="3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1,070,496</w:t>
            </w:r>
          </w:p>
        </w:tc>
        <w:tc>
          <w:tcPr>
            <w:tcW w:w="1840" w:type="dxa"/>
            <w:vAlign w:val="bottom"/>
          </w:tcPr>
          <w:p>
            <w:pPr>
              <w:spacing w:after="0"/>
              <w:rPr>
                <w:sz w:val="18"/>
                <w:szCs w:val="18"/>
                <w:color w:val="auto"/>
              </w:rPr>
            </w:pPr>
          </w:p>
        </w:tc>
      </w:tr>
      <w:tr>
        <w:trPr>
          <w:trHeight w:val="216"/>
        </w:trPr>
        <w:tc>
          <w:tcPr>
            <w:tcW w:w="1840" w:type="dxa"/>
            <w:vAlign w:val="bottom"/>
          </w:tcPr>
          <w:p>
            <w:pPr>
              <w:spacing w:after="0"/>
              <w:rPr>
                <w:sz w:val="18"/>
                <w:szCs w:val="18"/>
                <w:color w:val="auto"/>
              </w:rPr>
            </w:pPr>
          </w:p>
        </w:tc>
        <w:tc>
          <w:tcPr>
            <w:tcW w:w="2560" w:type="dxa"/>
            <w:vAlign w:val="bottom"/>
            <w:shd w:val="clear" w:color="auto" w:fill="CFF0FC"/>
          </w:tcPr>
          <w:p>
            <w:pPr>
              <w:spacing w:after="0"/>
              <w:rPr>
                <w:sz w:val="20"/>
                <w:szCs w:val="20"/>
                <w:color w:val="auto"/>
              </w:rPr>
            </w:pPr>
            <w:r>
              <w:rPr>
                <w:rFonts w:ascii="Arial" w:cs="Arial" w:eastAsia="Arial" w:hAnsi="Arial"/>
                <w:sz w:val="18"/>
                <w:szCs w:val="18"/>
                <w:color w:val="auto"/>
              </w:rPr>
              <w:t>2022</w:t>
            </w:r>
          </w:p>
        </w:tc>
        <w:tc>
          <w:tcPr>
            <w:tcW w:w="39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0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1,097,168</w:t>
            </w:r>
          </w:p>
        </w:tc>
        <w:tc>
          <w:tcPr>
            <w:tcW w:w="1840" w:type="dxa"/>
            <w:vAlign w:val="bottom"/>
          </w:tcPr>
          <w:p>
            <w:pPr>
              <w:spacing w:after="0"/>
              <w:rPr>
                <w:sz w:val="18"/>
                <w:szCs w:val="18"/>
                <w:color w:val="auto"/>
              </w:rPr>
            </w:pPr>
          </w:p>
        </w:tc>
      </w:tr>
      <w:tr>
        <w:trPr>
          <w:trHeight w:val="216"/>
        </w:trPr>
        <w:tc>
          <w:tcPr>
            <w:tcW w:w="1840" w:type="dxa"/>
            <w:vAlign w:val="bottom"/>
          </w:tcPr>
          <w:p>
            <w:pPr>
              <w:spacing w:after="0"/>
              <w:rPr>
                <w:sz w:val="18"/>
                <w:szCs w:val="18"/>
                <w:color w:val="auto"/>
              </w:rPr>
            </w:pPr>
          </w:p>
        </w:tc>
        <w:tc>
          <w:tcPr>
            <w:tcW w:w="256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2023 and thereafter</w:t>
            </w:r>
          </w:p>
        </w:tc>
        <w:tc>
          <w:tcPr>
            <w:tcW w:w="3980" w:type="dxa"/>
            <w:vAlign w:val="bottom"/>
            <w:tcBorders>
              <w:bottom w:val="single" w:sz="8" w:color="CFF0FC"/>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4,669,328</w:t>
            </w:r>
          </w:p>
        </w:tc>
        <w:tc>
          <w:tcPr>
            <w:tcW w:w="1840" w:type="dxa"/>
            <w:vAlign w:val="bottom"/>
          </w:tcPr>
          <w:p>
            <w:pPr>
              <w:spacing w:after="0"/>
              <w:rPr>
                <w:sz w:val="18"/>
                <w:szCs w:val="18"/>
                <w:color w:val="auto"/>
              </w:rPr>
            </w:pPr>
          </w:p>
        </w:tc>
      </w:tr>
      <w:tr>
        <w:trPr>
          <w:trHeight w:val="210"/>
        </w:trPr>
        <w:tc>
          <w:tcPr>
            <w:tcW w:w="1840" w:type="dxa"/>
            <w:vAlign w:val="bottom"/>
          </w:tcPr>
          <w:p>
            <w:pPr>
              <w:spacing w:after="0"/>
              <w:rPr>
                <w:sz w:val="18"/>
                <w:szCs w:val="18"/>
                <w:color w:val="auto"/>
              </w:rPr>
            </w:pPr>
          </w:p>
        </w:tc>
        <w:tc>
          <w:tcPr>
            <w:tcW w:w="256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w:t>
            </w:r>
          </w:p>
        </w:tc>
        <w:tc>
          <w:tcPr>
            <w:tcW w:w="3980" w:type="dxa"/>
            <w:vAlign w:val="bottom"/>
            <w:tcBorders>
              <w:bottom w:val="single" w:sz="8" w:color="CFF0FC"/>
            </w:tcBorders>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jc w:val="right"/>
              <w:ind w:right="65"/>
              <w:spacing w:after="0"/>
              <w:rPr>
                <w:sz w:val="20"/>
                <w:szCs w:val="20"/>
                <w:color w:val="auto"/>
              </w:rPr>
            </w:pPr>
            <w:r>
              <w:rPr>
                <w:rFonts w:ascii="Arial" w:cs="Arial" w:eastAsia="Arial" w:hAnsi="Arial"/>
                <w:sz w:val="15"/>
                <w:szCs w:val="15"/>
                <w:color w:val="auto"/>
                <w:w w:val="71"/>
              </w:rPr>
              <w:t>$</w:t>
            </w:r>
          </w:p>
        </w:tc>
        <w:tc>
          <w:tcPr>
            <w:tcW w:w="1000" w:type="dxa"/>
            <w:vAlign w:val="bottom"/>
            <w:tcBorders>
              <w:bottom w:val="single" w:sz="8" w:color="auto"/>
              <w:right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10,848,066</w:t>
            </w:r>
          </w:p>
        </w:tc>
        <w:tc>
          <w:tcPr>
            <w:tcW w:w="1840" w:type="dxa"/>
            <w:vAlign w:val="bottom"/>
          </w:tcPr>
          <w:p>
            <w:pPr>
              <w:spacing w:after="0"/>
              <w:rPr>
                <w:sz w:val="18"/>
                <w:szCs w:val="18"/>
                <w:color w:val="auto"/>
              </w:rPr>
            </w:pPr>
          </w:p>
        </w:tc>
      </w:tr>
      <w:tr>
        <w:trPr>
          <w:trHeight w:val="20"/>
        </w:trPr>
        <w:tc>
          <w:tcPr>
            <w:tcW w:w="1840" w:type="dxa"/>
            <w:vAlign w:val="bottom"/>
          </w:tcPr>
          <w:p>
            <w:pPr>
              <w:spacing w:after="0" w:line="20" w:lineRule="exact"/>
              <w:rPr>
                <w:sz w:val="1"/>
                <w:szCs w:val="1"/>
                <w:color w:val="auto"/>
              </w:rPr>
            </w:pPr>
          </w:p>
        </w:tc>
        <w:tc>
          <w:tcPr>
            <w:tcW w:w="2560" w:type="dxa"/>
            <w:vAlign w:val="bottom"/>
          </w:tcPr>
          <w:p>
            <w:pPr>
              <w:spacing w:after="0" w:line="20" w:lineRule="exact"/>
              <w:rPr>
                <w:sz w:val="1"/>
                <w:szCs w:val="1"/>
                <w:color w:val="auto"/>
              </w:rPr>
            </w:pPr>
          </w:p>
        </w:tc>
        <w:tc>
          <w:tcPr>
            <w:tcW w:w="39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r>
      <w:tr>
        <w:trPr>
          <w:trHeight w:val="413"/>
        </w:trPr>
        <w:tc>
          <w:tcPr>
            <w:tcW w:w="1840" w:type="dxa"/>
            <w:vAlign w:val="bottom"/>
          </w:tcPr>
          <w:p>
            <w:pPr>
              <w:spacing w:after="0"/>
              <w:rPr>
                <w:sz w:val="24"/>
                <w:szCs w:val="24"/>
                <w:color w:val="auto"/>
              </w:rPr>
            </w:pPr>
          </w:p>
        </w:tc>
        <w:tc>
          <w:tcPr>
            <w:tcW w:w="2560" w:type="dxa"/>
            <w:vAlign w:val="bottom"/>
          </w:tcPr>
          <w:p>
            <w:pPr>
              <w:spacing w:after="0"/>
              <w:rPr>
                <w:sz w:val="24"/>
                <w:szCs w:val="24"/>
                <w:color w:val="auto"/>
              </w:rPr>
            </w:pPr>
          </w:p>
        </w:tc>
        <w:tc>
          <w:tcPr>
            <w:tcW w:w="4200" w:type="dxa"/>
            <w:vAlign w:val="bottom"/>
            <w:gridSpan w:val="2"/>
          </w:tcPr>
          <w:p>
            <w:pPr>
              <w:jc w:val="right"/>
              <w:ind w:right="2645"/>
              <w:spacing w:after="0"/>
              <w:rPr>
                <w:sz w:val="20"/>
                <w:szCs w:val="20"/>
                <w:color w:val="auto"/>
              </w:rPr>
            </w:pPr>
            <w:r>
              <w:rPr>
                <w:rFonts w:ascii="Arial" w:cs="Arial" w:eastAsia="Arial" w:hAnsi="Arial"/>
                <w:sz w:val="18"/>
                <w:szCs w:val="18"/>
                <w:color w:val="auto"/>
              </w:rPr>
              <w:t>F-15</w:t>
            </w:r>
          </w:p>
        </w:tc>
        <w:tc>
          <w:tcPr>
            <w:tcW w:w="1000" w:type="dxa"/>
            <w:vAlign w:val="bottom"/>
          </w:tcPr>
          <w:p>
            <w:pPr>
              <w:spacing w:after="0"/>
              <w:rPr>
                <w:sz w:val="24"/>
                <w:szCs w:val="24"/>
                <w:color w:val="auto"/>
              </w:rPr>
            </w:pPr>
          </w:p>
        </w:tc>
        <w:tc>
          <w:tcPr>
            <w:tcW w:w="1840" w:type="dxa"/>
            <w:vAlign w:val="bottom"/>
          </w:tcPr>
          <w:p>
            <w:pPr>
              <w:spacing w:after="0"/>
              <w:rPr>
                <w:sz w:val="24"/>
                <w:szCs w:val="24"/>
                <w:color w:val="auto"/>
              </w:rPr>
            </w:pPr>
          </w:p>
        </w:tc>
      </w:tr>
      <w:tr>
        <w:trPr>
          <w:trHeight w:val="115"/>
        </w:trPr>
        <w:tc>
          <w:tcPr>
            <w:tcW w:w="1840" w:type="dxa"/>
            <w:vAlign w:val="bottom"/>
            <w:tcBorders>
              <w:bottom w:val="single" w:sz="8" w:color="9A9A9A"/>
            </w:tcBorders>
          </w:tcPr>
          <w:p>
            <w:pPr>
              <w:spacing w:after="0"/>
              <w:rPr>
                <w:sz w:val="10"/>
                <w:szCs w:val="10"/>
                <w:color w:val="auto"/>
              </w:rPr>
            </w:pPr>
          </w:p>
        </w:tc>
        <w:tc>
          <w:tcPr>
            <w:tcW w:w="2560" w:type="dxa"/>
            <w:vAlign w:val="bottom"/>
            <w:tcBorders>
              <w:bottom w:val="single" w:sz="8" w:color="9A9A9A"/>
            </w:tcBorders>
          </w:tcPr>
          <w:p>
            <w:pPr>
              <w:spacing w:after="0"/>
              <w:rPr>
                <w:sz w:val="10"/>
                <w:szCs w:val="10"/>
                <w:color w:val="auto"/>
              </w:rPr>
            </w:pPr>
          </w:p>
        </w:tc>
        <w:tc>
          <w:tcPr>
            <w:tcW w:w="398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1000" w:type="dxa"/>
            <w:vAlign w:val="bottom"/>
            <w:tcBorders>
              <w:bottom w:val="single" w:sz="8" w:color="9A9A9A"/>
            </w:tcBorders>
          </w:tcPr>
          <w:p>
            <w:pPr>
              <w:spacing w:after="0"/>
              <w:rPr>
                <w:sz w:val="10"/>
                <w:szCs w:val="10"/>
                <w:color w:val="auto"/>
              </w:rPr>
            </w:pPr>
          </w:p>
        </w:tc>
        <w:tc>
          <w:tcPr>
            <w:tcW w:w="184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35">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3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341" w:right="219" w:bottom="1440" w:gutter="0" w:footer="0" w:header="0"/>
        </w:sectPr>
      </w:pPr>
    </w:p>
    <w:bookmarkStart w:id="75" w:name="page76"/>
    <w:bookmarkEnd w:id="75"/>
    <w:p>
      <w:pPr>
        <w:ind w:left="520"/>
        <w:spacing w:after="0"/>
        <w:rPr>
          <w:sz w:val="20"/>
          <w:szCs w:val="20"/>
          <w:color w:val="auto"/>
        </w:rPr>
      </w:pPr>
      <w:r>
        <w:rPr>
          <w:rFonts w:ascii="Arial" w:cs="Arial" w:eastAsia="Arial" w:hAnsi="Arial"/>
          <w:sz w:val="18"/>
          <w:szCs w:val="18"/>
          <w:i w:val="1"/>
          <w:iCs w:val="1"/>
          <w:color w:val="auto"/>
        </w:rPr>
        <w:t>Note Payable</w:t>
      </w:r>
    </w:p>
    <w:p>
      <w:pPr>
        <w:spacing w:after="0" w:line="117" w:lineRule="exact"/>
        <w:rPr>
          <w:sz w:val="20"/>
          <w:szCs w:val="20"/>
          <w:color w:val="auto"/>
        </w:rPr>
      </w:pPr>
    </w:p>
    <w:p>
      <w:pPr>
        <w:ind w:right="40" w:firstLine="518"/>
        <w:spacing w:after="0" w:line="312" w:lineRule="auto"/>
        <w:rPr>
          <w:sz w:val="20"/>
          <w:szCs w:val="20"/>
          <w:color w:val="auto"/>
        </w:rPr>
      </w:pPr>
      <w:r>
        <w:rPr>
          <w:rFonts w:ascii="Arial" w:cs="Arial" w:eastAsia="Arial" w:hAnsi="Arial"/>
          <w:sz w:val="16"/>
          <w:szCs w:val="16"/>
          <w:color w:val="auto"/>
        </w:rPr>
        <w:t>As part of the Company’s lease for its research facility in Madison, Wisconsin discussed above, the Company entered into a $2.7 million promissory note payable with its landlord to finance certain tenant improvements made to the new facility. The note will be amortized over the 10-year term of the lease, commencing on October 1, 2016. The note will bear interest at a rate of 7.1% and shall be payable in equal monthly installments of principal and interest.</w:t>
      </w:r>
    </w:p>
    <w:p>
      <w:pPr>
        <w:spacing w:after="0" w:line="14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As of September 30, 2017, future principal payments due in fiscal years under the note payable are as follows:</w:t>
      </w:r>
    </w:p>
    <w:p>
      <w:pPr>
        <w:spacing w:after="0" w:line="267" w:lineRule="exact"/>
        <w:rPr>
          <w:sz w:val="20"/>
          <w:szCs w:val="20"/>
          <w:color w:val="auto"/>
        </w:rPr>
      </w:pPr>
    </w:p>
    <w:tbl>
      <w:tblPr>
        <w:tblLayout w:type="fixed"/>
        <w:tblInd w:w="1840" w:type="dxa"/>
        <w:tblCellMar>
          <w:top w:w="0" w:type="dxa"/>
          <w:left w:w="0" w:type="dxa"/>
          <w:bottom w:w="0" w:type="dxa"/>
          <w:right w:w="0" w:type="dxa"/>
        </w:tblCellMar>
      </w:tblPr>
      <w:tr>
        <w:trPr>
          <w:trHeight w:val="216"/>
        </w:trPr>
        <w:tc>
          <w:tcPr>
            <w:tcW w:w="3960" w:type="dxa"/>
            <w:vAlign w:val="bottom"/>
            <w:shd w:val="clear" w:color="auto" w:fill="CFF0FC"/>
          </w:tcPr>
          <w:p>
            <w:pPr>
              <w:spacing w:after="0"/>
              <w:rPr>
                <w:sz w:val="20"/>
                <w:szCs w:val="20"/>
                <w:color w:val="auto"/>
              </w:rPr>
            </w:pPr>
            <w:r>
              <w:rPr>
                <w:rFonts w:ascii="Arial" w:cs="Arial" w:eastAsia="Arial" w:hAnsi="Arial"/>
                <w:sz w:val="18"/>
                <w:szCs w:val="18"/>
                <w:color w:val="auto"/>
              </w:rPr>
              <w:t>2018</w:t>
            </w:r>
          </w:p>
        </w:tc>
        <w:tc>
          <w:tcPr>
            <w:tcW w:w="2840" w:type="dxa"/>
            <w:vAlign w:val="bottom"/>
            <w:gridSpan w:val="2"/>
            <w:shd w:val="clear" w:color="auto" w:fill="CFF0FC"/>
          </w:tcPr>
          <w:p>
            <w:pPr>
              <w:jc w:val="right"/>
              <w:ind w:right="105"/>
              <w:spacing w:after="0"/>
              <w:rPr>
                <w:sz w:val="20"/>
                <w:szCs w:val="20"/>
                <w:color w:val="auto"/>
              </w:rPr>
            </w:pPr>
            <w:r>
              <w:rPr>
                <w:rFonts w:ascii="Arial" w:cs="Arial" w:eastAsia="Arial" w:hAnsi="Arial"/>
                <w:sz w:val="18"/>
                <w:szCs w:val="18"/>
                <w:color w:val="auto"/>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208,506</w:t>
            </w:r>
          </w:p>
        </w:tc>
        <w:tc>
          <w:tcPr>
            <w:tcW w:w="60" w:type="dxa"/>
            <w:vAlign w:val="bottom"/>
            <w:shd w:val="clear" w:color="auto" w:fill="CFF0FC"/>
          </w:tcPr>
          <w:p>
            <w:pPr>
              <w:spacing w:after="0"/>
              <w:rPr>
                <w:sz w:val="18"/>
                <w:szCs w:val="18"/>
                <w:color w:val="auto"/>
              </w:rPr>
            </w:pPr>
          </w:p>
        </w:tc>
      </w:tr>
      <w:tr>
        <w:trPr>
          <w:trHeight w:val="216"/>
        </w:trPr>
        <w:tc>
          <w:tcPr>
            <w:tcW w:w="3960" w:type="dxa"/>
            <w:vAlign w:val="bottom"/>
          </w:tcPr>
          <w:p>
            <w:pPr>
              <w:spacing w:after="0"/>
              <w:rPr>
                <w:sz w:val="20"/>
                <w:szCs w:val="20"/>
                <w:color w:val="auto"/>
              </w:rPr>
            </w:pPr>
            <w:r>
              <w:rPr>
                <w:rFonts w:ascii="Arial" w:cs="Arial" w:eastAsia="Arial" w:hAnsi="Arial"/>
                <w:sz w:val="18"/>
                <w:szCs w:val="18"/>
                <w:color w:val="auto"/>
              </w:rPr>
              <w:t>2019</w:t>
            </w:r>
          </w:p>
        </w:tc>
        <w:tc>
          <w:tcPr>
            <w:tcW w:w="25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223,820</w:t>
            </w:r>
          </w:p>
        </w:tc>
        <w:tc>
          <w:tcPr>
            <w:tcW w:w="60" w:type="dxa"/>
            <w:vAlign w:val="bottom"/>
          </w:tcPr>
          <w:p>
            <w:pPr>
              <w:spacing w:after="0"/>
              <w:rPr>
                <w:sz w:val="18"/>
                <w:szCs w:val="18"/>
                <w:color w:val="auto"/>
              </w:rPr>
            </w:pPr>
          </w:p>
        </w:tc>
      </w:tr>
      <w:tr>
        <w:trPr>
          <w:trHeight w:val="216"/>
        </w:trPr>
        <w:tc>
          <w:tcPr>
            <w:tcW w:w="3960" w:type="dxa"/>
            <w:vAlign w:val="bottom"/>
            <w:shd w:val="clear" w:color="auto" w:fill="CFF0FC"/>
          </w:tcPr>
          <w:p>
            <w:pPr>
              <w:spacing w:after="0"/>
              <w:rPr>
                <w:sz w:val="20"/>
                <w:szCs w:val="20"/>
                <w:color w:val="auto"/>
              </w:rPr>
            </w:pPr>
            <w:r>
              <w:rPr>
                <w:rFonts w:ascii="Arial" w:cs="Arial" w:eastAsia="Arial" w:hAnsi="Arial"/>
                <w:sz w:val="18"/>
                <w:szCs w:val="18"/>
                <w:color w:val="auto"/>
              </w:rPr>
              <w:t>2020</w:t>
            </w:r>
          </w:p>
        </w:tc>
        <w:tc>
          <w:tcPr>
            <w:tcW w:w="25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240,258</w:t>
            </w:r>
          </w:p>
        </w:tc>
        <w:tc>
          <w:tcPr>
            <w:tcW w:w="60" w:type="dxa"/>
            <w:vAlign w:val="bottom"/>
            <w:shd w:val="clear" w:color="auto" w:fill="CFF0FC"/>
          </w:tcPr>
          <w:p>
            <w:pPr>
              <w:spacing w:after="0"/>
              <w:rPr>
                <w:sz w:val="18"/>
                <w:szCs w:val="18"/>
                <w:color w:val="auto"/>
              </w:rPr>
            </w:pPr>
          </w:p>
        </w:tc>
      </w:tr>
      <w:tr>
        <w:trPr>
          <w:trHeight w:val="216"/>
        </w:trPr>
        <w:tc>
          <w:tcPr>
            <w:tcW w:w="3960" w:type="dxa"/>
            <w:vAlign w:val="bottom"/>
          </w:tcPr>
          <w:p>
            <w:pPr>
              <w:spacing w:after="0"/>
              <w:rPr>
                <w:sz w:val="20"/>
                <w:szCs w:val="20"/>
                <w:color w:val="auto"/>
              </w:rPr>
            </w:pPr>
            <w:r>
              <w:rPr>
                <w:rFonts w:ascii="Arial" w:cs="Arial" w:eastAsia="Arial" w:hAnsi="Arial"/>
                <w:sz w:val="18"/>
                <w:szCs w:val="18"/>
                <w:color w:val="auto"/>
              </w:rPr>
              <w:t>2021</w:t>
            </w:r>
          </w:p>
        </w:tc>
        <w:tc>
          <w:tcPr>
            <w:tcW w:w="25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257,903</w:t>
            </w:r>
          </w:p>
        </w:tc>
        <w:tc>
          <w:tcPr>
            <w:tcW w:w="60" w:type="dxa"/>
            <w:vAlign w:val="bottom"/>
          </w:tcPr>
          <w:p>
            <w:pPr>
              <w:spacing w:after="0"/>
              <w:rPr>
                <w:sz w:val="18"/>
                <w:szCs w:val="18"/>
                <w:color w:val="auto"/>
              </w:rPr>
            </w:pPr>
          </w:p>
        </w:tc>
      </w:tr>
      <w:tr>
        <w:trPr>
          <w:trHeight w:val="216"/>
        </w:trPr>
        <w:tc>
          <w:tcPr>
            <w:tcW w:w="3960" w:type="dxa"/>
            <w:vAlign w:val="bottom"/>
            <w:shd w:val="clear" w:color="auto" w:fill="CFF0FC"/>
          </w:tcPr>
          <w:p>
            <w:pPr>
              <w:spacing w:after="0"/>
              <w:rPr>
                <w:sz w:val="20"/>
                <w:szCs w:val="20"/>
                <w:color w:val="auto"/>
              </w:rPr>
            </w:pPr>
            <w:r>
              <w:rPr>
                <w:rFonts w:ascii="Arial" w:cs="Arial" w:eastAsia="Arial" w:hAnsi="Arial"/>
                <w:sz w:val="18"/>
                <w:szCs w:val="18"/>
                <w:color w:val="auto"/>
              </w:rPr>
              <w:t>2022</w:t>
            </w:r>
          </w:p>
        </w:tc>
        <w:tc>
          <w:tcPr>
            <w:tcW w:w="25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276,845</w:t>
            </w:r>
          </w:p>
        </w:tc>
        <w:tc>
          <w:tcPr>
            <w:tcW w:w="60" w:type="dxa"/>
            <w:vAlign w:val="bottom"/>
            <w:shd w:val="clear" w:color="auto" w:fill="CFF0FC"/>
          </w:tcPr>
          <w:p>
            <w:pPr>
              <w:spacing w:after="0"/>
              <w:rPr>
                <w:sz w:val="18"/>
                <w:szCs w:val="18"/>
                <w:color w:val="auto"/>
              </w:rPr>
            </w:pPr>
          </w:p>
        </w:tc>
      </w:tr>
      <w:tr>
        <w:trPr>
          <w:trHeight w:val="216"/>
        </w:trPr>
        <w:tc>
          <w:tcPr>
            <w:tcW w:w="396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2023 and thereafter</w:t>
            </w:r>
          </w:p>
        </w:tc>
        <w:tc>
          <w:tcPr>
            <w:tcW w:w="2580" w:type="dxa"/>
            <w:vAlign w:val="bottom"/>
            <w:tcBorders>
              <w:bottom w:val="single" w:sz="8" w:color="CFF0FC"/>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1,326,192</w:t>
            </w:r>
          </w:p>
        </w:tc>
        <w:tc>
          <w:tcPr>
            <w:tcW w:w="60" w:type="dxa"/>
            <w:vAlign w:val="bottom"/>
            <w:tcBorders>
              <w:bottom w:val="single" w:sz="8" w:color="CFF0FC"/>
            </w:tcBorders>
          </w:tcPr>
          <w:p>
            <w:pPr>
              <w:spacing w:after="0"/>
              <w:rPr>
                <w:sz w:val="18"/>
                <w:szCs w:val="18"/>
                <w:color w:val="auto"/>
              </w:rPr>
            </w:pPr>
          </w:p>
        </w:tc>
      </w:tr>
      <w:tr>
        <w:trPr>
          <w:trHeight w:val="210"/>
        </w:trPr>
        <w:tc>
          <w:tcPr>
            <w:tcW w:w="396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w:t>
            </w:r>
          </w:p>
        </w:tc>
        <w:tc>
          <w:tcPr>
            <w:tcW w:w="2580" w:type="dxa"/>
            <w:vAlign w:val="bottom"/>
            <w:tcBorders>
              <w:bottom w:val="single" w:sz="8" w:color="CFF0FC"/>
            </w:tcBorders>
            <w:shd w:val="clear" w:color="auto" w:fill="CFF0FC"/>
          </w:tcPr>
          <w:p>
            <w:pPr>
              <w:spacing w:after="0"/>
              <w:rPr>
                <w:sz w:val="18"/>
                <w:szCs w:val="18"/>
                <w:color w:val="auto"/>
              </w:rPr>
            </w:pPr>
          </w:p>
        </w:tc>
        <w:tc>
          <w:tcPr>
            <w:tcW w:w="260" w:type="dxa"/>
            <w:vAlign w:val="bottom"/>
            <w:tcBorders>
              <w:bottom w:val="single" w:sz="8" w:color="auto"/>
            </w:tcBorders>
            <w:shd w:val="clear" w:color="auto" w:fill="CFF0FC"/>
          </w:tcPr>
          <w:p>
            <w:pPr>
              <w:jc w:val="right"/>
              <w:ind w:right="105"/>
              <w:spacing w:after="0"/>
              <w:rPr>
                <w:sz w:val="20"/>
                <w:szCs w:val="20"/>
                <w:color w:val="auto"/>
              </w:rPr>
            </w:pPr>
            <w:r>
              <w:rPr>
                <w:rFonts w:ascii="Arial" w:cs="Arial" w:eastAsia="Arial" w:hAnsi="Arial"/>
                <w:sz w:val="15"/>
                <w:szCs w:val="15"/>
                <w:color w:val="auto"/>
                <w:w w:val="71"/>
              </w:rPr>
              <w:t>$</w:t>
            </w: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2,533,524</w:t>
            </w:r>
          </w:p>
        </w:tc>
        <w:tc>
          <w:tcPr>
            <w:tcW w:w="60" w:type="dxa"/>
            <w:vAlign w:val="bottom"/>
            <w:tcBorders>
              <w:bottom w:val="single" w:sz="8" w:color="CFF0FC"/>
            </w:tcBorders>
            <w:shd w:val="clear" w:color="auto" w:fill="CFF0FC"/>
          </w:tcPr>
          <w:p>
            <w:pPr>
              <w:spacing w:after="0"/>
              <w:rPr>
                <w:sz w:val="18"/>
                <w:szCs w:val="18"/>
                <w:color w:val="auto"/>
              </w:rPr>
            </w:pPr>
          </w:p>
        </w:tc>
      </w:tr>
      <w:tr>
        <w:trPr>
          <w:trHeight w:val="20"/>
        </w:trPr>
        <w:tc>
          <w:tcPr>
            <w:tcW w:w="3960" w:type="dxa"/>
            <w:vAlign w:val="bottom"/>
          </w:tcPr>
          <w:p>
            <w:pPr>
              <w:spacing w:after="0" w:line="20" w:lineRule="exact"/>
              <w:rPr>
                <w:sz w:val="1"/>
                <w:szCs w:val="1"/>
                <w:color w:val="auto"/>
              </w:rPr>
            </w:pPr>
          </w:p>
        </w:tc>
        <w:tc>
          <w:tcPr>
            <w:tcW w:w="25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310" w:lineRule="exact"/>
        <w:rPr>
          <w:sz w:val="20"/>
          <w:szCs w:val="20"/>
          <w:color w:val="auto"/>
        </w:rPr>
      </w:pPr>
    </w:p>
    <w:p>
      <w:pPr>
        <w:ind w:left="520"/>
        <w:spacing w:after="0"/>
        <w:rPr>
          <w:sz w:val="20"/>
          <w:szCs w:val="20"/>
          <w:color w:val="auto"/>
        </w:rPr>
      </w:pPr>
      <w:r>
        <w:rPr>
          <w:rFonts w:ascii="Arial" w:cs="Arial" w:eastAsia="Arial" w:hAnsi="Arial"/>
          <w:sz w:val="18"/>
          <w:szCs w:val="18"/>
          <w:i w:val="1"/>
          <w:iCs w:val="1"/>
          <w:color w:val="auto"/>
        </w:rPr>
        <w:t>Litigation</w:t>
      </w:r>
    </w:p>
    <w:p>
      <w:pPr>
        <w:spacing w:after="0" w:line="225" w:lineRule="exact"/>
        <w:rPr>
          <w:sz w:val="20"/>
          <w:szCs w:val="20"/>
          <w:color w:val="auto"/>
        </w:rPr>
      </w:pPr>
    </w:p>
    <w:p>
      <w:pPr>
        <w:ind w:right="20" w:firstLine="588"/>
        <w:spacing w:after="0" w:line="285" w:lineRule="auto"/>
        <w:rPr>
          <w:sz w:val="20"/>
          <w:szCs w:val="20"/>
          <w:color w:val="auto"/>
        </w:rPr>
      </w:pPr>
      <w:r>
        <w:rPr>
          <w:rFonts w:ascii="Arial" w:cs="Arial" w:eastAsia="Arial" w:hAnsi="Arial"/>
          <w:sz w:val="16"/>
          <w:szCs w:val="16"/>
          <w:color w:val="auto"/>
        </w:rPr>
        <w:t xml:space="preserve">The Company and certain of its officers and directors were named as defendants in a putative consolidated class action in the United States District Court for the Central District of California regarding certain public statements in connection with the Company’s hepatitis B drug research. The consolidated class action, initially filed as </w:t>
      </w:r>
      <w:r>
        <w:rPr>
          <w:rFonts w:ascii="Arial" w:cs="Arial" w:eastAsia="Arial" w:hAnsi="Arial"/>
          <w:sz w:val="16"/>
          <w:szCs w:val="16"/>
          <w:i w:val="1"/>
          <w:iCs w:val="1"/>
          <w:color w:val="auto"/>
        </w:rPr>
        <w:t>Wang v. Arrowhead Research Corp., et al.</w:t>
      </w:r>
      <w:r>
        <w:rPr>
          <w:rFonts w:ascii="Arial" w:cs="Arial" w:eastAsia="Arial" w:hAnsi="Arial"/>
          <w:sz w:val="16"/>
          <w:szCs w:val="16"/>
          <w:color w:val="auto"/>
        </w:rPr>
        <w:t xml:space="preserve">, No. 2:14-cv-07890 (C.D. Cal., filed Oct. 10, 2014), and </w:t>
      </w:r>
      <w:r>
        <w:rPr>
          <w:rFonts w:ascii="Arial" w:cs="Arial" w:eastAsia="Arial" w:hAnsi="Arial"/>
          <w:sz w:val="16"/>
          <w:szCs w:val="16"/>
          <w:i w:val="1"/>
          <w:iCs w:val="1"/>
          <w:color w:val="auto"/>
        </w:rPr>
        <w:t>Eskinazi v. Arrowhead</w:t>
      </w:r>
      <w:r>
        <w:rPr>
          <w:rFonts w:ascii="Arial" w:cs="Arial" w:eastAsia="Arial" w:hAnsi="Arial"/>
          <w:sz w:val="16"/>
          <w:szCs w:val="16"/>
          <w:color w:val="auto"/>
        </w:rPr>
        <w:t xml:space="preserve"> </w:t>
      </w:r>
      <w:r>
        <w:rPr>
          <w:rFonts w:ascii="Arial" w:cs="Arial" w:eastAsia="Arial" w:hAnsi="Arial"/>
          <w:sz w:val="16"/>
          <w:szCs w:val="16"/>
          <w:i w:val="1"/>
          <w:iCs w:val="1"/>
          <w:color w:val="auto"/>
        </w:rPr>
        <w:t>Research Corp., et al.</w:t>
      </w:r>
      <w:r>
        <w:rPr>
          <w:rFonts w:ascii="Arial" w:cs="Arial" w:eastAsia="Arial" w:hAnsi="Arial"/>
          <w:sz w:val="16"/>
          <w:szCs w:val="16"/>
          <w:color w:val="auto"/>
        </w:rPr>
        <w:t>, No. 2:14-cv-07911 (C.D. Cal., filed Oct. 13, 2014), asserted claims under Sections 10(b) and 20(a) of the Securities Exchange Act of</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1934 and sought damages in an unspecified amount. Additionally, three putative stockholder derivative actions captioned </w:t>
      </w:r>
      <w:r>
        <w:rPr>
          <w:rFonts w:ascii="Arial" w:cs="Arial" w:eastAsia="Arial" w:hAnsi="Arial"/>
          <w:sz w:val="16"/>
          <w:szCs w:val="16"/>
          <w:i w:val="1"/>
          <w:iCs w:val="1"/>
          <w:color w:val="auto"/>
        </w:rPr>
        <w:t>Weisman v. Anzalone et al</w:t>
      </w:r>
      <w:r>
        <w:rPr>
          <w:rFonts w:ascii="Arial" w:cs="Arial" w:eastAsia="Arial" w:hAnsi="Arial"/>
          <w:sz w:val="16"/>
          <w:szCs w:val="16"/>
          <w:color w:val="auto"/>
        </w:rPr>
        <w:t xml:space="preserve">., No. 2:14-cv-08982 (C.D. Cal., filed Nov. 20, 2014), </w:t>
      </w:r>
      <w:r>
        <w:rPr>
          <w:rFonts w:ascii="Arial" w:cs="Arial" w:eastAsia="Arial" w:hAnsi="Arial"/>
          <w:sz w:val="16"/>
          <w:szCs w:val="16"/>
          <w:i w:val="1"/>
          <w:iCs w:val="1"/>
          <w:color w:val="auto"/>
        </w:rPr>
        <w:t>Bernstein (Backus) v. Anzalone, et al.</w:t>
      </w:r>
      <w:r>
        <w:rPr>
          <w:rFonts w:ascii="Arial" w:cs="Arial" w:eastAsia="Arial" w:hAnsi="Arial"/>
          <w:sz w:val="16"/>
          <w:szCs w:val="16"/>
          <w:color w:val="auto"/>
        </w:rPr>
        <w:t xml:space="preserve">, No. 2:14-cv-09247 (C.D. Cal., filed Dec. 2, 2014); and </w:t>
      </w:r>
      <w:r>
        <w:rPr>
          <w:rFonts w:ascii="Arial" w:cs="Arial" w:eastAsia="Arial" w:hAnsi="Arial"/>
          <w:sz w:val="16"/>
          <w:szCs w:val="16"/>
          <w:i w:val="1"/>
          <w:iCs w:val="1"/>
          <w:color w:val="auto"/>
        </w:rPr>
        <w:t>Johnson v.</w:t>
      </w:r>
      <w:r>
        <w:rPr>
          <w:rFonts w:ascii="Arial" w:cs="Arial" w:eastAsia="Arial" w:hAnsi="Arial"/>
          <w:sz w:val="16"/>
          <w:szCs w:val="16"/>
          <w:color w:val="auto"/>
        </w:rPr>
        <w:t xml:space="preserve"> </w:t>
      </w:r>
      <w:r>
        <w:rPr>
          <w:rFonts w:ascii="Arial" w:cs="Arial" w:eastAsia="Arial" w:hAnsi="Arial"/>
          <w:sz w:val="16"/>
          <w:szCs w:val="16"/>
          <w:i w:val="1"/>
          <w:iCs w:val="1"/>
          <w:color w:val="auto"/>
        </w:rPr>
        <w:t>Anzalone, et al.</w:t>
      </w:r>
      <w:r>
        <w:rPr>
          <w:rFonts w:ascii="Arial" w:cs="Arial" w:eastAsia="Arial" w:hAnsi="Arial"/>
          <w:sz w:val="16"/>
          <w:szCs w:val="16"/>
          <w:color w:val="auto"/>
        </w:rPr>
        <w:t>, No. 2:15-cv-00446 (C.D. Cal., filed Jan. 22, 2015), were filed in the United States District Court for the Central District of California,</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alleging breach of fiduciary duty by the Company’s Board of Directors in connection with the alleged facts underlying the securities claims. An additional consolidated derivative action asserting similar claims is pending in Los Angeles County Superior Court, initially filed as </w:t>
      </w:r>
      <w:r>
        <w:rPr>
          <w:rFonts w:ascii="Arial" w:cs="Arial" w:eastAsia="Arial" w:hAnsi="Arial"/>
          <w:sz w:val="16"/>
          <w:szCs w:val="16"/>
          <w:i w:val="1"/>
          <w:iCs w:val="1"/>
          <w:color w:val="auto"/>
        </w:rPr>
        <w:t>Bacchus v. Anzalone, et al.</w:t>
      </w:r>
      <w:r>
        <w:rPr>
          <w:rFonts w:ascii="Arial" w:cs="Arial" w:eastAsia="Arial" w:hAnsi="Arial"/>
          <w:sz w:val="16"/>
          <w:szCs w:val="16"/>
          <w:color w:val="auto"/>
        </w:rPr>
        <w:t xml:space="preserve">, (L.A. Super., filed Mar. 5, 2015); and </w:t>
      </w:r>
      <w:r>
        <w:rPr>
          <w:rFonts w:ascii="Arial" w:cs="Arial" w:eastAsia="Arial" w:hAnsi="Arial"/>
          <w:sz w:val="16"/>
          <w:szCs w:val="16"/>
          <w:i w:val="1"/>
          <w:iCs w:val="1"/>
          <w:color w:val="auto"/>
        </w:rPr>
        <w:t>Jackson v. Anzalone, et al.</w:t>
      </w:r>
      <w:r>
        <w:rPr>
          <w:rFonts w:ascii="Arial" w:cs="Arial" w:eastAsia="Arial" w:hAnsi="Arial"/>
          <w:sz w:val="16"/>
          <w:szCs w:val="16"/>
          <w:color w:val="auto"/>
        </w:rPr>
        <w:t xml:space="preserve"> (L.A. Super., filed Mar. 16, 2015). Each of these suits seeks damages in unspecified amounts and some seek various forms of injunctive relief. On October 7, 2016, the federal district court dismissed the consolidated class action with prejudice. On October 10, 2016, the plaintiffs appealed the dismissal of the consolidated class action to the United States Court of Appeals for the Ninth Circuit. The Weisman and Johnson derivative actions have been dismissed without prejudice. The Bernstein derivative action remains pending and is stayed pending the related consolidated class action. The Company believes it has meritorious defenses and intends to vigorously defend itself in each of these matters. The Company makes provisions for liabilities when it is both probable that a liability has been incurred and the amount can be reasonably estimated. No such liability has been recorded related to these matters. The Company does not expect these matters to have a material effect on its Consolidated Financial Statements. With regard to legal fees, such as attorney fees related to these matters or any other legal matters, the Company recognizes such costs as incurred.</w:t>
      </w:r>
    </w:p>
    <w:p>
      <w:pPr>
        <w:spacing w:after="0" w:line="175" w:lineRule="exact"/>
        <w:rPr>
          <w:sz w:val="20"/>
          <w:szCs w:val="20"/>
          <w:color w:val="auto"/>
        </w:rPr>
      </w:pPr>
    </w:p>
    <w:p>
      <w:pPr>
        <w:ind w:firstLine="481"/>
        <w:spacing w:after="0" w:line="285" w:lineRule="auto"/>
        <w:rPr>
          <w:sz w:val="20"/>
          <w:szCs w:val="20"/>
          <w:color w:val="auto"/>
        </w:rPr>
      </w:pPr>
      <w:r>
        <w:rPr>
          <w:rFonts w:ascii="Arial" w:cs="Arial" w:eastAsia="Arial" w:hAnsi="Arial"/>
          <w:sz w:val="16"/>
          <w:szCs w:val="16"/>
          <w:color w:val="auto"/>
        </w:rPr>
        <w:t xml:space="preserve">The Company and certain executive officers were named as defendants in a putative consolidated class action in the United States District Court for the Central District of California regarding certain public statements in connection with the Company’s drug research programs. The consolidated class action, initially filed as </w:t>
      </w:r>
      <w:r>
        <w:rPr>
          <w:rFonts w:ascii="Arial" w:cs="Arial" w:eastAsia="Arial" w:hAnsi="Arial"/>
          <w:sz w:val="16"/>
          <w:szCs w:val="16"/>
          <w:i w:val="1"/>
          <w:iCs w:val="1"/>
          <w:color w:val="auto"/>
        </w:rPr>
        <w:t>Meller v. Arrowhead Pharmaceuticals, Inc., et al.</w:t>
      </w:r>
      <w:r>
        <w:rPr>
          <w:rFonts w:ascii="Arial" w:cs="Arial" w:eastAsia="Arial" w:hAnsi="Arial"/>
          <w:sz w:val="16"/>
          <w:szCs w:val="16"/>
          <w:color w:val="auto"/>
        </w:rPr>
        <w:t xml:space="preserve">, No. 2:16-cv-08505 (C.D. Cal, filed Nov. 15, 2016 ), </w:t>
      </w:r>
      <w:r>
        <w:rPr>
          <w:rFonts w:ascii="Arial" w:cs="Arial" w:eastAsia="Arial" w:hAnsi="Arial"/>
          <w:sz w:val="16"/>
          <w:szCs w:val="16"/>
          <w:i w:val="1"/>
          <w:iCs w:val="1"/>
          <w:color w:val="auto"/>
        </w:rPr>
        <w:t>Siegel v. Arrowhead Pharmaceuticals,</w:t>
      </w:r>
      <w:r>
        <w:rPr>
          <w:rFonts w:ascii="Arial" w:cs="Arial" w:eastAsia="Arial" w:hAnsi="Arial"/>
          <w:sz w:val="16"/>
          <w:szCs w:val="16"/>
          <w:color w:val="auto"/>
        </w:rPr>
        <w:t xml:space="preserve"> </w:t>
      </w:r>
      <w:r>
        <w:rPr>
          <w:rFonts w:ascii="Arial" w:cs="Arial" w:eastAsia="Arial" w:hAnsi="Arial"/>
          <w:sz w:val="16"/>
          <w:szCs w:val="16"/>
          <w:i w:val="1"/>
          <w:iCs w:val="1"/>
          <w:color w:val="auto"/>
        </w:rPr>
        <w:t>Inc., et al</w:t>
      </w:r>
      <w:r>
        <w:rPr>
          <w:rFonts w:ascii="Arial" w:cs="Arial" w:eastAsia="Arial" w:hAnsi="Arial"/>
          <w:sz w:val="16"/>
          <w:szCs w:val="16"/>
          <w:color w:val="auto"/>
        </w:rPr>
        <w:t>., No. 2:16-cv-8954 (C.D. Cal., filed Dec. 2, 2016), and</w:t>
      </w:r>
      <w:r>
        <w:rPr>
          <w:rFonts w:ascii="Arial" w:cs="Arial" w:eastAsia="Arial" w:hAnsi="Arial"/>
          <w:sz w:val="16"/>
          <w:szCs w:val="16"/>
          <w:i w:val="1"/>
          <w:iCs w:val="1"/>
          <w:color w:val="auto"/>
        </w:rPr>
        <w:t xml:space="preserve"> Unz v. Arrowhead Pharmaceuticals, Inc., et al</w:t>
      </w:r>
      <w:r>
        <w:rPr>
          <w:rFonts w:ascii="Arial" w:cs="Arial" w:eastAsia="Arial" w:hAnsi="Arial"/>
          <w:sz w:val="16"/>
          <w:szCs w:val="16"/>
          <w:color w:val="auto"/>
        </w:rPr>
        <w:t>., No.2:17-cv-00310 (C.D. Cal., filed Jan. 13,</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2017) asserts claims under Sections 10(b) and 20(a) of the Securities Exchange Act of 1934 regarding certain public statements in connection with the Company’s drug research programs and seek damages in an unspecified amount. Additionally, a putative stockholder derivative action captioned </w:t>
      </w:r>
      <w:r>
        <w:rPr>
          <w:rFonts w:ascii="Arial" w:cs="Arial" w:eastAsia="Arial" w:hAnsi="Arial"/>
          <w:sz w:val="16"/>
          <w:szCs w:val="16"/>
          <w:i w:val="1"/>
          <w:iCs w:val="1"/>
          <w:color w:val="auto"/>
        </w:rPr>
        <w:t>Johnson v.</w:t>
      </w:r>
      <w:r>
        <w:rPr>
          <w:rFonts w:ascii="Arial" w:cs="Arial" w:eastAsia="Arial" w:hAnsi="Arial"/>
          <w:sz w:val="16"/>
          <w:szCs w:val="16"/>
          <w:color w:val="auto"/>
        </w:rPr>
        <w:t xml:space="preserve"> </w:t>
      </w:r>
      <w:r>
        <w:rPr>
          <w:rFonts w:ascii="Arial" w:cs="Arial" w:eastAsia="Arial" w:hAnsi="Arial"/>
          <w:sz w:val="16"/>
          <w:szCs w:val="16"/>
          <w:i w:val="1"/>
          <w:iCs w:val="1"/>
          <w:color w:val="auto"/>
        </w:rPr>
        <w:t>Anzalone, et al</w:t>
      </w:r>
      <w:r>
        <w:rPr>
          <w:rFonts w:ascii="Arial" w:cs="Arial" w:eastAsia="Arial" w:hAnsi="Arial"/>
          <w:sz w:val="16"/>
          <w:szCs w:val="16"/>
          <w:color w:val="auto"/>
        </w:rPr>
        <w:t>., (Los Angeles County Superior Court, filed January 19, 2017) asserting substantially similar claims is pending in Los Angeles County</w:t>
      </w:r>
      <w:r>
        <w:rPr>
          <w:rFonts w:ascii="Arial" w:cs="Arial" w:eastAsia="Arial" w:hAnsi="Arial"/>
          <w:sz w:val="16"/>
          <w:szCs w:val="16"/>
          <w:i w:val="1"/>
          <w:iCs w:val="1"/>
          <w:color w:val="auto"/>
        </w:rPr>
        <w:t xml:space="preserve"> </w:t>
      </w:r>
      <w:r>
        <w:rPr>
          <w:rFonts w:ascii="Arial" w:cs="Arial" w:eastAsia="Arial" w:hAnsi="Arial"/>
          <w:sz w:val="16"/>
          <w:szCs w:val="16"/>
          <w:color w:val="auto"/>
        </w:rPr>
        <w:t>Superior Court and is stayed pending the related consolidated class action. Two additional putative stockholder derivative actions, captioned Lucas v. Anzalone, et al., No. 2:17-cv-03207 (C.D. Cal., filed April 28, 2017), and Singh v. Anzalone, et al., No. 2:17-cv-03160 (C.D. Cal., filed April 27, 2017), alleging breach of fiduciary duty by the Company’s Board of Directors in connection with the alleged facts underlying the securities claims, are pending in the United States District Court for the Central District of California. The Lucas and Singh actions have been consolidated. On September 20, 2017, the United States District Court dismissed the consolidated class action without prejudice. On October 26, 2017, the plaintiffs filed a second amended consolidated complaint, and a motion to dismiss was filed on November 8, 2017. The Company believes it has meritorious defenses and intends to vigorously defend itself in these matters. The Company makes provisions for liabilities when it is both probable that a liability has been incurred and the amount can be reasonably estimated. No such liability has been recorded related to these matters. The Company cannot predict the ultimate outcome of this matter and cannot accurately estimate any potential liability the Company may incur or the impact of the results of this matter on the Company. With regard to legal fees, such as attorney fees related to these matters or any other legal matters, the Company recognizes such costs as incurred.</w:t>
      </w:r>
    </w:p>
    <w:p>
      <w:pPr>
        <w:spacing w:after="0" w:line="17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3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233" w:right="259" w:bottom="1440" w:gutter="0" w:footer="0" w:header="0"/>
        </w:sectPr>
      </w:pPr>
    </w:p>
    <w:bookmarkStart w:id="76" w:name="page77"/>
    <w:bookmarkEnd w:id="76"/>
    <w:p>
      <w:pPr>
        <w:ind w:left="520"/>
        <w:spacing w:after="0"/>
        <w:rPr>
          <w:sz w:val="20"/>
          <w:szCs w:val="20"/>
          <w:color w:val="auto"/>
        </w:rPr>
      </w:pPr>
      <w:r>
        <w:rPr>
          <w:rFonts w:ascii="Arial" w:cs="Arial" w:eastAsia="Arial" w:hAnsi="Arial"/>
          <w:sz w:val="18"/>
          <w:szCs w:val="18"/>
          <w:i w:val="1"/>
          <w:iCs w:val="1"/>
          <w:color w:val="auto"/>
        </w:rPr>
        <w:t>Purchase Commitments</w:t>
      </w:r>
    </w:p>
    <w:p>
      <w:pPr>
        <w:spacing w:after="0" w:line="117" w:lineRule="exact"/>
        <w:rPr>
          <w:sz w:val="20"/>
          <w:szCs w:val="20"/>
          <w:color w:val="auto"/>
        </w:rPr>
      </w:pPr>
    </w:p>
    <w:p>
      <w:pPr>
        <w:ind w:right="20" w:firstLine="518"/>
        <w:spacing w:after="0" w:line="264" w:lineRule="auto"/>
        <w:rPr>
          <w:sz w:val="20"/>
          <w:szCs w:val="20"/>
          <w:color w:val="auto"/>
        </w:rPr>
      </w:pPr>
      <w:r>
        <w:rPr>
          <w:rFonts w:ascii="Arial" w:cs="Arial" w:eastAsia="Arial" w:hAnsi="Arial"/>
          <w:sz w:val="18"/>
          <w:szCs w:val="18"/>
          <w:color w:val="auto"/>
        </w:rPr>
        <w:t>In the normal course of business, we enter into various purchase commitments for the manufacture of drug components, for toxicology studies, and for pre-clinical and clinical studies. As of September 30, 2017, these future commitments were estimated at approximately $11.4 million, all of which are expected to be incurred in fiscal 2018.</w:t>
      </w:r>
    </w:p>
    <w:p>
      <w:pPr>
        <w:spacing w:after="0" w:line="289" w:lineRule="exact"/>
        <w:rPr>
          <w:sz w:val="20"/>
          <w:szCs w:val="20"/>
          <w:color w:val="auto"/>
        </w:rPr>
      </w:pPr>
    </w:p>
    <w:p>
      <w:pPr>
        <w:ind w:left="520"/>
        <w:spacing w:after="0"/>
        <w:rPr>
          <w:sz w:val="20"/>
          <w:szCs w:val="20"/>
          <w:color w:val="auto"/>
        </w:rPr>
      </w:pPr>
      <w:r>
        <w:rPr>
          <w:rFonts w:ascii="Arial" w:cs="Arial" w:eastAsia="Arial" w:hAnsi="Arial"/>
          <w:sz w:val="18"/>
          <w:szCs w:val="18"/>
          <w:i w:val="1"/>
          <w:iCs w:val="1"/>
          <w:color w:val="auto"/>
        </w:rPr>
        <w:t>Technology License Commitments</w:t>
      </w:r>
    </w:p>
    <w:p>
      <w:pPr>
        <w:spacing w:after="0" w:line="117" w:lineRule="exact"/>
        <w:rPr>
          <w:sz w:val="20"/>
          <w:szCs w:val="20"/>
          <w:color w:val="auto"/>
        </w:rPr>
      </w:pPr>
    </w:p>
    <w:p>
      <w:pPr>
        <w:ind w:firstLine="518"/>
        <w:spacing w:after="0" w:line="291" w:lineRule="auto"/>
        <w:rPr>
          <w:sz w:val="20"/>
          <w:szCs w:val="20"/>
          <w:color w:val="auto"/>
        </w:rPr>
      </w:pPr>
      <w:r>
        <w:rPr>
          <w:rFonts w:ascii="Arial" w:cs="Arial" w:eastAsia="Arial" w:hAnsi="Arial"/>
          <w:sz w:val="16"/>
          <w:szCs w:val="16"/>
          <w:color w:val="auto"/>
        </w:rPr>
        <w:t>The Company has licensed from third parties the rights to use certain technologies for its research and development activities, as well as in any products the Company may develop using these licensed technologies. These agreements and other similar agreements often require milestone and royalty payments. Milestone payments, for example, may be required as the research and development process progresses through various stages of development, such as when clinical candidates enter or progress through clinical trials, upon NDA and upon certain sales level milestones. These milestone payments could amount to the mid to upper double-digit millions of dollars. During the year ended September 30, 2017, 2016, and 2015, we reached milestones amounting to $0, $3.0 million and $1.0 million, respectively, based on progress achieved on our previous clinical candidates. In certain agreements, the Company may be required to make mid to high single-digit percentage royalty payments based on a percentage of the sales of the relevant products.</w:t>
      </w:r>
    </w:p>
    <w:p>
      <w:pPr>
        <w:spacing w:after="0" w:line="3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NOTE 8. </w:t>
      </w:r>
      <w:r>
        <w:rPr>
          <w:rFonts w:ascii="Arial" w:cs="Arial" w:eastAsia="Arial" w:hAnsi="Arial"/>
          <w:sz w:val="18"/>
          <w:szCs w:val="18"/>
          <w:b w:val="1"/>
          <w:bCs w:val="1"/>
          <w:i w:val="1"/>
          <w:iCs w:val="1"/>
          <w:color w:val="auto"/>
        </w:rPr>
        <w:t>STOCK-BASED COMPENSATION</w:t>
      </w:r>
    </w:p>
    <w:p>
      <w:pPr>
        <w:spacing w:after="0" w:line="121" w:lineRule="exact"/>
        <w:rPr>
          <w:sz w:val="20"/>
          <w:szCs w:val="20"/>
          <w:color w:val="auto"/>
        </w:rPr>
      </w:pPr>
    </w:p>
    <w:p>
      <w:pPr>
        <w:ind w:right="20" w:firstLine="518"/>
        <w:spacing w:after="0" w:line="289" w:lineRule="auto"/>
        <w:rPr>
          <w:sz w:val="20"/>
          <w:szCs w:val="20"/>
          <w:color w:val="auto"/>
        </w:rPr>
      </w:pPr>
      <w:r>
        <w:rPr>
          <w:rFonts w:ascii="Arial" w:cs="Arial" w:eastAsia="Arial" w:hAnsi="Arial"/>
          <w:sz w:val="16"/>
          <w:szCs w:val="16"/>
          <w:color w:val="auto"/>
        </w:rPr>
        <w:t>Arrowhead has two plans that provide for equity-based compensation. Under the 2004 Equity Incentive Plan and 2013 Incentive Plan, as of September 30, 2017, 2,119,286 and 6,329,079 shares, respectively, of Arrowhead’s Common Stock are reserved for the grant of stock options, stock appreciation rights, restricted stock awards and performance unit/share award to employees, consultants and others. No further grants may be made under the 2004 Equity Incentive Plan. As of September 30, 2017, there were options granted and outstanding to purchase 2,119,286 and 2,986,207 shares of Common Stock under the 2004 Equity Incentive Plan and the 2013 Incentive Plan, respectively, and there were 3,098,000 restricted stock units granted and outstanding under the 2013 Incentive Plan. Also, as of September 30, 2017, there were 444,050 shares reserved for options and 10,000 restricted stock units issued as inducement grants to new employees outside of equity compensation plans. During the year ended September 30, 2017, no options or restricted stock units were granted under the 2004 Equity Incentive Plan, 591,000 options and 2,623,000 restricted stock units were granted under the 2013 Incentive Plan, and 47,000 options and 0 restricted stock units were granted as inducement awards to new employees outside of equity incentive plans.</w:t>
      </w:r>
    </w:p>
    <w:p>
      <w:pPr>
        <w:spacing w:after="0" w:line="16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following table summarizes information about stock options:</w:t>
      </w:r>
    </w:p>
    <w:p>
      <w:pPr>
        <w:spacing w:after="0" w:line="231"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56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0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4"/>
              </w:rPr>
              <w:t>Weighted-</w:t>
            </w:r>
          </w:p>
        </w:tc>
        <w:tc>
          <w:tcPr>
            <w:tcW w:w="200" w:type="dxa"/>
            <w:vAlign w:val="bottom"/>
          </w:tcPr>
          <w:p>
            <w:pPr>
              <w:spacing w:after="0"/>
              <w:rPr>
                <w:sz w:val="14"/>
                <w:szCs w:val="14"/>
                <w:color w:val="auto"/>
              </w:rPr>
            </w:pPr>
          </w:p>
        </w:tc>
        <w:tc>
          <w:tcPr>
            <w:tcW w:w="1000" w:type="dxa"/>
            <w:vAlign w:val="bottom"/>
          </w:tcPr>
          <w:p>
            <w:pPr>
              <w:jc w:val="center"/>
              <w:spacing w:after="0"/>
              <w:rPr>
                <w:sz w:val="20"/>
                <w:szCs w:val="20"/>
                <w:color w:val="auto"/>
              </w:rPr>
            </w:pPr>
            <w:r>
              <w:rPr>
                <w:rFonts w:ascii="Arial" w:cs="Arial" w:eastAsia="Arial" w:hAnsi="Arial"/>
                <w:sz w:val="14"/>
                <w:szCs w:val="14"/>
                <w:b w:val="1"/>
                <w:bCs w:val="1"/>
                <w:color w:val="auto"/>
                <w:w w:val="94"/>
              </w:rPr>
              <w:t>Weighted-</w:t>
            </w: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5660" w:type="dxa"/>
            <w:vAlign w:val="bottom"/>
          </w:tcPr>
          <w:p>
            <w:pPr>
              <w:spacing w:after="0"/>
              <w:rPr>
                <w:sz w:val="12"/>
                <w:szCs w:val="12"/>
                <w:color w:val="auto"/>
              </w:rPr>
            </w:pPr>
          </w:p>
        </w:tc>
        <w:tc>
          <w:tcPr>
            <w:tcW w:w="1220" w:type="dxa"/>
            <w:vAlign w:val="bottom"/>
            <w:gridSpan w:val="2"/>
            <w:vMerge w:val="restart"/>
          </w:tcPr>
          <w:p>
            <w:pPr>
              <w:jc w:val="center"/>
              <w:ind w:right="200"/>
              <w:spacing w:after="0"/>
              <w:rPr>
                <w:sz w:val="20"/>
                <w:szCs w:val="20"/>
                <w:color w:val="auto"/>
              </w:rPr>
            </w:pPr>
            <w:r>
              <w:rPr>
                <w:rFonts w:ascii="Arial" w:cs="Arial" w:eastAsia="Arial" w:hAnsi="Arial"/>
                <w:sz w:val="14"/>
                <w:szCs w:val="14"/>
                <w:b w:val="1"/>
                <w:bCs w:val="1"/>
                <w:color w:val="auto"/>
                <w:w w:val="94"/>
              </w:rPr>
              <w:t>Number of</w:t>
            </w:r>
          </w:p>
        </w:tc>
        <w:tc>
          <w:tcPr>
            <w:tcW w:w="140" w:type="dxa"/>
            <w:vAlign w:val="bottom"/>
          </w:tcPr>
          <w:p>
            <w:pPr>
              <w:spacing w:after="0"/>
              <w:rPr>
                <w:sz w:val="12"/>
                <w:szCs w:val="12"/>
                <w:color w:val="auto"/>
              </w:rPr>
            </w:pPr>
          </w:p>
        </w:tc>
        <w:tc>
          <w:tcPr>
            <w:tcW w:w="90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90"/>
              </w:rPr>
              <w:t>Average</w:t>
            </w:r>
          </w:p>
        </w:tc>
        <w:tc>
          <w:tcPr>
            <w:tcW w:w="200" w:type="dxa"/>
            <w:vAlign w:val="bottom"/>
          </w:tcPr>
          <w:p>
            <w:pPr>
              <w:spacing w:after="0"/>
              <w:rPr>
                <w:sz w:val="12"/>
                <w:szCs w:val="12"/>
                <w:color w:val="auto"/>
              </w:rPr>
            </w:pPr>
          </w:p>
        </w:tc>
        <w:tc>
          <w:tcPr>
            <w:tcW w:w="10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Average</w:t>
            </w: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2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w w:val="89"/>
              </w:rPr>
              <w:t>Aggregate</w:t>
            </w:r>
          </w:p>
        </w:tc>
        <w:tc>
          <w:tcPr>
            <w:tcW w:w="0" w:type="dxa"/>
            <w:vAlign w:val="bottom"/>
          </w:tcPr>
          <w:p>
            <w:pPr>
              <w:spacing w:after="0"/>
              <w:rPr>
                <w:sz w:val="1"/>
                <w:szCs w:val="1"/>
                <w:color w:val="auto"/>
              </w:rPr>
            </w:pPr>
          </w:p>
        </w:tc>
      </w:tr>
      <w:tr>
        <w:trPr>
          <w:trHeight w:val="149"/>
        </w:trPr>
        <w:tc>
          <w:tcPr>
            <w:tcW w:w="5660" w:type="dxa"/>
            <w:vAlign w:val="bottom"/>
          </w:tcPr>
          <w:p>
            <w:pPr>
              <w:spacing w:after="0"/>
              <w:rPr>
                <w:sz w:val="12"/>
                <w:szCs w:val="12"/>
                <w:color w:val="auto"/>
              </w:rPr>
            </w:pPr>
          </w:p>
        </w:tc>
        <w:tc>
          <w:tcPr>
            <w:tcW w:w="122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90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90"/>
              </w:rPr>
              <w:t>Exercise</w:t>
            </w:r>
          </w:p>
        </w:tc>
        <w:tc>
          <w:tcPr>
            <w:tcW w:w="200" w:type="dxa"/>
            <w:vAlign w:val="bottom"/>
          </w:tcPr>
          <w:p>
            <w:pPr>
              <w:spacing w:after="0"/>
              <w:rPr>
                <w:sz w:val="12"/>
                <w:szCs w:val="12"/>
                <w:color w:val="auto"/>
              </w:rPr>
            </w:pPr>
          </w:p>
        </w:tc>
        <w:tc>
          <w:tcPr>
            <w:tcW w:w="10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4"/>
              </w:rPr>
              <w:t>Remaining</w:t>
            </w: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2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660" w:type="dxa"/>
            <w:vAlign w:val="bottom"/>
          </w:tcPr>
          <w:p>
            <w:pPr>
              <w:spacing w:after="0"/>
              <w:rPr>
                <w:sz w:val="12"/>
                <w:szCs w:val="12"/>
                <w:color w:val="auto"/>
              </w:rPr>
            </w:pPr>
          </w:p>
        </w:tc>
        <w:tc>
          <w:tcPr>
            <w:tcW w:w="122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0"/>
              </w:rPr>
              <w:t>Options</w:t>
            </w:r>
          </w:p>
        </w:tc>
        <w:tc>
          <w:tcPr>
            <w:tcW w:w="140" w:type="dxa"/>
            <w:vAlign w:val="bottom"/>
          </w:tcPr>
          <w:p>
            <w:pPr>
              <w:spacing w:after="0"/>
              <w:rPr>
                <w:sz w:val="12"/>
                <w:szCs w:val="12"/>
                <w:color w:val="auto"/>
              </w:rPr>
            </w:pPr>
          </w:p>
        </w:tc>
        <w:tc>
          <w:tcPr>
            <w:tcW w:w="90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93"/>
              </w:rPr>
              <w:t>Price</w:t>
            </w:r>
          </w:p>
        </w:tc>
        <w:tc>
          <w:tcPr>
            <w:tcW w:w="200" w:type="dxa"/>
            <w:vAlign w:val="bottom"/>
          </w:tcPr>
          <w:p>
            <w:pPr>
              <w:spacing w:after="0"/>
              <w:rPr>
                <w:sz w:val="12"/>
                <w:szCs w:val="12"/>
                <w:color w:val="auto"/>
              </w:rPr>
            </w:pPr>
          </w:p>
        </w:tc>
        <w:tc>
          <w:tcPr>
            <w:tcW w:w="10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5"/>
              </w:rPr>
              <w:t>Contractual</w:t>
            </w: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2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9"/>
              </w:rPr>
              <w:t>Intrinsic</w:t>
            </w:r>
          </w:p>
        </w:tc>
        <w:tc>
          <w:tcPr>
            <w:tcW w:w="0" w:type="dxa"/>
            <w:vAlign w:val="bottom"/>
          </w:tcPr>
          <w:p>
            <w:pPr>
              <w:spacing w:after="0"/>
              <w:rPr>
                <w:sz w:val="1"/>
                <w:szCs w:val="1"/>
                <w:color w:val="auto"/>
              </w:rPr>
            </w:pPr>
          </w:p>
        </w:tc>
      </w:tr>
      <w:tr>
        <w:trPr>
          <w:trHeight w:val="171"/>
        </w:trPr>
        <w:tc>
          <w:tcPr>
            <w:tcW w:w="5660" w:type="dxa"/>
            <w:vAlign w:val="bottom"/>
          </w:tcPr>
          <w:p>
            <w:pPr>
              <w:spacing w:after="0"/>
              <w:rPr>
                <w:sz w:val="14"/>
                <w:szCs w:val="14"/>
                <w:color w:val="auto"/>
              </w:rPr>
            </w:pPr>
          </w:p>
        </w:tc>
        <w:tc>
          <w:tcPr>
            <w:tcW w:w="122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2"/>
              </w:rPr>
              <w:t>Outstanding</w:t>
            </w:r>
          </w:p>
        </w:tc>
        <w:tc>
          <w:tcPr>
            <w:tcW w:w="140" w:type="dxa"/>
            <w:vAlign w:val="bottom"/>
          </w:tcPr>
          <w:p>
            <w:pPr>
              <w:spacing w:after="0"/>
              <w:rPr>
                <w:sz w:val="14"/>
                <w:szCs w:val="14"/>
                <w:color w:val="auto"/>
              </w:rPr>
            </w:pPr>
          </w:p>
        </w:tc>
        <w:tc>
          <w:tcPr>
            <w:tcW w:w="90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1"/>
              </w:rPr>
              <w:t>Per Share</w:t>
            </w:r>
          </w:p>
        </w:tc>
        <w:tc>
          <w:tcPr>
            <w:tcW w:w="200" w:type="dxa"/>
            <w:vAlign w:val="bottom"/>
          </w:tcPr>
          <w:p>
            <w:pPr>
              <w:spacing w:after="0"/>
              <w:rPr>
                <w:sz w:val="14"/>
                <w:szCs w:val="14"/>
                <w:color w:val="auto"/>
              </w:rPr>
            </w:pPr>
          </w:p>
        </w:tc>
        <w:tc>
          <w:tcPr>
            <w:tcW w:w="1000" w:type="dxa"/>
            <w:vAlign w:val="bottom"/>
          </w:tcPr>
          <w:p>
            <w:pPr>
              <w:jc w:val="center"/>
              <w:spacing w:after="0"/>
              <w:rPr>
                <w:sz w:val="20"/>
                <w:szCs w:val="20"/>
                <w:color w:val="auto"/>
              </w:rPr>
            </w:pPr>
            <w:r>
              <w:rPr>
                <w:rFonts w:ascii="Arial" w:cs="Arial" w:eastAsia="Arial" w:hAnsi="Arial"/>
                <w:sz w:val="14"/>
                <w:szCs w:val="14"/>
                <w:b w:val="1"/>
                <w:bCs w:val="1"/>
                <w:color w:val="auto"/>
                <w:w w:val="93"/>
              </w:rPr>
              <w:t>Term</w:t>
            </w: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20" w:type="dxa"/>
            <w:vAlign w:val="bottom"/>
            <w:gridSpan w:val="2"/>
          </w:tcPr>
          <w:p>
            <w:pPr>
              <w:ind w:left="220"/>
              <w:spacing w:after="0"/>
              <w:rPr>
                <w:sz w:val="20"/>
                <w:szCs w:val="20"/>
                <w:color w:val="auto"/>
              </w:rPr>
            </w:pPr>
            <w:r>
              <w:rPr>
                <w:rFonts w:ascii="Arial" w:cs="Arial" w:eastAsia="Arial" w:hAnsi="Arial"/>
                <w:sz w:val="14"/>
                <w:szCs w:val="14"/>
                <w:b w:val="1"/>
                <w:bCs w:val="1"/>
                <w:color w:val="auto"/>
              </w:rPr>
              <w:t>Value</w:t>
            </w:r>
          </w:p>
        </w:tc>
        <w:tc>
          <w:tcPr>
            <w:tcW w:w="0" w:type="dxa"/>
            <w:vAlign w:val="bottom"/>
          </w:tcPr>
          <w:p>
            <w:pPr>
              <w:spacing w:after="0"/>
              <w:rPr>
                <w:sz w:val="1"/>
                <w:szCs w:val="1"/>
                <w:color w:val="auto"/>
              </w:rPr>
            </w:pPr>
          </w:p>
        </w:tc>
      </w:tr>
      <w:tr>
        <w:trPr>
          <w:trHeight w:val="210"/>
        </w:trPr>
        <w:tc>
          <w:tcPr>
            <w:tcW w:w="566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Balance At September 30, 2016</w:t>
            </w:r>
          </w:p>
        </w:tc>
        <w:tc>
          <w:tcPr>
            <w:tcW w:w="10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6,691,200</w:t>
            </w:r>
          </w:p>
        </w:tc>
        <w:tc>
          <w:tcPr>
            <w:tcW w:w="220" w:type="dxa"/>
            <w:vAlign w:val="bottom"/>
            <w:tcBorders>
              <w:top w:val="single" w:sz="8" w:color="CFF0FC"/>
            </w:tcBorders>
            <w:shd w:val="clear" w:color="auto" w:fill="CFF0FC"/>
          </w:tcPr>
          <w:p>
            <w:pPr>
              <w:spacing w:after="0"/>
              <w:rPr>
                <w:sz w:val="18"/>
                <w:szCs w:val="18"/>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6.56</w:t>
            </w:r>
          </w:p>
        </w:tc>
        <w:tc>
          <w:tcPr>
            <w:tcW w:w="20" w:type="dxa"/>
            <w:vAlign w:val="bottom"/>
            <w:tcBorders>
              <w:top w:val="single" w:sz="8" w:color="CFF0FC"/>
            </w:tcBorders>
            <w:shd w:val="clear" w:color="auto" w:fill="CFF0FC"/>
          </w:tcPr>
          <w:p>
            <w:pPr>
              <w:spacing w:after="0"/>
              <w:rPr>
                <w:sz w:val="18"/>
                <w:szCs w:val="18"/>
                <w:color w:val="auto"/>
              </w:rPr>
            </w:pPr>
          </w:p>
        </w:tc>
        <w:tc>
          <w:tcPr>
            <w:tcW w:w="200" w:type="dxa"/>
            <w:vAlign w:val="bottom"/>
            <w:tcBorders>
              <w:top w:val="single" w:sz="8" w:color="CFF0FC"/>
            </w:tcBorders>
            <w:shd w:val="clear" w:color="auto" w:fill="CFF0FC"/>
          </w:tcPr>
          <w:p>
            <w:pPr>
              <w:spacing w:after="0"/>
              <w:rPr>
                <w:sz w:val="18"/>
                <w:szCs w:val="18"/>
                <w:color w:val="auto"/>
              </w:rPr>
            </w:pPr>
          </w:p>
        </w:tc>
        <w:tc>
          <w:tcPr>
            <w:tcW w:w="1000" w:type="dxa"/>
            <w:vAlign w:val="bottom"/>
            <w:tcBorders>
              <w:top w:val="single" w:sz="8" w:color="auto"/>
            </w:tcBorders>
            <w:shd w:val="clear" w:color="auto" w:fill="CFF0FC"/>
          </w:tcPr>
          <w:p>
            <w:pPr>
              <w:spacing w:after="0"/>
              <w:rPr>
                <w:sz w:val="18"/>
                <w:szCs w:val="18"/>
                <w:color w:val="auto"/>
              </w:rPr>
            </w:pPr>
          </w:p>
        </w:tc>
        <w:tc>
          <w:tcPr>
            <w:tcW w:w="200" w:type="dxa"/>
            <w:vAlign w:val="bottom"/>
            <w:tcBorders>
              <w:top w:val="single" w:sz="8" w:color="CFF0FC"/>
            </w:tcBorders>
            <w:shd w:val="clear" w:color="auto" w:fill="CFF0FC"/>
          </w:tcPr>
          <w:p>
            <w:pPr>
              <w:spacing w:after="0"/>
              <w:rPr>
                <w:sz w:val="18"/>
                <w:szCs w:val="18"/>
                <w:color w:val="auto"/>
              </w:rPr>
            </w:pPr>
          </w:p>
        </w:tc>
        <w:tc>
          <w:tcPr>
            <w:tcW w:w="160" w:type="dxa"/>
            <w:vAlign w:val="bottom"/>
            <w:tcBorders>
              <w:top w:val="single" w:sz="8" w:color="auto"/>
            </w:tcBorders>
            <w:shd w:val="clear" w:color="auto" w:fill="CFF0FC"/>
          </w:tcPr>
          <w:p>
            <w:pPr>
              <w:spacing w:after="0"/>
              <w:rPr>
                <w:sz w:val="18"/>
                <w:szCs w:val="18"/>
                <w:color w:val="auto"/>
              </w:rPr>
            </w:pPr>
          </w:p>
        </w:tc>
        <w:tc>
          <w:tcPr>
            <w:tcW w:w="940" w:type="dxa"/>
            <w:vAlign w:val="bottom"/>
            <w:tcBorders>
              <w:top w:val="single" w:sz="8" w:color="auto"/>
            </w:tcBorders>
            <w:shd w:val="clear" w:color="auto" w:fill="CFF0FC"/>
          </w:tcPr>
          <w:p>
            <w:pPr>
              <w:spacing w:after="0"/>
              <w:rPr>
                <w:sz w:val="18"/>
                <w:szCs w:val="18"/>
                <w:color w:val="auto"/>
              </w:rPr>
            </w:pPr>
          </w:p>
        </w:tc>
        <w:tc>
          <w:tcPr>
            <w:tcW w:w="80" w:type="dxa"/>
            <w:vAlign w:val="bottom"/>
            <w:tcBorders>
              <w:top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60" w:type="dxa"/>
            <w:vAlign w:val="bottom"/>
          </w:tcPr>
          <w:p>
            <w:pPr>
              <w:spacing w:after="0"/>
              <w:rPr>
                <w:sz w:val="20"/>
                <w:szCs w:val="20"/>
                <w:color w:val="auto"/>
              </w:rPr>
            </w:pPr>
            <w:r>
              <w:rPr>
                <w:rFonts w:ascii="Arial" w:cs="Arial" w:eastAsia="Arial" w:hAnsi="Arial"/>
                <w:sz w:val="18"/>
                <w:szCs w:val="18"/>
                <w:color w:val="auto"/>
              </w:rPr>
              <w:t>Granted</w:t>
            </w: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638,000</w:t>
            </w:r>
          </w:p>
        </w:tc>
        <w:tc>
          <w:tcPr>
            <w:tcW w:w="140" w:type="dxa"/>
            <w:vAlign w:val="bottom"/>
          </w:tcPr>
          <w:p>
            <w:pPr>
              <w:spacing w:after="0"/>
              <w:rPr>
                <w:sz w:val="18"/>
                <w:szCs w:val="18"/>
                <w:color w:val="auto"/>
              </w:rPr>
            </w:pPr>
          </w:p>
        </w:tc>
        <w:tc>
          <w:tcPr>
            <w:tcW w:w="900" w:type="dxa"/>
            <w:vAlign w:val="bottom"/>
            <w:gridSpan w:val="2"/>
          </w:tcPr>
          <w:p>
            <w:pPr>
              <w:jc w:val="right"/>
              <w:ind w:right="20"/>
              <w:spacing w:after="0"/>
              <w:rPr>
                <w:sz w:val="20"/>
                <w:szCs w:val="20"/>
                <w:color w:val="auto"/>
              </w:rPr>
            </w:pPr>
            <w:r>
              <w:rPr>
                <w:rFonts w:ascii="Arial" w:cs="Arial" w:eastAsia="Arial" w:hAnsi="Arial"/>
                <w:sz w:val="18"/>
                <w:szCs w:val="18"/>
                <w:color w:val="auto"/>
              </w:rPr>
              <w:t>1.95</w:t>
            </w:r>
          </w:p>
        </w:tc>
        <w:tc>
          <w:tcPr>
            <w:tcW w:w="2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60" w:type="dxa"/>
            <w:vAlign w:val="bottom"/>
            <w:shd w:val="clear" w:color="auto" w:fill="CFF0FC"/>
          </w:tcPr>
          <w:p>
            <w:pPr>
              <w:spacing w:after="0"/>
              <w:rPr>
                <w:sz w:val="20"/>
                <w:szCs w:val="20"/>
                <w:color w:val="auto"/>
              </w:rPr>
            </w:pPr>
            <w:r>
              <w:rPr>
                <w:rFonts w:ascii="Arial" w:cs="Arial" w:eastAsia="Arial" w:hAnsi="Arial"/>
                <w:sz w:val="18"/>
                <w:szCs w:val="18"/>
                <w:color w:val="auto"/>
              </w:rPr>
              <w:t>Cancelled</w:t>
            </w:r>
          </w:p>
        </w:tc>
        <w:tc>
          <w:tcPr>
            <w:tcW w:w="122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(1,643,927)</w:t>
            </w:r>
          </w:p>
        </w:tc>
        <w:tc>
          <w:tcPr>
            <w:tcW w:w="140" w:type="dxa"/>
            <w:vAlign w:val="bottom"/>
            <w:shd w:val="clear" w:color="auto" w:fill="CFF0FC"/>
          </w:tcPr>
          <w:p>
            <w:pPr>
              <w:spacing w:after="0"/>
              <w:rPr>
                <w:sz w:val="18"/>
                <w:szCs w:val="18"/>
                <w:color w:val="auto"/>
              </w:rPr>
            </w:pPr>
          </w:p>
        </w:tc>
        <w:tc>
          <w:tcPr>
            <w:tcW w:w="90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7.02</w:t>
            </w:r>
          </w:p>
        </w:tc>
        <w:tc>
          <w:tcPr>
            <w:tcW w:w="20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60" w:type="dxa"/>
            <w:vAlign w:val="bottom"/>
          </w:tcPr>
          <w:p>
            <w:pPr>
              <w:spacing w:after="0"/>
              <w:rPr>
                <w:sz w:val="20"/>
                <w:szCs w:val="20"/>
                <w:color w:val="auto"/>
              </w:rPr>
            </w:pPr>
            <w:r>
              <w:rPr>
                <w:rFonts w:ascii="Arial" w:cs="Arial" w:eastAsia="Arial" w:hAnsi="Arial"/>
                <w:sz w:val="18"/>
                <w:szCs w:val="18"/>
                <w:color w:val="auto"/>
              </w:rPr>
              <w:t>Exercised</w:t>
            </w: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(135,730)</w:t>
            </w:r>
          </w:p>
        </w:tc>
        <w:tc>
          <w:tcPr>
            <w:tcW w:w="140" w:type="dxa"/>
            <w:vAlign w:val="bottom"/>
          </w:tcPr>
          <w:p>
            <w:pPr>
              <w:spacing w:after="0"/>
              <w:rPr>
                <w:sz w:val="18"/>
                <w:szCs w:val="18"/>
                <w:color w:val="auto"/>
              </w:rPr>
            </w:pPr>
          </w:p>
        </w:tc>
        <w:tc>
          <w:tcPr>
            <w:tcW w:w="900" w:type="dxa"/>
            <w:vAlign w:val="bottom"/>
            <w:gridSpan w:val="2"/>
          </w:tcPr>
          <w:p>
            <w:pPr>
              <w:jc w:val="right"/>
              <w:ind w:right="20"/>
              <w:spacing w:after="0"/>
              <w:rPr>
                <w:sz w:val="20"/>
                <w:szCs w:val="20"/>
                <w:color w:val="auto"/>
              </w:rPr>
            </w:pPr>
            <w:r>
              <w:rPr>
                <w:rFonts w:ascii="Arial" w:cs="Arial" w:eastAsia="Arial" w:hAnsi="Arial"/>
                <w:sz w:val="18"/>
                <w:szCs w:val="18"/>
                <w:color w:val="auto"/>
              </w:rPr>
              <w:t>2.01</w:t>
            </w:r>
          </w:p>
        </w:tc>
        <w:tc>
          <w:tcPr>
            <w:tcW w:w="2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66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Balance At September 30, 2017</w:t>
            </w:r>
          </w:p>
        </w:tc>
        <w:tc>
          <w:tcPr>
            <w:tcW w:w="10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5,549,543</w:t>
            </w:r>
          </w:p>
        </w:tc>
        <w:tc>
          <w:tcPr>
            <w:tcW w:w="220" w:type="dxa"/>
            <w:vAlign w:val="bottom"/>
            <w:tcBorders>
              <w:top w:val="single" w:sz="8" w:color="CFF0FC"/>
            </w:tcBorders>
            <w:shd w:val="clear" w:color="auto" w:fill="CFF0FC"/>
          </w:tcPr>
          <w:p>
            <w:pPr>
              <w:spacing w:after="0"/>
              <w:rPr>
                <w:sz w:val="18"/>
                <w:szCs w:val="18"/>
                <w:color w:val="auto"/>
              </w:rPr>
            </w:pP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6.00</w:t>
            </w:r>
          </w:p>
        </w:tc>
        <w:tc>
          <w:tcPr>
            <w:tcW w:w="20" w:type="dxa"/>
            <w:vAlign w:val="bottom"/>
            <w:tcBorders>
              <w:top w:val="single" w:sz="8" w:color="CFF0FC"/>
            </w:tcBorders>
            <w:shd w:val="clear" w:color="auto" w:fill="CFF0FC"/>
          </w:tcPr>
          <w:p>
            <w:pPr>
              <w:spacing w:after="0"/>
              <w:rPr>
                <w:sz w:val="18"/>
                <w:szCs w:val="18"/>
                <w:color w:val="auto"/>
              </w:rPr>
            </w:pPr>
          </w:p>
        </w:tc>
        <w:tc>
          <w:tcPr>
            <w:tcW w:w="200" w:type="dxa"/>
            <w:vAlign w:val="bottom"/>
            <w:tcBorders>
              <w:top w:val="single" w:sz="8" w:color="CFF0FC"/>
            </w:tcBorders>
            <w:shd w:val="clear" w:color="auto" w:fill="CFF0FC"/>
          </w:tcPr>
          <w:p>
            <w:pPr>
              <w:spacing w:after="0"/>
              <w:rPr>
                <w:sz w:val="18"/>
                <w:szCs w:val="18"/>
                <w:color w:val="auto"/>
              </w:rPr>
            </w:pPr>
          </w:p>
        </w:tc>
        <w:tc>
          <w:tcPr>
            <w:tcW w:w="1000" w:type="dxa"/>
            <w:vAlign w:val="bottom"/>
            <w:tcBorders>
              <w:top w:val="single" w:sz="8" w:color="CFF0FC"/>
            </w:tcBorders>
            <w:shd w:val="clear" w:color="auto" w:fill="CFF0FC"/>
          </w:tcPr>
          <w:p>
            <w:pPr>
              <w:ind w:left="360"/>
              <w:spacing w:after="0"/>
              <w:rPr>
                <w:sz w:val="20"/>
                <w:szCs w:val="20"/>
                <w:color w:val="auto"/>
              </w:rPr>
            </w:pPr>
            <w:r>
              <w:rPr>
                <w:rFonts w:ascii="Arial" w:cs="Arial" w:eastAsia="Arial" w:hAnsi="Arial"/>
                <w:sz w:val="18"/>
                <w:szCs w:val="18"/>
                <w:color w:val="auto"/>
                <w:w w:val="83"/>
              </w:rPr>
              <w:t>6.5 years</w:t>
            </w:r>
          </w:p>
        </w:tc>
        <w:tc>
          <w:tcPr>
            <w:tcW w:w="360" w:type="dxa"/>
            <w:vAlign w:val="bottom"/>
            <w:tcBorders>
              <w:top w:val="single" w:sz="8" w:color="CFF0FC"/>
            </w:tcBorders>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w:t>
            </w:r>
          </w:p>
        </w:tc>
        <w:tc>
          <w:tcPr>
            <w:tcW w:w="1020" w:type="dxa"/>
            <w:vAlign w:val="bottom"/>
            <w:tcBorders>
              <w:top w:val="single" w:sz="8" w:color="CFF0FC"/>
            </w:tcBorders>
            <w:gridSpan w:val="2"/>
            <w:shd w:val="clear" w:color="auto" w:fill="CFF0FC"/>
          </w:tcPr>
          <w:p>
            <w:pPr>
              <w:ind w:left="220"/>
              <w:spacing w:after="0"/>
              <w:rPr>
                <w:sz w:val="20"/>
                <w:szCs w:val="20"/>
                <w:color w:val="auto"/>
              </w:rPr>
            </w:pPr>
            <w:r>
              <w:rPr>
                <w:rFonts w:ascii="Arial" w:cs="Arial" w:eastAsia="Arial" w:hAnsi="Arial"/>
                <w:sz w:val="18"/>
                <w:szCs w:val="18"/>
                <w:color w:val="auto"/>
                <w:w w:val="97"/>
              </w:rPr>
              <w:t>3,390,029</w:t>
            </w:r>
          </w:p>
        </w:tc>
        <w:tc>
          <w:tcPr>
            <w:tcW w:w="0" w:type="dxa"/>
            <w:vAlign w:val="bottom"/>
          </w:tcPr>
          <w:p>
            <w:pPr>
              <w:spacing w:after="0"/>
              <w:rPr>
                <w:sz w:val="1"/>
                <w:szCs w:val="1"/>
                <w:color w:val="auto"/>
              </w:rPr>
            </w:pPr>
          </w:p>
        </w:tc>
      </w:tr>
      <w:tr>
        <w:trPr>
          <w:trHeight w:val="210"/>
        </w:trPr>
        <w:tc>
          <w:tcPr>
            <w:tcW w:w="5660" w:type="dxa"/>
            <w:vAlign w:val="bottom"/>
          </w:tcPr>
          <w:p>
            <w:pPr>
              <w:spacing w:after="0"/>
              <w:rPr>
                <w:sz w:val="20"/>
                <w:szCs w:val="20"/>
                <w:color w:val="auto"/>
              </w:rPr>
            </w:pPr>
            <w:r>
              <w:rPr>
                <w:rFonts w:ascii="Arial" w:cs="Arial" w:eastAsia="Arial" w:hAnsi="Arial"/>
                <w:sz w:val="18"/>
                <w:szCs w:val="18"/>
                <w:color w:val="auto"/>
              </w:rPr>
              <w:t>Exercisable At September 30, 2017</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4,065,611</w:t>
            </w:r>
          </w:p>
        </w:tc>
        <w:tc>
          <w:tcPr>
            <w:tcW w:w="22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6.32</w:t>
            </w:r>
          </w:p>
        </w:tc>
        <w:tc>
          <w:tcPr>
            <w:tcW w:w="20" w:type="dxa"/>
            <w:vAlign w:val="bottom"/>
            <w:tcBorders>
              <w:bottom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tcPr>
          <w:p>
            <w:pPr>
              <w:ind w:left="360"/>
              <w:spacing w:after="0"/>
              <w:rPr>
                <w:sz w:val="20"/>
                <w:szCs w:val="20"/>
                <w:color w:val="auto"/>
              </w:rPr>
            </w:pPr>
            <w:r>
              <w:rPr>
                <w:rFonts w:ascii="Arial" w:cs="Arial" w:eastAsia="Arial" w:hAnsi="Arial"/>
                <w:sz w:val="18"/>
                <w:szCs w:val="18"/>
                <w:color w:val="auto"/>
                <w:w w:val="83"/>
              </w:rPr>
              <w:t>5.8 years</w:t>
            </w:r>
          </w:p>
        </w:tc>
        <w:tc>
          <w:tcPr>
            <w:tcW w:w="3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020" w:type="dxa"/>
            <w:vAlign w:val="bottom"/>
            <w:gridSpan w:val="2"/>
          </w:tcPr>
          <w:p>
            <w:pPr>
              <w:ind w:left="220"/>
              <w:spacing w:after="0"/>
              <w:rPr>
                <w:sz w:val="20"/>
                <w:szCs w:val="20"/>
                <w:color w:val="auto"/>
              </w:rPr>
            </w:pPr>
            <w:r>
              <w:rPr>
                <w:rFonts w:ascii="Arial" w:cs="Arial" w:eastAsia="Arial" w:hAnsi="Arial"/>
                <w:sz w:val="18"/>
                <w:szCs w:val="18"/>
                <w:color w:val="auto"/>
                <w:w w:val="97"/>
              </w:rPr>
              <w:t>1,872,018</w:t>
            </w:r>
          </w:p>
        </w:tc>
        <w:tc>
          <w:tcPr>
            <w:tcW w:w="0" w:type="dxa"/>
            <w:vAlign w:val="bottom"/>
          </w:tcPr>
          <w:p>
            <w:pPr>
              <w:spacing w:after="0"/>
              <w:rPr>
                <w:sz w:val="1"/>
                <w:szCs w:val="1"/>
                <w:color w:val="auto"/>
              </w:rPr>
            </w:pPr>
          </w:p>
        </w:tc>
      </w:tr>
      <w:tr>
        <w:trPr>
          <w:trHeight w:val="20"/>
        </w:trPr>
        <w:tc>
          <w:tcPr>
            <w:tcW w:w="566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60" w:firstLine="518"/>
        <w:spacing w:after="0" w:line="259" w:lineRule="auto"/>
        <w:rPr>
          <w:sz w:val="20"/>
          <w:szCs w:val="20"/>
          <w:color w:val="auto"/>
        </w:rPr>
      </w:pPr>
      <w:r>
        <w:rPr>
          <w:rFonts w:ascii="Arial" w:cs="Arial" w:eastAsia="Arial" w:hAnsi="Arial"/>
          <w:sz w:val="18"/>
          <w:szCs w:val="18"/>
          <w:color w:val="auto"/>
        </w:rPr>
        <w:t>Stock-based compensation expense related to stock options for the years ended September 30, 2017, 2016 and 2015 was $4,524,833, $6,361,396, and $4,760,831, respectively. The Company does not recognize an income tax benefit as the Company is currently operating at a loss and an actual income tax benefit may not be realized. For non-qualified stock options, the loss creates a timing difference, resulting in a deferred tax asset, which is fully reserved by a valuation allowance.</w:t>
      </w:r>
    </w:p>
    <w:p>
      <w:pPr>
        <w:spacing w:after="0" w:line="187" w:lineRule="exact"/>
        <w:rPr>
          <w:sz w:val="20"/>
          <w:szCs w:val="20"/>
          <w:color w:val="auto"/>
        </w:rPr>
      </w:pPr>
    </w:p>
    <w:p>
      <w:pPr>
        <w:ind w:right="180" w:firstLine="518"/>
        <w:spacing w:after="0" w:line="277" w:lineRule="auto"/>
        <w:rPr>
          <w:sz w:val="20"/>
          <w:szCs w:val="20"/>
          <w:color w:val="auto"/>
        </w:rPr>
      </w:pPr>
      <w:r>
        <w:rPr>
          <w:rFonts w:ascii="Arial" w:cs="Arial" w:eastAsia="Arial" w:hAnsi="Arial"/>
          <w:sz w:val="18"/>
          <w:szCs w:val="18"/>
          <w:color w:val="auto"/>
        </w:rPr>
        <w:t>The grant date fair value of the options granted by the Company for the years ended September 30, 2017, 2016 and 2015 was estimated at $849,816, $6,426,207 and $7,338,395, respectively.</w:t>
      </w:r>
    </w:p>
    <w:p>
      <w:pPr>
        <w:spacing w:after="0" w:line="170" w:lineRule="exact"/>
        <w:rPr>
          <w:sz w:val="20"/>
          <w:szCs w:val="20"/>
          <w:color w:val="auto"/>
        </w:rPr>
      </w:pPr>
    </w:p>
    <w:p>
      <w:pPr>
        <w:ind w:right="640" w:firstLine="518"/>
        <w:spacing w:after="0" w:line="277" w:lineRule="auto"/>
        <w:rPr>
          <w:sz w:val="20"/>
          <w:szCs w:val="20"/>
          <w:color w:val="auto"/>
        </w:rPr>
      </w:pPr>
      <w:r>
        <w:rPr>
          <w:rFonts w:ascii="Arial" w:cs="Arial" w:eastAsia="Arial" w:hAnsi="Arial"/>
          <w:sz w:val="18"/>
          <w:szCs w:val="18"/>
          <w:color w:val="auto"/>
        </w:rPr>
        <w:t>The intrinsic value of the options exercised during the years ended September 30, 2017, 2016 and 2015 was $35,512, $142,690 and $128,391, respectively.</w:t>
      </w:r>
    </w:p>
    <w:p>
      <w:pPr>
        <w:spacing w:after="0" w:line="170" w:lineRule="exact"/>
        <w:rPr>
          <w:sz w:val="20"/>
          <w:szCs w:val="20"/>
          <w:color w:val="auto"/>
        </w:rPr>
      </w:pPr>
    </w:p>
    <w:p>
      <w:pPr>
        <w:ind w:right="240" w:firstLine="518"/>
        <w:spacing w:after="0" w:line="277" w:lineRule="auto"/>
        <w:rPr>
          <w:sz w:val="20"/>
          <w:szCs w:val="20"/>
          <w:color w:val="auto"/>
        </w:rPr>
      </w:pPr>
      <w:r>
        <w:rPr>
          <w:rFonts w:ascii="Arial" w:cs="Arial" w:eastAsia="Arial" w:hAnsi="Arial"/>
          <w:sz w:val="18"/>
          <w:szCs w:val="18"/>
          <w:color w:val="auto"/>
        </w:rPr>
        <w:t>As of September 30, 2017, the pre-tax compensation expense for all outstanding unvested stock options in the amount of approximately $4,627,267 will be recognized in the Company’s results of operations over a weighted average period of 1.8 years.</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3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881" w:right="259" w:bottom="1440" w:gutter="0" w:footer="0" w:header="0"/>
        </w:sectPr>
      </w:pPr>
    </w:p>
    <w:bookmarkStart w:id="77" w:name="page78"/>
    <w:bookmarkEnd w:id="77"/>
    <w:p>
      <w:pPr>
        <w:ind w:right="120" w:firstLine="518"/>
        <w:spacing w:after="0" w:line="293" w:lineRule="auto"/>
        <w:rPr>
          <w:sz w:val="20"/>
          <w:szCs w:val="20"/>
          <w:color w:val="auto"/>
        </w:rPr>
      </w:pPr>
      <w:r>
        <w:rPr>
          <w:rFonts w:ascii="Arial" w:cs="Arial" w:eastAsia="Arial" w:hAnsi="Arial"/>
          <w:sz w:val="16"/>
          <w:szCs w:val="16"/>
          <w:color w:val="auto"/>
        </w:rPr>
        <w:t>The fair value of each stock option award is estimated on the date of grant using the Black-Scholes option pricing model. The Black-Scholes option valuation model was developed for use in estimating the fair value of traded options, which do not have vesting restrictions and are fully transferable. The determination of the fair value of each stock option is affected by the Company’s stock price on the date of grant, as well as assumptions regarding a number of highly complex and subjective variables. Because the Company’s employee stock options have characteristics significantly different from those of traded options, and because changes in the subjective input assumptions can materially affect the fair value estimate, in management’s opinion, the existing models do not necessarily provide a reliable single measure of the fair value of its employee stock options.</w:t>
      </w:r>
    </w:p>
    <w:p>
      <w:pPr>
        <w:spacing w:after="0" w:line="165"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assumptions used to value stock options are as follows:</w:t>
      </w:r>
    </w:p>
    <w:p>
      <w:pPr>
        <w:spacing w:after="0" w:line="392" w:lineRule="exact"/>
        <w:rPr>
          <w:sz w:val="20"/>
          <w:szCs w:val="20"/>
          <w:color w:val="auto"/>
        </w:rPr>
      </w:pPr>
    </w:p>
    <w:tbl>
      <w:tblPr>
        <w:tblLayout w:type="fixed"/>
        <w:tblInd w:w="20" w:type="dxa"/>
        <w:tblCellMar>
          <w:top w:w="0" w:type="dxa"/>
          <w:left w:w="0" w:type="dxa"/>
          <w:bottom w:w="0" w:type="dxa"/>
          <w:right w:w="0" w:type="dxa"/>
        </w:tblCellMar>
      </w:tblPr>
      <w:tr>
        <w:trPr>
          <w:trHeight w:val="171"/>
        </w:trPr>
        <w:tc>
          <w:tcPr>
            <w:tcW w:w="6560" w:type="dxa"/>
            <w:vAlign w:val="bottom"/>
          </w:tcPr>
          <w:p>
            <w:pPr>
              <w:spacing w:after="0"/>
              <w:rPr>
                <w:sz w:val="14"/>
                <w:szCs w:val="14"/>
                <w:color w:val="auto"/>
              </w:rPr>
            </w:pPr>
          </w:p>
        </w:tc>
        <w:tc>
          <w:tcPr>
            <w:tcW w:w="1540" w:type="dxa"/>
            <w:vAlign w:val="bottom"/>
            <w:tcBorders>
              <w:bottom w:val="single" w:sz="8" w:color="auto"/>
            </w:tcBorders>
          </w:tcPr>
          <w:p>
            <w:pPr>
              <w:spacing w:after="0"/>
              <w:rPr>
                <w:sz w:val="14"/>
                <w:szCs w:val="14"/>
                <w:color w:val="auto"/>
              </w:rPr>
            </w:pPr>
          </w:p>
        </w:tc>
        <w:tc>
          <w:tcPr>
            <w:tcW w:w="1780" w:type="dxa"/>
            <w:vAlign w:val="bottom"/>
            <w:tcBorders>
              <w:bottom w:val="single" w:sz="8" w:color="auto"/>
            </w:tcBorders>
            <w:gridSpan w:val="3"/>
          </w:tcPr>
          <w:p>
            <w:pPr>
              <w:ind w:left="40"/>
              <w:spacing w:after="0"/>
              <w:rPr>
                <w:sz w:val="20"/>
                <w:szCs w:val="20"/>
                <w:color w:val="auto"/>
              </w:rPr>
            </w:pPr>
            <w:r>
              <w:rPr>
                <w:rFonts w:ascii="Arial" w:cs="Arial" w:eastAsia="Arial" w:hAnsi="Arial"/>
                <w:sz w:val="14"/>
                <w:szCs w:val="14"/>
                <w:b w:val="1"/>
                <w:bCs w:val="1"/>
                <w:color w:val="auto"/>
                <w:w w:val="94"/>
              </w:rPr>
              <w:t>Years ended September 30,</w:t>
            </w:r>
          </w:p>
        </w:tc>
        <w:tc>
          <w:tcPr>
            <w:tcW w:w="1520" w:type="dxa"/>
            <w:vAlign w:val="bottom"/>
            <w:tcBorders>
              <w:bottom w:val="single" w:sz="8" w:color="auto"/>
            </w:tcBorders>
          </w:tcPr>
          <w:p>
            <w:pPr>
              <w:spacing w:after="0"/>
              <w:rPr>
                <w:sz w:val="14"/>
                <w:szCs w:val="14"/>
                <w:color w:val="auto"/>
              </w:rPr>
            </w:pPr>
          </w:p>
        </w:tc>
      </w:tr>
      <w:tr>
        <w:trPr>
          <w:trHeight w:val="196"/>
        </w:trPr>
        <w:tc>
          <w:tcPr>
            <w:tcW w:w="6560" w:type="dxa"/>
            <w:vAlign w:val="bottom"/>
          </w:tcPr>
          <w:p>
            <w:pPr>
              <w:spacing w:after="0"/>
              <w:rPr>
                <w:sz w:val="17"/>
                <w:szCs w:val="17"/>
                <w:color w:val="auto"/>
              </w:rPr>
            </w:pPr>
          </w:p>
        </w:tc>
        <w:tc>
          <w:tcPr>
            <w:tcW w:w="1540" w:type="dxa"/>
            <w:vAlign w:val="bottom"/>
          </w:tcPr>
          <w:p>
            <w:pPr>
              <w:jc w:val="center"/>
              <w:spacing w:after="0"/>
              <w:rPr>
                <w:sz w:val="20"/>
                <w:szCs w:val="20"/>
                <w:color w:val="auto"/>
              </w:rPr>
            </w:pPr>
            <w:r>
              <w:rPr>
                <w:rFonts w:ascii="Arial" w:cs="Arial" w:eastAsia="Arial" w:hAnsi="Arial"/>
                <w:sz w:val="14"/>
                <w:szCs w:val="14"/>
                <w:b w:val="1"/>
                <w:bCs w:val="1"/>
                <w:color w:val="auto"/>
                <w:w w:val="89"/>
              </w:rPr>
              <w:t>2017</w:t>
            </w:r>
          </w:p>
        </w:tc>
        <w:tc>
          <w:tcPr>
            <w:tcW w:w="1660" w:type="dxa"/>
            <w:vAlign w:val="bottom"/>
            <w:gridSpan w:val="2"/>
          </w:tcPr>
          <w:p>
            <w:pPr>
              <w:jc w:val="center"/>
              <w:ind w:left="17"/>
              <w:spacing w:after="0"/>
              <w:rPr>
                <w:sz w:val="20"/>
                <w:szCs w:val="20"/>
                <w:color w:val="auto"/>
              </w:rPr>
            </w:pPr>
            <w:r>
              <w:rPr>
                <w:rFonts w:ascii="Arial" w:cs="Arial" w:eastAsia="Arial" w:hAnsi="Arial"/>
                <w:sz w:val="14"/>
                <w:szCs w:val="14"/>
                <w:b w:val="1"/>
                <w:bCs w:val="1"/>
                <w:color w:val="auto"/>
                <w:w w:val="89"/>
              </w:rPr>
              <w:t>2016</w:t>
            </w:r>
          </w:p>
        </w:tc>
        <w:tc>
          <w:tcPr>
            <w:tcW w:w="120" w:type="dxa"/>
            <w:vAlign w:val="bottom"/>
          </w:tcPr>
          <w:p>
            <w:pPr>
              <w:spacing w:after="0"/>
              <w:rPr>
                <w:sz w:val="17"/>
                <w:szCs w:val="17"/>
                <w:color w:val="auto"/>
              </w:rPr>
            </w:pPr>
          </w:p>
        </w:tc>
        <w:tc>
          <w:tcPr>
            <w:tcW w:w="1520" w:type="dxa"/>
            <w:vAlign w:val="bottom"/>
          </w:tcPr>
          <w:p>
            <w:pPr>
              <w:jc w:val="center"/>
              <w:spacing w:after="0"/>
              <w:rPr>
                <w:sz w:val="20"/>
                <w:szCs w:val="20"/>
                <w:color w:val="auto"/>
              </w:rPr>
            </w:pPr>
            <w:r>
              <w:rPr>
                <w:rFonts w:ascii="Arial" w:cs="Arial" w:eastAsia="Arial" w:hAnsi="Arial"/>
                <w:sz w:val="14"/>
                <w:szCs w:val="14"/>
                <w:b w:val="1"/>
                <w:bCs w:val="1"/>
                <w:color w:val="auto"/>
                <w:w w:val="96"/>
              </w:rPr>
              <w:t>2015</w:t>
            </w:r>
          </w:p>
        </w:tc>
      </w:tr>
      <w:tr>
        <w:trPr>
          <w:trHeight w:val="210"/>
        </w:trPr>
        <w:tc>
          <w:tcPr>
            <w:tcW w:w="656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Dividend yield</w:t>
            </w:r>
          </w:p>
        </w:tc>
        <w:tc>
          <w:tcPr>
            <w:tcW w:w="1540" w:type="dxa"/>
            <w:vAlign w:val="bottom"/>
            <w:tcBorders>
              <w:top w:val="single" w:sz="8" w:color="auto"/>
            </w:tcBorders>
            <w:shd w:val="clear" w:color="auto" w:fill="CFF0FC"/>
          </w:tcPr>
          <w:p>
            <w:pPr>
              <w:jc w:val="center"/>
              <w:spacing w:after="0"/>
              <w:rPr>
                <w:sz w:val="20"/>
                <w:szCs w:val="20"/>
                <w:color w:val="auto"/>
              </w:rPr>
            </w:pPr>
            <w:r>
              <w:rPr>
                <w:rFonts w:ascii="Arial" w:cs="Arial" w:eastAsia="Arial" w:hAnsi="Arial"/>
                <w:sz w:val="18"/>
                <w:szCs w:val="18"/>
                <w:color w:val="auto"/>
                <w:w w:val="99"/>
              </w:rPr>
              <w:t>—</w:t>
            </w:r>
          </w:p>
        </w:tc>
        <w:tc>
          <w:tcPr>
            <w:tcW w:w="120" w:type="dxa"/>
            <w:vAlign w:val="bottom"/>
            <w:tcBorders>
              <w:top w:val="single" w:sz="8" w:color="CFF0FC"/>
            </w:tcBorders>
            <w:shd w:val="clear" w:color="auto" w:fill="CFF0FC"/>
          </w:tcPr>
          <w:p>
            <w:pPr>
              <w:spacing w:after="0"/>
              <w:rPr>
                <w:sz w:val="18"/>
                <w:szCs w:val="18"/>
                <w:color w:val="auto"/>
              </w:rPr>
            </w:pPr>
          </w:p>
        </w:tc>
        <w:tc>
          <w:tcPr>
            <w:tcW w:w="1540" w:type="dxa"/>
            <w:vAlign w:val="bottom"/>
            <w:tcBorders>
              <w:top w:val="single" w:sz="8" w:color="auto"/>
            </w:tcBorders>
            <w:shd w:val="clear" w:color="auto" w:fill="CFF0FC"/>
          </w:tcPr>
          <w:p>
            <w:pPr>
              <w:jc w:val="center"/>
              <w:spacing w:after="0"/>
              <w:rPr>
                <w:sz w:val="20"/>
                <w:szCs w:val="20"/>
                <w:color w:val="auto"/>
              </w:rPr>
            </w:pPr>
            <w:r>
              <w:rPr>
                <w:rFonts w:ascii="Arial" w:cs="Arial" w:eastAsia="Arial" w:hAnsi="Arial"/>
                <w:sz w:val="18"/>
                <w:szCs w:val="18"/>
                <w:color w:val="auto"/>
                <w:w w:val="99"/>
              </w:rPr>
              <w:t>—</w:t>
            </w:r>
          </w:p>
        </w:tc>
        <w:tc>
          <w:tcPr>
            <w:tcW w:w="120" w:type="dxa"/>
            <w:vAlign w:val="bottom"/>
            <w:tcBorders>
              <w:top w:val="single" w:sz="8" w:color="CFF0FC"/>
            </w:tcBorders>
            <w:shd w:val="clear" w:color="auto" w:fill="CFF0FC"/>
          </w:tcPr>
          <w:p>
            <w:pPr>
              <w:spacing w:after="0"/>
              <w:rPr>
                <w:sz w:val="18"/>
                <w:szCs w:val="18"/>
                <w:color w:val="auto"/>
              </w:rPr>
            </w:pPr>
          </w:p>
        </w:tc>
        <w:tc>
          <w:tcPr>
            <w:tcW w:w="1520" w:type="dxa"/>
            <w:vAlign w:val="bottom"/>
            <w:tcBorders>
              <w:top w:val="single" w:sz="8" w:color="auto"/>
            </w:tcBorders>
            <w:shd w:val="clear" w:color="auto" w:fill="CFF0FC"/>
          </w:tcPr>
          <w:p>
            <w:pPr>
              <w:jc w:val="center"/>
              <w:spacing w:after="0"/>
              <w:rPr>
                <w:sz w:val="20"/>
                <w:szCs w:val="20"/>
                <w:color w:val="auto"/>
              </w:rPr>
            </w:pPr>
            <w:r>
              <w:rPr>
                <w:rFonts w:ascii="Arial" w:cs="Arial" w:eastAsia="Arial" w:hAnsi="Arial"/>
                <w:sz w:val="18"/>
                <w:szCs w:val="18"/>
                <w:color w:val="auto"/>
                <w:w w:val="99"/>
              </w:rPr>
              <w:t>—</w:t>
            </w:r>
          </w:p>
        </w:tc>
      </w:tr>
      <w:tr>
        <w:trPr>
          <w:trHeight w:val="216"/>
        </w:trPr>
        <w:tc>
          <w:tcPr>
            <w:tcW w:w="6560" w:type="dxa"/>
            <w:vAlign w:val="bottom"/>
          </w:tcPr>
          <w:p>
            <w:pPr>
              <w:spacing w:after="0"/>
              <w:rPr>
                <w:sz w:val="20"/>
                <w:szCs w:val="20"/>
                <w:color w:val="auto"/>
              </w:rPr>
            </w:pPr>
            <w:r>
              <w:rPr>
                <w:rFonts w:ascii="Arial" w:cs="Arial" w:eastAsia="Arial" w:hAnsi="Arial"/>
                <w:sz w:val="18"/>
                <w:szCs w:val="18"/>
                <w:color w:val="auto"/>
              </w:rPr>
              <w:t>Risk-free interest rate</w:t>
            </w:r>
          </w:p>
        </w:tc>
        <w:tc>
          <w:tcPr>
            <w:tcW w:w="1540" w:type="dxa"/>
            <w:vAlign w:val="bottom"/>
          </w:tcPr>
          <w:p>
            <w:pPr>
              <w:jc w:val="center"/>
              <w:spacing w:after="0"/>
              <w:rPr>
                <w:sz w:val="20"/>
                <w:szCs w:val="20"/>
                <w:color w:val="auto"/>
              </w:rPr>
            </w:pPr>
            <w:r>
              <w:rPr>
                <w:rFonts w:ascii="Arial" w:cs="Arial" w:eastAsia="Arial" w:hAnsi="Arial"/>
                <w:sz w:val="18"/>
                <w:szCs w:val="18"/>
                <w:color w:val="auto"/>
                <w:w w:val="90"/>
              </w:rPr>
              <w:t>1.34 – 2.31%</w:t>
            </w:r>
          </w:p>
        </w:tc>
        <w:tc>
          <w:tcPr>
            <w:tcW w:w="120" w:type="dxa"/>
            <w:vAlign w:val="bottom"/>
          </w:tcPr>
          <w:p>
            <w:pPr>
              <w:spacing w:after="0"/>
              <w:rPr>
                <w:sz w:val="18"/>
                <w:szCs w:val="18"/>
                <w:color w:val="auto"/>
              </w:rPr>
            </w:pPr>
          </w:p>
        </w:tc>
        <w:tc>
          <w:tcPr>
            <w:tcW w:w="1660" w:type="dxa"/>
            <w:vAlign w:val="bottom"/>
            <w:gridSpan w:val="2"/>
          </w:tcPr>
          <w:p>
            <w:pPr>
              <w:jc w:val="center"/>
              <w:ind w:right="140"/>
              <w:spacing w:after="0"/>
              <w:rPr>
                <w:sz w:val="20"/>
                <w:szCs w:val="20"/>
                <w:color w:val="auto"/>
              </w:rPr>
            </w:pPr>
            <w:r>
              <w:rPr>
                <w:rFonts w:ascii="Arial" w:cs="Arial" w:eastAsia="Arial" w:hAnsi="Arial"/>
                <w:sz w:val="18"/>
                <w:szCs w:val="18"/>
                <w:color w:val="auto"/>
                <w:w w:val="90"/>
              </w:rPr>
              <w:t>1.05 – 1.89%</w:t>
            </w:r>
          </w:p>
        </w:tc>
        <w:tc>
          <w:tcPr>
            <w:tcW w:w="1520" w:type="dxa"/>
            <w:vAlign w:val="bottom"/>
          </w:tcPr>
          <w:p>
            <w:pPr>
              <w:jc w:val="center"/>
              <w:spacing w:after="0"/>
              <w:rPr>
                <w:sz w:val="20"/>
                <w:szCs w:val="20"/>
                <w:color w:val="auto"/>
              </w:rPr>
            </w:pPr>
            <w:r>
              <w:rPr>
                <w:rFonts w:ascii="Arial" w:cs="Arial" w:eastAsia="Arial" w:hAnsi="Arial"/>
                <w:sz w:val="18"/>
                <w:szCs w:val="18"/>
                <w:color w:val="auto"/>
                <w:w w:val="90"/>
              </w:rPr>
              <w:t>1.46 – 1.89%</w:t>
            </w:r>
          </w:p>
        </w:tc>
      </w:tr>
      <w:tr>
        <w:trPr>
          <w:trHeight w:val="216"/>
        </w:trPr>
        <w:tc>
          <w:tcPr>
            <w:tcW w:w="6560" w:type="dxa"/>
            <w:vAlign w:val="bottom"/>
            <w:shd w:val="clear" w:color="auto" w:fill="CFF0FC"/>
          </w:tcPr>
          <w:p>
            <w:pPr>
              <w:spacing w:after="0"/>
              <w:rPr>
                <w:sz w:val="20"/>
                <w:szCs w:val="20"/>
                <w:color w:val="auto"/>
              </w:rPr>
            </w:pPr>
            <w:r>
              <w:rPr>
                <w:rFonts w:ascii="Arial" w:cs="Arial" w:eastAsia="Arial" w:hAnsi="Arial"/>
                <w:sz w:val="18"/>
                <w:szCs w:val="18"/>
                <w:color w:val="auto"/>
              </w:rPr>
              <w:t>Volatility</w:t>
            </w:r>
          </w:p>
        </w:tc>
        <w:tc>
          <w:tcPr>
            <w:tcW w:w="154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88"/>
              </w:rPr>
              <w:t>79%</w:t>
            </w:r>
          </w:p>
        </w:tc>
        <w:tc>
          <w:tcPr>
            <w:tcW w:w="1660" w:type="dxa"/>
            <w:vAlign w:val="bottom"/>
            <w:gridSpan w:val="2"/>
            <w:shd w:val="clear" w:color="auto" w:fill="CFF0FC"/>
          </w:tcPr>
          <w:p>
            <w:pPr>
              <w:jc w:val="center"/>
              <w:ind w:left="17"/>
              <w:spacing w:after="0"/>
              <w:rPr>
                <w:sz w:val="20"/>
                <w:szCs w:val="20"/>
                <w:color w:val="auto"/>
              </w:rPr>
            </w:pPr>
            <w:r>
              <w:rPr>
                <w:rFonts w:ascii="Arial" w:cs="Arial" w:eastAsia="Arial" w:hAnsi="Arial"/>
                <w:sz w:val="18"/>
                <w:szCs w:val="18"/>
                <w:color w:val="auto"/>
                <w:w w:val="88"/>
              </w:rPr>
              <w:t>89%</w:t>
            </w:r>
          </w:p>
        </w:tc>
        <w:tc>
          <w:tcPr>
            <w:tcW w:w="120" w:type="dxa"/>
            <w:vAlign w:val="bottom"/>
            <w:shd w:val="clear" w:color="auto" w:fill="CFF0FC"/>
          </w:tcPr>
          <w:p>
            <w:pPr>
              <w:spacing w:after="0"/>
              <w:rPr>
                <w:sz w:val="18"/>
                <w:szCs w:val="18"/>
                <w:color w:val="auto"/>
              </w:rPr>
            </w:pPr>
          </w:p>
        </w:tc>
        <w:tc>
          <w:tcPr>
            <w:tcW w:w="152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94"/>
              </w:rPr>
              <w:t>75%</w:t>
            </w:r>
          </w:p>
        </w:tc>
      </w:tr>
      <w:tr>
        <w:trPr>
          <w:trHeight w:val="216"/>
        </w:trPr>
        <w:tc>
          <w:tcPr>
            <w:tcW w:w="6560" w:type="dxa"/>
            <w:vAlign w:val="bottom"/>
          </w:tcPr>
          <w:p>
            <w:pPr>
              <w:spacing w:after="0"/>
              <w:rPr>
                <w:sz w:val="20"/>
                <w:szCs w:val="20"/>
                <w:color w:val="auto"/>
              </w:rPr>
            </w:pPr>
            <w:r>
              <w:rPr>
                <w:rFonts w:ascii="Arial" w:cs="Arial" w:eastAsia="Arial" w:hAnsi="Arial"/>
                <w:sz w:val="18"/>
                <w:szCs w:val="18"/>
                <w:color w:val="auto"/>
              </w:rPr>
              <w:t>Expected life (in years)</w:t>
            </w:r>
          </w:p>
        </w:tc>
        <w:tc>
          <w:tcPr>
            <w:tcW w:w="1540" w:type="dxa"/>
            <w:vAlign w:val="bottom"/>
          </w:tcPr>
          <w:p>
            <w:pPr>
              <w:jc w:val="center"/>
              <w:spacing w:after="0"/>
              <w:rPr>
                <w:sz w:val="20"/>
                <w:szCs w:val="20"/>
                <w:color w:val="auto"/>
              </w:rPr>
            </w:pPr>
            <w:r>
              <w:rPr>
                <w:rFonts w:ascii="Arial" w:cs="Arial" w:eastAsia="Arial" w:hAnsi="Arial"/>
                <w:sz w:val="18"/>
                <w:szCs w:val="18"/>
                <w:color w:val="auto"/>
                <w:w w:val="91"/>
              </w:rPr>
              <w:t>5.85</w:t>
            </w:r>
          </w:p>
        </w:tc>
        <w:tc>
          <w:tcPr>
            <w:tcW w:w="1660" w:type="dxa"/>
            <w:vAlign w:val="bottom"/>
            <w:gridSpan w:val="2"/>
          </w:tcPr>
          <w:p>
            <w:pPr>
              <w:jc w:val="center"/>
              <w:ind w:left="17"/>
              <w:spacing w:after="0"/>
              <w:rPr>
                <w:sz w:val="20"/>
                <w:szCs w:val="20"/>
                <w:color w:val="auto"/>
              </w:rPr>
            </w:pPr>
            <w:r>
              <w:rPr>
                <w:rFonts w:ascii="Arial" w:cs="Arial" w:eastAsia="Arial" w:hAnsi="Arial"/>
                <w:sz w:val="18"/>
                <w:szCs w:val="18"/>
                <w:color w:val="auto"/>
                <w:w w:val="91"/>
              </w:rPr>
              <w:t>6.25</w:t>
            </w:r>
          </w:p>
        </w:tc>
        <w:tc>
          <w:tcPr>
            <w:tcW w:w="120" w:type="dxa"/>
            <w:vAlign w:val="bottom"/>
          </w:tcPr>
          <w:p>
            <w:pPr>
              <w:spacing w:after="0"/>
              <w:rPr>
                <w:sz w:val="18"/>
                <w:szCs w:val="18"/>
                <w:color w:val="auto"/>
              </w:rPr>
            </w:pPr>
          </w:p>
        </w:tc>
        <w:tc>
          <w:tcPr>
            <w:tcW w:w="1520" w:type="dxa"/>
            <w:vAlign w:val="bottom"/>
          </w:tcPr>
          <w:p>
            <w:pPr>
              <w:jc w:val="center"/>
              <w:spacing w:after="0"/>
              <w:rPr>
                <w:sz w:val="20"/>
                <w:szCs w:val="20"/>
                <w:color w:val="auto"/>
              </w:rPr>
            </w:pPr>
            <w:r>
              <w:rPr>
                <w:rFonts w:ascii="Arial" w:cs="Arial" w:eastAsia="Arial" w:hAnsi="Arial"/>
                <w:sz w:val="18"/>
                <w:szCs w:val="18"/>
                <w:color w:val="auto"/>
                <w:w w:val="88"/>
              </w:rPr>
              <w:t>6 - 6.25</w:t>
            </w:r>
          </w:p>
        </w:tc>
      </w:tr>
      <w:tr>
        <w:trPr>
          <w:trHeight w:val="216"/>
        </w:trPr>
        <w:tc>
          <w:tcPr>
            <w:tcW w:w="6560" w:type="dxa"/>
            <w:vAlign w:val="bottom"/>
            <w:shd w:val="clear" w:color="auto" w:fill="CFF0FC"/>
          </w:tcPr>
          <w:p>
            <w:pPr>
              <w:spacing w:after="0"/>
              <w:rPr>
                <w:sz w:val="20"/>
                <w:szCs w:val="20"/>
                <w:color w:val="auto"/>
              </w:rPr>
            </w:pPr>
            <w:r>
              <w:rPr>
                <w:rFonts w:ascii="Arial" w:cs="Arial" w:eastAsia="Arial" w:hAnsi="Arial"/>
                <w:sz w:val="18"/>
                <w:szCs w:val="18"/>
                <w:color w:val="auto"/>
              </w:rPr>
              <w:t>Weighted average grant date fair value per share of options granted</w:t>
            </w:r>
          </w:p>
        </w:tc>
        <w:tc>
          <w:tcPr>
            <w:tcW w:w="154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88"/>
              </w:rPr>
              <w:t>$1.33</w:t>
            </w:r>
          </w:p>
        </w:tc>
        <w:tc>
          <w:tcPr>
            <w:tcW w:w="1660" w:type="dxa"/>
            <w:vAlign w:val="bottom"/>
            <w:gridSpan w:val="2"/>
            <w:shd w:val="clear" w:color="auto" w:fill="CFF0FC"/>
          </w:tcPr>
          <w:p>
            <w:pPr>
              <w:jc w:val="center"/>
              <w:ind w:left="17"/>
              <w:spacing w:after="0"/>
              <w:rPr>
                <w:sz w:val="20"/>
                <w:szCs w:val="20"/>
                <w:color w:val="auto"/>
              </w:rPr>
            </w:pPr>
            <w:r>
              <w:rPr>
                <w:rFonts w:ascii="Arial" w:cs="Arial" w:eastAsia="Arial" w:hAnsi="Arial"/>
                <w:sz w:val="18"/>
                <w:szCs w:val="18"/>
                <w:color w:val="auto"/>
                <w:w w:val="88"/>
              </w:rPr>
              <w:t>$4.58</w:t>
            </w:r>
          </w:p>
        </w:tc>
        <w:tc>
          <w:tcPr>
            <w:tcW w:w="120" w:type="dxa"/>
            <w:vAlign w:val="bottom"/>
            <w:shd w:val="clear" w:color="auto" w:fill="CFF0FC"/>
          </w:tcPr>
          <w:p>
            <w:pPr>
              <w:spacing w:after="0"/>
              <w:rPr>
                <w:sz w:val="18"/>
                <w:szCs w:val="18"/>
                <w:color w:val="auto"/>
              </w:rPr>
            </w:pPr>
          </w:p>
        </w:tc>
        <w:tc>
          <w:tcPr>
            <w:tcW w:w="152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93"/>
              </w:rPr>
              <w:t>$4.24</w:t>
            </w:r>
          </w:p>
        </w:tc>
      </w:tr>
    </w:tbl>
    <w:p>
      <w:pPr>
        <w:spacing w:after="0" w:line="202"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dividend yield is zero as the Company currently does not pay a dividend.</w:t>
      </w:r>
    </w:p>
    <w:p>
      <w:pPr>
        <w:spacing w:after="0" w:line="225"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risk-free interest rate is based on that of the U.S. Treasury bond.</w:t>
      </w:r>
    </w:p>
    <w:p>
      <w:pPr>
        <w:spacing w:after="0" w:line="225" w:lineRule="exact"/>
        <w:rPr>
          <w:sz w:val="20"/>
          <w:szCs w:val="20"/>
          <w:color w:val="auto"/>
        </w:rPr>
      </w:pPr>
    </w:p>
    <w:p>
      <w:pPr>
        <w:ind w:left="520"/>
        <w:spacing w:after="0"/>
        <w:rPr>
          <w:sz w:val="20"/>
          <w:szCs w:val="20"/>
          <w:color w:val="auto"/>
        </w:rPr>
      </w:pPr>
      <w:r>
        <w:rPr>
          <w:rFonts w:ascii="Arial" w:cs="Arial" w:eastAsia="Arial" w:hAnsi="Arial"/>
          <w:sz w:val="18"/>
          <w:szCs w:val="18"/>
          <w:color w:val="auto"/>
        </w:rPr>
        <w:t>Volatility is estimated based on volatility average of the Company’s Common Stock price.</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Restricted Stock Units</w:t>
      </w:r>
    </w:p>
    <w:p>
      <w:pPr>
        <w:spacing w:after="0" w:line="117" w:lineRule="exact"/>
        <w:rPr>
          <w:sz w:val="20"/>
          <w:szCs w:val="20"/>
          <w:color w:val="auto"/>
        </w:rPr>
      </w:pPr>
    </w:p>
    <w:p>
      <w:pPr>
        <w:ind w:right="140" w:firstLine="518"/>
        <w:spacing w:after="0" w:line="255" w:lineRule="auto"/>
        <w:rPr>
          <w:sz w:val="20"/>
          <w:szCs w:val="20"/>
          <w:color w:val="auto"/>
        </w:rPr>
      </w:pPr>
      <w:r>
        <w:rPr>
          <w:rFonts w:ascii="Arial" w:cs="Arial" w:eastAsia="Arial" w:hAnsi="Arial"/>
          <w:sz w:val="18"/>
          <w:szCs w:val="18"/>
          <w:color w:val="auto"/>
        </w:rPr>
        <w:t>Restricted stock units (RSUs), including time-based and performance-based awards, were granted under the Company’s 2013 Incentive Plan and as inducement grants granted outside of the Plan. During the year ended September 30, 2017, the Company awarded 2,623,000 restricted stock units to certain members of management. Of the restricted stock units granted during the year ended September 30, 2017, 0 were granted outside of the Plan as an inducement grant to a new employee. At vesting, each RSU will be exchanged for one share of the Company’s Common Stock. Restricted stock unit awards generally vest subject to the satisfaction of service requirements or the satisfaction of both service requirements and achievement of certain performance targets.</w:t>
      </w:r>
    </w:p>
    <w:p>
      <w:pPr>
        <w:spacing w:after="0" w:line="193"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following table summarizes the activity of the Company’s Restricted Stock Units:</w:t>
      </w:r>
    </w:p>
    <w:p>
      <w:pPr>
        <w:spacing w:after="0" w:line="231"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582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6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4"/>
              </w:rPr>
              <w:t>Weighted-</w:t>
            </w:r>
          </w:p>
        </w:tc>
        <w:tc>
          <w:tcPr>
            <w:tcW w:w="0" w:type="dxa"/>
            <w:vAlign w:val="bottom"/>
          </w:tcPr>
          <w:p>
            <w:pPr>
              <w:spacing w:after="0"/>
              <w:rPr>
                <w:sz w:val="1"/>
                <w:szCs w:val="1"/>
                <w:color w:val="auto"/>
              </w:rPr>
            </w:pPr>
          </w:p>
        </w:tc>
      </w:tr>
      <w:tr>
        <w:trPr>
          <w:trHeight w:val="149"/>
        </w:trPr>
        <w:tc>
          <w:tcPr>
            <w:tcW w:w="582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6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4"/>
              </w:rPr>
              <w:t>Average</w:t>
            </w:r>
          </w:p>
        </w:tc>
        <w:tc>
          <w:tcPr>
            <w:tcW w:w="0" w:type="dxa"/>
            <w:vAlign w:val="bottom"/>
          </w:tcPr>
          <w:p>
            <w:pPr>
              <w:spacing w:after="0"/>
              <w:rPr>
                <w:sz w:val="1"/>
                <w:szCs w:val="1"/>
                <w:color w:val="auto"/>
              </w:rPr>
            </w:pPr>
          </w:p>
        </w:tc>
      </w:tr>
      <w:tr>
        <w:trPr>
          <w:trHeight w:val="149"/>
        </w:trPr>
        <w:tc>
          <w:tcPr>
            <w:tcW w:w="5820" w:type="dxa"/>
            <w:vAlign w:val="bottom"/>
          </w:tcPr>
          <w:p>
            <w:pPr>
              <w:spacing w:after="0"/>
              <w:rPr>
                <w:sz w:val="12"/>
                <w:szCs w:val="12"/>
                <w:color w:val="auto"/>
              </w:rPr>
            </w:pPr>
          </w:p>
        </w:tc>
        <w:tc>
          <w:tcPr>
            <w:tcW w:w="1420" w:type="dxa"/>
            <w:vAlign w:val="bottom"/>
            <w:gridSpan w:val="2"/>
            <w:vMerge w:val="restart"/>
          </w:tcPr>
          <w:p>
            <w:pPr>
              <w:jc w:val="right"/>
              <w:ind w:right="460"/>
              <w:spacing w:after="0"/>
              <w:rPr>
                <w:sz w:val="20"/>
                <w:szCs w:val="20"/>
                <w:color w:val="auto"/>
              </w:rPr>
            </w:pPr>
            <w:r>
              <w:rPr>
                <w:rFonts w:ascii="Arial" w:cs="Arial" w:eastAsia="Arial" w:hAnsi="Arial"/>
                <w:sz w:val="14"/>
                <w:szCs w:val="14"/>
                <w:b w:val="1"/>
                <w:bCs w:val="1"/>
                <w:color w:val="auto"/>
              </w:rPr>
              <w:t>Number of</w:t>
            </w: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6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6"/>
              </w:rPr>
              <w:t>Grant</w:t>
            </w:r>
          </w:p>
        </w:tc>
        <w:tc>
          <w:tcPr>
            <w:tcW w:w="0" w:type="dxa"/>
            <w:vAlign w:val="bottom"/>
          </w:tcPr>
          <w:p>
            <w:pPr>
              <w:spacing w:after="0"/>
              <w:rPr>
                <w:sz w:val="1"/>
                <w:szCs w:val="1"/>
                <w:color w:val="auto"/>
              </w:rPr>
            </w:pPr>
          </w:p>
        </w:tc>
      </w:tr>
      <w:tr>
        <w:trPr>
          <w:trHeight w:val="149"/>
        </w:trPr>
        <w:tc>
          <w:tcPr>
            <w:tcW w:w="5820" w:type="dxa"/>
            <w:vAlign w:val="bottom"/>
          </w:tcPr>
          <w:p>
            <w:pPr>
              <w:spacing w:after="0"/>
              <w:rPr>
                <w:sz w:val="12"/>
                <w:szCs w:val="12"/>
                <w:color w:val="auto"/>
              </w:rPr>
            </w:pPr>
          </w:p>
        </w:tc>
        <w:tc>
          <w:tcPr>
            <w:tcW w:w="142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6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2"/>
              </w:rPr>
              <w:t>Date</w:t>
            </w:r>
          </w:p>
        </w:tc>
        <w:tc>
          <w:tcPr>
            <w:tcW w:w="0" w:type="dxa"/>
            <w:vAlign w:val="bottom"/>
          </w:tcPr>
          <w:p>
            <w:pPr>
              <w:spacing w:after="0"/>
              <w:rPr>
                <w:sz w:val="1"/>
                <w:szCs w:val="1"/>
                <w:color w:val="auto"/>
              </w:rPr>
            </w:pPr>
          </w:p>
        </w:tc>
      </w:tr>
      <w:tr>
        <w:trPr>
          <w:trHeight w:val="171"/>
        </w:trPr>
        <w:tc>
          <w:tcPr>
            <w:tcW w:w="5820" w:type="dxa"/>
            <w:vAlign w:val="bottom"/>
          </w:tcPr>
          <w:p>
            <w:pPr>
              <w:spacing w:after="0"/>
              <w:rPr>
                <w:sz w:val="14"/>
                <w:szCs w:val="14"/>
                <w:color w:val="auto"/>
              </w:rPr>
            </w:pPr>
          </w:p>
        </w:tc>
        <w:tc>
          <w:tcPr>
            <w:tcW w:w="1420" w:type="dxa"/>
            <w:vAlign w:val="bottom"/>
            <w:gridSpan w:val="2"/>
          </w:tcPr>
          <w:p>
            <w:pPr>
              <w:jc w:val="right"/>
              <w:ind w:right="620"/>
              <w:spacing w:after="0"/>
              <w:rPr>
                <w:sz w:val="20"/>
                <w:szCs w:val="20"/>
                <w:color w:val="auto"/>
              </w:rPr>
            </w:pPr>
            <w:r>
              <w:rPr>
                <w:rFonts w:ascii="Arial" w:cs="Arial" w:eastAsia="Arial" w:hAnsi="Arial"/>
                <w:sz w:val="14"/>
                <w:szCs w:val="14"/>
                <w:b w:val="1"/>
                <w:bCs w:val="1"/>
                <w:color w:val="auto"/>
              </w:rPr>
              <w:t>RSUs</w:t>
            </w: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6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5"/>
              </w:rPr>
              <w:t>Fair Value</w:t>
            </w:r>
          </w:p>
        </w:tc>
        <w:tc>
          <w:tcPr>
            <w:tcW w:w="0" w:type="dxa"/>
            <w:vAlign w:val="bottom"/>
          </w:tcPr>
          <w:p>
            <w:pPr>
              <w:spacing w:after="0"/>
              <w:rPr>
                <w:sz w:val="1"/>
                <w:szCs w:val="1"/>
                <w:color w:val="auto"/>
              </w:rPr>
            </w:pPr>
          </w:p>
        </w:tc>
      </w:tr>
      <w:tr>
        <w:trPr>
          <w:trHeight w:val="210"/>
        </w:trPr>
        <w:tc>
          <w:tcPr>
            <w:tcW w:w="582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Unvested at September 30, 2016</w:t>
            </w:r>
          </w:p>
        </w:tc>
        <w:tc>
          <w:tcPr>
            <w:tcW w:w="12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1,356,667</w:t>
            </w:r>
          </w:p>
        </w:tc>
        <w:tc>
          <w:tcPr>
            <w:tcW w:w="140" w:type="dxa"/>
            <w:vAlign w:val="bottom"/>
            <w:tcBorders>
              <w:top w:val="single" w:sz="8" w:color="CFF0FC"/>
            </w:tcBorders>
            <w:shd w:val="clear" w:color="auto" w:fill="CFF0FC"/>
          </w:tcPr>
          <w:p>
            <w:pPr>
              <w:spacing w:after="0"/>
              <w:rPr>
                <w:sz w:val="18"/>
                <w:szCs w:val="18"/>
                <w:color w:val="auto"/>
              </w:rPr>
            </w:pPr>
          </w:p>
        </w:tc>
        <w:tc>
          <w:tcPr>
            <w:tcW w:w="80" w:type="dxa"/>
            <w:vAlign w:val="bottom"/>
            <w:tcBorders>
              <w:top w:val="single" w:sz="8" w:color="CFF0FC"/>
            </w:tcBorders>
            <w:shd w:val="clear" w:color="auto" w:fill="CFF0FC"/>
          </w:tcPr>
          <w:p>
            <w:pPr>
              <w:spacing w:after="0"/>
              <w:rPr>
                <w:sz w:val="18"/>
                <w:szCs w:val="18"/>
                <w:color w:val="auto"/>
              </w:rPr>
            </w:pPr>
          </w:p>
        </w:tc>
        <w:tc>
          <w:tcPr>
            <w:tcW w:w="200" w:type="dxa"/>
            <w:vAlign w:val="bottom"/>
            <w:tcBorders>
              <w:top w:val="single" w:sz="8" w:color="auto"/>
            </w:tcBorders>
            <w:shd w:val="clear" w:color="auto" w:fill="CFF0FC"/>
          </w:tcPr>
          <w:p>
            <w:pPr>
              <w:jc w:val="right"/>
              <w:ind w:right="45"/>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6.72</w:t>
            </w:r>
          </w:p>
        </w:tc>
        <w:tc>
          <w:tcPr>
            <w:tcW w:w="120" w:type="dxa"/>
            <w:vAlign w:val="bottom"/>
            <w:tcBorders>
              <w:top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20" w:type="dxa"/>
            <w:vAlign w:val="bottom"/>
          </w:tcPr>
          <w:p>
            <w:pPr>
              <w:spacing w:after="0"/>
              <w:rPr>
                <w:sz w:val="20"/>
                <w:szCs w:val="20"/>
                <w:color w:val="auto"/>
              </w:rPr>
            </w:pPr>
            <w:r>
              <w:rPr>
                <w:rFonts w:ascii="Arial" w:cs="Arial" w:eastAsia="Arial" w:hAnsi="Arial"/>
                <w:sz w:val="18"/>
                <w:szCs w:val="18"/>
                <w:color w:val="auto"/>
              </w:rPr>
              <w:t>Granted</w:t>
            </w:r>
          </w:p>
        </w:tc>
        <w:tc>
          <w:tcPr>
            <w:tcW w:w="1280" w:type="dxa"/>
            <w:vAlign w:val="bottom"/>
          </w:tcPr>
          <w:p>
            <w:pPr>
              <w:jc w:val="right"/>
              <w:spacing w:after="0"/>
              <w:rPr>
                <w:sz w:val="20"/>
                <w:szCs w:val="20"/>
                <w:color w:val="auto"/>
              </w:rPr>
            </w:pPr>
            <w:r>
              <w:rPr>
                <w:rFonts w:ascii="Arial" w:cs="Arial" w:eastAsia="Arial" w:hAnsi="Arial"/>
                <w:sz w:val="18"/>
                <w:szCs w:val="18"/>
                <w:color w:val="auto"/>
              </w:rPr>
              <w:t>2,623,000</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1.59</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20" w:type="dxa"/>
            <w:vAlign w:val="bottom"/>
            <w:shd w:val="clear" w:color="auto" w:fill="CFF0FC"/>
          </w:tcPr>
          <w:p>
            <w:pPr>
              <w:spacing w:after="0"/>
              <w:rPr>
                <w:sz w:val="20"/>
                <w:szCs w:val="20"/>
                <w:color w:val="auto"/>
              </w:rPr>
            </w:pPr>
            <w:r>
              <w:rPr>
                <w:rFonts w:ascii="Arial" w:cs="Arial" w:eastAsia="Arial" w:hAnsi="Arial"/>
                <w:sz w:val="18"/>
                <w:szCs w:val="18"/>
                <w:color w:val="auto"/>
              </w:rPr>
              <w:t>Vested</w:t>
            </w:r>
          </w:p>
        </w:tc>
        <w:tc>
          <w:tcPr>
            <w:tcW w:w="142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(786,667)</w:t>
            </w:r>
          </w:p>
        </w:tc>
        <w:tc>
          <w:tcPr>
            <w:tcW w:w="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7.03</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20" w:type="dxa"/>
            <w:vAlign w:val="bottom"/>
          </w:tcPr>
          <w:p>
            <w:pPr>
              <w:spacing w:after="0"/>
              <w:rPr>
                <w:sz w:val="20"/>
                <w:szCs w:val="20"/>
                <w:color w:val="auto"/>
              </w:rPr>
            </w:pPr>
            <w:r>
              <w:rPr>
                <w:rFonts w:ascii="Arial" w:cs="Arial" w:eastAsia="Arial" w:hAnsi="Arial"/>
                <w:sz w:val="18"/>
                <w:szCs w:val="18"/>
                <w:color w:val="auto"/>
              </w:rPr>
              <w:t>Forfeited</w:t>
            </w:r>
          </w:p>
        </w:tc>
        <w:tc>
          <w:tcPr>
            <w:tcW w:w="1420" w:type="dxa"/>
            <w:vAlign w:val="bottom"/>
            <w:gridSpan w:val="2"/>
          </w:tcPr>
          <w:p>
            <w:pPr>
              <w:jc w:val="right"/>
              <w:ind w:right="100"/>
              <w:spacing w:after="0"/>
              <w:rPr>
                <w:sz w:val="20"/>
                <w:szCs w:val="20"/>
                <w:color w:val="auto"/>
              </w:rPr>
            </w:pPr>
            <w:r>
              <w:rPr>
                <w:rFonts w:ascii="Arial" w:cs="Arial" w:eastAsia="Arial" w:hAnsi="Arial"/>
                <w:sz w:val="18"/>
                <w:szCs w:val="18"/>
                <w:color w:val="auto"/>
              </w:rPr>
              <w:t>(85,000)</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1.55</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82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Unvested at September 30, 2017</w:t>
            </w:r>
          </w:p>
        </w:tc>
        <w:tc>
          <w:tcPr>
            <w:tcW w:w="12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3,108,000</w:t>
            </w:r>
          </w:p>
        </w:tc>
        <w:tc>
          <w:tcPr>
            <w:tcW w:w="140" w:type="dxa"/>
            <w:vAlign w:val="bottom"/>
            <w:tcBorders>
              <w:top w:val="single" w:sz="8" w:color="CFF0FC"/>
              <w:bottom w:val="single" w:sz="8" w:color="CFF0FC"/>
            </w:tcBorders>
            <w:shd w:val="clear" w:color="auto" w:fill="CFF0FC"/>
          </w:tcPr>
          <w:p>
            <w:pPr>
              <w:spacing w:after="0"/>
              <w:rPr>
                <w:sz w:val="18"/>
                <w:szCs w:val="18"/>
                <w:color w:val="auto"/>
              </w:rPr>
            </w:pPr>
          </w:p>
        </w:tc>
        <w:tc>
          <w:tcPr>
            <w:tcW w:w="80" w:type="dxa"/>
            <w:vAlign w:val="bottom"/>
            <w:tcBorders>
              <w:top w:val="single" w:sz="8" w:color="CFF0FC"/>
              <w:bottom w:val="single" w:sz="8" w:color="CFF0FC"/>
            </w:tcBorders>
            <w:shd w:val="clear" w:color="auto" w:fill="CFF0FC"/>
          </w:tcPr>
          <w:p>
            <w:pPr>
              <w:spacing w:after="0"/>
              <w:rPr>
                <w:sz w:val="18"/>
                <w:szCs w:val="18"/>
                <w:color w:val="auto"/>
              </w:rPr>
            </w:pPr>
          </w:p>
        </w:tc>
        <w:tc>
          <w:tcPr>
            <w:tcW w:w="200" w:type="dxa"/>
            <w:vAlign w:val="bottom"/>
            <w:tcBorders>
              <w:top w:val="single" w:sz="8" w:color="auto"/>
              <w:bottom w:val="single" w:sz="8" w:color="auto"/>
            </w:tcBorders>
            <w:shd w:val="clear" w:color="auto" w:fill="CFF0FC"/>
          </w:tcPr>
          <w:p>
            <w:pPr>
              <w:jc w:val="right"/>
              <w:ind w:right="45"/>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2.45</w:t>
            </w:r>
          </w:p>
        </w:tc>
        <w:tc>
          <w:tcPr>
            <w:tcW w:w="120" w:type="dxa"/>
            <w:vAlign w:val="bottom"/>
            <w:tcBorders>
              <w:top w:val="single" w:sz="8" w:color="CFF0FC"/>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820" w:type="dxa"/>
            <w:vAlign w:val="bottom"/>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220" w:firstLine="518"/>
        <w:spacing w:after="0" w:line="264" w:lineRule="auto"/>
        <w:rPr>
          <w:sz w:val="20"/>
          <w:szCs w:val="20"/>
          <w:color w:val="auto"/>
        </w:rPr>
      </w:pPr>
      <w:r>
        <w:rPr>
          <w:rFonts w:ascii="Arial" w:cs="Arial" w:eastAsia="Arial" w:hAnsi="Arial"/>
          <w:sz w:val="18"/>
          <w:szCs w:val="18"/>
          <w:color w:val="auto"/>
        </w:rPr>
        <w:t>During the years ended September 30, 2017, 2016 and 2015, the Company recorded $3,366,762, $5,234,420 and $4,489,931 of expense related to restricted stock units, respectively. Such expense is included in stock-based compensation expense in the Company’s Consolidated Statement of Operations and Comprehensive Loss.</w:t>
      </w:r>
    </w:p>
    <w:p>
      <w:pPr>
        <w:spacing w:after="0" w:line="181" w:lineRule="exact"/>
        <w:rPr>
          <w:sz w:val="20"/>
          <w:szCs w:val="20"/>
          <w:color w:val="auto"/>
        </w:rPr>
      </w:pPr>
    </w:p>
    <w:p>
      <w:pPr>
        <w:jc w:val="both"/>
        <w:ind w:right="20" w:firstLine="518"/>
        <w:spacing w:after="0" w:line="264" w:lineRule="auto"/>
        <w:rPr>
          <w:sz w:val="20"/>
          <w:szCs w:val="20"/>
          <w:color w:val="auto"/>
        </w:rPr>
      </w:pPr>
      <w:r>
        <w:rPr>
          <w:rFonts w:ascii="Arial" w:cs="Arial" w:eastAsia="Arial" w:hAnsi="Arial"/>
          <w:sz w:val="18"/>
          <w:szCs w:val="18"/>
          <w:color w:val="auto"/>
        </w:rPr>
        <w:t>For restricted stock units, the grant date fair value of the award is based on the Company’s closing stock price at the grant date. Expense is recognized over the vesting period for all awards, and commences at the grant date for time-based awards and upon the Company’s determination that the achievement of such performance conditions is probable for performance-based awards.</w:t>
      </w:r>
    </w:p>
    <w:p>
      <w:pPr>
        <w:spacing w:after="0" w:line="181" w:lineRule="exact"/>
        <w:rPr>
          <w:sz w:val="20"/>
          <w:szCs w:val="20"/>
          <w:color w:val="auto"/>
        </w:rPr>
      </w:pPr>
    </w:p>
    <w:p>
      <w:pPr>
        <w:ind w:right="60" w:firstLine="518"/>
        <w:spacing w:after="0" w:line="277" w:lineRule="auto"/>
        <w:rPr>
          <w:sz w:val="20"/>
          <w:szCs w:val="20"/>
          <w:color w:val="auto"/>
        </w:rPr>
      </w:pPr>
      <w:r>
        <w:rPr>
          <w:rFonts w:ascii="Arial" w:cs="Arial" w:eastAsia="Arial" w:hAnsi="Arial"/>
          <w:sz w:val="18"/>
          <w:szCs w:val="18"/>
          <w:color w:val="auto"/>
        </w:rPr>
        <w:t>As of September 30, 2017, the pre-tax compensation expense for all unvested restricted stock units in the amount of approximately $2,448,449 will be recognized in the Company’s results of operations over a weighted average period of 1.1 years.</w:t>
      </w:r>
    </w:p>
    <w:p>
      <w:pPr>
        <w:spacing w:after="0" w:line="200" w:lineRule="exact"/>
        <w:rPr>
          <w:sz w:val="20"/>
          <w:szCs w:val="20"/>
          <w:color w:val="auto"/>
        </w:rPr>
      </w:pPr>
    </w:p>
    <w:p>
      <w:pPr>
        <w:spacing w:after="0" w:line="3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3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78" w:name="page79"/>
    <w:bookmarkEnd w:id="78"/>
    <w:p>
      <w:pPr>
        <w:spacing w:after="0"/>
        <w:rPr>
          <w:sz w:val="20"/>
          <w:szCs w:val="20"/>
          <w:color w:val="auto"/>
        </w:rPr>
      </w:pPr>
      <w:r>
        <w:rPr>
          <w:rFonts w:ascii="Arial" w:cs="Arial" w:eastAsia="Arial" w:hAnsi="Arial"/>
          <w:sz w:val="18"/>
          <w:szCs w:val="18"/>
          <w:b w:val="1"/>
          <w:bCs w:val="1"/>
          <w:color w:val="auto"/>
        </w:rPr>
        <w:t xml:space="preserve">NOTE 9. </w:t>
      </w:r>
      <w:r>
        <w:rPr>
          <w:rFonts w:ascii="Arial" w:cs="Arial" w:eastAsia="Arial" w:hAnsi="Arial"/>
          <w:sz w:val="18"/>
          <w:szCs w:val="18"/>
          <w:b w:val="1"/>
          <w:bCs w:val="1"/>
          <w:i w:val="1"/>
          <w:iCs w:val="1"/>
          <w:color w:val="auto"/>
        </w:rPr>
        <w:t>FAIR VALUE MEASUREMENTS</w:t>
      </w:r>
    </w:p>
    <w:p>
      <w:pPr>
        <w:spacing w:after="0" w:line="121" w:lineRule="exact"/>
        <w:rPr>
          <w:sz w:val="20"/>
          <w:szCs w:val="20"/>
          <w:color w:val="auto"/>
        </w:rPr>
      </w:pPr>
    </w:p>
    <w:p>
      <w:pPr>
        <w:jc w:val="both"/>
        <w:ind w:firstLine="518"/>
        <w:spacing w:after="0" w:line="255" w:lineRule="auto"/>
        <w:rPr>
          <w:sz w:val="20"/>
          <w:szCs w:val="20"/>
          <w:color w:val="auto"/>
        </w:rPr>
      </w:pPr>
      <w:r>
        <w:rPr>
          <w:rFonts w:ascii="Arial" w:cs="Arial" w:eastAsia="Arial" w:hAnsi="Arial"/>
          <w:sz w:val="18"/>
          <w:szCs w:val="18"/>
          <w:color w:val="auto"/>
        </w:rPr>
        <w:t>The Company measures its financial assets and liabilities at fair value. Fair value is defined as the price that would be received to sell an asset or paid to transfer a liability (i.e., exit price) in an orderly transaction between market participants at the measurement date. Additionally, the Company is required to provide disclosure and categorize assets and liabilities measured at fair value into one of three different levels depending on the assumptions (i.e., inputs) used in the valuation. Level 1 provides the most reliable measure of fair value while Level 3 generally requires significant management judgment. Financial assets and liabilities are classified in their entirety based on the lowest level of input significant to the fair value measurement. The fair value hierarchy is defined as follows:</w:t>
      </w:r>
    </w:p>
    <w:p>
      <w:pPr>
        <w:spacing w:after="0" w:line="85" w:lineRule="exact"/>
        <w:rPr>
          <w:sz w:val="20"/>
          <w:szCs w:val="20"/>
          <w:color w:val="auto"/>
        </w:rPr>
      </w:pPr>
    </w:p>
    <w:p>
      <w:pPr>
        <w:ind w:left="520"/>
        <w:spacing w:after="0"/>
        <w:rPr>
          <w:sz w:val="20"/>
          <w:szCs w:val="20"/>
          <w:color w:val="auto"/>
        </w:rPr>
      </w:pPr>
      <w:r>
        <w:rPr>
          <w:rFonts w:ascii="Arial" w:cs="Arial" w:eastAsia="Arial" w:hAnsi="Arial"/>
          <w:sz w:val="18"/>
          <w:szCs w:val="18"/>
          <w:color w:val="auto"/>
        </w:rPr>
        <w:t>Level 1—Valuations are based on unadjusted quoted prices in active markets for identical assets or liabilities.</w:t>
      </w:r>
    </w:p>
    <w:p>
      <w:pPr>
        <w:spacing w:after="0" w:line="117" w:lineRule="exact"/>
        <w:rPr>
          <w:sz w:val="20"/>
          <w:szCs w:val="20"/>
          <w:color w:val="auto"/>
        </w:rPr>
      </w:pPr>
    </w:p>
    <w:p>
      <w:pPr>
        <w:ind w:right="380" w:firstLine="518"/>
        <w:spacing w:after="0" w:line="277" w:lineRule="auto"/>
        <w:rPr>
          <w:sz w:val="20"/>
          <w:szCs w:val="20"/>
          <w:color w:val="auto"/>
        </w:rPr>
      </w:pPr>
      <w:r>
        <w:rPr>
          <w:rFonts w:ascii="Arial" w:cs="Arial" w:eastAsia="Arial" w:hAnsi="Arial"/>
          <w:sz w:val="18"/>
          <w:szCs w:val="18"/>
          <w:color w:val="auto"/>
        </w:rPr>
        <w:t>Level 2—Valuations are based on quoted prices for similar assets or liabilities in active markets, or quoted prices in markets that are not active for which significant inputs are observable, either directly or indirectly.</w:t>
      </w:r>
    </w:p>
    <w:p>
      <w:pPr>
        <w:spacing w:after="0" w:line="62" w:lineRule="exact"/>
        <w:rPr>
          <w:sz w:val="20"/>
          <w:szCs w:val="20"/>
          <w:color w:val="auto"/>
        </w:rPr>
      </w:pPr>
    </w:p>
    <w:p>
      <w:pPr>
        <w:ind w:right="120" w:firstLine="518"/>
        <w:spacing w:after="0" w:line="342" w:lineRule="auto"/>
        <w:rPr>
          <w:sz w:val="20"/>
          <w:szCs w:val="20"/>
          <w:color w:val="auto"/>
        </w:rPr>
      </w:pPr>
      <w:r>
        <w:rPr>
          <w:rFonts w:ascii="Arial" w:cs="Arial" w:eastAsia="Arial" w:hAnsi="Arial"/>
          <w:sz w:val="16"/>
          <w:szCs w:val="16"/>
          <w:color w:val="auto"/>
        </w:rPr>
        <w:t>Level 3—Valuations are based on prices or valuation techniques that require inputs that are both unobservable and significant to the overall fair value measurement. Inputs reflect management’s best estimate of what market participants would use in valuing the asset or liability at the measurement date.</w:t>
      </w:r>
    </w:p>
    <w:p>
      <w:pPr>
        <w:spacing w:after="0" w:line="124" w:lineRule="exact"/>
        <w:rPr>
          <w:sz w:val="20"/>
          <w:szCs w:val="20"/>
          <w:color w:val="auto"/>
        </w:rPr>
      </w:pPr>
    </w:p>
    <w:p>
      <w:pPr>
        <w:ind w:right="360" w:firstLine="518"/>
        <w:spacing w:after="0" w:line="277" w:lineRule="auto"/>
        <w:rPr>
          <w:sz w:val="20"/>
          <w:szCs w:val="20"/>
          <w:color w:val="auto"/>
        </w:rPr>
      </w:pPr>
      <w:r>
        <w:rPr>
          <w:rFonts w:ascii="Arial" w:cs="Arial" w:eastAsia="Arial" w:hAnsi="Arial"/>
          <w:sz w:val="18"/>
          <w:szCs w:val="18"/>
          <w:color w:val="auto"/>
        </w:rPr>
        <w:t>The following table summarizes fair value measurements at September 30, 2017 and September 30, 2016 for assets and liabilities measured at fair value on a recurring basis: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September 30, 2017:</w:t>
      </w:r>
    </w:p>
    <w:p>
      <w:pPr>
        <w:spacing w:after="0" w:line="311"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60" w:type="dxa"/>
            <w:vAlign w:val="bottom"/>
          </w:tcPr>
          <w:p>
            <w:pPr>
              <w:spacing w:after="0"/>
              <w:rPr>
                <w:sz w:val="14"/>
                <w:szCs w:val="14"/>
                <w:color w:val="auto"/>
              </w:rPr>
            </w:pPr>
          </w:p>
        </w:tc>
        <w:tc>
          <w:tcPr>
            <w:tcW w:w="47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80" w:type="dxa"/>
            <w:vAlign w:val="bottom"/>
            <w:gridSpan w:val="3"/>
          </w:tcPr>
          <w:p>
            <w:pPr>
              <w:ind w:left="180"/>
              <w:spacing w:after="0"/>
              <w:rPr>
                <w:sz w:val="20"/>
                <w:szCs w:val="20"/>
                <w:color w:val="auto"/>
              </w:rPr>
            </w:pPr>
            <w:r>
              <w:rPr>
                <w:rFonts w:ascii="Arial" w:cs="Arial" w:eastAsia="Arial" w:hAnsi="Arial"/>
                <w:sz w:val="14"/>
                <w:szCs w:val="14"/>
                <w:b w:val="1"/>
                <w:bCs w:val="1"/>
                <w:color w:val="auto"/>
              </w:rPr>
              <w:t>Level 1</w:t>
            </w: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20" w:type="dxa"/>
            <w:vAlign w:val="bottom"/>
            <w:gridSpan w:val="3"/>
          </w:tcPr>
          <w:p>
            <w:pPr>
              <w:ind w:left="160"/>
              <w:spacing w:after="0"/>
              <w:rPr>
                <w:sz w:val="20"/>
                <w:szCs w:val="20"/>
                <w:color w:val="auto"/>
              </w:rPr>
            </w:pPr>
            <w:r>
              <w:rPr>
                <w:rFonts w:ascii="Arial" w:cs="Arial" w:eastAsia="Arial" w:hAnsi="Arial"/>
                <w:sz w:val="14"/>
                <w:szCs w:val="14"/>
                <w:b w:val="1"/>
                <w:bCs w:val="1"/>
                <w:color w:val="auto"/>
              </w:rPr>
              <w:t>Level 2</w:t>
            </w: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00" w:type="dxa"/>
            <w:vAlign w:val="bottom"/>
            <w:gridSpan w:val="3"/>
          </w:tcPr>
          <w:p>
            <w:pPr>
              <w:jc w:val="right"/>
              <w:ind w:right="600"/>
              <w:spacing w:after="0"/>
              <w:rPr>
                <w:sz w:val="20"/>
                <w:szCs w:val="20"/>
                <w:color w:val="auto"/>
              </w:rPr>
            </w:pPr>
            <w:r>
              <w:rPr>
                <w:rFonts w:ascii="Arial" w:cs="Arial" w:eastAsia="Arial" w:hAnsi="Arial"/>
                <w:sz w:val="14"/>
                <w:szCs w:val="14"/>
                <w:b w:val="1"/>
                <w:bCs w:val="1"/>
                <w:color w:val="auto"/>
              </w:rPr>
              <w:t>Level 3</w:t>
            </w:r>
          </w:p>
        </w:tc>
        <w:tc>
          <w:tcPr>
            <w:tcW w:w="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40" w:type="dxa"/>
            <w:vAlign w:val="bottom"/>
            <w:gridSpan w:val="3"/>
          </w:tcPr>
          <w:p>
            <w:pPr>
              <w:jc w:val="right"/>
              <w:ind w:right="500"/>
              <w:spacing w:after="0"/>
              <w:rPr>
                <w:sz w:val="20"/>
                <w:szCs w:val="20"/>
                <w:color w:val="auto"/>
              </w:rPr>
            </w:pPr>
            <w:r>
              <w:rPr>
                <w:rFonts w:ascii="Arial" w:cs="Arial" w:eastAsia="Arial" w:hAnsi="Arial"/>
                <w:sz w:val="14"/>
                <w:szCs w:val="14"/>
                <w:b w:val="1"/>
                <w:bCs w:val="1"/>
                <w:color w:val="auto"/>
              </w:rPr>
              <w:t>Total</w:t>
            </w:r>
          </w:p>
        </w:tc>
      </w:tr>
      <w:tr>
        <w:trPr>
          <w:trHeight w:val="210"/>
        </w:trPr>
        <w:tc>
          <w:tcPr>
            <w:tcW w:w="460" w:type="dxa"/>
            <w:vAlign w:val="bottom"/>
          </w:tcPr>
          <w:p>
            <w:pPr>
              <w:spacing w:after="0"/>
              <w:rPr>
                <w:sz w:val="18"/>
                <w:szCs w:val="18"/>
                <w:color w:val="auto"/>
              </w:rPr>
            </w:pPr>
          </w:p>
        </w:tc>
        <w:tc>
          <w:tcPr>
            <w:tcW w:w="470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Cash and cash equivalents</w:t>
            </w:r>
          </w:p>
        </w:tc>
        <w:tc>
          <w:tcPr>
            <w:tcW w:w="260" w:type="dxa"/>
            <w:vAlign w:val="bottom"/>
            <w:tcBorders>
              <w:top w:val="single" w:sz="8" w:color="auto"/>
            </w:tcBorders>
            <w:shd w:val="clear" w:color="auto" w:fill="CFF0FC"/>
          </w:tcPr>
          <w:p>
            <w:pPr>
              <w:jc w:val="right"/>
              <w:ind w:right="105"/>
              <w:spacing w:after="0"/>
              <w:rPr>
                <w:sz w:val="20"/>
                <w:szCs w:val="20"/>
                <w:color w:val="auto"/>
              </w:rPr>
            </w:pPr>
            <w:r>
              <w:rPr>
                <w:rFonts w:ascii="Arial" w:cs="Arial" w:eastAsia="Arial" w:hAnsi="Arial"/>
                <w:sz w:val="15"/>
                <w:szCs w:val="15"/>
                <w:color w:val="auto"/>
                <w:w w:val="71"/>
              </w:rPr>
              <w:t>$</w:t>
            </w:r>
          </w:p>
        </w:tc>
        <w:tc>
          <w:tcPr>
            <w:tcW w:w="1080" w:type="dxa"/>
            <w:vAlign w:val="bottom"/>
            <w:tcBorders>
              <w:top w:val="single" w:sz="8" w:color="auto"/>
            </w:tcBorders>
            <w:gridSpan w:val="2"/>
            <w:shd w:val="clear" w:color="auto" w:fill="CFF0FC"/>
          </w:tcPr>
          <w:p>
            <w:pPr>
              <w:jc w:val="right"/>
              <w:spacing w:after="0"/>
              <w:rPr>
                <w:sz w:val="20"/>
                <w:szCs w:val="20"/>
                <w:color w:val="auto"/>
              </w:rPr>
            </w:pPr>
            <w:r>
              <w:rPr>
                <w:rFonts w:ascii="Arial" w:cs="Arial" w:eastAsia="Arial" w:hAnsi="Arial"/>
                <w:sz w:val="18"/>
                <w:szCs w:val="18"/>
                <w:color w:val="auto"/>
              </w:rPr>
              <w:t>24,838,567</w:t>
            </w:r>
          </w:p>
        </w:tc>
        <w:tc>
          <w:tcPr>
            <w:tcW w:w="100" w:type="dxa"/>
            <w:vAlign w:val="bottom"/>
            <w:tcBorders>
              <w:top w:val="single" w:sz="8" w:color="CFF0FC"/>
            </w:tcBorders>
            <w:shd w:val="clear" w:color="auto" w:fill="CFF0FC"/>
          </w:tcPr>
          <w:p>
            <w:pPr>
              <w:spacing w:after="0"/>
              <w:rPr>
                <w:sz w:val="18"/>
                <w:szCs w:val="18"/>
                <w:color w:val="auto"/>
              </w:rPr>
            </w:pPr>
          </w:p>
        </w:tc>
        <w:tc>
          <w:tcPr>
            <w:tcW w:w="100" w:type="dxa"/>
            <w:vAlign w:val="bottom"/>
            <w:tcBorders>
              <w:top w:val="single" w:sz="8" w:color="CFF0FC"/>
            </w:tcBorders>
            <w:shd w:val="clear" w:color="auto" w:fill="CFF0FC"/>
          </w:tcPr>
          <w:p>
            <w:pPr>
              <w:spacing w:after="0"/>
              <w:rPr>
                <w:sz w:val="18"/>
                <w:szCs w:val="18"/>
                <w:color w:val="auto"/>
              </w:rPr>
            </w:pPr>
          </w:p>
        </w:tc>
        <w:tc>
          <w:tcPr>
            <w:tcW w:w="40" w:type="dxa"/>
            <w:vAlign w:val="bottom"/>
            <w:tcBorders>
              <w:top w:val="single" w:sz="8" w:color="CFF0FC"/>
            </w:tcBorders>
            <w:shd w:val="clear" w:color="auto" w:fill="CFF0FC"/>
          </w:tcPr>
          <w:p>
            <w:pPr>
              <w:spacing w:after="0"/>
              <w:rPr>
                <w:sz w:val="18"/>
                <w:szCs w:val="18"/>
                <w:color w:val="auto"/>
              </w:rPr>
            </w:pPr>
          </w:p>
        </w:tc>
        <w:tc>
          <w:tcPr>
            <w:tcW w:w="240" w:type="dxa"/>
            <w:vAlign w:val="bottom"/>
            <w:tcBorders>
              <w:top w:val="single" w:sz="8" w:color="auto"/>
            </w:tcBorders>
            <w:shd w:val="clear" w:color="auto" w:fill="CFF0FC"/>
          </w:tcPr>
          <w:p>
            <w:pPr>
              <w:jc w:val="right"/>
              <w:ind w:right="85"/>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tcBorders>
            <w:gridSpan w:val="2"/>
            <w:shd w:val="clear" w:color="auto" w:fill="CFF0FC"/>
          </w:tcPr>
          <w:p>
            <w:pPr>
              <w:ind w:left="840"/>
              <w:spacing w:after="0"/>
              <w:rPr>
                <w:sz w:val="20"/>
                <w:szCs w:val="20"/>
                <w:color w:val="auto"/>
              </w:rPr>
            </w:pPr>
            <w:r>
              <w:rPr>
                <w:rFonts w:ascii="Arial" w:cs="Arial" w:eastAsia="Arial" w:hAnsi="Arial"/>
                <w:sz w:val="18"/>
                <w:szCs w:val="18"/>
                <w:color w:val="auto"/>
                <w:w w:val="88"/>
              </w:rPr>
              <w:t>—</w:t>
            </w:r>
          </w:p>
        </w:tc>
        <w:tc>
          <w:tcPr>
            <w:tcW w:w="100" w:type="dxa"/>
            <w:vAlign w:val="bottom"/>
            <w:tcBorders>
              <w:top w:val="single" w:sz="8" w:color="CFF0FC"/>
            </w:tcBorders>
            <w:shd w:val="clear" w:color="auto" w:fill="CFF0FC"/>
          </w:tcPr>
          <w:p>
            <w:pPr>
              <w:spacing w:after="0"/>
              <w:rPr>
                <w:sz w:val="18"/>
                <w:szCs w:val="18"/>
                <w:color w:val="auto"/>
              </w:rPr>
            </w:pPr>
          </w:p>
        </w:tc>
        <w:tc>
          <w:tcPr>
            <w:tcW w:w="100" w:type="dxa"/>
            <w:vAlign w:val="bottom"/>
            <w:tcBorders>
              <w:top w:val="single" w:sz="8" w:color="CFF0FC"/>
            </w:tcBorders>
            <w:shd w:val="clear" w:color="auto" w:fill="CFF0FC"/>
          </w:tcPr>
          <w:p>
            <w:pPr>
              <w:spacing w:after="0"/>
              <w:rPr>
                <w:sz w:val="18"/>
                <w:szCs w:val="18"/>
                <w:color w:val="auto"/>
              </w:rPr>
            </w:pPr>
          </w:p>
        </w:tc>
        <w:tc>
          <w:tcPr>
            <w:tcW w:w="20" w:type="dxa"/>
            <w:vAlign w:val="bottom"/>
            <w:tcBorders>
              <w:top w:val="single" w:sz="8" w:color="CFF0FC"/>
            </w:tcBorders>
            <w:shd w:val="clear" w:color="auto" w:fill="CFF0FC"/>
          </w:tcPr>
          <w:p>
            <w:pPr>
              <w:spacing w:after="0"/>
              <w:rPr>
                <w:sz w:val="18"/>
                <w:szCs w:val="18"/>
                <w:color w:val="auto"/>
              </w:rPr>
            </w:pPr>
          </w:p>
        </w:tc>
        <w:tc>
          <w:tcPr>
            <w:tcW w:w="240" w:type="dxa"/>
            <w:vAlign w:val="bottom"/>
            <w:tcBorders>
              <w:top w:val="single" w:sz="8" w:color="auto"/>
            </w:tcBorders>
            <w:shd w:val="clear" w:color="auto" w:fill="CFF0FC"/>
          </w:tcPr>
          <w:p>
            <w:pPr>
              <w:jc w:val="right"/>
              <w:ind w:right="85"/>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tcBorders>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00" w:type="dxa"/>
            <w:vAlign w:val="bottom"/>
            <w:tcBorders>
              <w:top w:val="single" w:sz="8" w:color="CFF0FC"/>
            </w:tcBorders>
            <w:shd w:val="clear" w:color="auto" w:fill="CFF0FC"/>
          </w:tcPr>
          <w:p>
            <w:pPr>
              <w:spacing w:after="0"/>
              <w:rPr>
                <w:sz w:val="18"/>
                <w:szCs w:val="18"/>
                <w:color w:val="auto"/>
              </w:rPr>
            </w:pPr>
          </w:p>
        </w:tc>
        <w:tc>
          <w:tcPr>
            <w:tcW w:w="20" w:type="dxa"/>
            <w:vAlign w:val="bottom"/>
            <w:tcBorders>
              <w:top w:val="single" w:sz="8" w:color="CFF0FC"/>
            </w:tcBorders>
            <w:shd w:val="clear" w:color="auto" w:fill="CFF0FC"/>
          </w:tcPr>
          <w:p>
            <w:pPr>
              <w:spacing w:after="0"/>
              <w:rPr>
                <w:sz w:val="18"/>
                <w:szCs w:val="18"/>
                <w:color w:val="auto"/>
              </w:rPr>
            </w:pPr>
          </w:p>
        </w:tc>
        <w:tc>
          <w:tcPr>
            <w:tcW w:w="24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w:t>
            </w:r>
          </w:p>
        </w:tc>
        <w:tc>
          <w:tcPr>
            <w:tcW w:w="1000" w:type="dxa"/>
            <w:vAlign w:val="bottom"/>
            <w:tcBorders>
              <w:top w:val="single" w:sz="8" w:color="auto"/>
            </w:tcBorders>
            <w:gridSpan w:val="2"/>
            <w:shd w:val="clear" w:color="auto" w:fill="CFF0FC"/>
          </w:tcPr>
          <w:p>
            <w:pPr>
              <w:jc w:val="right"/>
              <w:spacing w:after="0"/>
              <w:rPr>
                <w:sz w:val="20"/>
                <w:szCs w:val="20"/>
                <w:color w:val="auto"/>
              </w:rPr>
            </w:pPr>
            <w:r>
              <w:rPr>
                <w:rFonts w:ascii="Arial" w:cs="Arial" w:eastAsia="Arial" w:hAnsi="Arial"/>
                <w:sz w:val="18"/>
                <w:szCs w:val="18"/>
                <w:color w:val="auto"/>
              </w:rPr>
              <w:t>24,838,567</w:t>
            </w:r>
          </w:p>
        </w:tc>
        <w:tc>
          <w:tcPr>
            <w:tcW w:w="40" w:type="dxa"/>
            <w:vAlign w:val="bottom"/>
            <w:tcBorders>
              <w:top w:val="single" w:sz="8" w:color="CFF0FC"/>
            </w:tcBorders>
            <w:shd w:val="clear" w:color="auto" w:fill="CFF0FC"/>
          </w:tcPr>
          <w:p>
            <w:pPr>
              <w:spacing w:after="0"/>
              <w:rPr>
                <w:sz w:val="18"/>
                <w:szCs w:val="18"/>
                <w:color w:val="auto"/>
              </w:rPr>
            </w:pPr>
          </w:p>
        </w:tc>
      </w:tr>
      <w:tr>
        <w:trPr>
          <w:trHeight w:val="216"/>
        </w:trPr>
        <w:tc>
          <w:tcPr>
            <w:tcW w:w="460" w:type="dxa"/>
            <w:vAlign w:val="bottom"/>
          </w:tcPr>
          <w:p>
            <w:pPr>
              <w:spacing w:after="0"/>
              <w:rPr>
                <w:sz w:val="18"/>
                <w:szCs w:val="18"/>
                <w:color w:val="auto"/>
              </w:rPr>
            </w:pPr>
          </w:p>
        </w:tc>
        <w:tc>
          <w:tcPr>
            <w:tcW w:w="4700" w:type="dxa"/>
            <w:vAlign w:val="bottom"/>
          </w:tcPr>
          <w:p>
            <w:pPr>
              <w:spacing w:after="0"/>
              <w:rPr>
                <w:sz w:val="20"/>
                <w:szCs w:val="20"/>
                <w:color w:val="auto"/>
              </w:rPr>
            </w:pPr>
            <w:r>
              <w:rPr>
                <w:rFonts w:ascii="Arial" w:cs="Arial" w:eastAsia="Arial" w:hAnsi="Arial"/>
                <w:sz w:val="18"/>
                <w:szCs w:val="18"/>
                <w:color w:val="auto"/>
              </w:rPr>
              <w:t>Short-term investments</w:t>
            </w:r>
          </w:p>
        </w:tc>
        <w:tc>
          <w:tcPr>
            <w:tcW w:w="260" w:type="dxa"/>
            <w:vAlign w:val="bottom"/>
          </w:tcPr>
          <w:p>
            <w:pPr>
              <w:jc w:val="right"/>
              <w:ind w:right="105"/>
              <w:spacing w:after="0"/>
              <w:rPr>
                <w:sz w:val="20"/>
                <w:szCs w:val="20"/>
                <w:color w:val="auto"/>
              </w:rPr>
            </w:pPr>
            <w:r>
              <w:rPr>
                <w:rFonts w:ascii="Arial" w:cs="Arial" w:eastAsia="Arial" w:hAnsi="Arial"/>
                <w:sz w:val="15"/>
                <w:szCs w:val="15"/>
                <w:color w:val="auto"/>
                <w:w w:val="71"/>
              </w:rPr>
              <w:t>$</w:t>
            </w:r>
          </w:p>
        </w:tc>
        <w:tc>
          <w:tcPr>
            <w:tcW w:w="1180" w:type="dxa"/>
            <w:vAlign w:val="bottom"/>
            <w:gridSpan w:val="3"/>
          </w:tcPr>
          <w:p>
            <w:pPr>
              <w:jc w:val="right"/>
              <w:ind w:right="100"/>
              <w:spacing w:after="0"/>
              <w:rPr>
                <w:sz w:val="20"/>
                <w:szCs w:val="20"/>
                <w:color w:val="auto"/>
              </w:rPr>
            </w:pPr>
            <w:r>
              <w:rPr>
                <w:rFonts w:ascii="Arial" w:cs="Arial" w:eastAsia="Arial" w:hAnsi="Arial"/>
                <w:sz w:val="18"/>
                <w:szCs w:val="18"/>
                <w:color w:val="auto"/>
              </w:rPr>
              <w:t>40,769,539</w:t>
            </w:r>
          </w:p>
        </w:tc>
        <w:tc>
          <w:tcPr>
            <w:tcW w:w="380" w:type="dxa"/>
            <w:vAlign w:val="bottom"/>
            <w:gridSpan w:val="3"/>
          </w:tcPr>
          <w:p>
            <w:pPr>
              <w:jc w:val="right"/>
              <w:ind w:right="85"/>
              <w:spacing w:after="0"/>
              <w:rPr>
                <w:sz w:val="20"/>
                <w:szCs w:val="20"/>
                <w:color w:val="auto"/>
              </w:rPr>
            </w:pPr>
            <w:r>
              <w:rPr>
                <w:rFonts w:ascii="Arial" w:cs="Arial" w:eastAsia="Arial" w:hAnsi="Arial"/>
                <w:sz w:val="18"/>
                <w:szCs w:val="18"/>
                <w:color w:val="auto"/>
              </w:rPr>
              <w:t>$</w:t>
            </w:r>
          </w:p>
        </w:tc>
        <w:tc>
          <w:tcPr>
            <w:tcW w:w="1120" w:type="dxa"/>
            <w:vAlign w:val="bottom"/>
            <w:gridSpan w:val="3"/>
          </w:tcPr>
          <w:p>
            <w:pPr>
              <w:ind w:left="840"/>
              <w:spacing w:after="0"/>
              <w:rPr>
                <w:sz w:val="20"/>
                <w:szCs w:val="20"/>
                <w:color w:val="auto"/>
              </w:rPr>
            </w:pPr>
            <w:r>
              <w:rPr>
                <w:rFonts w:ascii="Arial" w:cs="Arial" w:eastAsia="Arial" w:hAnsi="Arial"/>
                <w:sz w:val="18"/>
                <w:szCs w:val="18"/>
                <w:color w:val="auto"/>
              </w:rPr>
              <w:t>—</w:t>
            </w:r>
          </w:p>
        </w:tc>
        <w:tc>
          <w:tcPr>
            <w:tcW w:w="360" w:type="dxa"/>
            <w:vAlign w:val="bottom"/>
            <w:gridSpan w:val="3"/>
          </w:tcPr>
          <w:p>
            <w:pPr>
              <w:jc w:val="right"/>
              <w:ind w:right="85"/>
              <w:spacing w:after="0"/>
              <w:rPr>
                <w:sz w:val="20"/>
                <w:szCs w:val="20"/>
                <w:color w:val="auto"/>
              </w:rPr>
            </w:pPr>
            <w:r>
              <w:rPr>
                <w:rFonts w:ascii="Arial" w:cs="Arial" w:eastAsia="Arial" w:hAnsi="Arial"/>
                <w:sz w:val="18"/>
                <w:szCs w:val="18"/>
                <w:color w:val="auto"/>
              </w:rPr>
              <w:t>$</w:t>
            </w:r>
          </w:p>
        </w:tc>
        <w:tc>
          <w:tcPr>
            <w:tcW w:w="1200" w:type="dxa"/>
            <w:vAlign w:val="bottom"/>
            <w:gridSpan w:val="3"/>
          </w:tcPr>
          <w:p>
            <w:pPr>
              <w:jc w:val="right"/>
              <w:ind w:right="200"/>
              <w:spacing w:after="0"/>
              <w:rPr>
                <w:sz w:val="20"/>
                <w:szCs w:val="20"/>
                <w:color w:val="auto"/>
              </w:rPr>
            </w:pPr>
            <w:r>
              <w:rPr>
                <w:rFonts w:ascii="Arial" w:cs="Arial" w:eastAsia="Arial" w:hAnsi="Arial"/>
                <w:sz w:val="18"/>
                <w:szCs w:val="18"/>
                <w:color w:val="auto"/>
              </w:rPr>
              <w:t>—</w:t>
            </w:r>
          </w:p>
        </w:tc>
        <w:tc>
          <w:tcPr>
            <w:tcW w:w="260" w:type="dxa"/>
            <w:vAlign w:val="bottom"/>
            <w:gridSpan w:val="2"/>
          </w:tcPr>
          <w:p>
            <w:pPr>
              <w:ind w:left="20"/>
              <w:spacing w:after="0"/>
              <w:rPr>
                <w:sz w:val="20"/>
                <w:szCs w:val="20"/>
                <w:color w:val="auto"/>
              </w:rPr>
            </w:pPr>
            <w:r>
              <w:rPr>
                <w:rFonts w:ascii="Arial" w:cs="Arial" w:eastAsia="Arial" w:hAnsi="Arial"/>
                <w:sz w:val="18"/>
                <w:szCs w:val="18"/>
                <w:color w:val="auto"/>
              </w:rPr>
              <w:t>$</w:t>
            </w:r>
          </w:p>
        </w:tc>
        <w:tc>
          <w:tcPr>
            <w:tcW w:w="1040" w:type="dxa"/>
            <w:vAlign w:val="bottom"/>
            <w:gridSpan w:val="3"/>
          </w:tcPr>
          <w:p>
            <w:pPr>
              <w:jc w:val="right"/>
              <w:ind w:right="40"/>
              <w:spacing w:after="0"/>
              <w:rPr>
                <w:sz w:val="20"/>
                <w:szCs w:val="20"/>
                <w:color w:val="auto"/>
              </w:rPr>
            </w:pPr>
            <w:r>
              <w:rPr>
                <w:rFonts w:ascii="Arial" w:cs="Arial" w:eastAsia="Arial" w:hAnsi="Arial"/>
                <w:sz w:val="18"/>
                <w:szCs w:val="18"/>
                <w:color w:val="auto"/>
              </w:rPr>
              <w:t>40,769,539</w:t>
            </w:r>
          </w:p>
        </w:tc>
      </w:tr>
      <w:tr>
        <w:trPr>
          <w:trHeight w:val="216"/>
        </w:trPr>
        <w:tc>
          <w:tcPr>
            <w:tcW w:w="460" w:type="dxa"/>
            <w:vAlign w:val="bottom"/>
          </w:tcPr>
          <w:p>
            <w:pPr>
              <w:spacing w:after="0"/>
              <w:rPr>
                <w:sz w:val="18"/>
                <w:szCs w:val="18"/>
                <w:color w:val="auto"/>
              </w:rPr>
            </w:pPr>
          </w:p>
        </w:tc>
        <w:tc>
          <w:tcPr>
            <w:tcW w:w="4700" w:type="dxa"/>
            <w:vAlign w:val="bottom"/>
            <w:shd w:val="clear" w:color="auto" w:fill="CFF0FC"/>
          </w:tcPr>
          <w:p>
            <w:pPr>
              <w:spacing w:after="0"/>
              <w:rPr>
                <w:sz w:val="20"/>
                <w:szCs w:val="20"/>
                <w:color w:val="auto"/>
              </w:rPr>
            </w:pPr>
            <w:r>
              <w:rPr>
                <w:rFonts w:ascii="Arial" w:cs="Arial" w:eastAsia="Arial" w:hAnsi="Arial"/>
                <w:sz w:val="18"/>
                <w:szCs w:val="18"/>
                <w:color w:val="auto"/>
              </w:rPr>
              <w:t>Derivative liabilities</w:t>
            </w:r>
          </w:p>
        </w:tc>
        <w:tc>
          <w:tcPr>
            <w:tcW w:w="260" w:type="dxa"/>
            <w:vAlign w:val="bottom"/>
            <w:shd w:val="clear" w:color="auto" w:fill="CFF0FC"/>
          </w:tcPr>
          <w:p>
            <w:pPr>
              <w:jc w:val="right"/>
              <w:ind w:right="105"/>
              <w:spacing w:after="0"/>
              <w:rPr>
                <w:sz w:val="20"/>
                <w:szCs w:val="20"/>
                <w:color w:val="auto"/>
              </w:rPr>
            </w:pPr>
            <w:r>
              <w:rPr>
                <w:rFonts w:ascii="Arial" w:cs="Arial" w:eastAsia="Arial" w:hAnsi="Arial"/>
                <w:sz w:val="15"/>
                <w:szCs w:val="15"/>
                <w:color w:val="auto"/>
                <w:w w:val="71"/>
              </w:rPr>
              <w:t>$</w:t>
            </w:r>
          </w:p>
        </w:tc>
        <w:tc>
          <w:tcPr>
            <w:tcW w:w="1180" w:type="dxa"/>
            <w:vAlign w:val="bottom"/>
            <w:gridSpan w:val="3"/>
            <w:shd w:val="clear" w:color="auto" w:fill="CFF0FC"/>
          </w:tcPr>
          <w:p>
            <w:pPr>
              <w:jc w:val="right"/>
              <w:ind w:right="100"/>
              <w:spacing w:after="0"/>
              <w:rPr>
                <w:sz w:val="20"/>
                <w:szCs w:val="20"/>
                <w:color w:val="auto"/>
              </w:rPr>
            </w:pPr>
            <w:r>
              <w:rPr>
                <w:rFonts w:ascii="Arial" w:cs="Arial" w:eastAsia="Arial" w:hAnsi="Arial"/>
                <w:sz w:val="18"/>
                <w:szCs w:val="18"/>
                <w:color w:val="auto"/>
              </w:rPr>
              <w:t>—</w:t>
            </w:r>
          </w:p>
        </w:tc>
        <w:tc>
          <w:tcPr>
            <w:tcW w:w="380" w:type="dxa"/>
            <w:vAlign w:val="bottom"/>
            <w:gridSpan w:val="3"/>
            <w:shd w:val="clear" w:color="auto" w:fill="CFF0FC"/>
          </w:tcPr>
          <w:p>
            <w:pPr>
              <w:jc w:val="right"/>
              <w:ind w:right="85"/>
              <w:spacing w:after="0"/>
              <w:rPr>
                <w:sz w:val="20"/>
                <w:szCs w:val="20"/>
                <w:color w:val="auto"/>
              </w:rPr>
            </w:pPr>
            <w:r>
              <w:rPr>
                <w:rFonts w:ascii="Arial" w:cs="Arial" w:eastAsia="Arial" w:hAnsi="Arial"/>
                <w:sz w:val="18"/>
                <w:szCs w:val="18"/>
                <w:color w:val="auto"/>
              </w:rPr>
              <w:t>$</w:t>
            </w:r>
          </w:p>
        </w:tc>
        <w:tc>
          <w:tcPr>
            <w:tcW w:w="1120" w:type="dxa"/>
            <w:vAlign w:val="bottom"/>
            <w:gridSpan w:val="3"/>
            <w:shd w:val="clear" w:color="auto" w:fill="CFF0FC"/>
          </w:tcPr>
          <w:p>
            <w:pPr>
              <w:ind w:left="840"/>
              <w:spacing w:after="0"/>
              <w:rPr>
                <w:sz w:val="20"/>
                <w:szCs w:val="20"/>
                <w:color w:val="auto"/>
              </w:rPr>
            </w:pPr>
            <w:r>
              <w:rPr>
                <w:rFonts w:ascii="Arial" w:cs="Arial" w:eastAsia="Arial" w:hAnsi="Arial"/>
                <w:sz w:val="18"/>
                <w:szCs w:val="18"/>
                <w:color w:val="auto"/>
              </w:rPr>
              <w:t>—</w:t>
            </w:r>
          </w:p>
        </w:tc>
        <w:tc>
          <w:tcPr>
            <w:tcW w:w="360" w:type="dxa"/>
            <w:vAlign w:val="bottom"/>
            <w:gridSpan w:val="3"/>
            <w:shd w:val="clear" w:color="auto" w:fill="CFF0FC"/>
          </w:tcPr>
          <w:p>
            <w:pPr>
              <w:jc w:val="right"/>
              <w:ind w:right="85"/>
              <w:spacing w:after="0"/>
              <w:rPr>
                <w:sz w:val="20"/>
                <w:szCs w:val="20"/>
                <w:color w:val="auto"/>
              </w:rPr>
            </w:pPr>
            <w:r>
              <w:rPr>
                <w:rFonts w:ascii="Arial" w:cs="Arial" w:eastAsia="Arial" w:hAnsi="Arial"/>
                <w:sz w:val="18"/>
                <w:szCs w:val="18"/>
                <w:color w:val="auto"/>
              </w:rPr>
              <w:t>$</w:t>
            </w:r>
          </w:p>
        </w:tc>
        <w:tc>
          <w:tcPr>
            <w:tcW w:w="1200" w:type="dxa"/>
            <w:vAlign w:val="bottom"/>
            <w:gridSpan w:val="3"/>
            <w:shd w:val="clear" w:color="auto" w:fill="CFF0FC"/>
          </w:tcPr>
          <w:p>
            <w:pPr>
              <w:jc w:val="right"/>
              <w:ind w:right="200"/>
              <w:spacing w:after="0"/>
              <w:rPr>
                <w:sz w:val="20"/>
                <w:szCs w:val="20"/>
                <w:color w:val="auto"/>
              </w:rPr>
            </w:pPr>
            <w:r>
              <w:rPr>
                <w:rFonts w:ascii="Arial" w:cs="Arial" w:eastAsia="Arial" w:hAnsi="Arial"/>
                <w:sz w:val="18"/>
                <w:szCs w:val="18"/>
                <w:color w:val="auto"/>
              </w:rPr>
              <w:t>695,114</w:t>
            </w:r>
          </w:p>
        </w:tc>
        <w:tc>
          <w:tcPr>
            <w:tcW w:w="260" w:type="dxa"/>
            <w:vAlign w:val="bottom"/>
            <w:gridSpan w:val="2"/>
            <w:shd w:val="clear" w:color="auto" w:fill="CFF0FC"/>
          </w:tcPr>
          <w:p>
            <w:pPr>
              <w:ind w:left="20"/>
              <w:spacing w:after="0"/>
              <w:rPr>
                <w:sz w:val="20"/>
                <w:szCs w:val="20"/>
                <w:color w:val="auto"/>
              </w:rPr>
            </w:pPr>
            <w:r>
              <w:rPr>
                <w:rFonts w:ascii="Arial" w:cs="Arial" w:eastAsia="Arial" w:hAnsi="Arial"/>
                <w:sz w:val="18"/>
                <w:szCs w:val="18"/>
                <w:color w:val="auto"/>
              </w:rPr>
              <w:t>$</w:t>
            </w:r>
          </w:p>
        </w:tc>
        <w:tc>
          <w:tcPr>
            <w:tcW w:w="1040" w:type="dxa"/>
            <w:vAlign w:val="bottom"/>
            <w:gridSpan w:val="3"/>
            <w:shd w:val="clear" w:color="auto" w:fill="CFF0FC"/>
          </w:tcPr>
          <w:p>
            <w:pPr>
              <w:jc w:val="right"/>
              <w:ind w:right="40"/>
              <w:spacing w:after="0"/>
              <w:rPr>
                <w:sz w:val="20"/>
                <w:szCs w:val="20"/>
                <w:color w:val="auto"/>
              </w:rPr>
            </w:pPr>
            <w:r>
              <w:rPr>
                <w:rFonts w:ascii="Arial" w:cs="Arial" w:eastAsia="Arial" w:hAnsi="Arial"/>
                <w:sz w:val="18"/>
                <w:szCs w:val="18"/>
                <w:color w:val="auto"/>
              </w:rPr>
              <w:t>695,114</w:t>
            </w:r>
          </w:p>
        </w:tc>
      </w:tr>
      <w:tr>
        <w:trPr>
          <w:trHeight w:val="230"/>
        </w:trPr>
        <w:tc>
          <w:tcPr>
            <w:tcW w:w="460" w:type="dxa"/>
            <w:vAlign w:val="bottom"/>
          </w:tcPr>
          <w:p>
            <w:pPr>
              <w:spacing w:after="0"/>
              <w:rPr>
                <w:sz w:val="20"/>
                <w:szCs w:val="20"/>
                <w:color w:val="auto"/>
              </w:rPr>
            </w:pPr>
          </w:p>
        </w:tc>
        <w:tc>
          <w:tcPr>
            <w:tcW w:w="4700" w:type="dxa"/>
            <w:vAlign w:val="bottom"/>
          </w:tcPr>
          <w:p>
            <w:pPr>
              <w:spacing w:after="0"/>
              <w:rPr>
                <w:sz w:val="20"/>
                <w:szCs w:val="20"/>
                <w:color w:val="auto"/>
              </w:rPr>
            </w:pPr>
            <w:r>
              <w:rPr>
                <w:rFonts w:ascii="Arial" w:cs="Arial" w:eastAsia="Arial" w:hAnsi="Arial"/>
                <w:sz w:val="18"/>
                <w:szCs w:val="18"/>
                <w:color w:val="auto"/>
              </w:rPr>
              <w:t>Contingent Consideration</w:t>
            </w:r>
          </w:p>
        </w:tc>
        <w:tc>
          <w:tcPr>
            <w:tcW w:w="260" w:type="dxa"/>
            <w:vAlign w:val="bottom"/>
          </w:tcPr>
          <w:p>
            <w:pPr>
              <w:jc w:val="right"/>
              <w:ind w:right="105"/>
              <w:spacing w:after="0"/>
              <w:rPr>
                <w:sz w:val="20"/>
                <w:szCs w:val="20"/>
                <w:color w:val="auto"/>
              </w:rPr>
            </w:pPr>
            <w:r>
              <w:rPr>
                <w:rFonts w:ascii="Arial" w:cs="Arial" w:eastAsia="Arial" w:hAnsi="Arial"/>
                <w:sz w:val="15"/>
                <w:szCs w:val="15"/>
                <w:color w:val="auto"/>
                <w:w w:val="71"/>
              </w:rPr>
              <w:t>$</w:t>
            </w:r>
          </w:p>
        </w:tc>
        <w:tc>
          <w:tcPr>
            <w:tcW w:w="1180" w:type="dxa"/>
            <w:vAlign w:val="bottom"/>
            <w:gridSpan w:val="3"/>
          </w:tcPr>
          <w:p>
            <w:pPr>
              <w:jc w:val="right"/>
              <w:ind w:right="100"/>
              <w:spacing w:after="0"/>
              <w:rPr>
                <w:sz w:val="20"/>
                <w:szCs w:val="20"/>
                <w:color w:val="auto"/>
              </w:rPr>
            </w:pPr>
            <w:r>
              <w:rPr>
                <w:rFonts w:ascii="Arial" w:cs="Arial" w:eastAsia="Arial" w:hAnsi="Arial"/>
                <w:sz w:val="18"/>
                <w:szCs w:val="18"/>
                <w:color w:val="auto"/>
              </w:rPr>
              <w:t>—</w:t>
            </w:r>
          </w:p>
        </w:tc>
        <w:tc>
          <w:tcPr>
            <w:tcW w:w="380" w:type="dxa"/>
            <w:vAlign w:val="bottom"/>
            <w:gridSpan w:val="3"/>
          </w:tcPr>
          <w:p>
            <w:pPr>
              <w:jc w:val="right"/>
              <w:ind w:right="85"/>
              <w:spacing w:after="0"/>
              <w:rPr>
                <w:sz w:val="20"/>
                <w:szCs w:val="20"/>
                <w:color w:val="auto"/>
              </w:rPr>
            </w:pPr>
            <w:r>
              <w:rPr>
                <w:rFonts w:ascii="Arial" w:cs="Arial" w:eastAsia="Arial" w:hAnsi="Arial"/>
                <w:sz w:val="18"/>
                <w:szCs w:val="18"/>
                <w:color w:val="auto"/>
              </w:rPr>
              <w:t>$</w:t>
            </w:r>
          </w:p>
        </w:tc>
        <w:tc>
          <w:tcPr>
            <w:tcW w:w="1120" w:type="dxa"/>
            <w:vAlign w:val="bottom"/>
            <w:gridSpan w:val="3"/>
          </w:tcPr>
          <w:p>
            <w:pPr>
              <w:ind w:left="840"/>
              <w:spacing w:after="0"/>
              <w:rPr>
                <w:sz w:val="20"/>
                <w:szCs w:val="20"/>
                <w:color w:val="auto"/>
              </w:rPr>
            </w:pPr>
            <w:r>
              <w:rPr>
                <w:rFonts w:ascii="Arial" w:cs="Arial" w:eastAsia="Arial" w:hAnsi="Arial"/>
                <w:sz w:val="18"/>
                <w:szCs w:val="18"/>
                <w:color w:val="auto"/>
              </w:rPr>
              <w:t>—</w:t>
            </w:r>
          </w:p>
        </w:tc>
        <w:tc>
          <w:tcPr>
            <w:tcW w:w="360" w:type="dxa"/>
            <w:vAlign w:val="bottom"/>
            <w:gridSpan w:val="3"/>
          </w:tcPr>
          <w:p>
            <w:pPr>
              <w:jc w:val="right"/>
              <w:ind w:right="85"/>
              <w:spacing w:after="0"/>
              <w:rPr>
                <w:sz w:val="20"/>
                <w:szCs w:val="20"/>
                <w:color w:val="auto"/>
              </w:rPr>
            </w:pPr>
            <w:r>
              <w:rPr>
                <w:rFonts w:ascii="Arial" w:cs="Arial" w:eastAsia="Arial" w:hAnsi="Arial"/>
                <w:sz w:val="18"/>
                <w:szCs w:val="18"/>
                <w:color w:val="auto"/>
              </w:rPr>
              <w:t>$</w:t>
            </w:r>
          </w:p>
        </w:tc>
        <w:tc>
          <w:tcPr>
            <w:tcW w:w="1200" w:type="dxa"/>
            <w:vAlign w:val="bottom"/>
            <w:gridSpan w:val="3"/>
          </w:tcPr>
          <w:p>
            <w:pPr>
              <w:jc w:val="right"/>
              <w:ind w:right="200"/>
              <w:spacing w:after="0"/>
              <w:rPr>
                <w:sz w:val="20"/>
                <w:szCs w:val="20"/>
                <w:color w:val="auto"/>
              </w:rPr>
            </w:pPr>
            <w:r>
              <w:rPr>
                <w:rFonts w:ascii="Arial" w:cs="Arial" w:eastAsia="Arial" w:hAnsi="Arial"/>
                <w:sz w:val="18"/>
                <w:szCs w:val="18"/>
                <w:color w:val="auto"/>
              </w:rPr>
              <w:t>—</w:t>
            </w:r>
          </w:p>
        </w:tc>
        <w:tc>
          <w:tcPr>
            <w:tcW w:w="260" w:type="dxa"/>
            <w:vAlign w:val="bottom"/>
            <w:gridSpan w:val="2"/>
          </w:tcPr>
          <w:p>
            <w:pPr>
              <w:ind w:left="20"/>
              <w:spacing w:after="0"/>
              <w:rPr>
                <w:sz w:val="20"/>
                <w:szCs w:val="20"/>
                <w:color w:val="auto"/>
              </w:rPr>
            </w:pPr>
            <w:r>
              <w:rPr>
                <w:rFonts w:ascii="Arial" w:cs="Arial" w:eastAsia="Arial" w:hAnsi="Arial"/>
                <w:sz w:val="18"/>
                <w:szCs w:val="18"/>
                <w:color w:val="auto"/>
              </w:rPr>
              <w:t>$</w:t>
            </w:r>
          </w:p>
        </w:tc>
        <w:tc>
          <w:tcPr>
            <w:tcW w:w="1040" w:type="dxa"/>
            <w:vAlign w:val="bottom"/>
            <w:gridSpan w:val="3"/>
          </w:tcPr>
          <w:p>
            <w:pPr>
              <w:jc w:val="right"/>
              <w:ind w:right="40"/>
              <w:spacing w:after="0"/>
              <w:rPr>
                <w:sz w:val="20"/>
                <w:szCs w:val="20"/>
                <w:color w:val="auto"/>
              </w:rPr>
            </w:pPr>
            <w:r>
              <w:rPr>
                <w:rFonts w:ascii="Arial" w:cs="Arial" w:eastAsia="Arial" w:hAnsi="Arial"/>
                <w:sz w:val="18"/>
                <w:szCs w:val="18"/>
                <w:color w:val="auto"/>
              </w:rPr>
              <w:t>—</w:t>
            </w:r>
          </w:p>
        </w:tc>
      </w:tr>
      <w:tr>
        <w:trPr>
          <w:trHeight w:val="418"/>
        </w:trPr>
        <w:tc>
          <w:tcPr>
            <w:tcW w:w="5160" w:type="dxa"/>
            <w:vAlign w:val="bottom"/>
            <w:gridSpan w:val="2"/>
          </w:tcPr>
          <w:p>
            <w:pPr>
              <w:spacing w:after="0"/>
              <w:rPr>
                <w:sz w:val="20"/>
                <w:szCs w:val="20"/>
                <w:color w:val="auto"/>
              </w:rPr>
            </w:pPr>
            <w:r>
              <w:rPr>
                <w:rFonts w:ascii="Arial" w:cs="Arial" w:eastAsia="Arial" w:hAnsi="Arial"/>
                <w:sz w:val="18"/>
                <w:szCs w:val="18"/>
                <w:color w:val="auto"/>
              </w:rPr>
              <w:t>September 30, 2016:</w:t>
            </w:r>
          </w:p>
        </w:tc>
        <w:tc>
          <w:tcPr>
            <w:tcW w:w="2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459"/>
        </w:trPr>
        <w:tc>
          <w:tcPr>
            <w:tcW w:w="460" w:type="dxa"/>
            <w:vAlign w:val="bottom"/>
          </w:tcPr>
          <w:p>
            <w:pPr>
              <w:spacing w:after="0"/>
              <w:rPr>
                <w:sz w:val="24"/>
                <w:szCs w:val="24"/>
                <w:color w:val="auto"/>
              </w:rPr>
            </w:pPr>
          </w:p>
        </w:tc>
        <w:tc>
          <w:tcPr>
            <w:tcW w:w="47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80" w:type="dxa"/>
            <w:vAlign w:val="bottom"/>
            <w:gridSpan w:val="3"/>
          </w:tcPr>
          <w:p>
            <w:pPr>
              <w:ind w:left="160"/>
              <w:spacing w:after="0"/>
              <w:rPr>
                <w:sz w:val="20"/>
                <w:szCs w:val="20"/>
                <w:color w:val="auto"/>
              </w:rPr>
            </w:pPr>
            <w:r>
              <w:rPr>
                <w:rFonts w:ascii="Arial" w:cs="Arial" w:eastAsia="Arial" w:hAnsi="Arial"/>
                <w:sz w:val="14"/>
                <w:szCs w:val="14"/>
                <w:b w:val="1"/>
                <w:bCs w:val="1"/>
                <w:color w:val="auto"/>
              </w:rPr>
              <w:t>Level 1</w:t>
            </w: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20" w:type="dxa"/>
            <w:vAlign w:val="bottom"/>
            <w:gridSpan w:val="3"/>
          </w:tcPr>
          <w:p>
            <w:pPr>
              <w:ind w:left="140"/>
              <w:spacing w:after="0"/>
              <w:rPr>
                <w:sz w:val="20"/>
                <w:szCs w:val="20"/>
                <w:color w:val="auto"/>
              </w:rPr>
            </w:pPr>
            <w:r>
              <w:rPr>
                <w:rFonts w:ascii="Arial" w:cs="Arial" w:eastAsia="Arial" w:hAnsi="Arial"/>
                <w:sz w:val="14"/>
                <w:szCs w:val="14"/>
                <w:b w:val="1"/>
                <w:bCs w:val="1"/>
                <w:color w:val="auto"/>
              </w:rPr>
              <w:t>Level 2</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0" w:type="dxa"/>
            <w:vAlign w:val="bottom"/>
            <w:gridSpan w:val="3"/>
          </w:tcPr>
          <w:p>
            <w:pPr>
              <w:jc w:val="right"/>
              <w:ind w:right="620"/>
              <w:spacing w:after="0"/>
              <w:rPr>
                <w:sz w:val="20"/>
                <w:szCs w:val="20"/>
                <w:color w:val="auto"/>
              </w:rPr>
            </w:pPr>
            <w:r>
              <w:rPr>
                <w:rFonts w:ascii="Arial" w:cs="Arial" w:eastAsia="Arial" w:hAnsi="Arial"/>
                <w:sz w:val="14"/>
                <w:szCs w:val="14"/>
                <w:b w:val="1"/>
                <w:bCs w:val="1"/>
                <w:color w:val="auto"/>
              </w:rPr>
              <w:t>Level 3</w:t>
            </w: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40" w:type="dxa"/>
            <w:vAlign w:val="bottom"/>
            <w:gridSpan w:val="3"/>
          </w:tcPr>
          <w:p>
            <w:pPr>
              <w:jc w:val="right"/>
              <w:ind w:right="540"/>
              <w:spacing w:after="0"/>
              <w:rPr>
                <w:sz w:val="20"/>
                <w:szCs w:val="20"/>
                <w:color w:val="auto"/>
              </w:rPr>
            </w:pPr>
            <w:r>
              <w:rPr>
                <w:rFonts w:ascii="Arial" w:cs="Arial" w:eastAsia="Arial" w:hAnsi="Arial"/>
                <w:sz w:val="14"/>
                <w:szCs w:val="14"/>
                <w:b w:val="1"/>
                <w:bCs w:val="1"/>
                <w:color w:val="auto"/>
              </w:rPr>
              <w:t>Total</w:t>
            </w:r>
          </w:p>
        </w:tc>
      </w:tr>
      <w:tr>
        <w:trPr>
          <w:trHeight w:val="210"/>
        </w:trPr>
        <w:tc>
          <w:tcPr>
            <w:tcW w:w="460" w:type="dxa"/>
            <w:vAlign w:val="bottom"/>
          </w:tcPr>
          <w:p>
            <w:pPr>
              <w:spacing w:after="0"/>
              <w:rPr>
                <w:sz w:val="18"/>
                <w:szCs w:val="18"/>
                <w:color w:val="auto"/>
              </w:rPr>
            </w:pPr>
          </w:p>
        </w:tc>
        <w:tc>
          <w:tcPr>
            <w:tcW w:w="470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Cash and cash equivalents</w:t>
            </w:r>
          </w:p>
        </w:tc>
        <w:tc>
          <w:tcPr>
            <w:tcW w:w="260" w:type="dxa"/>
            <w:vAlign w:val="bottom"/>
            <w:tcBorders>
              <w:top w:val="single" w:sz="8" w:color="auto"/>
            </w:tcBorders>
            <w:shd w:val="clear" w:color="auto" w:fill="CFF0FC"/>
          </w:tcPr>
          <w:p>
            <w:pPr>
              <w:jc w:val="right"/>
              <w:ind w:right="105"/>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85,366,448</w:t>
            </w:r>
          </w:p>
        </w:tc>
        <w:tc>
          <w:tcPr>
            <w:tcW w:w="40" w:type="dxa"/>
            <w:vAlign w:val="bottom"/>
            <w:tcBorders>
              <w:top w:val="single" w:sz="8" w:color="CFF0FC"/>
            </w:tcBorders>
            <w:shd w:val="clear" w:color="auto" w:fill="CFF0FC"/>
          </w:tcPr>
          <w:p>
            <w:pPr>
              <w:spacing w:after="0"/>
              <w:rPr>
                <w:sz w:val="18"/>
                <w:szCs w:val="18"/>
                <w:color w:val="auto"/>
              </w:rPr>
            </w:pPr>
          </w:p>
        </w:tc>
        <w:tc>
          <w:tcPr>
            <w:tcW w:w="100" w:type="dxa"/>
            <w:vAlign w:val="bottom"/>
            <w:tcBorders>
              <w:top w:val="single" w:sz="8" w:color="CFF0FC"/>
            </w:tcBorders>
            <w:shd w:val="clear" w:color="auto" w:fill="CFF0FC"/>
          </w:tcPr>
          <w:p>
            <w:pPr>
              <w:spacing w:after="0"/>
              <w:rPr>
                <w:sz w:val="18"/>
                <w:szCs w:val="18"/>
                <w:color w:val="auto"/>
              </w:rPr>
            </w:pPr>
          </w:p>
        </w:tc>
        <w:tc>
          <w:tcPr>
            <w:tcW w:w="100" w:type="dxa"/>
            <w:vAlign w:val="bottom"/>
            <w:tcBorders>
              <w:top w:val="single" w:sz="8" w:color="CFF0FC"/>
            </w:tcBorders>
            <w:shd w:val="clear" w:color="auto" w:fill="CFF0FC"/>
          </w:tcPr>
          <w:p>
            <w:pPr>
              <w:spacing w:after="0"/>
              <w:rPr>
                <w:sz w:val="18"/>
                <w:szCs w:val="18"/>
                <w:color w:val="auto"/>
              </w:rPr>
            </w:pPr>
          </w:p>
        </w:tc>
        <w:tc>
          <w:tcPr>
            <w:tcW w:w="280" w:type="dxa"/>
            <w:vAlign w:val="bottom"/>
            <w:tcBorders>
              <w:top w:val="single" w:sz="8" w:color="auto"/>
            </w:tcBorders>
            <w:gridSpan w:val="2"/>
            <w:shd w:val="clear" w:color="auto" w:fill="CFF0FC"/>
          </w:tcPr>
          <w:p>
            <w:pPr>
              <w:jc w:val="right"/>
              <w:ind w:right="105"/>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tcBorders>
            <w:shd w:val="clear" w:color="auto" w:fill="CFF0FC"/>
          </w:tcPr>
          <w:p>
            <w:pPr>
              <w:ind w:left="820"/>
              <w:spacing w:after="0"/>
              <w:rPr>
                <w:sz w:val="20"/>
                <w:szCs w:val="20"/>
                <w:color w:val="auto"/>
              </w:rPr>
            </w:pPr>
            <w:r>
              <w:rPr>
                <w:rFonts w:ascii="Arial" w:cs="Arial" w:eastAsia="Arial" w:hAnsi="Arial"/>
                <w:sz w:val="18"/>
                <w:szCs w:val="18"/>
                <w:color w:val="auto"/>
                <w:w w:val="88"/>
              </w:rPr>
              <w:t>—</w:t>
            </w:r>
          </w:p>
        </w:tc>
        <w:tc>
          <w:tcPr>
            <w:tcW w:w="120" w:type="dxa"/>
            <w:vAlign w:val="bottom"/>
            <w:tcBorders>
              <w:top w:val="single" w:sz="8" w:color="CFF0FC"/>
            </w:tcBorders>
            <w:gridSpan w:val="2"/>
            <w:shd w:val="clear" w:color="auto" w:fill="CFF0FC"/>
          </w:tcPr>
          <w:p>
            <w:pPr>
              <w:spacing w:after="0"/>
              <w:rPr>
                <w:sz w:val="18"/>
                <w:szCs w:val="18"/>
                <w:color w:val="auto"/>
              </w:rPr>
            </w:pPr>
          </w:p>
        </w:tc>
        <w:tc>
          <w:tcPr>
            <w:tcW w:w="100" w:type="dxa"/>
            <w:vAlign w:val="bottom"/>
            <w:tcBorders>
              <w:top w:val="single" w:sz="8" w:color="CFF0FC"/>
            </w:tcBorders>
            <w:shd w:val="clear" w:color="auto" w:fill="CFF0FC"/>
          </w:tcPr>
          <w:p>
            <w:pPr>
              <w:spacing w:after="0"/>
              <w:rPr>
                <w:sz w:val="18"/>
                <w:szCs w:val="18"/>
                <w:color w:val="auto"/>
              </w:rPr>
            </w:pPr>
          </w:p>
        </w:tc>
        <w:tc>
          <w:tcPr>
            <w:tcW w:w="260" w:type="dxa"/>
            <w:vAlign w:val="bottom"/>
            <w:tcBorders>
              <w:top w:val="single" w:sz="8" w:color="auto"/>
            </w:tcBorders>
            <w:gridSpan w:val="2"/>
            <w:shd w:val="clear" w:color="auto" w:fill="CFF0FC"/>
          </w:tcPr>
          <w:p>
            <w:pPr>
              <w:jc w:val="right"/>
              <w:ind w:right="105"/>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top w:val="single" w:sz="8" w:color="CFF0FC"/>
            </w:tcBorders>
            <w:gridSpan w:val="2"/>
            <w:shd w:val="clear" w:color="auto" w:fill="CFF0FC"/>
          </w:tcPr>
          <w:p>
            <w:pPr>
              <w:spacing w:after="0"/>
              <w:rPr>
                <w:sz w:val="18"/>
                <w:szCs w:val="18"/>
                <w:color w:val="auto"/>
              </w:rPr>
            </w:pPr>
          </w:p>
        </w:tc>
        <w:tc>
          <w:tcPr>
            <w:tcW w:w="260" w:type="dxa"/>
            <w:vAlign w:val="bottom"/>
            <w:tcBorders>
              <w:top w:val="single" w:sz="8" w:color="auto"/>
            </w:tcBorders>
            <w:gridSpan w:val="2"/>
            <w:shd w:val="clear" w:color="auto" w:fill="CFF0FC"/>
          </w:tcPr>
          <w:p>
            <w:pPr>
              <w:spacing w:after="0"/>
              <w:rPr>
                <w:sz w:val="20"/>
                <w:szCs w:val="20"/>
                <w:color w:val="auto"/>
              </w:rPr>
            </w:pPr>
            <w:r>
              <w:rPr>
                <w:rFonts w:ascii="Arial" w:cs="Arial" w:eastAsia="Arial" w:hAnsi="Arial"/>
                <w:sz w:val="18"/>
                <w:szCs w:val="18"/>
                <w:color w:val="auto"/>
              </w:rPr>
              <w:t>$</w:t>
            </w:r>
          </w:p>
        </w:tc>
        <w:tc>
          <w:tcPr>
            <w:tcW w:w="9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85,366,448</w:t>
            </w:r>
          </w:p>
        </w:tc>
        <w:tc>
          <w:tcPr>
            <w:tcW w:w="20" w:type="dxa"/>
            <w:vAlign w:val="bottom"/>
            <w:tcBorders>
              <w:top w:val="single" w:sz="8" w:color="CFF0FC"/>
            </w:tcBorders>
            <w:shd w:val="clear" w:color="auto" w:fill="CFF0FC"/>
          </w:tcPr>
          <w:p>
            <w:pPr>
              <w:spacing w:after="0"/>
              <w:rPr>
                <w:sz w:val="18"/>
                <w:szCs w:val="18"/>
                <w:color w:val="auto"/>
              </w:rPr>
            </w:pPr>
          </w:p>
        </w:tc>
        <w:tc>
          <w:tcPr>
            <w:tcW w:w="40" w:type="dxa"/>
            <w:vAlign w:val="bottom"/>
            <w:tcBorders>
              <w:top w:val="single" w:sz="8" w:color="CFF0FC"/>
            </w:tcBorders>
            <w:shd w:val="clear" w:color="auto" w:fill="CFF0FC"/>
          </w:tcPr>
          <w:p>
            <w:pPr>
              <w:spacing w:after="0"/>
              <w:rPr>
                <w:sz w:val="18"/>
                <w:szCs w:val="18"/>
                <w:color w:val="auto"/>
              </w:rPr>
            </w:pPr>
          </w:p>
        </w:tc>
      </w:tr>
      <w:tr>
        <w:trPr>
          <w:trHeight w:val="216"/>
        </w:trPr>
        <w:tc>
          <w:tcPr>
            <w:tcW w:w="460" w:type="dxa"/>
            <w:vAlign w:val="bottom"/>
          </w:tcPr>
          <w:p>
            <w:pPr>
              <w:spacing w:after="0"/>
              <w:rPr>
                <w:sz w:val="18"/>
                <w:szCs w:val="18"/>
                <w:color w:val="auto"/>
              </w:rPr>
            </w:pPr>
          </w:p>
        </w:tc>
        <w:tc>
          <w:tcPr>
            <w:tcW w:w="4700" w:type="dxa"/>
            <w:vAlign w:val="bottom"/>
          </w:tcPr>
          <w:p>
            <w:pPr>
              <w:spacing w:after="0"/>
              <w:rPr>
                <w:sz w:val="20"/>
                <w:szCs w:val="20"/>
                <w:color w:val="auto"/>
              </w:rPr>
            </w:pPr>
            <w:r>
              <w:rPr>
                <w:rFonts w:ascii="Arial" w:cs="Arial" w:eastAsia="Arial" w:hAnsi="Arial"/>
                <w:sz w:val="18"/>
                <w:szCs w:val="18"/>
                <w:color w:val="auto"/>
              </w:rPr>
              <w:t>Short-term investments</w:t>
            </w:r>
          </w:p>
        </w:tc>
        <w:tc>
          <w:tcPr>
            <w:tcW w:w="260" w:type="dxa"/>
            <w:vAlign w:val="bottom"/>
          </w:tcPr>
          <w:p>
            <w:pPr>
              <w:jc w:val="right"/>
              <w:ind w:right="105"/>
              <w:spacing w:after="0"/>
              <w:rPr>
                <w:sz w:val="20"/>
                <w:szCs w:val="20"/>
                <w:color w:val="auto"/>
              </w:rPr>
            </w:pPr>
            <w:r>
              <w:rPr>
                <w:rFonts w:ascii="Arial" w:cs="Arial" w:eastAsia="Arial" w:hAnsi="Arial"/>
                <w:sz w:val="15"/>
                <w:szCs w:val="15"/>
                <w:color w:val="auto"/>
                <w:w w:val="71"/>
              </w:rPr>
              <w:t>$</w:t>
            </w:r>
          </w:p>
        </w:tc>
        <w:tc>
          <w:tcPr>
            <w:tcW w:w="1180" w:type="dxa"/>
            <w:vAlign w:val="bottom"/>
            <w:gridSpan w:val="3"/>
          </w:tcPr>
          <w:p>
            <w:pPr>
              <w:jc w:val="right"/>
              <w:ind w:right="140"/>
              <w:spacing w:after="0"/>
              <w:rPr>
                <w:sz w:val="20"/>
                <w:szCs w:val="20"/>
                <w:color w:val="auto"/>
              </w:rPr>
            </w:pPr>
            <w:r>
              <w:rPr>
                <w:rFonts w:ascii="Arial" w:cs="Arial" w:eastAsia="Arial" w:hAnsi="Arial"/>
                <w:sz w:val="18"/>
                <w:szCs w:val="18"/>
                <w:color w:val="auto"/>
              </w:rPr>
              <w:t>—</w:t>
            </w:r>
          </w:p>
        </w:tc>
        <w:tc>
          <w:tcPr>
            <w:tcW w:w="380" w:type="dxa"/>
            <w:vAlign w:val="bottom"/>
            <w:gridSpan w:val="3"/>
          </w:tcPr>
          <w:p>
            <w:pPr>
              <w:jc w:val="right"/>
              <w:ind w:right="105"/>
              <w:spacing w:after="0"/>
              <w:rPr>
                <w:sz w:val="20"/>
                <w:szCs w:val="20"/>
                <w:color w:val="auto"/>
              </w:rPr>
            </w:pPr>
            <w:r>
              <w:rPr>
                <w:rFonts w:ascii="Arial" w:cs="Arial" w:eastAsia="Arial" w:hAnsi="Arial"/>
                <w:sz w:val="18"/>
                <w:szCs w:val="18"/>
                <w:color w:val="auto"/>
              </w:rPr>
              <w:t>$</w:t>
            </w:r>
          </w:p>
        </w:tc>
        <w:tc>
          <w:tcPr>
            <w:tcW w:w="1120" w:type="dxa"/>
            <w:vAlign w:val="bottom"/>
            <w:gridSpan w:val="3"/>
          </w:tcPr>
          <w:p>
            <w:pPr>
              <w:ind w:left="820"/>
              <w:spacing w:after="0"/>
              <w:rPr>
                <w:sz w:val="20"/>
                <w:szCs w:val="20"/>
                <w:color w:val="auto"/>
              </w:rPr>
            </w:pPr>
            <w:r>
              <w:rPr>
                <w:rFonts w:ascii="Arial" w:cs="Arial" w:eastAsia="Arial" w:hAnsi="Arial"/>
                <w:sz w:val="18"/>
                <w:szCs w:val="18"/>
                <w:color w:val="auto"/>
              </w:rPr>
              <w:t>—</w:t>
            </w:r>
          </w:p>
        </w:tc>
        <w:tc>
          <w:tcPr>
            <w:tcW w:w="360" w:type="dxa"/>
            <w:vAlign w:val="bottom"/>
            <w:gridSpan w:val="3"/>
          </w:tcPr>
          <w:p>
            <w:pPr>
              <w:jc w:val="right"/>
              <w:ind w:right="105"/>
              <w:spacing w:after="0"/>
              <w:rPr>
                <w:sz w:val="20"/>
                <w:szCs w:val="20"/>
                <w:color w:val="auto"/>
              </w:rPr>
            </w:pPr>
            <w:r>
              <w:rPr>
                <w:rFonts w:ascii="Arial" w:cs="Arial" w:eastAsia="Arial" w:hAnsi="Arial"/>
                <w:sz w:val="18"/>
                <w:szCs w:val="18"/>
                <w:color w:val="auto"/>
              </w:rPr>
              <w:t>$</w:t>
            </w:r>
          </w:p>
        </w:tc>
        <w:tc>
          <w:tcPr>
            <w:tcW w:w="1200" w:type="dxa"/>
            <w:vAlign w:val="bottom"/>
            <w:gridSpan w:val="3"/>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gridSpan w:val="2"/>
          </w:tcPr>
          <w:p>
            <w:pPr>
              <w:spacing w:after="0"/>
              <w:rPr>
                <w:sz w:val="20"/>
                <w:szCs w:val="20"/>
                <w:color w:val="auto"/>
              </w:rPr>
            </w:pPr>
            <w:r>
              <w:rPr>
                <w:rFonts w:ascii="Arial" w:cs="Arial" w:eastAsia="Arial" w:hAnsi="Arial"/>
                <w:sz w:val="18"/>
                <w:szCs w:val="18"/>
                <w:color w:val="auto"/>
              </w:rPr>
              <w:t>$</w:t>
            </w:r>
          </w:p>
        </w:tc>
        <w:tc>
          <w:tcPr>
            <w:tcW w:w="1040" w:type="dxa"/>
            <w:vAlign w:val="bottom"/>
            <w:gridSpan w:val="3"/>
          </w:tcPr>
          <w:p>
            <w:pPr>
              <w:jc w:val="right"/>
              <w:ind w:right="60"/>
              <w:spacing w:after="0"/>
              <w:rPr>
                <w:sz w:val="20"/>
                <w:szCs w:val="20"/>
                <w:color w:val="auto"/>
              </w:rPr>
            </w:pPr>
            <w:r>
              <w:rPr>
                <w:rFonts w:ascii="Arial" w:cs="Arial" w:eastAsia="Arial" w:hAnsi="Arial"/>
                <w:sz w:val="18"/>
                <w:szCs w:val="18"/>
                <w:color w:val="auto"/>
              </w:rPr>
              <w:t>—</w:t>
            </w:r>
          </w:p>
        </w:tc>
      </w:tr>
      <w:tr>
        <w:trPr>
          <w:trHeight w:val="216"/>
        </w:trPr>
        <w:tc>
          <w:tcPr>
            <w:tcW w:w="460" w:type="dxa"/>
            <w:vAlign w:val="bottom"/>
          </w:tcPr>
          <w:p>
            <w:pPr>
              <w:spacing w:after="0"/>
              <w:rPr>
                <w:sz w:val="18"/>
                <w:szCs w:val="18"/>
                <w:color w:val="auto"/>
              </w:rPr>
            </w:pPr>
          </w:p>
        </w:tc>
        <w:tc>
          <w:tcPr>
            <w:tcW w:w="4700" w:type="dxa"/>
            <w:vAlign w:val="bottom"/>
            <w:shd w:val="clear" w:color="auto" w:fill="CFF0FC"/>
          </w:tcPr>
          <w:p>
            <w:pPr>
              <w:spacing w:after="0"/>
              <w:rPr>
                <w:sz w:val="20"/>
                <w:szCs w:val="20"/>
                <w:color w:val="auto"/>
              </w:rPr>
            </w:pPr>
            <w:r>
              <w:rPr>
                <w:rFonts w:ascii="Arial" w:cs="Arial" w:eastAsia="Arial" w:hAnsi="Arial"/>
                <w:sz w:val="18"/>
                <w:szCs w:val="18"/>
                <w:color w:val="auto"/>
              </w:rPr>
              <w:t>Derivative liabilities</w:t>
            </w:r>
          </w:p>
        </w:tc>
        <w:tc>
          <w:tcPr>
            <w:tcW w:w="260" w:type="dxa"/>
            <w:vAlign w:val="bottom"/>
            <w:shd w:val="clear" w:color="auto" w:fill="CFF0FC"/>
          </w:tcPr>
          <w:p>
            <w:pPr>
              <w:jc w:val="right"/>
              <w:ind w:right="105"/>
              <w:spacing w:after="0"/>
              <w:rPr>
                <w:sz w:val="20"/>
                <w:szCs w:val="20"/>
                <w:color w:val="auto"/>
              </w:rPr>
            </w:pPr>
            <w:r>
              <w:rPr>
                <w:rFonts w:ascii="Arial" w:cs="Arial" w:eastAsia="Arial" w:hAnsi="Arial"/>
                <w:sz w:val="15"/>
                <w:szCs w:val="15"/>
                <w:color w:val="auto"/>
                <w:w w:val="71"/>
              </w:rPr>
              <w:t>$</w:t>
            </w:r>
          </w:p>
        </w:tc>
        <w:tc>
          <w:tcPr>
            <w:tcW w:w="1180" w:type="dxa"/>
            <w:vAlign w:val="bottom"/>
            <w:gridSpan w:val="3"/>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380" w:type="dxa"/>
            <w:vAlign w:val="bottom"/>
            <w:gridSpan w:val="3"/>
            <w:shd w:val="clear" w:color="auto" w:fill="CFF0FC"/>
          </w:tcPr>
          <w:p>
            <w:pPr>
              <w:jc w:val="right"/>
              <w:ind w:right="105"/>
              <w:spacing w:after="0"/>
              <w:rPr>
                <w:sz w:val="20"/>
                <w:szCs w:val="20"/>
                <w:color w:val="auto"/>
              </w:rPr>
            </w:pPr>
            <w:r>
              <w:rPr>
                <w:rFonts w:ascii="Arial" w:cs="Arial" w:eastAsia="Arial" w:hAnsi="Arial"/>
                <w:sz w:val="18"/>
                <w:szCs w:val="18"/>
                <w:color w:val="auto"/>
              </w:rPr>
              <w:t>$</w:t>
            </w:r>
          </w:p>
        </w:tc>
        <w:tc>
          <w:tcPr>
            <w:tcW w:w="1120" w:type="dxa"/>
            <w:vAlign w:val="bottom"/>
            <w:gridSpan w:val="3"/>
            <w:shd w:val="clear" w:color="auto" w:fill="CFF0FC"/>
          </w:tcPr>
          <w:p>
            <w:pPr>
              <w:ind w:left="820"/>
              <w:spacing w:after="0"/>
              <w:rPr>
                <w:sz w:val="20"/>
                <w:szCs w:val="20"/>
                <w:color w:val="auto"/>
              </w:rPr>
            </w:pPr>
            <w:r>
              <w:rPr>
                <w:rFonts w:ascii="Arial" w:cs="Arial" w:eastAsia="Arial" w:hAnsi="Arial"/>
                <w:sz w:val="18"/>
                <w:szCs w:val="18"/>
                <w:color w:val="auto"/>
              </w:rPr>
              <w:t>—</w:t>
            </w:r>
          </w:p>
        </w:tc>
        <w:tc>
          <w:tcPr>
            <w:tcW w:w="360" w:type="dxa"/>
            <w:vAlign w:val="bottom"/>
            <w:gridSpan w:val="3"/>
            <w:shd w:val="clear" w:color="auto" w:fill="CFF0FC"/>
          </w:tcPr>
          <w:p>
            <w:pPr>
              <w:jc w:val="right"/>
              <w:ind w:right="105"/>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1,602,626</w:t>
            </w:r>
          </w:p>
        </w:tc>
        <w:tc>
          <w:tcPr>
            <w:tcW w:w="200" w:type="dxa"/>
            <w:vAlign w:val="bottom"/>
            <w:shd w:val="clear" w:color="auto" w:fill="CFF0FC"/>
          </w:tcPr>
          <w:p>
            <w:pPr>
              <w:spacing w:after="0"/>
              <w:rPr>
                <w:sz w:val="18"/>
                <w:szCs w:val="18"/>
                <w:color w:val="auto"/>
              </w:rPr>
            </w:pPr>
          </w:p>
        </w:tc>
        <w:tc>
          <w:tcPr>
            <w:tcW w:w="26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w:t>
            </w: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1,602,626</w:t>
            </w:r>
          </w:p>
        </w:tc>
        <w:tc>
          <w:tcPr>
            <w:tcW w:w="2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r>
      <w:tr>
        <w:trPr>
          <w:trHeight w:val="230"/>
        </w:trPr>
        <w:tc>
          <w:tcPr>
            <w:tcW w:w="460" w:type="dxa"/>
            <w:vAlign w:val="bottom"/>
          </w:tcPr>
          <w:p>
            <w:pPr>
              <w:spacing w:after="0"/>
              <w:rPr>
                <w:sz w:val="20"/>
                <w:szCs w:val="20"/>
                <w:color w:val="auto"/>
              </w:rPr>
            </w:pPr>
          </w:p>
        </w:tc>
        <w:tc>
          <w:tcPr>
            <w:tcW w:w="4700" w:type="dxa"/>
            <w:vAlign w:val="bottom"/>
          </w:tcPr>
          <w:p>
            <w:pPr>
              <w:spacing w:after="0"/>
              <w:rPr>
                <w:sz w:val="20"/>
                <w:szCs w:val="20"/>
                <w:color w:val="auto"/>
              </w:rPr>
            </w:pPr>
            <w:r>
              <w:rPr>
                <w:rFonts w:ascii="Arial" w:cs="Arial" w:eastAsia="Arial" w:hAnsi="Arial"/>
                <w:sz w:val="18"/>
                <w:szCs w:val="18"/>
                <w:color w:val="auto"/>
              </w:rPr>
              <w:t>Contingent Consideration</w:t>
            </w:r>
          </w:p>
        </w:tc>
        <w:tc>
          <w:tcPr>
            <w:tcW w:w="260" w:type="dxa"/>
            <w:vAlign w:val="bottom"/>
          </w:tcPr>
          <w:p>
            <w:pPr>
              <w:jc w:val="right"/>
              <w:ind w:right="105"/>
              <w:spacing w:after="0"/>
              <w:rPr>
                <w:sz w:val="20"/>
                <w:szCs w:val="20"/>
                <w:color w:val="auto"/>
              </w:rPr>
            </w:pPr>
            <w:r>
              <w:rPr>
                <w:rFonts w:ascii="Arial" w:cs="Arial" w:eastAsia="Arial" w:hAnsi="Arial"/>
                <w:sz w:val="15"/>
                <w:szCs w:val="15"/>
                <w:color w:val="auto"/>
                <w:w w:val="71"/>
              </w:rPr>
              <w:t>$</w:t>
            </w:r>
          </w:p>
        </w:tc>
        <w:tc>
          <w:tcPr>
            <w:tcW w:w="1180" w:type="dxa"/>
            <w:vAlign w:val="bottom"/>
            <w:gridSpan w:val="3"/>
          </w:tcPr>
          <w:p>
            <w:pPr>
              <w:jc w:val="right"/>
              <w:ind w:right="140"/>
              <w:spacing w:after="0"/>
              <w:rPr>
                <w:sz w:val="20"/>
                <w:szCs w:val="20"/>
                <w:color w:val="auto"/>
              </w:rPr>
            </w:pPr>
            <w:r>
              <w:rPr>
                <w:rFonts w:ascii="Arial" w:cs="Arial" w:eastAsia="Arial" w:hAnsi="Arial"/>
                <w:sz w:val="18"/>
                <w:szCs w:val="18"/>
                <w:color w:val="auto"/>
              </w:rPr>
              <w:t>—</w:t>
            </w:r>
          </w:p>
        </w:tc>
        <w:tc>
          <w:tcPr>
            <w:tcW w:w="380" w:type="dxa"/>
            <w:vAlign w:val="bottom"/>
            <w:gridSpan w:val="3"/>
          </w:tcPr>
          <w:p>
            <w:pPr>
              <w:jc w:val="right"/>
              <w:ind w:right="105"/>
              <w:spacing w:after="0"/>
              <w:rPr>
                <w:sz w:val="20"/>
                <w:szCs w:val="20"/>
                <w:color w:val="auto"/>
              </w:rPr>
            </w:pPr>
            <w:r>
              <w:rPr>
                <w:rFonts w:ascii="Arial" w:cs="Arial" w:eastAsia="Arial" w:hAnsi="Arial"/>
                <w:sz w:val="18"/>
                <w:szCs w:val="18"/>
                <w:color w:val="auto"/>
              </w:rPr>
              <w:t>$</w:t>
            </w:r>
          </w:p>
        </w:tc>
        <w:tc>
          <w:tcPr>
            <w:tcW w:w="1120" w:type="dxa"/>
            <w:vAlign w:val="bottom"/>
            <w:gridSpan w:val="3"/>
          </w:tcPr>
          <w:p>
            <w:pPr>
              <w:ind w:left="820"/>
              <w:spacing w:after="0"/>
              <w:rPr>
                <w:sz w:val="20"/>
                <w:szCs w:val="20"/>
                <w:color w:val="auto"/>
              </w:rPr>
            </w:pPr>
            <w:r>
              <w:rPr>
                <w:rFonts w:ascii="Arial" w:cs="Arial" w:eastAsia="Arial" w:hAnsi="Arial"/>
                <w:sz w:val="18"/>
                <w:szCs w:val="18"/>
                <w:color w:val="auto"/>
              </w:rPr>
              <w:t>—</w:t>
            </w:r>
          </w:p>
        </w:tc>
        <w:tc>
          <w:tcPr>
            <w:tcW w:w="360" w:type="dxa"/>
            <w:vAlign w:val="bottom"/>
            <w:gridSpan w:val="3"/>
          </w:tcPr>
          <w:p>
            <w:pPr>
              <w:jc w:val="right"/>
              <w:ind w:right="105"/>
              <w:spacing w:after="0"/>
              <w:rPr>
                <w:sz w:val="20"/>
                <w:szCs w:val="20"/>
                <w:color w:val="auto"/>
              </w:rPr>
            </w:pPr>
            <w:r>
              <w:rPr>
                <w:rFonts w:ascii="Arial" w:cs="Arial" w:eastAsia="Arial" w:hAnsi="Arial"/>
                <w:sz w:val="18"/>
                <w:szCs w:val="18"/>
                <w:color w:val="auto"/>
              </w:rPr>
              <w:t>$</w:t>
            </w:r>
          </w:p>
        </w:tc>
        <w:tc>
          <w:tcPr>
            <w:tcW w:w="1200" w:type="dxa"/>
            <w:vAlign w:val="bottom"/>
            <w:gridSpan w:val="3"/>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gridSpan w:val="2"/>
          </w:tcPr>
          <w:p>
            <w:pPr>
              <w:spacing w:after="0"/>
              <w:rPr>
                <w:sz w:val="20"/>
                <w:szCs w:val="20"/>
                <w:color w:val="auto"/>
              </w:rPr>
            </w:pPr>
            <w:r>
              <w:rPr>
                <w:rFonts w:ascii="Arial" w:cs="Arial" w:eastAsia="Arial" w:hAnsi="Arial"/>
                <w:sz w:val="18"/>
                <w:szCs w:val="18"/>
                <w:color w:val="auto"/>
              </w:rPr>
              <w:t>$</w:t>
            </w:r>
          </w:p>
        </w:tc>
        <w:tc>
          <w:tcPr>
            <w:tcW w:w="1040" w:type="dxa"/>
            <w:vAlign w:val="bottom"/>
            <w:gridSpan w:val="3"/>
          </w:tcPr>
          <w:p>
            <w:pPr>
              <w:jc w:val="right"/>
              <w:ind w:right="60"/>
              <w:spacing w:after="0"/>
              <w:rPr>
                <w:sz w:val="20"/>
                <w:szCs w:val="20"/>
                <w:color w:val="auto"/>
              </w:rPr>
            </w:pPr>
            <w:r>
              <w:rPr>
                <w:rFonts w:ascii="Arial" w:cs="Arial" w:eastAsia="Arial" w:hAnsi="Arial"/>
                <w:sz w:val="18"/>
                <w:szCs w:val="18"/>
                <w:color w:val="auto"/>
              </w:rPr>
              <w:t>—</w:t>
            </w:r>
          </w:p>
        </w:tc>
      </w:tr>
    </w:tbl>
    <w:p>
      <w:pPr>
        <w:spacing w:after="0" w:line="187" w:lineRule="exact"/>
        <w:rPr>
          <w:sz w:val="20"/>
          <w:szCs w:val="20"/>
          <w:color w:val="auto"/>
        </w:rPr>
      </w:pPr>
    </w:p>
    <w:p>
      <w:pPr>
        <w:ind w:firstLine="518"/>
        <w:spacing w:after="0" w:line="268" w:lineRule="auto"/>
        <w:rPr>
          <w:sz w:val="20"/>
          <w:szCs w:val="20"/>
          <w:color w:val="auto"/>
        </w:rPr>
      </w:pPr>
      <w:r>
        <w:rPr>
          <w:rFonts w:ascii="Arial" w:cs="Arial" w:eastAsia="Arial" w:hAnsi="Arial"/>
          <w:sz w:val="17"/>
          <w:szCs w:val="17"/>
          <w:color w:val="auto"/>
        </w:rPr>
        <w:t>As part of a financing in December 2012, Arrowhead issued warrants to purchase up to 912,543 shares of Common Stock (the “2012 Warrants”) of which 265,161 warrants were outstanding at September 30, 2017. Further, as part of a financing in January 2013, Arrowhead issued warrants to purchase up to 833,530 shares of Common Stock (the “2013 Warrants” and, together with the 2012 Warrants, the “Warrants”) of which 12,123 warrants were outstanding at September 30, 2017. Each of the Warrants contains a mechanism to adjust the strike price upon the issuance of certain dilutive equity securities. If during the terms of the Warrants, the Company issues Common Stock at a price lower than the exercise price for the Warrants, the exercise price would be reduced to the amount equal to the issuance price of the Common Stock. As a result of these features, the Warrants are subject to derivative accounting as prescribed under ASC 815. Accordingly, the fair value of the Warrants on the date of issuance was estimated using an option pricing model and recorded on the Company’s Consolidated Balance Sheet as a derivative liability. The fair value of the Warrants is estimated at the end of each reporting period and the change in the fair value of the Warrants is recorded as a non-operating gain or loss as change in value of derivatives in the Company’s Consolidated Statement of Operations and Comprehensive Loss. During the years ended September 30, 2017, 2016 and 2015 the Company recorded a non-cash gain/(loss) from the change in fair value of the derivative liability of $870,760, $(293,072) and $2,684,712, respectively. Additionally, as part of an equity financing in June 2010, Arrowhead issued warrants to purchase up to 329,649 shares of Common Stock (the “2010 Warrants”), of which warrants to exercise 24,324 shares remained unexercised and were cancelled at their expiration during fiscal 2016.</w:t>
      </w:r>
    </w:p>
    <w:p>
      <w:pPr>
        <w:spacing w:after="0" w:line="200" w:lineRule="exact"/>
        <w:rPr>
          <w:sz w:val="20"/>
          <w:szCs w:val="20"/>
          <w:color w:val="auto"/>
        </w:rPr>
      </w:pPr>
    </w:p>
    <w:p>
      <w:pPr>
        <w:spacing w:after="0" w:line="2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4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79" w:name="page80"/>
    <w:bookmarkEnd w:id="79"/>
    <w:p>
      <w:pPr>
        <w:ind w:left="520"/>
        <w:spacing w:after="0"/>
        <w:rPr>
          <w:sz w:val="20"/>
          <w:szCs w:val="20"/>
          <w:color w:val="auto"/>
        </w:rPr>
      </w:pPr>
      <w:r>
        <w:rPr>
          <w:rFonts w:ascii="Arial" w:cs="Arial" w:eastAsia="Arial" w:hAnsi="Arial"/>
          <w:sz w:val="18"/>
          <w:szCs w:val="18"/>
          <w:color w:val="auto"/>
        </w:rPr>
        <w:t>The assumptions used in valuing the derivative liability were as follows:</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020" w:type="dxa"/>
            <w:vAlign w:val="bottom"/>
            <w:gridSpan w:val="3"/>
          </w:tcPr>
          <w:p>
            <w:pPr>
              <w:spacing w:after="0"/>
              <w:rPr>
                <w:sz w:val="20"/>
                <w:szCs w:val="20"/>
                <w:color w:val="auto"/>
              </w:rPr>
            </w:pPr>
            <w:r>
              <w:rPr>
                <w:rFonts w:ascii="Arial" w:cs="Arial" w:eastAsia="Arial" w:hAnsi="Arial"/>
                <w:sz w:val="18"/>
                <w:szCs w:val="18"/>
                <w:b w:val="1"/>
                <w:bCs w:val="1"/>
                <w:color w:val="auto"/>
              </w:rPr>
              <w:t>2012 Warrants</w:t>
            </w:r>
          </w:p>
        </w:tc>
        <w:tc>
          <w:tcPr>
            <w:tcW w:w="2860" w:type="dxa"/>
            <w:vAlign w:val="bottom"/>
            <w:gridSpan w:val="3"/>
          </w:tcPr>
          <w:p>
            <w:pPr>
              <w:jc w:val="right"/>
              <w:ind w:right="860"/>
              <w:spacing w:after="0"/>
              <w:rPr>
                <w:sz w:val="20"/>
                <w:szCs w:val="20"/>
                <w:color w:val="auto"/>
              </w:rPr>
            </w:pPr>
            <w:r>
              <w:rPr>
                <w:rFonts w:ascii="Arial" w:cs="Arial" w:eastAsia="Arial" w:hAnsi="Arial"/>
                <w:sz w:val="18"/>
                <w:szCs w:val="18"/>
                <w:color w:val="auto"/>
              </w:rPr>
              <w:t>September 30, 2017</w:t>
            </w:r>
          </w:p>
        </w:tc>
        <w:tc>
          <w:tcPr>
            <w:tcW w:w="2040" w:type="dxa"/>
            <w:vAlign w:val="bottom"/>
            <w:gridSpan w:val="4"/>
          </w:tcPr>
          <w:p>
            <w:pPr>
              <w:jc w:val="right"/>
              <w:ind w:right="280"/>
              <w:spacing w:after="0"/>
              <w:rPr>
                <w:sz w:val="20"/>
                <w:szCs w:val="20"/>
                <w:color w:val="auto"/>
              </w:rPr>
            </w:pPr>
            <w:r>
              <w:rPr>
                <w:rFonts w:ascii="Arial" w:cs="Arial" w:eastAsia="Arial" w:hAnsi="Arial"/>
                <w:sz w:val="18"/>
                <w:szCs w:val="18"/>
                <w:color w:val="auto"/>
              </w:rPr>
              <w:t>September 30, 2016</w:t>
            </w:r>
          </w:p>
        </w:tc>
        <w:tc>
          <w:tcPr>
            <w:tcW w:w="820" w:type="dxa"/>
            <w:vAlign w:val="bottom"/>
          </w:tcPr>
          <w:p>
            <w:pPr>
              <w:spacing w:after="0"/>
              <w:rPr>
                <w:sz w:val="17"/>
                <w:szCs w:val="17"/>
                <w:color w:val="auto"/>
              </w:rPr>
            </w:pPr>
          </w:p>
        </w:tc>
        <w:tc>
          <w:tcPr>
            <w:tcW w:w="1680" w:type="dxa"/>
            <w:vAlign w:val="bottom"/>
            <w:gridSpan w:val="4"/>
          </w:tcPr>
          <w:p>
            <w:pPr>
              <w:jc w:val="right"/>
              <w:ind w:right="220"/>
              <w:spacing w:after="0"/>
              <w:rPr>
                <w:sz w:val="20"/>
                <w:szCs w:val="20"/>
                <w:color w:val="auto"/>
              </w:rPr>
            </w:pPr>
            <w:r>
              <w:rPr>
                <w:rFonts w:ascii="Arial" w:cs="Arial" w:eastAsia="Arial" w:hAnsi="Arial"/>
                <w:sz w:val="18"/>
                <w:szCs w:val="18"/>
                <w:color w:val="auto"/>
                <w:w w:val="88"/>
              </w:rPr>
              <w:t>September 30, 2015</w:t>
            </w: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26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440" w:type="dxa"/>
            <w:vAlign w:val="bottom"/>
            <w:tcBorders>
              <w:top w:val="single" w:sz="8" w:color="auto"/>
            </w:tcBorders>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160" w:type="dxa"/>
            <w:vAlign w:val="bottom"/>
            <w:tcBorders>
              <w:top w:val="single" w:sz="8" w:color="auto"/>
            </w:tcBorders>
          </w:tcPr>
          <w:p>
            <w:pPr>
              <w:spacing w:after="0" w:line="20" w:lineRule="exact"/>
              <w:rPr>
                <w:sz w:val="1"/>
                <w:szCs w:val="1"/>
                <w:color w:val="auto"/>
              </w:rPr>
            </w:pPr>
          </w:p>
        </w:tc>
        <w:tc>
          <w:tcPr>
            <w:tcW w:w="280" w:type="dxa"/>
            <w:vAlign w:val="bottom"/>
            <w:tcBorders>
              <w:top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00" w:type="dxa"/>
            <w:vAlign w:val="bottom"/>
            <w:tcBorders>
              <w:top w:val="single" w:sz="8" w:color="auto"/>
            </w:tcBorders>
          </w:tcPr>
          <w:p>
            <w:pPr>
              <w:spacing w:after="0" w:line="20" w:lineRule="exact"/>
              <w:rPr>
                <w:sz w:val="1"/>
                <w:szCs w:val="1"/>
                <w:color w:val="auto"/>
              </w:rPr>
            </w:pPr>
          </w:p>
        </w:tc>
        <w:tc>
          <w:tcPr>
            <w:tcW w:w="120" w:type="dxa"/>
            <w:vAlign w:val="bottom"/>
            <w:tcBorders>
              <w:top w:val="single" w:sz="8" w:color="auto"/>
            </w:tcBorders>
          </w:tcPr>
          <w:p>
            <w:pPr>
              <w:spacing w:after="0" w:line="20" w:lineRule="exact"/>
              <w:rPr>
                <w:sz w:val="1"/>
                <w:szCs w:val="1"/>
                <w:color w:val="auto"/>
              </w:rPr>
            </w:pPr>
          </w:p>
        </w:tc>
        <w:tc>
          <w:tcPr>
            <w:tcW w:w="1140" w:type="dxa"/>
            <w:vAlign w:val="bottom"/>
            <w:tcBorders>
              <w:top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00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Risk-free interest rate</w:t>
            </w:r>
          </w:p>
        </w:tc>
        <w:tc>
          <w:tcPr>
            <w:tcW w:w="2860" w:type="dxa"/>
            <w:vAlign w:val="bottom"/>
            <w:gridSpan w:val="3"/>
            <w:shd w:val="clear" w:color="auto" w:fill="CFF0FC"/>
          </w:tcPr>
          <w:p>
            <w:pPr>
              <w:jc w:val="right"/>
              <w:ind w:right="860"/>
              <w:spacing w:after="0"/>
              <w:rPr>
                <w:sz w:val="20"/>
                <w:szCs w:val="20"/>
                <w:color w:val="auto"/>
              </w:rPr>
            </w:pPr>
            <w:r>
              <w:rPr>
                <w:rFonts w:ascii="Arial" w:cs="Arial" w:eastAsia="Arial" w:hAnsi="Arial"/>
                <w:sz w:val="18"/>
                <w:szCs w:val="18"/>
                <w:color w:val="auto"/>
              </w:rPr>
              <w:t>1.07%</w:t>
            </w:r>
          </w:p>
        </w:tc>
        <w:tc>
          <w:tcPr>
            <w:tcW w:w="2040" w:type="dxa"/>
            <w:vAlign w:val="bottom"/>
            <w:gridSpan w:val="4"/>
            <w:shd w:val="clear" w:color="auto" w:fill="CFF0FC"/>
          </w:tcPr>
          <w:p>
            <w:pPr>
              <w:jc w:val="right"/>
              <w:ind w:right="280"/>
              <w:spacing w:after="0"/>
              <w:rPr>
                <w:sz w:val="20"/>
                <w:szCs w:val="20"/>
                <w:color w:val="auto"/>
              </w:rPr>
            </w:pPr>
            <w:r>
              <w:rPr>
                <w:rFonts w:ascii="Arial" w:cs="Arial" w:eastAsia="Arial" w:hAnsi="Arial"/>
                <w:sz w:val="18"/>
                <w:szCs w:val="18"/>
                <w:color w:val="auto"/>
              </w:rPr>
              <w:t>0.68%</w:t>
            </w:r>
          </w:p>
        </w:tc>
        <w:tc>
          <w:tcPr>
            <w:tcW w:w="2500" w:type="dxa"/>
            <w:vAlign w:val="bottom"/>
            <w:gridSpan w:val="5"/>
            <w:shd w:val="clear" w:color="auto" w:fill="CFF0FC"/>
          </w:tcPr>
          <w:p>
            <w:pPr>
              <w:jc w:val="right"/>
              <w:ind w:right="220"/>
              <w:spacing w:after="0"/>
              <w:rPr>
                <w:sz w:val="20"/>
                <w:szCs w:val="20"/>
                <w:color w:val="auto"/>
              </w:rPr>
            </w:pPr>
            <w:r>
              <w:rPr>
                <w:rFonts w:ascii="Arial" w:cs="Arial" w:eastAsia="Arial" w:hAnsi="Arial"/>
                <w:sz w:val="18"/>
                <w:szCs w:val="18"/>
                <w:color w:val="auto"/>
              </w:rPr>
              <w:t>0.6%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00" w:type="dxa"/>
            <w:vAlign w:val="bottom"/>
            <w:gridSpan w:val="2"/>
          </w:tcPr>
          <w:p>
            <w:pPr>
              <w:spacing w:after="0"/>
              <w:rPr>
                <w:sz w:val="20"/>
                <w:szCs w:val="20"/>
                <w:color w:val="auto"/>
              </w:rPr>
            </w:pPr>
            <w:r>
              <w:rPr>
                <w:rFonts w:ascii="Arial" w:cs="Arial" w:eastAsia="Arial" w:hAnsi="Arial"/>
                <w:sz w:val="18"/>
                <w:szCs w:val="18"/>
                <w:color w:val="auto"/>
              </w:rPr>
              <w:t>Expected life</w:t>
            </w:r>
          </w:p>
        </w:tc>
        <w:tc>
          <w:tcPr>
            <w:tcW w:w="560" w:type="dxa"/>
            <w:vAlign w:val="bottom"/>
          </w:tcPr>
          <w:p>
            <w:pPr>
              <w:spacing w:after="0"/>
              <w:rPr>
                <w:sz w:val="18"/>
                <w:szCs w:val="18"/>
                <w:color w:val="auto"/>
              </w:rPr>
            </w:pPr>
          </w:p>
        </w:tc>
        <w:tc>
          <w:tcPr>
            <w:tcW w:w="2300" w:type="dxa"/>
            <w:vAlign w:val="bottom"/>
            <w:gridSpan w:val="2"/>
          </w:tcPr>
          <w:p>
            <w:pPr>
              <w:jc w:val="right"/>
              <w:ind w:right="860"/>
              <w:spacing w:after="0"/>
              <w:rPr>
                <w:sz w:val="20"/>
                <w:szCs w:val="20"/>
                <w:color w:val="auto"/>
              </w:rPr>
            </w:pPr>
            <w:r>
              <w:rPr>
                <w:rFonts w:ascii="Arial" w:cs="Arial" w:eastAsia="Arial" w:hAnsi="Arial"/>
                <w:sz w:val="18"/>
                <w:szCs w:val="18"/>
                <w:color w:val="auto"/>
              </w:rPr>
              <w:t>0.2 Years</w:t>
            </w:r>
          </w:p>
        </w:tc>
        <w:tc>
          <w:tcPr>
            <w:tcW w:w="320" w:type="dxa"/>
            <w:vAlign w:val="bottom"/>
          </w:tcPr>
          <w:p>
            <w:pPr>
              <w:spacing w:after="0"/>
              <w:rPr>
                <w:sz w:val="18"/>
                <w:szCs w:val="18"/>
                <w:color w:val="auto"/>
              </w:rPr>
            </w:pPr>
          </w:p>
        </w:tc>
        <w:tc>
          <w:tcPr>
            <w:tcW w:w="1720" w:type="dxa"/>
            <w:vAlign w:val="bottom"/>
            <w:gridSpan w:val="3"/>
          </w:tcPr>
          <w:p>
            <w:pPr>
              <w:jc w:val="right"/>
              <w:ind w:right="280"/>
              <w:spacing w:after="0"/>
              <w:rPr>
                <w:sz w:val="20"/>
                <w:szCs w:val="20"/>
                <w:color w:val="auto"/>
              </w:rPr>
            </w:pPr>
            <w:r>
              <w:rPr>
                <w:rFonts w:ascii="Arial" w:cs="Arial" w:eastAsia="Arial" w:hAnsi="Arial"/>
                <w:sz w:val="18"/>
                <w:szCs w:val="18"/>
                <w:color w:val="auto"/>
              </w:rPr>
              <w:t>1.2 Years</w:t>
            </w:r>
          </w:p>
        </w:tc>
        <w:tc>
          <w:tcPr>
            <w:tcW w:w="8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2.2 Years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0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Dividend yield</w:t>
            </w:r>
          </w:p>
        </w:tc>
        <w:tc>
          <w:tcPr>
            <w:tcW w:w="560" w:type="dxa"/>
            <w:vAlign w:val="bottom"/>
            <w:shd w:val="clear" w:color="auto" w:fill="CFF0FC"/>
          </w:tcPr>
          <w:p>
            <w:pPr>
              <w:spacing w:after="0"/>
              <w:rPr>
                <w:sz w:val="18"/>
                <w:szCs w:val="18"/>
                <w:color w:val="auto"/>
              </w:rPr>
            </w:pPr>
          </w:p>
        </w:tc>
        <w:tc>
          <w:tcPr>
            <w:tcW w:w="2300" w:type="dxa"/>
            <w:vAlign w:val="bottom"/>
            <w:gridSpan w:val="2"/>
            <w:shd w:val="clear" w:color="auto" w:fill="CFF0FC"/>
          </w:tcPr>
          <w:p>
            <w:pPr>
              <w:jc w:val="right"/>
              <w:ind w:right="860"/>
              <w:spacing w:after="0"/>
              <w:rPr>
                <w:sz w:val="20"/>
                <w:szCs w:val="20"/>
                <w:color w:val="auto"/>
              </w:rPr>
            </w:pPr>
            <w:r>
              <w:rPr>
                <w:rFonts w:ascii="Arial" w:cs="Arial" w:eastAsia="Arial" w:hAnsi="Arial"/>
                <w:sz w:val="18"/>
                <w:szCs w:val="18"/>
                <w:color w:val="auto"/>
              </w:rPr>
              <w:t>—</w:t>
            </w:r>
          </w:p>
        </w:tc>
        <w:tc>
          <w:tcPr>
            <w:tcW w:w="320" w:type="dxa"/>
            <w:vAlign w:val="bottom"/>
            <w:shd w:val="clear" w:color="auto" w:fill="CFF0FC"/>
          </w:tcPr>
          <w:p>
            <w:pPr>
              <w:spacing w:after="0"/>
              <w:rPr>
                <w:sz w:val="18"/>
                <w:szCs w:val="18"/>
                <w:color w:val="auto"/>
              </w:rPr>
            </w:pPr>
          </w:p>
        </w:tc>
        <w:tc>
          <w:tcPr>
            <w:tcW w:w="1160" w:type="dxa"/>
            <w:vAlign w:val="bottom"/>
            <w:shd w:val="clear" w:color="auto" w:fill="CFF0FC"/>
          </w:tcPr>
          <w:p>
            <w:pPr>
              <w:spacing w:after="0"/>
              <w:rPr>
                <w:sz w:val="18"/>
                <w:szCs w:val="18"/>
                <w:color w:val="auto"/>
              </w:rPr>
            </w:pPr>
          </w:p>
        </w:tc>
        <w:tc>
          <w:tcPr>
            <w:tcW w:w="560" w:type="dxa"/>
            <w:vAlign w:val="bottom"/>
            <w:gridSpan w:val="2"/>
            <w:shd w:val="clear" w:color="auto" w:fill="CFF0FC"/>
          </w:tcPr>
          <w:p>
            <w:pPr>
              <w:jc w:val="right"/>
              <w:ind w:right="280"/>
              <w:spacing w:after="0"/>
              <w:rPr>
                <w:sz w:val="20"/>
                <w:szCs w:val="20"/>
                <w:color w:val="auto"/>
              </w:rPr>
            </w:pPr>
            <w:r>
              <w:rPr>
                <w:rFonts w:ascii="Arial" w:cs="Arial" w:eastAsia="Arial" w:hAnsi="Arial"/>
                <w:sz w:val="18"/>
                <w:szCs w:val="18"/>
                <w:color w:val="auto"/>
              </w:rPr>
              <w:t>—</w:t>
            </w:r>
          </w:p>
        </w:tc>
        <w:tc>
          <w:tcPr>
            <w:tcW w:w="8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36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00" w:type="dxa"/>
            <w:vAlign w:val="bottom"/>
            <w:gridSpan w:val="2"/>
          </w:tcPr>
          <w:p>
            <w:pPr>
              <w:spacing w:after="0"/>
              <w:rPr>
                <w:sz w:val="20"/>
                <w:szCs w:val="20"/>
                <w:color w:val="auto"/>
              </w:rPr>
            </w:pPr>
            <w:r>
              <w:rPr>
                <w:rFonts w:ascii="Arial" w:cs="Arial" w:eastAsia="Arial" w:hAnsi="Arial"/>
                <w:sz w:val="18"/>
                <w:szCs w:val="18"/>
                <w:color w:val="auto"/>
              </w:rPr>
              <w:t>Volatility</w:t>
            </w:r>
          </w:p>
        </w:tc>
        <w:tc>
          <w:tcPr>
            <w:tcW w:w="2860" w:type="dxa"/>
            <w:vAlign w:val="bottom"/>
            <w:gridSpan w:val="3"/>
          </w:tcPr>
          <w:p>
            <w:pPr>
              <w:jc w:val="right"/>
              <w:ind w:right="860"/>
              <w:spacing w:after="0"/>
              <w:rPr>
                <w:sz w:val="20"/>
                <w:szCs w:val="20"/>
                <w:color w:val="auto"/>
              </w:rPr>
            </w:pPr>
            <w:r>
              <w:rPr>
                <w:rFonts w:ascii="Arial" w:cs="Arial" w:eastAsia="Arial" w:hAnsi="Arial"/>
                <w:sz w:val="18"/>
                <w:szCs w:val="18"/>
                <w:color w:val="auto"/>
              </w:rPr>
              <w:t>79%</w:t>
            </w:r>
          </w:p>
        </w:tc>
        <w:tc>
          <w:tcPr>
            <w:tcW w:w="2040" w:type="dxa"/>
            <w:vAlign w:val="bottom"/>
            <w:gridSpan w:val="4"/>
          </w:tcPr>
          <w:p>
            <w:pPr>
              <w:jc w:val="right"/>
              <w:ind w:right="280"/>
              <w:spacing w:after="0"/>
              <w:rPr>
                <w:sz w:val="20"/>
                <w:szCs w:val="20"/>
                <w:color w:val="auto"/>
              </w:rPr>
            </w:pPr>
            <w:r>
              <w:rPr>
                <w:rFonts w:ascii="Arial" w:cs="Arial" w:eastAsia="Arial" w:hAnsi="Arial"/>
                <w:sz w:val="18"/>
                <w:szCs w:val="18"/>
                <w:color w:val="auto"/>
              </w:rPr>
              <w:t>89%</w:t>
            </w:r>
          </w:p>
        </w:tc>
        <w:tc>
          <w:tcPr>
            <w:tcW w:w="2500" w:type="dxa"/>
            <w:vAlign w:val="bottom"/>
            <w:gridSpan w:val="5"/>
          </w:tcPr>
          <w:p>
            <w:pPr>
              <w:jc w:val="right"/>
              <w:ind w:right="220"/>
              <w:spacing w:after="0"/>
              <w:rPr>
                <w:sz w:val="20"/>
                <w:szCs w:val="20"/>
                <w:color w:val="auto"/>
              </w:rPr>
            </w:pPr>
            <w:r>
              <w:rPr>
                <w:rFonts w:ascii="Arial" w:cs="Arial" w:eastAsia="Arial" w:hAnsi="Arial"/>
                <w:sz w:val="18"/>
                <w:szCs w:val="18"/>
                <w:color w:val="auto"/>
              </w:rPr>
              <w:t>75%</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360" w:type="dxa"/>
            <w:vAlign w:val="bottom"/>
            <w:shd w:val="clear" w:color="auto" w:fill="CFF0FC"/>
          </w:tcPr>
          <w:p>
            <w:pPr>
              <w:spacing w:after="0"/>
              <w:rPr>
                <w:sz w:val="18"/>
                <w:szCs w:val="18"/>
                <w:color w:val="auto"/>
              </w:rPr>
            </w:pPr>
          </w:p>
        </w:tc>
        <w:tc>
          <w:tcPr>
            <w:tcW w:w="2640" w:type="dxa"/>
            <w:vAlign w:val="bottom"/>
            <w:shd w:val="clear" w:color="auto" w:fill="CFF0FC"/>
          </w:tcPr>
          <w:p>
            <w:pPr>
              <w:spacing w:after="0"/>
              <w:rPr>
                <w:sz w:val="18"/>
                <w:szCs w:val="18"/>
                <w:color w:val="auto"/>
              </w:rPr>
            </w:pPr>
          </w:p>
        </w:tc>
        <w:tc>
          <w:tcPr>
            <w:tcW w:w="560" w:type="dxa"/>
            <w:vAlign w:val="bottom"/>
            <w:shd w:val="clear" w:color="auto" w:fill="CFF0FC"/>
          </w:tcPr>
          <w:p>
            <w:pPr>
              <w:spacing w:after="0"/>
              <w:rPr>
                <w:sz w:val="18"/>
                <w:szCs w:val="18"/>
                <w:color w:val="auto"/>
              </w:rPr>
            </w:pPr>
          </w:p>
        </w:tc>
        <w:tc>
          <w:tcPr>
            <w:tcW w:w="144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16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1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20" w:type="dxa"/>
            <w:vAlign w:val="bottom"/>
            <w:vMerge w:val="continue"/>
          </w:tcPr>
          <w:p>
            <w:pPr>
              <w:spacing w:after="0"/>
              <w:rPr>
                <w:sz w:val="15"/>
                <w:szCs w:val="15"/>
                <w:color w:val="auto"/>
              </w:rPr>
            </w:pPr>
          </w:p>
        </w:tc>
        <w:tc>
          <w:tcPr>
            <w:tcW w:w="4000" w:type="dxa"/>
            <w:vAlign w:val="bottom"/>
            <w:gridSpan w:val="2"/>
          </w:tcPr>
          <w:p>
            <w:pPr>
              <w:spacing w:after="0" w:line="176" w:lineRule="exact"/>
              <w:rPr>
                <w:sz w:val="20"/>
                <w:szCs w:val="20"/>
                <w:color w:val="auto"/>
              </w:rPr>
            </w:pPr>
            <w:r>
              <w:rPr>
                <w:rFonts w:ascii="Arial" w:cs="Arial" w:eastAsia="Arial" w:hAnsi="Arial"/>
                <w:sz w:val="18"/>
                <w:szCs w:val="18"/>
                <w:b w:val="1"/>
                <w:bCs w:val="1"/>
                <w:color w:val="auto"/>
              </w:rPr>
              <w:t>2013 Warrants</w:t>
            </w:r>
          </w:p>
        </w:tc>
        <w:tc>
          <w:tcPr>
            <w:tcW w:w="2860" w:type="dxa"/>
            <w:vAlign w:val="bottom"/>
            <w:gridSpan w:val="3"/>
          </w:tcPr>
          <w:p>
            <w:pPr>
              <w:jc w:val="right"/>
              <w:ind w:right="860"/>
              <w:spacing w:after="0" w:line="176" w:lineRule="exact"/>
              <w:rPr>
                <w:sz w:val="20"/>
                <w:szCs w:val="20"/>
                <w:color w:val="auto"/>
              </w:rPr>
            </w:pPr>
            <w:r>
              <w:rPr>
                <w:rFonts w:ascii="Arial" w:cs="Arial" w:eastAsia="Arial" w:hAnsi="Arial"/>
                <w:sz w:val="18"/>
                <w:szCs w:val="18"/>
                <w:color w:val="auto"/>
              </w:rPr>
              <w:t>September 30, 2017</w:t>
            </w:r>
          </w:p>
        </w:tc>
        <w:tc>
          <w:tcPr>
            <w:tcW w:w="2040" w:type="dxa"/>
            <w:vAlign w:val="bottom"/>
            <w:gridSpan w:val="4"/>
          </w:tcPr>
          <w:p>
            <w:pPr>
              <w:jc w:val="right"/>
              <w:ind w:right="280"/>
              <w:spacing w:after="0" w:line="176" w:lineRule="exact"/>
              <w:rPr>
                <w:sz w:val="20"/>
                <w:szCs w:val="20"/>
                <w:color w:val="auto"/>
              </w:rPr>
            </w:pPr>
            <w:r>
              <w:rPr>
                <w:rFonts w:ascii="Arial" w:cs="Arial" w:eastAsia="Arial" w:hAnsi="Arial"/>
                <w:sz w:val="18"/>
                <w:szCs w:val="18"/>
                <w:color w:val="auto"/>
              </w:rPr>
              <w:t>September 30, 2016</w:t>
            </w:r>
          </w:p>
        </w:tc>
        <w:tc>
          <w:tcPr>
            <w:tcW w:w="820" w:type="dxa"/>
            <w:vAlign w:val="bottom"/>
          </w:tcPr>
          <w:p>
            <w:pPr>
              <w:spacing w:after="0"/>
              <w:rPr>
                <w:sz w:val="15"/>
                <w:szCs w:val="15"/>
                <w:color w:val="auto"/>
              </w:rPr>
            </w:pPr>
          </w:p>
        </w:tc>
        <w:tc>
          <w:tcPr>
            <w:tcW w:w="1680" w:type="dxa"/>
            <w:vAlign w:val="bottom"/>
            <w:gridSpan w:val="4"/>
          </w:tcPr>
          <w:p>
            <w:pPr>
              <w:jc w:val="right"/>
              <w:ind w:right="220"/>
              <w:spacing w:after="0" w:line="176" w:lineRule="exact"/>
              <w:rPr>
                <w:sz w:val="20"/>
                <w:szCs w:val="20"/>
                <w:color w:val="auto"/>
              </w:rPr>
            </w:pPr>
            <w:r>
              <w:rPr>
                <w:rFonts w:ascii="Arial" w:cs="Arial" w:eastAsia="Arial" w:hAnsi="Arial"/>
                <w:sz w:val="18"/>
                <w:szCs w:val="18"/>
                <w:color w:val="auto"/>
                <w:w w:val="88"/>
              </w:rPr>
              <w:t>September 30, 2015</w:t>
            </w: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26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440" w:type="dxa"/>
            <w:vAlign w:val="bottom"/>
            <w:tcBorders>
              <w:top w:val="single" w:sz="8" w:color="auto"/>
            </w:tcBorders>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160" w:type="dxa"/>
            <w:vAlign w:val="bottom"/>
            <w:tcBorders>
              <w:top w:val="single" w:sz="8" w:color="auto"/>
            </w:tcBorders>
          </w:tcPr>
          <w:p>
            <w:pPr>
              <w:spacing w:after="0" w:line="20" w:lineRule="exact"/>
              <w:rPr>
                <w:sz w:val="1"/>
                <w:szCs w:val="1"/>
                <w:color w:val="auto"/>
              </w:rPr>
            </w:pPr>
          </w:p>
        </w:tc>
        <w:tc>
          <w:tcPr>
            <w:tcW w:w="280" w:type="dxa"/>
            <w:vAlign w:val="bottom"/>
            <w:tcBorders>
              <w:top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00" w:type="dxa"/>
            <w:vAlign w:val="bottom"/>
            <w:tcBorders>
              <w:top w:val="single" w:sz="8" w:color="auto"/>
            </w:tcBorders>
          </w:tcPr>
          <w:p>
            <w:pPr>
              <w:spacing w:after="0" w:line="20" w:lineRule="exact"/>
              <w:rPr>
                <w:sz w:val="1"/>
                <w:szCs w:val="1"/>
                <w:color w:val="auto"/>
              </w:rPr>
            </w:pPr>
          </w:p>
        </w:tc>
        <w:tc>
          <w:tcPr>
            <w:tcW w:w="120" w:type="dxa"/>
            <w:vAlign w:val="bottom"/>
            <w:tcBorders>
              <w:top w:val="single" w:sz="8" w:color="auto"/>
            </w:tcBorders>
          </w:tcPr>
          <w:p>
            <w:pPr>
              <w:spacing w:after="0" w:line="20" w:lineRule="exact"/>
              <w:rPr>
                <w:sz w:val="1"/>
                <w:szCs w:val="1"/>
                <w:color w:val="auto"/>
              </w:rPr>
            </w:pPr>
          </w:p>
        </w:tc>
        <w:tc>
          <w:tcPr>
            <w:tcW w:w="1140" w:type="dxa"/>
            <w:vAlign w:val="bottom"/>
            <w:tcBorders>
              <w:top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00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Risk-free interest rate</w:t>
            </w:r>
          </w:p>
        </w:tc>
        <w:tc>
          <w:tcPr>
            <w:tcW w:w="2860" w:type="dxa"/>
            <w:vAlign w:val="bottom"/>
            <w:gridSpan w:val="3"/>
            <w:shd w:val="clear" w:color="auto" w:fill="CFF0FC"/>
          </w:tcPr>
          <w:p>
            <w:pPr>
              <w:jc w:val="right"/>
              <w:ind w:right="860"/>
              <w:spacing w:after="0"/>
              <w:rPr>
                <w:sz w:val="20"/>
                <w:szCs w:val="20"/>
                <w:color w:val="auto"/>
              </w:rPr>
            </w:pPr>
            <w:r>
              <w:rPr>
                <w:rFonts w:ascii="Arial" w:cs="Arial" w:eastAsia="Arial" w:hAnsi="Arial"/>
                <w:sz w:val="18"/>
                <w:szCs w:val="18"/>
                <w:color w:val="auto"/>
              </w:rPr>
              <w:t>1.07%</w:t>
            </w:r>
          </w:p>
        </w:tc>
        <w:tc>
          <w:tcPr>
            <w:tcW w:w="2040" w:type="dxa"/>
            <w:vAlign w:val="bottom"/>
            <w:gridSpan w:val="4"/>
            <w:shd w:val="clear" w:color="auto" w:fill="CFF0FC"/>
          </w:tcPr>
          <w:p>
            <w:pPr>
              <w:jc w:val="right"/>
              <w:ind w:right="280"/>
              <w:spacing w:after="0"/>
              <w:rPr>
                <w:sz w:val="20"/>
                <w:szCs w:val="20"/>
                <w:color w:val="auto"/>
              </w:rPr>
            </w:pPr>
            <w:r>
              <w:rPr>
                <w:rFonts w:ascii="Arial" w:cs="Arial" w:eastAsia="Arial" w:hAnsi="Arial"/>
                <w:sz w:val="18"/>
                <w:szCs w:val="18"/>
                <w:color w:val="auto"/>
              </w:rPr>
              <w:t>0.68%</w:t>
            </w:r>
          </w:p>
        </w:tc>
        <w:tc>
          <w:tcPr>
            <w:tcW w:w="2500" w:type="dxa"/>
            <w:vAlign w:val="bottom"/>
            <w:gridSpan w:val="5"/>
            <w:shd w:val="clear" w:color="auto" w:fill="CFF0FC"/>
          </w:tcPr>
          <w:p>
            <w:pPr>
              <w:jc w:val="right"/>
              <w:ind w:right="220"/>
              <w:spacing w:after="0"/>
              <w:rPr>
                <w:sz w:val="20"/>
                <w:szCs w:val="20"/>
                <w:color w:val="auto"/>
              </w:rPr>
            </w:pPr>
            <w:r>
              <w:rPr>
                <w:rFonts w:ascii="Arial" w:cs="Arial" w:eastAsia="Arial" w:hAnsi="Arial"/>
                <w:sz w:val="18"/>
                <w:szCs w:val="18"/>
                <w:color w:val="auto"/>
              </w:rPr>
              <w:t>0.6%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00" w:type="dxa"/>
            <w:vAlign w:val="bottom"/>
            <w:gridSpan w:val="2"/>
          </w:tcPr>
          <w:p>
            <w:pPr>
              <w:spacing w:after="0"/>
              <w:rPr>
                <w:sz w:val="20"/>
                <w:szCs w:val="20"/>
                <w:color w:val="auto"/>
              </w:rPr>
            </w:pPr>
            <w:r>
              <w:rPr>
                <w:rFonts w:ascii="Arial" w:cs="Arial" w:eastAsia="Arial" w:hAnsi="Arial"/>
                <w:sz w:val="18"/>
                <w:szCs w:val="18"/>
                <w:color w:val="auto"/>
              </w:rPr>
              <w:t>Expected life</w:t>
            </w:r>
          </w:p>
        </w:tc>
        <w:tc>
          <w:tcPr>
            <w:tcW w:w="560" w:type="dxa"/>
            <w:vAlign w:val="bottom"/>
          </w:tcPr>
          <w:p>
            <w:pPr>
              <w:spacing w:after="0"/>
              <w:rPr>
                <w:sz w:val="18"/>
                <w:szCs w:val="18"/>
                <w:color w:val="auto"/>
              </w:rPr>
            </w:pPr>
          </w:p>
        </w:tc>
        <w:tc>
          <w:tcPr>
            <w:tcW w:w="2300" w:type="dxa"/>
            <w:vAlign w:val="bottom"/>
            <w:gridSpan w:val="2"/>
          </w:tcPr>
          <w:p>
            <w:pPr>
              <w:jc w:val="right"/>
              <w:ind w:right="860"/>
              <w:spacing w:after="0"/>
              <w:rPr>
                <w:sz w:val="20"/>
                <w:szCs w:val="20"/>
                <w:color w:val="auto"/>
              </w:rPr>
            </w:pPr>
            <w:r>
              <w:rPr>
                <w:rFonts w:ascii="Arial" w:cs="Arial" w:eastAsia="Arial" w:hAnsi="Arial"/>
                <w:sz w:val="18"/>
                <w:szCs w:val="18"/>
                <w:color w:val="auto"/>
              </w:rPr>
              <w:t>0.3 Years</w:t>
            </w:r>
          </w:p>
        </w:tc>
        <w:tc>
          <w:tcPr>
            <w:tcW w:w="320" w:type="dxa"/>
            <w:vAlign w:val="bottom"/>
          </w:tcPr>
          <w:p>
            <w:pPr>
              <w:spacing w:after="0"/>
              <w:rPr>
                <w:sz w:val="18"/>
                <w:szCs w:val="18"/>
                <w:color w:val="auto"/>
              </w:rPr>
            </w:pPr>
          </w:p>
        </w:tc>
        <w:tc>
          <w:tcPr>
            <w:tcW w:w="1720" w:type="dxa"/>
            <w:vAlign w:val="bottom"/>
            <w:gridSpan w:val="3"/>
          </w:tcPr>
          <w:p>
            <w:pPr>
              <w:jc w:val="right"/>
              <w:ind w:right="280"/>
              <w:spacing w:after="0"/>
              <w:rPr>
                <w:sz w:val="20"/>
                <w:szCs w:val="20"/>
                <w:color w:val="auto"/>
              </w:rPr>
            </w:pPr>
            <w:r>
              <w:rPr>
                <w:rFonts w:ascii="Arial" w:cs="Arial" w:eastAsia="Arial" w:hAnsi="Arial"/>
                <w:sz w:val="18"/>
                <w:szCs w:val="18"/>
                <w:color w:val="auto"/>
              </w:rPr>
              <w:t>1.3 Years</w:t>
            </w:r>
          </w:p>
        </w:tc>
        <w:tc>
          <w:tcPr>
            <w:tcW w:w="8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2.3 Years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0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Dividend yield</w:t>
            </w:r>
          </w:p>
        </w:tc>
        <w:tc>
          <w:tcPr>
            <w:tcW w:w="560" w:type="dxa"/>
            <w:vAlign w:val="bottom"/>
            <w:shd w:val="clear" w:color="auto" w:fill="CFF0FC"/>
          </w:tcPr>
          <w:p>
            <w:pPr>
              <w:spacing w:after="0"/>
              <w:rPr>
                <w:sz w:val="18"/>
                <w:szCs w:val="18"/>
                <w:color w:val="auto"/>
              </w:rPr>
            </w:pPr>
          </w:p>
        </w:tc>
        <w:tc>
          <w:tcPr>
            <w:tcW w:w="2300" w:type="dxa"/>
            <w:vAlign w:val="bottom"/>
            <w:gridSpan w:val="2"/>
            <w:shd w:val="clear" w:color="auto" w:fill="CFF0FC"/>
          </w:tcPr>
          <w:p>
            <w:pPr>
              <w:jc w:val="right"/>
              <w:ind w:right="860"/>
              <w:spacing w:after="0"/>
              <w:rPr>
                <w:sz w:val="20"/>
                <w:szCs w:val="20"/>
                <w:color w:val="auto"/>
              </w:rPr>
            </w:pPr>
            <w:r>
              <w:rPr>
                <w:rFonts w:ascii="Arial" w:cs="Arial" w:eastAsia="Arial" w:hAnsi="Arial"/>
                <w:sz w:val="18"/>
                <w:szCs w:val="18"/>
                <w:color w:val="auto"/>
              </w:rPr>
              <w:t>—</w:t>
            </w:r>
          </w:p>
        </w:tc>
        <w:tc>
          <w:tcPr>
            <w:tcW w:w="320" w:type="dxa"/>
            <w:vAlign w:val="bottom"/>
            <w:shd w:val="clear" w:color="auto" w:fill="CFF0FC"/>
          </w:tcPr>
          <w:p>
            <w:pPr>
              <w:spacing w:after="0"/>
              <w:rPr>
                <w:sz w:val="18"/>
                <w:szCs w:val="18"/>
                <w:color w:val="auto"/>
              </w:rPr>
            </w:pPr>
          </w:p>
        </w:tc>
        <w:tc>
          <w:tcPr>
            <w:tcW w:w="1160" w:type="dxa"/>
            <w:vAlign w:val="bottom"/>
            <w:shd w:val="clear" w:color="auto" w:fill="CFF0FC"/>
          </w:tcPr>
          <w:p>
            <w:pPr>
              <w:spacing w:after="0"/>
              <w:rPr>
                <w:sz w:val="18"/>
                <w:szCs w:val="18"/>
                <w:color w:val="auto"/>
              </w:rPr>
            </w:pPr>
          </w:p>
        </w:tc>
        <w:tc>
          <w:tcPr>
            <w:tcW w:w="560" w:type="dxa"/>
            <w:vAlign w:val="bottom"/>
            <w:gridSpan w:val="2"/>
            <w:shd w:val="clear" w:color="auto" w:fill="CFF0FC"/>
          </w:tcPr>
          <w:p>
            <w:pPr>
              <w:jc w:val="right"/>
              <w:ind w:right="280"/>
              <w:spacing w:after="0"/>
              <w:rPr>
                <w:sz w:val="20"/>
                <w:szCs w:val="20"/>
                <w:color w:val="auto"/>
              </w:rPr>
            </w:pPr>
            <w:r>
              <w:rPr>
                <w:rFonts w:ascii="Arial" w:cs="Arial" w:eastAsia="Arial" w:hAnsi="Arial"/>
                <w:sz w:val="18"/>
                <w:szCs w:val="18"/>
                <w:color w:val="auto"/>
              </w:rPr>
              <w:t>—</w:t>
            </w:r>
          </w:p>
        </w:tc>
        <w:tc>
          <w:tcPr>
            <w:tcW w:w="8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36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000" w:type="dxa"/>
            <w:vAlign w:val="bottom"/>
            <w:gridSpan w:val="2"/>
          </w:tcPr>
          <w:p>
            <w:pPr>
              <w:spacing w:after="0"/>
              <w:rPr>
                <w:sz w:val="20"/>
                <w:szCs w:val="20"/>
                <w:color w:val="auto"/>
              </w:rPr>
            </w:pPr>
            <w:r>
              <w:rPr>
                <w:rFonts w:ascii="Arial" w:cs="Arial" w:eastAsia="Arial" w:hAnsi="Arial"/>
                <w:sz w:val="18"/>
                <w:szCs w:val="18"/>
                <w:color w:val="auto"/>
              </w:rPr>
              <w:t>Volatility</w:t>
            </w:r>
          </w:p>
        </w:tc>
        <w:tc>
          <w:tcPr>
            <w:tcW w:w="2860" w:type="dxa"/>
            <w:vAlign w:val="bottom"/>
            <w:gridSpan w:val="3"/>
          </w:tcPr>
          <w:p>
            <w:pPr>
              <w:jc w:val="right"/>
              <w:ind w:right="860"/>
              <w:spacing w:after="0"/>
              <w:rPr>
                <w:sz w:val="20"/>
                <w:szCs w:val="20"/>
                <w:color w:val="auto"/>
              </w:rPr>
            </w:pPr>
            <w:r>
              <w:rPr>
                <w:rFonts w:ascii="Arial" w:cs="Arial" w:eastAsia="Arial" w:hAnsi="Arial"/>
                <w:sz w:val="18"/>
                <w:szCs w:val="18"/>
                <w:color w:val="auto"/>
              </w:rPr>
              <w:t>79%</w:t>
            </w:r>
          </w:p>
        </w:tc>
        <w:tc>
          <w:tcPr>
            <w:tcW w:w="2040" w:type="dxa"/>
            <w:vAlign w:val="bottom"/>
            <w:gridSpan w:val="4"/>
          </w:tcPr>
          <w:p>
            <w:pPr>
              <w:jc w:val="right"/>
              <w:ind w:right="280"/>
              <w:spacing w:after="0"/>
              <w:rPr>
                <w:sz w:val="20"/>
                <w:szCs w:val="20"/>
                <w:color w:val="auto"/>
              </w:rPr>
            </w:pPr>
            <w:r>
              <w:rPr>
                <w:rFonts w:ascii="Arial" w:cs="Arial" w:eastAsia="Arial" w:hAnsi="Arial"/>
                <w:sz w:val="18"/>
                <w:szCs w:val="18"/>
                <w:color w:val="auto"/>
              </w:rPr>
              <w:t>89%</w:t>
            </w:r>
          </w:p>
        </w:tc>
        <w:tc>
          <w:tcPr>
            <w:tcW w:w="2500" w:type="dxa"/>
            <w:vAlign w:val="bottom"/>
            <w:gridSpan w:val="5"/>
          </w:tcPr>
          <w:p>
            <w:pPr>
              <w:jc w:val="right"/>
              <w:ind w:right="220"/>
              <w:spacing w:after="0"/>
              <w:rPr>
                <w:sz w:val="20"/>
                <w:szCs w:val="20"/>
                <w:color w:val="auto"/>
              </w:rPr>
            </w:pPr>
            <w:r>
              <w:rPr>
                <w:rFonts w:ascii="Arial" w:cs="Arial" w:eastAsia="Arial" w:hAnsi="Arial"/>
                <w:sz w:val="18"/>
                <w:szCs w:val="18"/>
                <w:color w:val="auto"/>
              </w:rPr>
              <w:t>75%</w:t>
            </w:r>
          </w:p>
        </w:tc>
        <w:tc>
          <w:tcPr>
            <w:tcW w:w="0" w:type="dxa"/>
            <w:vAlign w:val="bottom"/>
          </w:tcPr>
          <w:p>
            <w:pPr>
              <w:spacing w:after="0"/>
              <w:rPr>
                <w:sz w:val="1"/>
                <w:szCs w:val="1"/>
                <w:color w:val="auto"/>
              </w:rPr>
            </w:pPr>
          </w:p>
        </w:tc>
      </w:tr>
      <w:tr>
        <w:trPr>
          <w:trHeight w:val="418"/>
        </w:trPr>
        <w:tc>
          <w:tcPr>
            <w:tcW w:w="20" w:type="dxa"/>
            <w:vAlign w:val="bottom"/>
          </w:tcPr>
          <w:p>
            <w:pPr>
              <w:spacing w:after="0"/>
              <w:rPr>
                <w:sz w:val="24"/>
                <w:szCs w:val="24"/>
                <w:color w:val="auto"/>
              </w:rPr>
            </w:pPr>
          </w:p>
        </w:tc>
        <w:tc>
          <w:tcPr>
            <w:tcW w:w="6860" w:type="dxa"/>
            <w:vAlign w:val="bottom"/>
            <w:gridSpan w:val="5"/>
          </w:tcPr>
          <w:p>
            <w:pPr>
              <w:ind w:left="500"/>
              <w:spacing w:after="0"/>
              <w:rPr>
                <w:sz w:val="20"/>
                <w:szCs w:val="20"/>
                <w:color w:val="auto"/>
              </w:rPr>
            </w:pPr>
            <w:r>
              <w:rPr>
                <w:rFonts w:ascii="Arial" w:cs="Arial" w:eastAsia="Arial" w:hAnsi="Arial"/>
                <w:sz w:val="18"/>
                <w:szCs w:val="18"/>
                <w:color w:val="auto"/>
                <w:w w:val="97"/>
              </w:rPr>
              <w:t>The following is a reconciliation of the derivative liability related to these warrants:</w:t>
            </w:r>
          </w:p>
        </w:tc>
        <w:tc>
          <w:tcPr>
            <w:tcW w:w="3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1360" w:type="dxa"/>
            <w:vAlign w:val="bottom"/>
            <w:vMerge w:val="restart"/>
          </w:tcPr>
          <w:p>
            <w:pPr>
              <w:spacing w:after="0"/>
              <w:rPr>
                <w:sz w:val="21"/>
                <w:szCs w:val="21"/>
                <w:color w:val="auto"/>
              </w:rPr>
            </w:pPr>
          </w:p>
        </w:tc>
        <w:tc>
          <w:tcPr>
            <w:tcW w:w="264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44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360" w:type="dxa"/>
            <w:vAlign w:val="bottom"/>
            <w:vMerge w:val="continue"/>
          </w:tcPr>
          <w:p>
            <w:pPr>
              <w:spacing w:after="0"/>
              <w:rPr>
                <w:sz w:val="18"/>
                <w:szCs w:val="18"/>
                <w:color w:val="auto"/>
              </w:rPr>
            </w:pPr>
          </w:p>
        </w:tc>
        <w:tc>
          <w:tcPr>
            <w:tcW w:w="2640" w:type="dxa"/>
            <w:vAlign w:val="bottom"/>
            <w:shd w:val="clear" w:color="auto" w:fill="CFF0FC"/>
          </w:tcPr>
          <w:p>
            <w:pPr>
              <w:spacing w:after="0"/>
              <w:rPr>
                <w:sz w:val="20"/>
                <w:szCs w:val="20"/>
                <w:color w:val="auto"/>
              </w:rPr>
            </w:pPr>
            <w:r>
              <w:rPr>
                <w:rFonts w:ascii="Arial" w:cs="Arial" w:eastAsia="Arial" w:hAnsi="Arial"/>
                <w:sz w:val="18"/>
                <w:szCs w:val="18"/>
                <w:color w:val="auto"/>
              </w:rPr>
              <w:t>Value at September 30, 2016</w:t>
            </w:r>
          </w:p>
        </w:tc>
        <w:tc>
          <w:tcPr>
            <w:tcW w:w="560" w:type="dxa"/>
            <w:vAlign w:val="bottom"/>
            <w:shd w:val="clear" w:color="auto" w:fill="CFF0FC"/>
          </w:tcPr>
          <w:p>
            <w:pPr>
              <w:spacing w:after="0"/>
              <w:rPr>
                <w:sz w:val="18"/>
                <w:szCs w:val="18"/>
                <w:color w:val="auto"/>
              </w:rPr>
            </w:pPr>
          </w:p>
        </w:tc>
        <w:tc>
          <w:tcPr>
            <w:tcW w:w="144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1760" w:type="dxa"/>
            <w:vAlign w:val="bottom"/>
            <w:gridSpan w:val="3"/>
            <w:shd w:val="clear" w:color="auto" w:fill="CFF0FC"/>
          </w:tcPr>
          <w:p>
            <w:pPr>
              <w:jc w:val="right"/>
              <w:ind w:right="115"/>
              <w:spacing w:after="0"/>
              <w:rPr>
                <w:sz w:val="20"/>
                <w:szCs w:val="20"/>
                <w:color w:val="auto"/>
              </w:rPr>
            </w:pPr>
            <w:r>
              <w:rPr>
                <w:rFonts w:ascii="Arial" w:cs="Arial" w:eastAsia="Arial" w:hAnsi="Arial"/>
                <w:sz w:val="18"/>
                <w:szCs w:val="18"/>
                <w:color w:val="auto"/>
              </w:rPr>
              <w:t>$</w:t>
            </w:r>
          </w:p>
        </w:tc>
        <w:tc>
          <w:tcPr>
            <w:tcW w:w="280" w:type="dxa"/>
            <w:vAlign w:val="bottom"/>
            <w:shd w:val="clear" w:color="auto" w:fill="CFF0FC"/>
          </w:tcPr>
          <w:p>
            <w:pPr>
              <w:spacing w:after="0"/>
              <w:rPr>
                <w:sz w:val="18"/>
                <w:szCs w:val="18"/>
                <w:color w:val="auto"/>
              </w:rPr>
            </w:pPr>
          </w:p>
        </w:tc>
        <w:tc>
          <w:tcPr>
            <w:tcW w:w="10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1,565,874</w:t>
            </w:r>
          </w:p>
        </w:tc>
        <w:tc>
          <w:tcPr>
            <w:tcW w:w="120" w:type="dxa"/>
            <w:vAlign w:val="bottom"/>
            <w:shd w:val="clear" w:color="auto" w:fill="CFF0FC"/>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640" w:type="dxa"/>
            <w:vAlign w:val="bottom"/>
          </w:tcPr>
          <w:p>
            <w:pPr>
              <w:spacing w:after="0"/>
              <w:rPr>
                <w:sz w:val="20"/>
                <w:szCs w:val="20"/>
                <w:color w:val="auto"/>
              </w:rPr>
            </w:pPr>
            <w:r>
              <w:rPr>
                <w:rFonts w:ascii="Arial" w:cs="Arial" w:eastAsia="Arial" w:hAnsi="Arial"/>
                <w:sz w:val="18"/>
                <w:szCs w:val="18"/>
                <w:color w:val="auto"/>
              </w:rPr>
              <w:t>Issuance of instruments</w:t>
            </w:r>
          </w:p>
        </w:tc>
        <w:tc>
          <w:tcPr>
            <w:tcW w:w="56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20" w:type="dxa"/>
            <w:vAlign w:val="bottom"/>
            <w:gridSpan w:val="2"/>
          </w:tcPr>
          <w:p>
            <w:pPr>
              <w:jc w:val="right"/>
              <w:ind w:right="120"/>
              <w:spacing w:after="0"/>
              <w:rPr>
                <w:sz w:val="20"/>
                <w:szCs w:val="20"/>
                <w:color w:val="auto"/>
              </w:rPr>
            </w:pPr>
            <w:r>
              <w:rPr>
                <w:rFonts w:ascii="Arial" w:cs="Arial" w:eastAsia="Arial" w:hAnsi="Arial"/>
                <w:sz w:val="18"/>
                <w:szCs w:val="18"/>
                <w:color w:val="auto"/>
                <w:w w:val="99"/>
              </w:rPr>
              <w:t>—</w:t>
            </w: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640" w:type="dxa"/>
            <w:vAlign w:val="bottom"/>
            <w:shd w:val="clear" w:color="auto" w:fill="CFF0FC"/>
          </w:tcPr>
          <w:p>
            <w:pPr>
              <w:spacing w:after="0"/>
              <w:rPr>
                <w:sz w:val="20"/>
                <w:szCs w:val="20"/>
                <w:color w:val="auto"/>
              </w:rPr>
            </w:pPr>
            <w:r>
              <w:rPr>
                <w:rFonts w:ascii="Arial" w:cs="Arial" w:eastAsia="Arial" w:hAnsi="Arial"/>
                <w:sz w:val="18"/>
                <w:szCs w:val="18"/>
                <w:color w:val="auto"/>
              </w:rPr>
              <w:t>Change in value</w:t>
            </w:r>
          </w:p>
        </w:tc>
        <w:tc>
          <w:tcPr>
            <w:tcW w:w="560" w:type="dxa"/>
            <w:vAlign w:val="bottom"/>
            <w:shd w:val="clear" w:color="auto" w:fill="CFF0FC"/>
          </w:tcPr>
          <w:p>
            <w:pPr>
              <w:spacing w:after="0"/>
              <w:rPr>
                <w:sz w:val="18"/>
                <w:szCs w:val="18"/>
                <w:color w:val="auto"/>
              </w:rPr>
            </w:pPr>
          </w:p>
        </w:tc>
        <w:tc>
          <w:tcPr>
            <w:tcW w:w="144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16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140" w:type="dxa"/>
            <w:vAlign w:val="bottom"/>
            <w:gridSpan w:val="3"/>
            <w:shd w:val="clear" w:color="auto" w:fill="CFF0FC"/>
          </w:tcPr>
          <w:p>
            <w:pPr>
              <w:jc w:val="right"/>
              <w:ind w:right="60"/>
              <w:spacing w:after="0"/>
              <w:rPr>
                <w:sz w:val="20"/>
                <w:szCs w:val="20"/>
                <w:color w:val="auto"/>
              </w:rPr>
            </w:pPr>
            <w:r>
              <w:rPr>
                <w:rFonts w:ascii="Arial" w:cs="Arial" w:eastAsia="Arial" w:hAnsi="Arial"/>
                <w:sz w:val="18"/>
                <w:szCs w:val="18"/>
                <w:color w:val="auto"/>
              </w:rPr>
              <w:t>(870,760)</w:t>
            </w: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640" w:type="dxa"/>
            <w:vAlign w:val="bottom"/>
          </w:tcPr>
          <w:p>
            <w:pPr>
              <w:spacing w:after="0"/>
              <w:rPr>
                <w:sz w:val="20"/>
                <w:szCs w:val="20"/>
                <w:color w:val="auto"/>
              </w:rPr>
            </w:pPr>
            <w:r>
              <w:rPr>
                <w:rFonts w:ascii="Arial" w:cs="Arial" w:eastAsia="Arial" w:hAnsi="Arial"/>
                <w:sz w:val="18"/>
                <w:szCs w:val="18"/>
                <w:color w:val="auto"/>
              </w:rPr>
              <w:t>Net settlements</w:t>
            </w:r>
          </w:p>
        </w:tc>
        <w:tc>
          <w:tcPr>
            <w:tcW w:w="56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20" w:type="dxa"/>
            <w:vAlign w:val="bottom"/>
            <w:gridSpan w:val="2"/>
          </w:tcPr>
          <w:p>
            <w:pPr>
              <w:jc w:val="right"/>
              <w:ind w:right="120"/>
              <w:spacing w:after="0"/>
              <w:rPr>
                <w:sz w:val="20"/>
                <w:szCs w:val="20"/>
                <w:color w:val="auto"/>
              </w:rPr>
            </w:pPr>
            <w:r>
              <w:rPr>
                <w:rFonts w:ascii="Arial" w:cs="Arial" w:eastAsia="Arial" w:hAnsi="Arial"/>
                <w:sz w:val="18"/>
                <w:szCs w:val="18"/>
                <w:color w:val="auto"/>
                <w:w w:val="99"/>
              </w:rPr>
              <w:t>—</w:t>
            </w: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64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Value at September 30, 2017</w:t>
            </w:r>
          </w:p>
        </w:tc>
        <w:tc>
          <w:tcPr>
            <w:tcW w:w="560" w:type="dxa"/>
            <w:vAlign w:val="bottom"/>
            <w:tcBorders>
              <w:top w:val="single" w:sz="8" w:color="CFF0FC"/>
              <w:bottom w:val="single" w:sz="8" w:color="CFF0FC"/>
            </w:tcBorders>
            <w:shd w:val="clear" w:color="auto" w:fill="CFF0FC"/>
          </w:tcPr>
          <w:p>
            <w:pPr>
              <w:spacing w:after="0"/>
              <w:rPr>
                <w:sz w:val="18"/>
                <w:szCs w:val="18"/>
                <w:color w:val="auto"/>
              </w:rPr>
            </w:pPr>
          </w:p>
        </w:tc>
        <w:tc>
          <w:tcPr>
            <w:tcW w:w="1440" w:type="dxa"/>
            <w:vAlign w:val="bottom"/>
            <w:tcBorders>
              <w:top w:val="single" w:sz="8" w:color="CFF0FC"/>
              <w:bottom w:val="single" w:sz="8" w:color="CFF0FC"/>
            </w:tcBorders>
            <w:shd w:val="clear" w:color="auto" w:fill="CFF0FC"/>
          </w:tcPr>
          <w:p>
            <w:pPr>
              <w:spacing w:after="0"/>
              <w:rPr>
                <w:sz w:val="18"/>
                <w:szCs w:val="18"/>
                <w:color w:val="auto"/>
              </w:rPr>
            </w:pPr>
          </w:p>
        </w:tc>
        <w:tc>
          <w:tcPr>
            <w:tcW w:w="860" w:type="dxa"/>
            <w:vAlign w:val="bottom"/>
            <w:tcBorders>
              <w:top w:val="single" w:sz="8" w:color="CFF0FC"/>
              <w:bottom w:val="single" w:sz="8" w:color="CFF0FC"/>
            </w:tcBorders>
            <w:shd w:val="clear" w:color="auto" w:fill="CFF0FC"/>
          </w:tcPr>
          <w:p>
            <w:pPr>
              <w:spacing w:after="0"/>
              <w:rPr>
                <w:sz w:val="18"/>
                <w:szCs w:val="18"/>
                <w:color w:val="auto"/>
              </w:rPr>
            </w:pPr>
          </w:p>
        </w:tc>
        <w:tc>
          <w:tcPr>
            <w:tcW w:w="320" w:type="dxa"/>
            <w:vAlign w:val="bottom"/>
            <w:tcBorders>
              <w:top w:val="single" w:sz="8" w:color="CFF0FC"/>
              <w:bottom w:val="single" w:sz="8" w:color="CFF0FC"/>
            </w:tcBorders>
            <w:shd w:val="clear" w:color="auto" w:fill="CFF0FC"/>
          </w:tcPr>
          <w:p>
            <w:pPr>
              <w:spacing w:after="0"/>
              <w:rPr>
                <w:sz w:val="18"/>
                <w:szCs w:val="18"/>
                <w:color w:val="auto"/>
              </w:rPr>
            </w:pPr>
          </w:p>
        </w:tc>
        <w:tc>
          <w:tcPr>
            <w:tcW w:w="1160" w:type="dxa"/>
            <w:vAlign w:val="bottom"/>
            <w:tcBorders>
              <w:top w:val="single" w:sz="8" w:color="CFF0FC"/>
              <w:bottom w:val="single" w:sz="8" w:color="CFF0FC"/>
            </w:tcBorders>
            <w:shd w:val="clear" w:color="auto" w:fill="CFF0FC"/>
          </w:tcPr>
          <w:p>
            <w:pPr>
              <w:spacing w:after="0"/>
              <w:rPr>
                <w:sz w:val="18"/>
                <w:szCs w:val="18"/>
                <w:color w:val="auto"/>
              </w:rPr>
            </w:pPr>
          </w:p>
        </w:tc>
        <w:tc>
          <w:tcPr>
            <w:tcW w:w="280" w:type="dxa"/>
            <w:vAlign w:val="bottom"/>
            <w:tcBorders>
              <w:top w:val="single" w:sz="8" w:color="auto"/>
              <w:bottom w:val="single" w:sz="8" w:color="auto"/>
            </w:tcBorders>
            <w:shd w:val="clear" w:color="auto" w:fill="CFF0FC"/>
          </w:tcPr>
          <w:p>
            <w:pPr>
              <w:jc w:val="right"/>
              <w:ind w:right="115"/>
              <w:spacing w:after="0"/>
              <w:rPr>
                <w:sz w:val="20"/>
                <w:szCs w:val="20"/>
                <w:color w:val="auto"/>
              </w:rPr>
            </w:pPr>
            <w:r>
              <w:rPr>
                <w:rFonts w:ascii="Arial" w:cs="Arial" w:eastAsia="Arial" w:hAnsi="Arial"/>
                <w:sz w:val="15"/>
                <w:szCs w:val="15"/>
                <w:color w:val="auto"/>
                <w:w w:val="71"/>
              </w:rPr>
              <w:t>$</w:t>
            </w:r>
          </w:p>
        </w:tc>
        <w:tc>
          <w:tcPr>
            <w:tcW w:w="280" w:type="dxa"/>
            <w:vAlign w:val="bottom"/>
            <w:tcBorders>
              <w:top w:val="single" w:sz="8" w:color="auto"/>
              <w:bottom w:val="single" w:sz="8" w:color="auto"/>
            </w:tcBorders>
            <w:shd w:val="clear" w:color="auto" w:fill="CFF0FC"/>
          </w:tcPr>
          <w:p>
            <w:pPr>
              <w:spacing w:after="0"/>
              <w:rPr>
                <w:sz w:val="18"/>
                <w:szCs w:val="18"/>
                <w:color w:val="auto"/>
              </w:rPr>
            </w:pPr>
          </w:p>
        </w:tc>
        <w:tc>
          <w:tcPr>
            <w:tcW w:w="1020" w:type="dxa"/>
            <w:vAlign w:val="bottom"/>
            <w:tcBorders>
              <w:top w:val="single" w:sz="8" w:color="auto"/>
              <w:bottom w:val="single" w:sz="8" w:color="auto"/>
            </w:tcBorders>
            <w:gridSpan w:val="2"/>
            <w:shd w:val="clear" w:color="auto" w:fill="CFF0FC"/>
          </w:tcPr>
          <w:p>
            <w:pPr>
              <w:jc w:val="right"/>
              <w:spacing w:after="0"/>
              <w:rPr>
                <w:sz w:val="20"/>
                <w:szCs w:val="20"/>
                <w:color w:val="auto"/>
              </w:rPr>
            </w:pPr>
            <w:r>
              <w:rPr>
                <w:rFonts w:ascii="Arial" w:cs="Arial" w:eastAsia="Arial" w:hAnsi="Arial"/>
                <w:sz w:val="18"/>
                <w:szCs w:val="18"/>
                <w:color w:val="auto"/>
              </w:rPr>
              <w:t>695,114</w:t>
            </w:r>
          </w:p>
        </w:tc>
        <w:tc>
          <w:tcPr>
            <w:tcW w:w="120" w:type="dxa"/>
            <w:vAlign w:val="bottom"/>
            <w:tcBorders>
              <w:top w:val="single" w:sz="8" w:color="CFF0FC"/>
              <w:bottom w:val="single" w:sz="8" w:color="CFF0FC"/>
            </w:tcBorders>
            <w:shd w:val="clear" w:color="auto" w:fill="CFF0FC"/>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26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right="20" w:firstLine="518"/>
        <w:spacing w:after="0" w:line="270" w:lineRule="auto"/>
        <w:rPr>
          <w:sz w:val="20"/>
          <w:szCs w:val="20"/>
          <w:color w:val="auto"/>
        </w:rPr>
      </w:pPr>
      <w:r>
        <w:rPr>
          <w:rFonts w:ascii="Arial" w:cs="Arial" w:eastAsia="Arial" w:hAnsi="Arial"/>
          <w:sz w:val="17"/>
          <w:szCs w:val="17"/>
          <w:color w:val="auto"/>
        </w:rPr>
        <w:t>In conjunction with the financing of Ablaris in fiscal 2011, Arrowhead sold exchange rights to certain investors whereby the investors had the right to exchange their shares of Ablaris for a prescribed number of Arrowhead shares of Common Stock based upon a predefined ratio. The exchange rights had a seven-year term and a current exchange ratio of 0.01. Exchange rights for 675,000 Ablaris shares were sold in fiscal 2011, and 500,000 remained outstanding at September 30, 2016. The 500,000 remaining were exercised during the year ended September 30, 2017. The exchange rights were subject to derivative accounting as prescribed under ASC 815. Accordingly, the fair value of the exchange rights on the date of issuance was estimated using an option pricing model and recorded on the Company’s Consolidated Balance Sheet as a derivative liability. The fair value of the exchange rights was estimated at the end of each reporting period and the change in the fair value of the exchange rights is recorded as a non-operating gain or loss in the Company’s Consolidated Statement of Operations and Comprehensive Loss. During the years ended September 30, 2017, 2016 and 2015, the Company recorded a non-cash gain/(loss) from the change in fair value of the derivative liability of $19,602, $(7,950) and $184,555, respectively. There was no derivative liability remaining at September 30, 2017 given that all of the exchange rights had been exercised.</w:t>
      </w:r>
    </w:p>
    <w:p>
      <w:pPr>
        <w:spacing w:after="0" w:line="205" w:lineRule="exact"/>
        <w:rPr>
          <w:sz w:val="20"/>
          <w:szCs w:val="20"/>
          <w:color w:val="auto"/>
        </w:rPr>
      </w:pPr>
    </w:p>
    <w:p>
      <w:pPr>
        <w:ind w:right="60" w:firstLine="572"/>
        <w:spacing w:after="0" w:line="259" w:lineRule="auto"/>
        <w:rPr>
          <w:sz w:val="20"/>
          <w:szCs w:val="20"/>
          <w:color w:val="auto"/>
        </w:rPr>
      </w:pPr>
      <w:r>
        <w:rPr>
          <w:rFonts w:ascii="Arial" w:cs="Arial" w:eastAsia="Arial" w:hAnsi="Arial"/>
          <w:sz w:val="18"/>
          <w:szCs w:val="18"/>
          <w:color w:val="auto"/>
        </w:rPr>
        <w:t>The derivative assets/liabilities are estimated using option pricing models that are based on the individual characteristics of the warrants or instruments on the valuation date, as well as assumptions for expected volatility, expected life and risk-free interest rate. Changes in the assumptions used could have a material impact on the resulting fair value. The primary input affecting the value of the Company’s derivatives liabilities is the Company’s stock price. Other inputs have a comparatively insignificant effect.</w:t>
      </w:r>
    </w:p>
    <w:p>
      <w:pPr>
        <w:spacing w:after="0" w:line="187" w:lineRule="exact"/>
        <w:rPr>
          <w:sz w:val="20"/>
          <w:szCs w:val="20"/>
          <w:color w:val="auto"/>
        </w:rPr>
      </w:pPr>
    </w:p>
    <w:p>
      <w:pPr>
        <w:ind w:firstLine="518"/>
        <w:spacing w:after="0" w:line="269" w:lineRule="auto"/>
        <w:rPr>
          <w:sz w:val="20"/>
          <w:szCs w:val="20"/>
          <w:color w:val="auto"/>
        </w:rPr>
      </w:pPr>
      <w:r>
        <w:rPr>
          <w:rFonts w:ascii="Arial" w:cs="Arial" w:eastAsia="Arial" w:hAnsi="Arial"/>
          <w:sz w:val="17"/>
          <w:szCs w:val="17"/>
          <w:color w:val="auto"/>
        </w:rPr>
        <w:t>As of September 30, 2015, the Company had a liability for contingent consideration related to its acquisition of the Roche RNAi business completed in 2011. The fair value measurement of the contingent consideration obligations is determined using Level 3 inputs. The fair value of contingent consideration obligations is based on a discounted cash flow model using a probability-weighted income approach. The measurement is based upon unobservable inputs supported by little or no market activity based on the Company’s assumptions and experience. Estimating timing to complete the development and obtain approval of products is difficult, and there are inherent uncertainties in developing a product candidate, such as obtaining U.S. Food and Drug Administration (FDA) and other regulatory approvals. In determining the probability of regulatory approval and commercial success, the Company utilizes data regarding similar milestone events from several sources, including industry studies and its own experience. These fair value measurements represent Level 3 measurements as they are based on significant inputs not observable in the market. Significant judgment is employed in determining the appropriateness of these assumptions as of the acquisition date and for each subsequent period. Accordingly, changes in assumptions could have a material impact on the amount of contingent consideration expense the Company records in any given period. In November 2016, the Company announced the discontinuation of its clinical trial efforts for ARC-520, ARC-AAT and ARC-521. Given this development, the Company assessed the fair value of its contingent consideration obligation to be $0 at September 30, 2016 and 2017.</w:t>
      </w:r>
    </w:p>
    <w:p>
      <w:pPr>
        <w:spacing w:after="0" w:line="3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NOTE 10. - </w:t>
      </w:r>
      <w:r>
        <w:rPr>
          <w:rFonts w:ascii="Arial" w:cs="Arial" w:eastAsia="Arial" w:hAnsi="Arial"/>
          <w:sz w:val="18"/>
          <w:szCs w:val="18"/>
          <w:b w:val="1"/>
          <w:bCs w:val="1"/>
          <w:i w:val="1"/>
          <w:iCs w:val="1"/>
          <w:color w:val="auto"/>
        </w:rPr>
        <w:t>INCOME TAXES</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4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773" w:right="239" w:bottom="1440" w:gutter="0" w:footer="0" w:header="0"/>
        </w:sectPr>
      </w:pPr>
    </w:p>
    <w:bookmarkStart w:id="80" w:name="page81"/>
    <w:bookmarkEnd w:id="80"/>
    <w:p>
      <w:pPr>
        <w:ind w:right="460" w:firstLine="518"/>
        <w:spacing w:after="0" w:line="308" w:lineRule="auto"/>
        <w:rPr>
          <w:sz w:val="20"/>
          <w:szCs w:val="20"/>
          <w:color w:val="auto"/>
        </w:rPr>
      </w:pPr>
      <w:r>
        <w:rPr>
          <w:rFonts w:ascii="Arial" w:cs="Arial" w:eastAsia="Arial" w:hAnsi="Arial"/>
          <w:sz w:val="17"/>
          <w:szCs w:val="17"/>
          <w:color w:val="auto"/>
        </w:rPr>
        <w:t>The Company utilizes the guidance issued by the FASB for accounting for income taxes which requires the recognition of deferred tax assets and liabilities for the expected future tax consequences of events that have been included in the financial statements or tax returns.</w:t>
      </w:r>
    </w:p>
    <w:p>
      <w:pPr>
        <w:spacing w:after="0" w:line="147" w:lineRule="exact"/>
        <w:rPr>
          <w:sz w:val="20"/>
          <w:szCs w:val="20"/>
          <w:color w:val="auto"/>
        </w:rPr>
      </w:pPr>
    </w:p>
    <w:p>
      <w:pPr>
        <w:ind w:right="120" w:firstLine="518"/>
        <w:spacing w:after="0" w:line="327" w:lineRule="auto"/>
        <w:rPr>
          <w:sz w:val="20"/>
          <w:szCs w:val="20"/>
          <w:color w:val="auto"/>
        </w:rPr>
      </w:pPr>
      <w:r>
        <w:rPr>
          <w:rFonts w:ascii="Arial" w:cs="Arial" w:eastAsia="Arial" w:hAnsi="Arial"/>
          <w:sz w:val="15"/>
          <w:szCs w:val="15"/>
          <w:color w:val="auto"/>
        </w:rPr>
        <w:t>Under this method, deferred income taxes are recognized for the tax consequences in future years of differences between the tax bases of assets and liabilities and their financial reporting amounts at each year-end based on enacted tax laws and statutory tax rates applicable to the periods in which the differences are expected to affect taxable income. Valuation allowances are established, when necessary, to reduce deferred tax assets to the amount expected to be realized. The provision for income taxes represents the tax payable for the period and the change during the period in deferred tax assets and liabilities.</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color w:val="auto"/>
        </w:rPr>
        <w:t>Components of the net deferred tax asset (liability) at September 30, 2017 and 2016 are as follows:</w:t>
      </w:r>
    </w:p>
    <w:p>
      <w:pPr>
        <w:spacing w:after="0" w:line="34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66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jc w:val="right"/>
              <w:ind w:right="356"/>
              <w:spacing w:after="0"/>
              <w:rPr>
                <w:sz w:val="20"/>
                <w:szCs w:val="20"/>
                <w:color w:val="auto"/>
              </w:rPr>
            </w:pPr>
            <w:r>
              <w:rPr>
                <w:rFonts w:ascii="Arial" w:cs="Arial" w:eastAsia="Arial" w:hAnsi="Arial"/>
                <w:sz w:val="14"/>
                <w:szCs w:val="14"/>
                <w:b w:val="1"/>
                <w:bCs w:val="1"/>
                <w:color w:val="auto"/>
              </w:rPr>
              <w:t>2017</w:t>
            </w:r>
          </w:p>
        </w:tc>
        <w:tc>
          <w:tcPr>
            <w:tcW w:w="140" w:type="dxa"/>
            <w:vAlign w:val="bottom"/>
            <w:tcBorders>
              <w:bottom w:val="single" w:sz="8" w:color="CCEEFF"/>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jc w:val="right"/>
              <w:ind w:right="416"/>
              <w:spacing w:after="0"/>
              <w:rPr>
                <w:sz w:val="20"/>
                <w:szCs w:val="20"/>
                <w:color w:val="auto"/>
              </w:rPr>
            </w:pPr>
            <w:r>
              <w:rPr>
                <w:rFonts w:ascii="Arial" w:cs="Arial" w:eastAsia="Arial" w:hAnsi="Arial"/>
                <w:sz w:val="14"/>
                <w:szCs w:val="14"/>
                <w:b w:val="1"/>
                <w:bCs w:val="1"/>
                <w:color w:val="auto"/>
              </w:rPr>
              <w:t>2016</w:t>
            </w:r>
          </w:p>
        </w:tc>
        <w:tc>
          <w:tcPr>
            <w:tcW w:w="100" w:type="dxa"/>
            <w:vAlign w:val="bottom"/>
            <w:tcBorders>
              <w:bottom w:val="single" w:sz="8" w:color="CCEEFF"/>
            </w:tcBorders>
          </w:tcPr>
          <w:p>
            <w:pPr>
              <w:spacing w:after="0"/>
              <w:rPr>
                <w:sz w:val="14"/>
                <w:szCs w:val="14"/>
                <w:color w:val="auto"/>
              </w:rPr>
            </w:pPr>
          </w:p>
        </w:tc>
      </w:tr>
      <w:tr>
        <w:trPr>
          <w:trHeight w:val="196"/>
        </w:trPr>
        <w:tc>
          <w:tcPr>
            <w:tcW w:w="7660" w:type="dxa"/>
            <w:vAlign w:val="bottom"/>
            <w:shd w:val="clear" w:color="auto" w:fill="CCEEFF"/>
          </w:tcPr>
          <w:p>
            <w:pPr>
              <w:spacing w:after="0"/>
              <w:rPr>
                <w:sz w:val="20"/>
                <w:szCs w:val="20"/>
                <w:color w:val="auto"/>
              </w:rPr>
            </w:pPr>
            <w:r>
              <w:rPr>
                <w:rFonts w:ascii="Arial" w:cs="Arial" w:eastAsia="Arial" w:hAnsi="Arial"/>
                <w:sz w:val="17"/>
                <w:szCs w:val="17"/>
                <w:color w:val="auto"/>
              </w:rPr>
              <w:t>Deferred tax assets:</w:t>
            </w:r>
          </w:p>
        </w:tc>
        <w:tc>
          <w:tcPr>
            <w:tcW w:w="12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03"/>
        </w:trPr>
        <w:tc>
          <w:tcPr>
            <w:tcW w:w="7660" w:type="dxa"/>
            <w:vAlign w:val="bottom"/>
          </w:tcPr>
          <w:p>
            <w:pPr>
              <w:ind w:left="220"/>
              <w:spacing w:after="0"/>
              <w:rPr>
                <w:sz w:val="20"/>
                <w:szCs w:val="20"/>
                <w:color w:val="auto"/>
              </w:rPr>
            </w:pPr>
            <w:r>
              <w:rPr>
                <w:rFonts w:ascii="Arial" w:cs="Arial" w:eastAsia="Arial" w:hAnsi="Arial"/>
                <w:sz w:val="17"/>
                <w:szCs w:val="17"/>
                <w:color w:val="auto"/>
              </w:rPr>
              <w:t>Accrued compensation</w:t>
            </w:r>
          </w:p>
        </w:tc>
        <w:tc>
          <w:tcPr>
            <w:tcW w:w="12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300" w:type="dxa"/>
            <w:vAlign w:val="bottom"/>
            <w:gridSpan w:val="2"/>
          </w:tcPr>
          <w:p>
            <w:pPr>
              <w:jc w:val="right"/>
              <w:ind w:right="140"/>
              <w:spacing w:after="0"/>
              <w:rPr>
                <w:sz w:val="20"/>
                <w:szCs w:val="20"/>
                <w:color w:val="auto"/>
              </w:rPr>
            </w:pPr>
            <w:r>
              <w:rPr>
                <w:rFonts w:ascii="Arial" w:cs="Arial" w:eastAsia="Arial" w:hAnsi="Arial"/>
                <w:sz w:val="17"/>
                <w:szCs w:val="17"/>
                <w:color w:val="auto"/>
              </w:rPr>
              <w:t>1,337,619</w:t>
            </w:r>
          </w:p>
        </w:tc>
        <w:tc>
          <w:tcPr>
            <w:tcW w:w="180" w:type="dxa"/>
            <w:vAlign w:val="bottom"/>
            <w:gridSpan w:val="2"/>
          </w:tcPr>
          <w:p>
            <w:pPr>
              <w:jc w:val="right"/>
              <w:ind w:right="20"/>
              <w:spacing w:after="0"/>
              <w:rPr>
                <w:sz w:val="20"/>
                <w:szCs w:val="20"/>
                <w:color w:val="auto"/>
              </w:rPr>
            </w:pPr>
            <w:r>
              <w:rPr>
                <w:rFonts w:ascii="Arial" w:cs="Arial" w:eastAsia="Arial" w:hAnsi="Arial"/>
                <w:sz w:val="17"/>
                <w:szCs w:val="17"/>
                <w:color w:val="auto"/>
              </w:rPr>
              <w:t>$</w:t>
            </w:r>
          </w:p>
        </w:tc>
        <w:tc>
          <w:tcPr>
            <w:tcW w:w="1240" w:type="dxa"/>
            <w:vAlign w:val="bottom"/>
            <w:gridSpan w:val="2"/>
          </w:tcPr>
          <w:p>
            <w:pPr>
              <w:jc w:val="right"/>
              <w:ind w:right="100"/>
              <w:spacing w:after="0"/>
              <w:rPr>
                <w:sz w:val="20"/>
                <w:szCs w:val="20"/>
                <w:color w:val="auto"/>
              </w:rPr>
            </w:pPr>
            <w:r>
              <w:rPr>
                <w:rFonts w:ascii="Arial" w:cs="Arial" w:eastAsia="Arial" w:hAnsi="Arial"/>
                <w:sz w:val="17"/>
                <w:szCs w:val="17"/>
                <w:color w:val="auto"/>
              </w:rPr>
              <w:t>1,691,050</w:t>
            </w:r>
          </w:p>
        </w:tc>
      </w:tr>
      <w:tr>
        <w:trPr>
          <w:trHeight w:val="203"/>
        </w:trPr>
        <w:tc>
          <w:tcPr>
            <w:tcW w:w="7660" w:type="dxa"/>
            <w:vAlign w:val="bottom"/>
            <w:shd w:val="clear" w:color="auto" w:fill="CCEEFF"/>
          </w:tcPr>
          <w:p>
            <w:pPr>
              <w:ind w:left="220"/>
              <w:spacing w:after="0"/>
              <w:rPr>
                <w:sz w:val="20"/>
                <w:szCs w:val="20"/>
                <w:color w:val="auto"/>
              </w:rPr>
            </w:pPr>
            <w:r>
              <w:rPr>
                <w:rFonts w:ascii="Arial" w:cs="Arial" w:eastAsia="Arial" w:hAnsi="Arial"/>
                <w:sz w:val="17"/>
                <w:szCs w:val="17"/>
                <w:color w:val="auto"/>
              </w:rPr>
              <w:t>Stock compensation</w:t>
            </w:r>
          </w:p>
        </w:tc>
        <w:tc>
          <w:tcPr>
            <w:tcW w:w="120" w:type="dxa"/>
            <w:vAlign w:val="bottom"/>
            <w:shd w:val="clear" w:color="auto" w:fill="CCEEFF"/>
          </w:tcPr>
          <w:p>
            <w:pPr>
              <w:spacing w:after="0"/>
              <w:rPr>
                <w:sz w:val="17"/>
                <w:szCs w:val="17"/>
                <w:color w:val="auto"/>
              </w:rPr>
            </w:pPr>
          </w:p>
        </w:tc>
        <w:tc>
          <w:tcPr>
            <w:tcW w:w="130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5,670,468</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7,224,958</w:t>
            </w:r>
          </w:p>
        </w:tc>
      </w:tr>
      <w:tr>
        <w:trPr>
          <w:trHeight w:val="203"/>
        </w:trPr>
        <w:tc>
          <w:tcPr>
            <w:tcW w:w="7660" w:type="dxa"/>
            <w:vAlign w:val="bottom"/>
          </w:tcPr>
          <w:p>
            <w:pPr>
              <w:ind w:left="220"/>
              <w:spacing w:after="0"/>
              <w:rPr>
                <w:sz w:val="20"/>
                <w:szCs w:val="20"/>
                <w:color w:val="auto"/>
              </w:rPr>
            </w:pPr>
            <w:r>
              <w:rPr>
                <w:rFonts w:ascii="Arial" w:cs="Arial" w:eastAsia="Arial" w:hAnsi="Arial"/>
                <w:sz w:val="17"/>
                <w:szCs w:val="17"/>
                <w:color w:val="auto"/>
              </w:rPr>
              <w:t>Capitalized research and development</w:t>
            </w:r>
          </w:p>
        </w:tc>
        <w:tc>
          <w:tcPr>
            <w:tcW w:w="120" w:type="dxa"/>
            <w:vAlign w:val="bottom"/>
          </w:tcPr>
          <w:p>
            <w:pPr>
              <w:spacing w:after="0"/>
              <w:rPr>
                <w:sz w:val="17"/>
                <w:szCs w:val="17"/>
                <w:color w:val="auto"/>
              </w:rPr>
            </w:pPr>
          </w:p>
        </w:tc>
        <w:tc>
          <w:tcPr>
            <w:tcW w:w="1300" w:type="dxa"/>
            <w:vAlign w:val="bottom"/>
            <w:gridSpan w:val="2"/>
          </w:tcPr>
          <w:p>
            <w:pPr>
              <w:jc w:val="right"/>
              <w:ind w:right="140"/>
              <w:spacing w:after="0"/>
              <w:rPr>
                <w:sz w:val="20"/>
                <w:szCs w:val="20"/>
                <w:color w:val="auto"/>
              </w:rPr>
            </w:pPr>
            <w:r>
              <w:rPr>
                <w:rFonts w:ascii="Arial" w:cs="Arial" w:eastAsia="Arial" w:hAnsi="Arial"/>
                <w:sz w:val="17"/>
                <w:szCs w:val="17"/>
                <w:color w:val="auto"/>
              </w:rPr>
              <w:t>2,196,542</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7"/>
                <w:szCs w:val="17"/>
                <w:color w:val="auto"/>
              </w:rPr>
              <w:t>2,957,528</w:t>
            </w:r>
          </w:p>
        </w:tc>
      </w:tr>
      <w:tr>
        <w:trPr>
          <w:trHeight w:val="203"/>
        </w:trPr>
        <w:tc>
          <w:tcPr>
            <w:tcW w:w="7660" w:type="dxa"/>
            <w:vAlign w:val="bottom"/>
            <w:shd w:val="clear" w:color="auto" w:fill="CCECFF"/>
          </w:tcPr>
          <w:p>
            <w:pPr>
              <w:ind w:left="220"/>
              <w:spacing w:after="0"/>
              <w:rPr>
                <w:sz w:val="20"/>
                <w:szCs w:val="20"/>
                <w:color w:val="auto"/>
              </w:rPr>
            </w:pPr>
            <w:r>
              <w:rPr>
                <w:rFonts w:ascii="Arial" w:cs="Arial" w:eastAsia="Arial" w:hAnsi="Arial"/>
                <w:sz w:val="17"/>
                <w:szCs w:val="17"/>
                <w:color w:val="auto"/>
              </w:rPr>
              <w:t>Fixed Assets</w:t>
            </w:r>
          </w:p>
        </w:tc>
        <w:tc>
          <w:tcPr>
            <w:tcW w:w="120" w:type="dxa"/>
            <w:vAlign w:val="bottom"/>
            <w:shd w:val="clear" w:color="auto" w:fill="CCECFF"/>
          </w:tcPr>
          <w:p>
            <w:pPr>
              <w:spacing w:after="0"/>
              <w:rPr>
                <w:sz w:val="17"/>
                <w:szCs w:val="17"/>
                <w:color w:val="auto"/>
              </w:rPr>
            </w:pPr>
          </w:p>
        </w:tc>
        <w:tc>
          <w:tcPr>
            <w:tcW w:w="1300" w:type="dxa"/>
            <w:vAlign w:val="bottom"/>
            <w:gridSpan w:val="2"/>
            <w:shd w:val="clear" w:color="auto" w:fill="CCECFF"/>
          </w:tcPr>
          <w:p>
            <w:pPr>
              <w:jc w:val="right"/>
              <w:ind w:right="140"/>
              <w:spacing w:after="0"/>
              <w:rPr>
                <w:sz w:val="20"/>
                <w:szCs w:val="20"/>
                <w:color w:val="auto"/>
              </w:rPr>
            </w:pPr>
            <w:r>
              <w:rPr>
                <w:rFonts w:ascii="Arial" w:cs="Arial" w:eastAsia="Arial" w:hAnsi="Arial"/>
                <w:sz w:val="17"/>
                <w:szCs w:val="17"/>
                <w:color w:val="auto"/>
              </w:rPr>
              <w:t>203,477</w:t>
            </w:r>
          </w:p>
        </w:tc>
        <w:tc>
          <w:tcPr>
            <w:tcW w:w="80" w:type="dxa"/>
            <w:vAlign w:val="bottom"/>
            <w:shd w:val="clear" w:color="auto" w:fill="CCECFF"/>
          </w:tcPr>
          <w:p>
            <w:pPr>
              <w:spacing w:after="0"/>
              <w:rPr>
                <w:sz w:val="17"/>
                <w:szCs w:val="17"/>
                <w:color w:val="auto"/>
              </w:rPr>
            </w:pPr>
          </w:p>
        </w:tc>
        <w:tc>
          <w:tcPr>
            <w:tcW w:w="100" w:type="dxa"/>
            <w:vAlign w:val="bottom"/>
            <w:shd w:val="clear" w:color="auto" w:fill="CCECFF"/>
          </w:tcPr>
          <w:p>
            <w:pPr>
              <w:spacing w:after="0"/>
              <w:rPr>
                <w:sz w:val="17"/>
                <w:szCs w:val="17"/>
                <w:color w:val="auto"/>
              </w:rPr>
            </w:pPr>
          </w:p>
        </w:tc>
        <w:tc>
          <w:tcPr>
            <w:tcW w:w="1240" w:type="dxa"/>
            <w:vAlign w:val="bottom"/>
            <w:gridSpan w:val="2"/>
            <w:shd w:val="clear" w:color="auto" w:fill="CCECFF"/>
          </w:tcPr>
          <w:p>
            <w:pPr>
              <w:jc w:val="right"/>
              <w:ind w:right="100"/>
              <w:spacing w:after="0"/>
              <w:rPr>
                <w:sz w:val="20"/>
                <w:szCs w:val="20"/>
                <w:color w:val="auto"/>
              </w:rPr>
            </w:pPr>
            <w:r>
              <w:rPr>
                <w:rFonts w:ascii="Arial" w:cs="Arial" w:eastAsia="Arial" w:hAnsi="Arial"/>
                <w:sz w:val="17"/>
                <w:szCs w:val="17"/>
                <w:color w:val="auto"/>
              </w:rPr>
              <w:t>—</w:t>
            </w:r>
          </w:p>
        </w:tc>
      </w:tr>
      <w:tr>
        <w:trPr>
          <w:trHeight w:val="203"/>
        </w:trPr>
        <w:tc>
          <w:tcPr>
            <w:tcW w:w="7660" w:type="dxa"/>
            <w:vAlign w:val="bottom"/>
          </w:tcPr>
          <w:p>
            <w:pPr>
              <w:ind w:left="220"/>
              <w:spacing w:after="0"/>
              <w:rPr>
                <w:sz w:val="20"/>
                <w:szCs w:val="20"/>
                <w:color w:val="auto"/>
              </w:rPr>
            </w:pPr>
            <w:r>
              <w:rPr>
                <w:rFonts w:ascii="Arial" w:cs="Arial" w:eastAsia="Arial" w:hAnsi="Arial"/>
                <w:sz w:val="17"/>
                <w:szCs w:val="17"/>
                <w:color w:val="auto"/>
              </w:rPr>
              <w:t>Net operating losses</w:t>
            </w:r>
          </w:p>
        </w:tc>
        <w:tc>
          <w:tcPr>
            <w:tcW w:w="120" w:type="dxa"/>
            <w:vAlign w:val="bottom"/>
          </w:tcPr>
          <w:p>
            <w:pPr>
              <w:spacing w:after="0"/>
              <w:rPr>
                <w:sz w:val="17"/>
                <w:szCs w:val="17"/>
                <w:color w:val="auto"/>
              </w:rPr>
            </w:pPr>
          </w:p>
        </w:tc>
        <w:tc>
          <w:tcPr>
            <w:tcW w:w="1300" w:type="dxa"/>
            <w:vAlign w:val="bottom"/>
            <w:gridSpan w:val="2"/>
          </w:tcPr>
          <w:p>
            <w:pPr>
              <w:jc w:val="right"/>
              <w:ind w:right="140"/>
              <w:spacing w:after="0"/>
              <w:rPr>
                <w:sz w:val="20"/>
                <w:szCs w:val="20"/>
                <w:color w:val="auto"/>
              </w:rPr>
            </w:pPr>
            <w:r>
              <w:rPr>
                <w:rFonts w:ascii="Arial" w:cs="Arial" w:eastAsia="Arial" w:hAnsi="Arial"/>
                <w:sz w:val="17"/>
                <w:szCs w:val="17"/>
                <w:color w:val="auto"/>
              </w:rPr>
              <w:t>132,119,837</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7"/>
                <w:szCs w:val="17"/>
                <w:color w:val="auto"/>
              </w:rPr>
              <w:t>125,120,957</w:t>
            </w:r>
          </w:p>
        </w:tc>
      </w:tr>
      <w:tr>
        <w:trPr>
          <w:trHeight w:val="203"/>
        </w:trPr>
        <w:tc>
          <w:tcPr>
            <w:tcW w:w="7660" w:type="dxa"/>
            <w:vAlign w:val="bottom"/>
            <w:shd w:val="clear" w:color="auto" w:fill="CCEEFF"/>
          </w:tcPr>
          <w:p>
            <w:pPr>
              <w:ind w:left="220"/>
              <w:spacing w:after="0"/>
              <w:rPr>
                <w:sz w:val="20"/>
                <w:szCs w:val="20"/>
                <w:color w:val="auto"/>
              </w:rPr>
            </w:pPr>
            <w:r>
              <w:rPr>
                <w:rFonts w:ascii="Arial" w:cs="Arial" w:eastAsia="Arial" w:hAnsi="Arial"/>
                <w:sz w:val="17"/>
                <w:szCs w:val="17"/>
                <w:color w:val="auto"/>
              </w:rPr>
              <w:t>Intangible Assets</w:t>
            </w:r>
          </w:p>
        </w:tc>
        <w:tc>
          <w:tcPr>
            <w:tcW w:w="120" w:type="dxa"/>
            <w:vAlign w:val="bottom"/>
            <w:shd w:val="clear" w:color="auto" w:fill="CCEEFF"/>
          </w:tcPr>
          <w:p>
            <w:pPr>
              <w:spacing w:after="0"/>
              <w:rPr>
                <w:sz w:val="17"/>
                <w:szCs w:val="17"/>
                <w:color w:val="auto"/>
              </w:rPr>
            </w:pPr>
          </w:p>
        </w:tc>
        <w:tc>
          <w:tcPr>
            <w:tcW w:w="130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5,358,700</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5,544,091</w:t>
            </w:r>
          </w:p>
        </w:tc>
      </w:tr>
      <w:tr>
        <w:trPr>
          <w:trHeight w:val="203"/>
        </w:trPr>
        <w:tc>
          <w:tcPr>
            <w:tcW w:w="7660" w:type="dxa"/>
            <w:vAlign w:val="bottom"/>
          </w:tcPr>
          <w:p>
            <w:pPr>
              <w:ind w:left="220"/>
              <w:spacing w:after="0"/>
              <w:rPr>
                <w:sz w:val="20"/>
                <w:szCs w:val="20"/>
                <w:color w:val="auto"/>
              </w:rPr>
            </w:pPr>
            <w:r>
              <w:rPr>
                <w:rFonts w:ascii="Arial" w:cs="Arial" w:eastAsia="Arial" w:hAnsi="Arial"/>
                <w:sz w:val="17"/>
                <w:szCs w:val="17"/>
                <w:color w:val="auto"/>
              </w:rPr>
              <w:t>Deferred Revenue</w:t>
            </w:r>
          </w:p>
        </w:tc>
        <w:tc>
          <w:tcPr>
            <w:tcW w:w="120" w:type="dxa"/>
            <w:vAlign w:val="bottom"/>
          </w:tcPr>
          <w:p>
            <w:pPr>
              <w:spacing w:after="0"/>
              <w:rPr>
                <w:sz w:val="17"/>
                <w:szCs w:val="17"/>
                <w:color w:val="auto"/>
              </w:rPr>
            </w:pPr>
          </w:p>
        </w:tc>
        <w:tc>
          <w:tcPr>
            <w:tcW w:w="1300" w:type="dxa"/>
            <w:vAlign w:val="bottom"/>
            <w:gridSpan w:val="2"/>
          </w:tcPr>
          <w:p>
            <w:pPr>
              <w:jc w:val="right"/>
              <w:ind w:right="140"/>
              <w:spacing w:after="0"/>
              <w:rPr>
                <w:sz w:val="20"/>
                <w:szCs w:val="20"/>
                <w:color w:val="auto"/>
              </w:rPr>
            </w:pPr>
            <w:r>
              <w:rPr>
                <w:rFonts w:ascii="Arial" w:cs="Arial" w:eastAsia="Arial" w:hAnsi="Arial"/>
                <w:sz w:val="17"/>
                <w:szCs w:val="17"/>
                <w:color w:val="auto"/>
              </w:rPr>
              <w:t>1,068,206</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7"/>
                <w:szCs w:val="17"/>
                <w:color w:val="auto"/>
              </w:rPr>
              <w:t>—</w:t>
            </w:r>
          </w:p>
        </w:tc>
      </w:tr>
      <w:tr>
        <w:trPr>
          <w:trHeight w:val="203"/>
        </w:trPr>
        <w:tc>
          <w:tcPr>
            <w:tcW w:w="7660" w:type="dxa"/>
            <w:vAlign w:val="bottom"/>
            <w:shd w:val="clear" w:color="auto" w:fill="CCECFF"/>
          </w:tcPr>
          <w:p>
            <w:pPr>
              <w:ind w:left="220"/>
              <w:spacing w:after="0"/>
              <w:rPr>
                <w:sz w:val="20"/>
                <w:szCs w:val="20"/>
                <w:color w:val="auto"/>
              </w:rPr>
            </w:pPr>
            <w:r>
              <w:rPr>
                <w:rFonts w:ascii="Arial" w:cs="Arial" w:eastAsia="Arial" w:hAnsi="Arial"/>
                <w:sz w:val="17"/>
                <w:szCs w:val="17"/>
                <w:color w:val="auto"/>
              </w:rPr>
              <w:t>Deferred Rent</w:t>
            </w:r>
          </w:p>
        </w:tc>
        <w:tc>
          <w:tcPr>
            <w:tcW w:w="120" w:type="dxa"/>
            <w:vAlign w:val="bottom"/>
            <w:shd w:val="clear" w:color="auto" w:fill="CCECFF"/>
          </w:tcPr>
          <w:p>
            <w:pPr>
              <w:spacing w:after="0"/>
              <w:rPr>
                <w:sz w:val="17"/>
                <w:szCs w:val="17"/>
                <w:color w:val="auto"/>
              </w:rPr>
            </w:pPr>
          </w:p>
        </w:tc>
        <w:tc>
          <w:tcPr>
            <w:tcW w:w="1300" w:type="dxa"/>
            <w:vAlign w:val="bottom"/>
            <w:gridSpan w:val="2"/>
            <w:shd w:val="clear" w:color="auto" w:fill="CCECFF"/>
          </w:tcPr>
          <w:p>
            <w:pPr>
              <w:jc w:val="right"/>
              <w:ind w:right="140"/>
              <w:spacing w:after="0"/>
              <w:rPr>
                <w:sz w:val="20"/>
                <w:szCs w:val="20"/>
                <w:color w:val="auto"/>
              </w:rPr>
            </w:pPr>
            <w:r>
              <w:rPr>
                <w:rFonts w:ascii="Arial" w:cs="Arial" w:eastAsia="Arial" w:hAnsi="Arial"/>
                <w:sz w:val="17"/>
                <w:szCs w:val="17"/>
                <w:color w:val="auto"/>
              </w:rPr>
              <w:t>865,675</w:t>
            </w:r>
          </w:p>
        </w:tc>
        <w:tc>
          <w:tcPr>
            <w:tcW w:w="80" w:type="dxa"/>
            <w:vAlign w:val="bottom"/>
            <w:shd w:val="clear" w:color="auto" w:fill="CCECFF"/>
          </w:tcPr>
          <w:p>
            <w:pPr>
              <w:spacing w:after="0"/>
              <w:rPr>
                <w:sz w:val="17"/>
                <w:szCs w:val="17"/>
                <w:color w:val="auto"/>
              </w:rPr>
            </w:pPr>
          </w:p>
        </w:tc>
        <w:tc>
          <w:tcPr>
            <w:tcW w:w="100" w:type="dxa"/>
            <w:vAlign w:val="bottom"/>
            <w:shd w:val="clear" w:color="auto" w:fill="CCECFF"/>
          </w:tcPr>
          <w:p>
            <w:pPr>
              <w:spacing w:after="0"/>
              <w:rPr>
                <w:sz w:val="17"/>
                <w:szCs w:val="17"/>
                <w:color w:val="auto"/>
              </w:rPr>
            </w:pPr>
          </w:p>
        </w:tc>
        <w:tc>
          <w:tcPr>
            <w:tcW w:w="1240" w:type="dxa"/>
            <w:vAlign w:val="bottom"/>
            <w:gridSpan w:val="2"/>
            <w:shd w:val="clear" w:color="auto" w:fill="CCECFF"/>
          </w:tcPr>
          <w:p>
            <w:pPr>
              <w:jc w:val="right"/>
              <w:ind w:right="100"/>
              <w:spacing w:after="0"/>
              <w:rPr>
                <w:sz w:val="20"/>
                <w:szCs w:val="20"/>
                <w:color w:val="auto"/>
              </w:rPr>
            </w:pPr>
            <w:r>
              <w:rPr>
                <w:rFonts w:ascii="Arial" w:cs="Arial" w:eastAsia="Arial" w:hAnsi="Arial"/>
                <w:sz w:val="17"/>
                <w:szCs w:val="17"/>
                <w:color w:val="auto"/>
              </w:rPr>
              <w:t>—</w:t>
            </w:r>
          </w:p>
        </w:tc>
      </w:tr>
      <w:tr>
        <w:trPr>
          <w:trHeight w:val="203"/>
        </w:trPr>
        <w:tc>
          <w:tcPr>
            <w:tcW w:w="7660" w:type="dxa"/>
            <w:vAlign w:val="bottom"/>
          </w:tcPr>
          <w:p>
            <w:pPr>
              <w:ind w:left="220"/>
              <w:spacing w:after="0"/>
              <w:rPr>
                <w:sz w:val="20"/>
                <w:szCs w:val="20"/>
                <w:color w:val="auto"/>
              </w:rPr>
            </w:pPr>
            <w:r>
              <w:rPr>
                <w:rFonts w:ascii="Arial" w:cs="Arial" w:eastAsia="Arial" w:hAnsi="Arial"/>
                <w:sz w:val="17"/>
                <w:szCs w:val="17"/>
                <w:color w:val="auto"/>
              </w:rPr>
              <w:t>Capital Loss</w:t>
            </w:r>
          </w:p>
        </w:tc>
        <w:tc>
          <w:tcPr>
            <w:tcW w:w="120" w:type="dxa"/>
            <w:vAlign w:val="bottom"/>
          </w:tcPr>
          <w:p>
            <w:pPr>
              <w:spacing w:after="0"/>
              <w:rPr>
                <w:sz w:val="17"/>
                <w:szCs w:val="17"/>
                <w:color w:val="auto"/>
              </w:rPr>
            </w:pPr>
          </w:p>
        </w:tc>
        <w:tc>
          <w:tcPr>
            <w:tcW w:w="1300" w:type="dxa"/>
            <w:vAlign w:val="bottom"/>
            <w:gridSpan w:val="2"/>
          </w:tcPr>
          <w:p>
            <w:pPr>
              <w:jc w:val="right"/>
              <w:ind w:right="140"/>
              <w:spacing w:after="0"/>
              <w:rPr>
                <w:sz w:val="20"/>
                <w:szCs w:val="20"/>
                <w:color w:val="auto"/>
              </w:rPr>
            </w:pPr>
            <w:r>
              <w:rPr>
                <w:rFonts w:ascii="Arial" w:cs="Arial" w:eastAsia="Arial" w:hAnsi="Arial"/>
                <w:sz w:val="17"/>
                <w:szCs w:val="17"/>
                <w:color w:val="auto"/>
              </w:rPr>
              <w:t>1,020,162</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7"/>
                <w:szCs w:val="17"/>
                <w:color w:val="auto"/>
              </w:rPr>
              <w:t>—</w:t>
            </w:r>
          </w:p>
        </w:tc>
      </w:tr>
      <w:tr>
        <w:trPr>
          <w:trHeight w:val="196"/>
        </w:trPr>
        <w:tc>
          <w:tcPr>
            <w:tcW w:w="7660" w:type="dxa"/>
            <w:vAlign w:val="bottom"/>
            <w:tcBorders>
              <w:top w:val="single" w:sz="8" w:color="CCECFF"/>
            </w:tcBorders>
            <w:shd w:val="clear" w:color="auto" w:fill="CCECFF"/>
          </w:tcPr>
          <w:p>
            <w:pPr>
              <w:ind w:left="220"/>
              <w:spacing w:after="0"/>
              <w:rPr>
                <w:sz w:val="20"/>
                <w:szCs w:val="20"/>
                <w:color w:val="auto"/>
              </w:rPr>
            </w:pPr>
            <w:r>
              <w:rPr>
                <w:rFonts w:ascii="Arial" w:cs="Arial" w:eastAsia="Arial" w:hAnsi="Arial"/>
                <w:sz w:val="17"/>
                <w:szCs w:val="17"/>
                <w:color w:val="auto"/>
              </w:rPr>
              <w:t>Total deferred tax assets</w:t>
            </w:r>
          </w:p>
        </w:tc>
        <w:tc>
          <w:tcPr>
            <w:tcW w:w="120" w:type="dxa"/>
            <w:vAlign w:val="bottom"/>
            <w:tcBorders>
              <w:top w:val="single" w:sz="8" w:color="CCECFF"/>
            </w:tcBorders>
            <w:shd w:val="clear" w:color="auto" w:fill="CCECFF"/>
          </w:tcPr>
          <w:p>
            <w:pPr>
              <w:spacing w:after="0"/>
              <w:rPr>
                <w:sz w:val="17"/>
                <w:szCs w:val="17"/>
                <w:color w:val="auto"/>
              </w:rPr>
            </w:pPr>
          </w:p>
        </w:tc>
        <w:tc>
          <w:tcPr>
            <w:tcW w:w="1160" w:type="dxa"/>
            <w:vAlign w:val="bottom"/>
            <w:tcBorders>
              <w:top w:val="single" w:sz="8" w:color="auto"/>
              <w:bottom w:val="single" w:sz="8" w:color="auto"/>
            </w:tcBorders>
            <w:shd w:val="clear" w:color="auto" w:fill="CCECFF"/>
          </w:tcPr>
          <w:p>
            <w:pPr>
              <w:jc w:val="right"/>
              <w:spacing w:after="0"/>
              <w:rPr>
                <w:sz w:val="20"/>
                <w:szCs w:val="20"/>
                <w:color w:val="auto"/>
              </w:rPr>
            </w:pPr>
            <w:r>
              <w:rPr>
                <w:rFonts w:ascii="Arial" w:cs="Arial" w:eastAsia="Arial" w:hAnsi="Arial"/>
                <w:sz w:val="17"/>
                <w:szCs w:val="17"/>
                <w:color w:val="auto"/>
              </w:rPr>
              <w:t>149,840,686</w:t>
            </w:r>
          </w:p>
        </w:tc>
        <w:tc>
          <w:tcPr>
            <w:tcW w:w="140" w:type="dxa"/>
            <w:vAlign w:val="bottom"/>
            <w:tcBorders>
              <w:top w:val="single" w:sz="8" w:color="CCECFF"/>
            </w:tcBorders>
            <w:shd w:val="clear" w:color="auto" w:fill="CCECFF"/>
          </w:tcPr>
          <w:p>
            <w:pPr>
              <w:spacing w:after="0"/>
              <w:rPr>
                <w:sz w:val="17"/>
                <w:szCs w:val="17"/>
                <w:color w:val="auto"/>
              </w:rPr>
            </w:pPr>
          </w:p>
        </w:tc>
        <w:tc>
          <w:tcPr>
            <w:tcW w:w="80" w:type="dxa"/>
            <w:vAlign w:val="bottom"/>
            <w:tcBorders>
              <w:top w:val="single" w:sz="8" w:color="CCECFF"/>
            </w:tcBorders>
            <w:shd w:val="clear" w:color="auto" w:fill="CCECFF"/>
          </w:tcPr>
          <w:p>
            <w:pPr>
              <w:spacing w:after="0"/>
              <w:rPr>
                <w:sz w:val="17"/>
                <w:szCs w:val="17"/>
                <w:color w:val="auto"/>
              </w:rPr>
            </w:pPr>
          </w:p>
        </w:tc>
        <w:tc>
          <w:tcPr>
            <w:tcW w:w="100" w:type="dxa"/>
            <w:vAlign w:val="bottom"/>
            <w:tcBorders>
              <w:top w:val="single" w:sz="8" w:color="CCECFF"/>
            </w:tcBorders>
            <w:shd w:val="clear" w:color="auto" w:fill="CCECFF"/>
          </w:tcPr>
          <w:p>
            <w:pPr>
              <w:spacing w:after="0"/>
              <w:rPr>
                <w:sz w:val="17"/>
                <w:szCs w:val="17"/>
                <w:color w:val="auto"/>
              </w:rPr>
            </w:pPr>
          </w:p>
        </w:tc>
        <w:tc>
          <w:tcPr>
            <w:tcW w:w="1140" w:type="dxa"/>
            <w:vAlign w:val="bottom"/>
            <w:tcBorders>
              <w:top w:val="single" w:sz="8" w:color="auto"/>
              <w:bottom w:val="single" w:sz="8" w:color="auto"/>
            </w:tcBorders>
            <w:shd w:val="clear" w:color="auto" w:fill="CCECFF"/>
          </w:tcPr>
          <w:p>
            <w:pPr>
              <w:jc w:val="right"/>
              <w:spacing w:after="0"/>
              <w:rPr>
                <w:sz w:val="20"/>
                <w:szCs w:val="20"/>
                <w:color w:val="auto"/>
              </w:rPr>
            </w:pPr>
            <w:r>
              <w:rPr>
                <w:rFonts w:ascii="Arial" w:cs="Arial" w:eastAsia="Arial" w:hAnsi="Arial"/>
                <w:sz w:val="17"/>
                <w:szCs w:val="17"/>
                <w:color w:val="auto"/>
              </w:rPr>
              <w:t>142,538,584</w:t>
            </w:r>
          </w:p>
        </w:tc>
        <w:tc>
          <w:tcPr>
            <w:tcW w:w="100" w:type="dxa"/>
            <w:vAlign w:val="bottom"/>
            <w:tcBorders>
              <w:top w:val="single" w:sz="8" w:color="CCECFF"/>
            </w:tcBorders>
            <w:shd w:val="clear" w:color="auto" w:fill="CCECFF"/>
          </w:tcPr>
          <w:p>
            <w:pPr>
              <w:spacing w:after="0"/>
              <w:rPr>
                <w:sz w:val="17"/>
                <w:szCs w:val="17"/>
                <w:color w:val="auto"/>
              </w:rPr>
            </w:pPr>
          </w:p>
        </w:tc>
      </w:tr>
      <w:tr>
        <w:trPr>
          <w:trHeight w:val="196"/>
        </w:trPr>
        <w:tc>
          <w:tcPr>
            <w:tcW w:w="7660" w:type="dxa"/>
            <w:vAlign w:val="bottom"/>
          </w:tcPr>
          <w:p>
            <w:pPr>
              <w:spacing w:after="0"/>
              <w:rPr>
                <w:sz w:val="20"/>
                <w:szCs w:val="20"/>
                <w:color w:val="auto"/>
              </w:rPr>
            </w:pPr>
            <w:r>
              <w:rPr>
                <w:rFonts w:ascii="Arial" w:cs="Arial" w:eastAsia="Arial" w:hAnsi="Arial"/>
                <w:sz w:val="17"/>
                <w:szCs w:val="17"/>
                <w:color w:val="auto"/>
              </w:rPr>
              <w:t>Valuation allowance</w:t>
            </w:r>
          </w:p>
        </w:tc>
        <w:tc>
          <w:tcPr>
            <w:tcW w:w="12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Arial" w:cs="Arial" w:eastAsia="Arial" w:hAnsi="Arial"/>
                <w:sz w:val="17"/>
                <w:szCs w:val="17"/>
                <w:color w:val="auto"/>
              </w:rPr>
              <w:t>(136,625,436)</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7"/>
                <w:szCs w:val="17"/>
                <w:color w:val="auto"/>
              </w:rPr>
              <w:t>(128,695,371)</w:t>
            </w:r>
          </w:p>
        </w:tc>
        <w:tc>
          <w:tcPr>
            <w:tcW w:w="100" w:type="dxa"/>
            <w:vAlign w:val="bottom"/>
          </w:tcPr>
          <w:p>
            <w:pPr>
              <w:spacing w:after="0"/>
              <w:rPr>
                <w:sz w:val="17"/>
                <w:szCs w:val="17"/>
                <w:color w:val="auto"/>
              </w:rPr>
            </w:pPr>
          </w:p>
        </w:tc>
      </w:tr>
      <w:tr>
        <w:trPr>
          <w:trHeight w:val="203"/>
        </w:trPr>
        <w:tc>
          <w:tcPr>
            <w:tcW w:w="7660" w:type="dxa"/>
            <w:vAlign w:val="bottom"/>
            <w:shd w:val="clear" w:color="auto" w:fill="CCECFF"/>
          </w:tcPr>
          <w:p>
            <w:pPr>
              <w:spacing w:after="0"/>
              <w:rPr>
                <w:sz w:val="20"/>
                <w:szCs w:val="20"/>
                <w:color w:val="auto"/>
              </w:rPr>
            </w:pPr>
            <w:r>
              <w:rPr>
                <w:rFonts w:ascii="Arial" w:cs="Arial" w:eastAsia="Arial" w:hAnsi="Arial"/>
                <w:sz w:val="17"/>
                <w:szCs w:val="17"/>
                <w:color w:val="auto"/>
              </w:rPr>
              <w:t>Deferred tax liabilities:</w:t>
            </w:r>
          </w:p>
        </w:tc>
        <w:tc>
          <w:tcPr>
            <w:tcW w:w="120" w:type="dxa"/>
            <w:vAlign w:val="bottom"/>
            <w:shd w:val="clear" w:color="auto" w:fill="CCECFF"/>
          </w:tcPr>
          <w:p>
            <w:pPr>
              <w:spacing w:after="0"/>
              <w:rPr>
                <w:sz w:val="17"/>
                <w:szCs w:val="17"/>
                <w:color w:val="auto"/>
              </w:rPr>
            </w:pPr>
          </w:p>
        </w:tc>
        <w:tc>
          <w:tcPr>
            <w:tcW w:w="1160" w:type="dxa"/>
            <w:vAlign w:val="bottom"/>
            <w:shd w:val="clear" w:color="auto" w:fill="CCECFF"/>
          </w:tcPr>
          <w:p>
            <w:pPr>
              <w:spacing w:after="0"/>
              <w:rPr>
                <w:sz w:val="17"/>
                <w:szCs w:val="17"/>
                <w:color w:val="auto"/>
              </w:rPr>
            </w:pPr>
          </w:p>
        </w:tc>
        <w:tc>
          <w:tcPr>
            <w:tcW w:w="140" w:type="dxa"/>
            <w:vAlign w:val="bottom"/>
            <w:shd w:val="clear" w:color="auto" w:fill="CCECFF"/>
          </w:tcPr>
          <w:p>
            <w:pPr>
              <w:spacing w:after="0"/>
              <w:rPr>
                <w:sz w:val="17"/>
                <w:szCs w:val="17"/>
                <w:color w:val="auto"/>
              </w:rPr>
            </w:pPr>
          </w:p>
        </w:tc>
        <w:tc>
          <w:tcPr>
            <w:tcW w:w="80" w:type="dxa"/>
            <w:vAlign w:val="bottom"/>
            <w:shd w:val="clear" w:color="auto" w:fill="CCECFF"/>
          </w:tcPr>
          <w:p>
            <w:pPr>
              <w:spacing w:after="0"/>
              <w:rPr>
                <w:sz w:val="17"/>
                <w:szCs w:val="17"/>
                <w:color w:val="auto"/>
              </w:rPr>
            </w:pPr>
          </w:p>
        </w:tc>
        <w:tc>
          <w:tcPr>
            <w:tcW w:w="100" w:type="dxa"/>
            <w:vAlign w:val="bottom"/>
            <w:shd w:val="clear" w:color="auto" w:fill="CCECFF"/>
          </w:tcPr>
          <w:p>
            <w:pPr>
              <w:spacing w:after="0"/>
              <w:rPr>
                <w:sz w:val="17"/>
                <w:szCs w:val="17"/>
                <w:color w:val="auto"/>
              </w:rPr>
            </w:pPr>
          </w:p>
        </w:tc>
        <w:tc>
          <w:tcPr>
            <w:tcW w:w="1140" w:type="dxa"/>
            <w:vAlign w:val="bottom"/>
            <w:shd w:val="clear" w:color="auto" w:fill="CCECFF"/>
          </w:tcPr>
          <w:p>
            <w:pPr>
              <w:spacing w:after="0"/>
              <w:rPr>
                <w:sz w:val="17"/>
                <w:szCs w:val="17"/>
                <w:color w:val="auto"/>
              </w:rPr>
            </w:pPr>
          </w:p>
        </w:tc>
        <w:tc>
          <w:tcPr>
            <w:tcW w:w="100" w:type="dxa"/>
            <w:vAlign w:val="bottom"/>
            <w:shd w:val="clear" w:color="auto" w:fill="CCECFF"/>
          </w:tcPr>
          <w:p>
            <w:pPr>
              <w:spacing w:after="0"/>
              <w:rPr>
                <w:sz w:val="17"/>
                <w:szCs w:val="17"/>
                <w:color w:val="auto"/>
              </w:rPr>
            </w:pPr>
          </w:p>
        </w:tc>
      </w:tr>
      <w:tr>
        <w:trPr>
          <w:trHeight w:val="203"/>
        </w:trPr>
        <w:tc>
          <w:tcPr>
            <w:tcW w:w="7660" w:type="dxa"/>
            <w:vAlign w:val="bottom"/>
          </w:tcPr>
          <w:p>
            <w:pPr>
              <w:ind w:left="220"/>
              <w:spacing w:after="0"/>
              <w:rPr>
                <w:sz w:val="20"/>
                <w:szCs w:val="20"/>
                <w:color w:val="auto"/>
              </w:rPr>
            </w:pPr>
            <w:r>
              <w:rPr>
                <w:rFonts w:ascii="Arial" w:cs="Arial" w:eastAsia="Arial" w:hAnsi="Arial"/>
                <w:sz w:val="17"/>
                <w:szCs w:val="17"/>
                <w:color w:val="auto"/>
              </w:rPr>
              <w:t>State taxes</w:t>
            </w:r>
          </w:p>
        </w:tc>
        <w:tc>
          <w:tcPr>
            <w:tcW w:w="120" w:type="dxa"/>
            <w:vAlign w:val="bottom"/>
          </w:tcPr>
          <w:p>
            <w:pPr>
              <w:spacing w:after="0"/>
              <w:rPr>
                <w:sz w:val="17"/>
                <w:szCs w:val="17"/>
                <w:color w:val="auto"/>
              </w:rPr>
            </w:pPr>
          </w:p>
        </w:tc>
        <w:tc>
          <w:tcPr>
            <w:tcW w:w="1300" w:type="dxa"/>
            <w:vAlign w:val="bottom"/>
            <w:gridSpan w:val="2"/>
          </w:tcPr>
          <w:p>
            <w:pPr>
              <w:jc w:val="right"/>
              <w:ind w:right="80"/>
              <w:spacing w:after="0"/>
              <w:rPr>
                <w:sz w:val="20"/>
                <w:szCs w:val="20"/>
                <w:color w:val="auto"/>
              </w:rPr>
            </w:pPr>
            <w:r>
              <w:rPr>
                <w:rFonts w:ascii="Arial" w:cs="Arial" w:eastAsia="Arial" w:hAnsi="Arial"/>
                <w:sz w:val="17"/>
                <w:szCs w:val="17"/>
                <w:color w:val="auto"/>
              </w:rPr>
              <w:t>(13,215,250)</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40" w:type="dxa"/>
            <w:vAlign w:val="bottom"/>
            <w:gridSpan w:val="2"/>
          </w:tcPr>
          <w:p>
            <w:pPr>
              <w:jc w:val="right"/>
              <w:ind w:right="40"/>
              <w:spacing w:after="0"/>
              <w:rPr>
                <w:sz w:val="20"/>
                <w:szCs w:val="20"/>
                <w:color w:val="auto"/>
              </w:rPr>
            </w:pPr>
            <w:r>
              <w:rPr>
                <w:rFonts w:ascii="Arial" w:cs="Arial" w:eastAsia="Arial" w:hAnsi="Arial"/>
                <w:sz w:val="17"/>
                <w:szCs w:val="17"/>
                <w:color w:val="auto"/>
              </w:rPr>
              <w:t>(13,804,268)</w:t>
            </w:r>
          </w:p>
        </w:tc>
      </w:tr>
      <w:tr>
        <w:trPr>
          <w:trHeight w:val="203"/>
        </w:trPr>
        <w:tc>
          <w:tcPr>
            <w:tcW w:w="7660" w:type="dxa"/>
            <w:vAlign w:val="bottom"/>
            <w:shd w:val="clear" w:color="auto" w:fill="CCECFF"/>
          </w:tcPr>
          <w:p>
            <w:pPr>
              <w:ind w:left="220"/>
              <w:spacing w:after="0"/>
              <w:rPr>
                <w:sz w:val="20"/>
                <w:szCs w:val="20"/>
                <w:color w:val="auto"/>
              </w:rPr>
            </w:pPr>
            <w:r>
              <w:rPr>
                <w:rFonts w:ascii="Arial" w:cs="Arial" w:eastAsia="Arial" w:hAnsi="Arial"/>
                <w:sz w:val="17"/>
                <w:szCs w:val="17"/>
                <w:color w:val="auto"/>
              </w:rPr>
              <w:t>Fixed assets</w:t>
            </w:r>
          </w:p>
        </w:tc>
        <w:tc>
          <w:tcPr>
            <w:tcW w:w="120" w:type="dxa"/>
            <w:vAlign w:val="bottom"/>
            <w:shd w:val="clear" w:color="auto" w:fill="CCECFF"/>
          </w:tcPr>
          <w:p>
            <w:pPr>
              <w:spacing w:after="0"/>
              <w:rPr>
                <w:sz w:val="17"/>
                <w:szCs w:val="17"/>
                <w:color w:val="auto"/>
              </w:rPr>
            </w:pPr>
          </w:p>
        </w:tc>
        <w:tc>
          <w:tcPr>
            <w:tcW w:w="1300" w:type="dxa"/>
            <w:vAlign w:val="bottom"/>
            <w:gridSpan w:val="2"/>
            <w:shd w:val="clear" w:color="auto" w:fill="CCECFF"/>
          </w:tcPr>
          <w:p>
            <w:pPr>
              <w:jc w:val="right"/>
              <w:ind w:right="140"/>
              <w:spacing w:after="0"/>
              <w:rPr>
                <w:sz w:val="20"/>
                <w:szCs w:val="20"/>
                <w:color w:val="auto"/>
              </w:rPr>
            </w:pPr>
            <w:r>
              <w:rPr>
                <w:rFonts w:ascii="Arial" w:cs="Arial" w:eastAsia="Arial" w:hAnsi="Arial"/>
                <w:sz w:val="17"/>
                <w:szCs w:val="17"/>
                <w:color w:val="auto"/>
              </w:rPr>
              <w:t>—</w:t>
            </w:r>
          </w:p>
        </w:tc>
        <w:tc>
          <w:tcPr>
            <w:tcW w:w="80" w:type="dxa"/>
            <w:vAlign w:val="bottom"/>
            <w:shd w:val="clear" w:color="auto" w:fill="CCECFF"/>
          </w:tcPr>
          <w:p>
            <w:pPr>
              <w:spacing w:after="0"/>
              <w:rPr>
                <w:sz w:val="17"/>
                <w:szCs w:val="17"/>
                <w:color w:val="auto"/>
              </w:rPr>
            </w:pPr>
          </w:p>
        </w:tc>
        <w:tc>
          <w:tcPr>
            <w:tcW w:w="100" w:type="dxa"/>
            <w:vAlign w:val="bottom"/>
            <w:shd w:val="clear" w:color="auto" w:fill="CCECFF"/>
          </w:tcPr>
          <w:p>
            <w:pPr>
              <w:spacing w:after="0"/>
              <w:rPr>
                <w:sz w:val="17"/>
                <w:szCs w:val="17"/>
                <w:color w:val="auto"/>
              </w:rPr>
            </w:pPr>
          </w:p>
        </w:tc>
        <w:tc>
          <w:tcPr>
            <w:tcW w:w="1240" w:type="dxa"/>
            <w:vAlign w:val="bottom"/>
            <w:gridSpan w:val="2"/>
            <w:shd w:val="clear" w:color="auto" w:fill="CCECFF"/>
          </w:tcPr>
          <w:p>
            <w:pPr>
              <w:jc w:val="right"/>
              <w:ind w:right="40"/>
              <w:spacing w:after="0"/>
              <w:rPr>
                <w:sz w:val="20"/>
                <w:szCs w:val="20"/>
                <w:color w:val="auto"/>
              </w:rPr>
            </w:pPr>
            <w:r>
              <w:rPr>
                <w:rFonts w:ascii="Arial" w:cs="Arial" w:eastAsia="Arial" w:hAnsi="Arial"/>
                <w:sz w:val="17"/>
                <w:szCs w:val="17"/>
                <w:color w:val="auto"/>
              </w:rPr>
              <w:t>(38,945)</w:t>
            </w:r>
          </w:p>
        </w:tc>
      </w:tr>
      <w:tr>
        <w:trPr>
          <w:trHeight w:val="196"/>
        </w:trPr>
        <w:tc>
          <w:tcPr>
            <w:tcW w:w="7660" w:type="dxa"/>
            <w:vAlign w:val="bottom"/>
            <w:tcBorders>
              <w:bottom w:val="single" w:sz="8" w:color="CCECFF"/>
            </w:tcBorders>
          </w:tcPr>
          <w:p>
            <w:pPr>
              <w:ind w:left="220"/>
              <w:spacing w:after="0"/>
              <w:rPr>
                <w:sz w:val="20"/>
                <w:szCs w:val="20"/>
                <w:color w:val="auto"/>
              </w:rPr>
            </w:pPr>
            <w:r>
              <w:rPr>
                <w:rFonts w:ascii="Arial" w:cs="Arial" w:eastAsia="Arial" w:hAnsi="Arial"/>
                <w:sz w:val="17"/>
                <w:szCs w:val="17"/>
                <w:color w:val="auto"/>
              </w:rPr>
              <w:t>Total deferred tax liability</w:t>
            </w:r>
          </w:p>
        </w:tc>
        <w:tc>
          <w:tcPr>
            <w:tcW w:w="120" w:type="dxa"/>
            <w:vAlign w:val="bottom"/>
            <w:tcBorders>
              <w:bottom w:val="single" w:sz="8" w:color="CCECFF"/>
            </w:tcBorders>
          </w:tcPr>
          <w:p>
            <w:pPr>
              <w:spacing w:after="0"/>
              <w:rPr>
                <w:sz w:val="17"/>
                <w:szCs w:val="17"/>
                <w:color w:val="auto"/>
              </w:rPr>
            </w:pP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(13,215,250)</w:t>
            </w:r>
          </w:p>
        </w:tc>
        <w:tc>
          <w:tcPr>
            <w:tcW w:w="140" w:type="dxa"/>
            <w:vAlign w:val="bottom"/>
            <w:tcBorders>
              <w:bottom w:val="single" w:sz="8" w:color="CCECFF"/>
            </w:tcBorders>
          </w:tcPr>
          <w:p>
            <w:pPr>
              <w:spacing w:after="0"/>
              <w:rPr>
                <w:sz w:val="17"/>
                <w:szCs w:val="17"/>
                <w:color w:val="auto"/>
              </w:rPr>
            </w:pPr>
          </w:p>
        </w:tc>
        <w:tc>
          <w:tcPr>
            <w:tcW w:w="80" w:type="dxa"/>
            <w:vAlign w:val="bottom"/>
            <w:tcBorders>
              <w:bottom w:val="single" w:sz="8" w:color="CCECFF"/>
            </w:tcBorders>
          </w:tcPr>
          <w:p>
            <w:pPr>
              <w:spacing w:after="0"/>
              <w:rPr>
                <w:sz w:val="17"/>
                <w:szCs w:val="17"/>
                <w:color w:val="auto"/>
              </w:rPr>
            </w:pPr>
          </w:p>
        </w:tc>
        <w:tc>
          <w:tcPr>
            <w:tcW w:w="100" w:type="dxa"/>
            <w:vAlign w:val="bottom"/>
            <w:tcBorders>
              <w:bottom w:val="single" w:sz="8" w:color="CCECFF"/>
            </w:tcBorders>
          </w:tcPr>
          <w:p>
            <w:pPr>
              <w:spacing w:after="0"/>
              <w:rPr>
                <w:sz w:val="17"/>
                <w:szCs w:val="17"/>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(13,843,213)</w:t>
            </w:r>
          </w:p>
        </w:tc>
        <w:tc>
          <w:tcPr>
            <w:tcW w:w="100" w:type="dxa"/>
            <w:vAlign w:val="bottom"/>
            <w:tcBorders>
              <w:bottom w:val="single" w:sz="8" w:color="CCECFF"/>
            </w:tcBorders>
          </w:tcPr>
          <w:p>
            <w:pPr>
              <w:spacing w:after="0"/>
              <w:rPr>
                <w:sz w:val="17"/>
                <w:szCs w:val="17"/>
                <w:color w:val="auto"/>
              </w:rPr>
            </w:pPr>
          </w:p>
        </w:tc>
      </w:tr>
      <w:tr>
        <w:trPr>
          <w:trHeight w:val="196"/>
        </w:trPr>
        <w:tc>
          <w:tcPr>
            <w:tcW w:w="7660" w:type="dxa"/>
            <w:vAlign w:val="bottom"/>
            <w:tcBorders>
              <w:bottom w:val="single" w:sz="8" w:color="CCECFF"/>
            </w:tcBorders>
            <w:shd w:val="clear" w:color="auto" w:fill="CCECFF"/>
          </w:tcPr>
          <w:p>
            <w:pPr>
              <w:spacing w:after="0"/>
              <w:rPr>
                <w:sz w:val="20"/>
                <w:szCs w:val="20"/>
                <w:color w:val="auto"/>
              </w:rPr>
            </w:pPr>
            <w:r>
              <w:rPr>
                <w:rFonts w:ascii="Arial" w:cs="Arial" w:eastAsia="Arial" w:hAnsi="Arial"/>
                <w:sz w:val="17"/>
                <w:szCs w:val="17"/>
                <w:color w:val="auto"/>
              </w:rPr>
              <w:t>Net deferred tax assets (liabilities)</w:t>
            </w:r>
          </w:p>
        </w:tc>
        <w:tc>
          <w:tcPr>
            <w:tcW w:w="120" w:type="dxa"/>
            <w:vAlign w:val="bottom"/>
            <w:tcBorders>
              <w:bottom w:val="single" w:sz="8" w:color="CCECFF"/>
            </w:tcBorders>
            <w:shd w:val="clear" w:color="auto" w:fill="CCECFF"/>
          </w:tcPr>
          <w:p>
            <w:pPr>
              <w:jc w:val="right"/>
              <w:spacing w:after="0"/>
              <w:rPr>
                <w:sz w:val="20"/>
                <w:szCs w:val="20"/>
                <w:color w:val="auto"/>
              </w:rPr>
            </w:pPr>
            <w:r>
              <w:rPr>
                <w:rFonts w:ascii="Arial" w:cs="Arial" w:eastAsia="Arial" w:hAnsi="Arial"/>
                <w:sz w:val="17"/>
                <w:szCs w:val="17"/>
                <w:color w:val="auto"/>
                <w:w w:val="84"/>
              </w:rPr>
              <w:t>$</w:t>
            </w:r>
          </w:p>
        </w:tc>
        <w:tc>
          <w:tcPr>
            <w:tcW w:w="116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7"/>
                <w:szCs w:val="17"/>
                <w:color w:val="auto"/>
              </w:rPr>
              <w:t>—</w:t>
            </w:r>
          </w:p>
        </w:tc>
        <w:tc>
          <w:tcPr>
            <w:tcW w:w="140" w:type="dxa"/>
            <w:vAlign w:val="bottom"/>
            <w:tcBorders>
              <w:bottom w:val="single" w:sz="8" w:color="CCECFF"/>
            </w:tcBorders>
            <w:shd w:val="clear" w:color="auto" w:fill="CCECFF"/>
          </w:tcPr>
          <w:p>
            <w:pPr>
              <w:spacing w:after="0"/>
              <w:rPr>
                <w:sz w:val="17"/>
                <w:szCs w:val="17"/>
                <w:color w:val="auto"/>
              </w:rPr>
            </w:pPr>
          </w:p>
        </w:tc>
        <w:tc>
          <w:tcPr>
            <w:tcW w:w="180" w:type="dxa"/>
            <w:vAlign w:val="bottom"/>
            <w:tcBorders>
              <w:bottom w:val="single" w:sz="8" w:color="CCECFF"/>
            </w:tcBorders>
            <w:gridSpan w:val="2"/>
            <w:shd w:val="clear" w:color="auto" w:fill="CCECFF"/>
          </w:tcPr>
          <w:p>
            <w:pPr>
              <w:jc w:val="right"/>
              <w:ind w:right="20"/>
              <w:spacing w:after="0"/>
              <w:rPr>
                <w:sz w:val="20"/>
                <w:szCs w:val="20"/>
                <w:color w:val="auto"/>
              </w:rPr>
            </w:pPr>
            <w:r>
              <w:rPr>
                <w:rFonts w:ascii="Arial" w:cs="Arial" w:eastAsia="Arial" w:hAnsi="Arial"/>
                <w:sz w:val="17"/>
                <w:szCs w:val="17"/>
                <w:color w:val="auto"/>
              </w:rPr>
              <w:t>$</w:t>
            </w:r>
          </w:p>
        </w:tc>
        <w:tc>
          <w:tcPr>
            <w:tcW w:w="114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7"/>
                <w:szCs w:val="17"/>
                <w:color w:val="auto"/>
              </w:rPr>
              <w:t>—</w:t>
            </w:r>
          </w:p>
        </w:tc>
        <w:tc>
          <w:tcPr>
            <w:tcW w:w="100" w:type="dxa"/>
            <w:vAlign w:val="bottom"/>
            <w:tcBorders>
              <w:bottom w:val="single" w:sz="8" w:color="CCECFF"/>
            </w:tcBorders>
            <w:shd w:val="clear" w:color="auto" w:fill="CCECFF"/>
          </w:tcPr>
          <w:p>
            <w:pPr>
              <w:spacing w:after="0"/>
              <w:rPr>
                <w:sz w:val="17"/>
                <w:szCs w:val="17"/>
                <w:color w:val="auto"/>
              </w:rPr>
            </w:pPr>
          </w:p>
        </w:tc>
      </w:tr>
      <w:tr>
        <w:trPr>
          <w:trHeight w:val="20"/>
        </w:trPr>
        <w:tc>
          <w:tcPr>
            <w:tcW w:w="76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ind w:right="20" w:firstLine="518"/>
        <w:spacing w:after="0" w:line="271" w:lineRule="auto"/>
        <w:rPr>
          <w:sz w:val="20"/>
          <w:szCs w:val="20"/>
          <w:color w:val="auto"/>
        </w:rPr>
      </w:pPr>
      <w:r>
        <w:rPr>
          <w:rFonts w:ascii="Arial" w:cs="Arial" w:eastAsia="Arial" w:hAnsi="Arial"/>
          <w:sz w:val="17"/>
          <w:szCs w:val="17"/>
          <w:color w:val="auto"/>
        </w:rPr>
        <w:t>The Company has concluded, in accordance with the applicable accounting standards, that it is more likely than not that the Company may not realize the benefit of all of its deferred tax assets. Accordingly, management has provided a 100% valuation allowance against its deferred tax assets until such time as management believes that its projections of future profits as well as expected future tax rates make the realization of these deferred tax assets more-likely-than-not. Significant judgment is required in the evaluation of deferred tax benefits and differences in future results from our estimates could result in material differences in the realization of these assets. The Company has recorded a full valuation allowance related to all of its deferred tax assets. The Company has performed an assessment of positive and negative evidence regarding the realization of the net deferred tax asset in accordance with FASB ASC 740-10, “Accounting for Income Taxes.” This assessment included the evaluation of scheduled reversals of deferred tax liabilities, the availability of carry forwards and estimates of projected future taxable income.</w:t>
      </w:r>
    </w:p>
    <w:p>
      <w:pPr>
        <w:spacing w:after="0" w:line="179" w:lineRule="exact"/>
        <w:rPr>
          <w:sz w:val="20"/>
          <w:szCs w:val="20"/>
          <w:color w:val="auto"/>
        </w:rPr>
      </w:pPr>
    </w:p>
    <w:p>
      <w:pPr>
        <w:ind w:right="20" w:firstLine="518"/>
        <w:spacing w:after="0" w:line="264" w:lineRule="auto"/>
        <w:rPr>
          <w:sz w:val="20"/>
          <w:szCs w:val="20"/>
          <w:color w:val="auto"/>
        </w:rPr>
      </w:pPr>
      <w:r>
        <w:rPr>
          <w:rFonts w:ascii="Arial" w:cs="Arial" w:eastAsia="Arial" w:hAnsi="Arial"/>
          <w:sz w:val="18"/>
          <w:szCs w:val="18"/>
          <w:color w:val="auto"/>
        </w:rPr>
        <w:t>As of September 30, 2016, the Company had available gross federal net operating loss (NOL) carry forwards of $260.7 million and gross state NOL carry forwards of $398.3 million. Gross federal NOL carry forwards for 2017 are estimated at $24.5 million, and gross state NOL carry forwards for 2017 are estimated at $24.2 million. The NOLs expire at various dates through 2037.</w:t>
      </w:r>
    </w:p>
    <w:p>
      <w:pPr>
        <w:spacing w:after="0" w:line="18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provisions for income taxes for the years ended September 30, 2017 and 2016 are as follows:</w:t>
      </w:r>
    </w:p>
    <w:p>
      <w:pPr>
        <w:spacing w:after="0" w:line="34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60" w:type="dxa"/>
            <w:vAlign w:val="bottom"/>
          </w:tcPr>
          <w:p>
            <w:pPr>
              <w:spacing w:after="0"/>
              <w:rPr>
                <w:sz w:val="14"/>
                <w:szCs w:val="14"/>
                <w:color w:val="auto"/>
              </w:rPr>
            </w:pPr>
          </w:p>
        </w:tc>
        <w:tc>
          <w:tcPr>
            <w:tcW w:w="3580" w:type="dxa"/>
            <w:vAlign w:val="bottom"/>
          </w:tcPr>
          <w:p>
            <w:pPr>
              <w:spacing w:after="0"/>
              <w:rPr>
                <w:sz w:val="14"/>
                <w:szCs w:val="14"/>
                <w:color w:val="auto"/>
              </w:rPr>
            </w:pPr>
          </w:p>
        </w:tc>
        <w:tc>
          <w:tcPr>
            <w:tcW w:w="4880" w:type="dxa"/>
            <w:vAlign w:val="bottom"/>
            <w:gridSpan w:val="2"/>
          </w:tcPr>
          <w:p>
            <w:pPr>
              <w:jc w:val="right"/>
              <w:spacing w:after="0"/>
              <w:rPr>
                <w:sz w:val="20"/>
                <w:szCs w:val="20"/>
                <w:color w:val="auto"/>
              </w:rPr>
            </w:pPr>
            <w:r>
              <w:rPr>
                <w:rFonts w:ascii="Arial" w:cs="Arial" w:eastAsia="Arial" w:hAnsi="Arial"/>
                <w:sz w:val="14"/>
                <w:szCs w:val="14"/>
                <w:b w:val="1"/>
                <w:bCs w:val="1"/>
                <w:color w:val="auto"/>
              </w:rPr>
              <w:t>2017</w:t>
            </w:r>
          </w:p>
        </w:tc>
        <w:tc>
          <w:tcPr>
            <w:tcW w:w="4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40" w:type="dxa"/>
            <w:vAlign w:val="bottom"/>
          </w:tcPr>
          <w:p>
            <w:pPr>
              <w:jc w:val="right"/>
              <w:ind w:right="413"/>
              <w:spacing w:after="0"/>
              <w:rPr>
                <w:sz w:val="20"/>
                <w:szCs w:val="20"/>
                <w:color w:val="auto"/>
              </w:rPr>
            </w:pPr>
            <w:r>
              <w:rPr>
                <w:rFonts w:ascii="Arial" w:cs="Arial" w:eastAsia="Arial" w:hAnsi="Arial"/>
                <w:sz w:val="14"/>
                <w:szCs w:val="14"/>
                <w:b w:val="1"/>
                <w:bCs w:val="1"/>
                <w:color w:val="auto"/>
              </w:rPr>
              <w:t>2016</w:t>
            </w:r>
          </w:p>
        </w:tc>
        <w:tc>
          <w:tcPr>
            <w:tcW w:w="100" w:type="dxa"/>
            <w:vAlign w:val="bottom"/>
          </w:tcPr>
          <w:p>
            <w:pPr>
              <w:spacing w:after="0"/>
              <w:rPr>
                <w:sz w:val="14"/>
                <w:szCs w:val="14"/>
                <w:color w:val="auto"/>
              </w:rPr>
            </w:pPr>
          </w:p>
        </w:tc>
        <w:tc>
          <w:tcPr>
            <w:tcW w:w="480" w:type="dxa"/>
            <w:vAlign w:val="bottom"/>
          </w:tcPr>
          <w:p>
            <w:pPr>
              <w:spacing w:after="0"/>
              <w:rPr>
                <w:sz w:val="14"/>
                <w:szCs w:val="14"/>
                <w:color w:val="auto"/>
              </w:rPr>
            </w:pPr>
          </w:p>
        </w:tc>
      </w:tr>
      <w:tr>
        <w:trPr>
          <w:trHeight w:val="210"/>
        </w:trPr>
        <w:tc>
          <w:tcPr>
            <w:tcW w:w="460" w:type="dxa"/>
            <w:vAlign w:val="bottom"/>
          </w:tcPr>
          <w:p>
            <w:pPr>
              <w:spacing w:after="0"/>
              <w:rPr>
                <w:sz w:val="18"/>
                <w:szCs w:val="18"/>
                <w:color w:val="auto"/>
              </w:rPr>
            </w:pPr>
          </w:p>
        </w:tc>
        <w:tc>
          <w:tcPr>
            <w:tcW w:w="35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Federal:</w:t>
            </w:r>
          </w:p>
        </w:tc>
        <w:tc>
          <w:tcPr>
            <w:tcW w:w="4080" w:type="dxa"/>
            <w:vAlign w:val="bottom"/>
            <w:tcBorders>
              <w:top w:val="single" w:sz="8" w:color="CCEEFF"/>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480" w:type="dxa"/>
            <w:vAlign w:val="bottom"/>
          </w:tcPr>
          <w:p>
            <w:pPr>
              <w:spacing w:after="0"/>
              <w:rPr>
                <w:sz w:val="18"/>
                <w:szCs w:val="18"/>
                <w:color w:val="auto"/>
              </w:rPr>
            </w:pPr>
          </w:p>
        </w:tc>
      </w:tr>
      <w:tr>
        <w:trPr>
          <w:trHeight w:val="216"/>
        </w:trPr>
        <w:tc>
          <w:tcPr>
            <w:tcW w:w="460" w:type="dxa"/>
            <w:vAlign w:val="bottom"/>
          </w:tcPr>
          <w:p>
            <w:pPr>
              <w:spacing w:after="0"/>
              <w:rPr>
                <w:sz w:val="18"/>
                <w:szCs w:val="18"/>
                <w:color w:val="auto"/>
              </w:rPr>
            </w:pPr>
          </w:p>
        </w:tc>
        <w:tc>
          <w:tcPr>
            <w:tcW w:w="3580" w:type="dxa"/>
            <w:vAlign w:val="bottom"/>
          </w:tcPr>
          <w:p>
            <w:pPr>
              <w:spacing w:after="0"/>
              <w:rPr>
                <w:sz w:val="20"/>
                <w:szCs w:val="20"/>
                <w:color w:val="auto"/>
              </w:rPr>
            </w:pPr>
            <w:r>
              <w:rPr>
                <w:rFonts w:ascii="Arial" w:cs="Arial" w:eastAsia="Arial" w:hAnsi="Arial"/>
                <w:sz w:val="18"/>
                <w:szCs w:val="18"/>
                <w:color w:val="auto"/>
              </w:rPr>
              <w:t>Current</w:t>
            </w:r>
          </w:p>
        </w:tc>
        <w:tc>
          <w:tcPr>
            <w:tcW w:w="40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3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18"/>
                <w:szCs w:val="18"/>
                <w:color w:val="auto"/>
              </w:rPr>
            </w:pPr>
          </w:p>
        </w:tc>
      </w:tr>
      <w:tr>
        <w:trPr>
          <w:trHeight w:val="216"/>
        </w:trPr>
        <w:tc>
          <w:tcPr>
            <w:tcW w:w="460" w:type="dxa"/>
            <w:vAlign w:val="bottom"/>
          </w:tcPr>
          <w:p>
            <w:pPr>
              <w:spacing w:after="0"/>
              <w:rPr>
                <w:sz w:val="18"/>
                <w:szCs w:val="18"/>
                <w:color w:val="auto"/>
              </w:rPr>
            </w:pPr>
          </w:p>
        </w:tc>
        <w:tc>
          <w:tcPr>
            <w:tcW w:w="3580" w:type="dxa"/>
            <w:vAlign w:val="bottom"/>
            <w:shd w:val="clear" w:color="auto" w:fill="CCEEFF"/>
          </w:tcPr>
          <w:p>
            <w:pPr>
              <w:spacing w:after="0"/>
              <w:rPr>
                <w:sz w:val="20"/>
                <w:szCs w:val="20"/>
                <w:color w:val="auto"/>
              </w:rPr>
            </w:pPr>
            <w:r>
              <w:rPr>
                <w:rFonts w:ascii="Arial" w:cs="Arial" w:eastAsia="Arial" w:hAnsi="Arial"/>
                <w:sz w:val="18"/>
                <w:szCs w:val="18"/>
                <w:color w:val="auto"/>
              </w:rPr>
              <w:t>Deferred</w:t>
            </w:r>
          </w:p>
        </w:tc>
        <w:tc>
          <w:tcPr>
            <w:tcW w:w="40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3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18"/>
                <w:szCs w:val="18"/>
                <w:color w:val="auto"/>
              </w:rPr>
            </w:pPr>
          </w:p>
        </w:tc>
      </w:tr>
      <w:tr>
        <w:trPr>
          <w:trHeight w:val="210"/>
        </w:trPr>
        <w:tc>
          <w:tcPr>
            <w:tcW w:w="460" w:type="dxa"/>
            <w:vAlign w:val="bottom"/>
          </w:tcPr>
          <w:p>
            <w:pPr>
              <w:spacing w:after="0"/>
              <w:rPr>
                <w:sz w:val="18"/>
                <w:szCs w:val="18"/>
                <w:color w:val="auto"/>
              </w:rPr>
            </w:pPr>
          </w:p>
        </w:tc>
        <w:tc>
          <w:tcPr>
            <w:tcW w:w="358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Total Federal</w:t>
            </w:r>
          </w:p>
        </w:tc>
        <w:tc>
          <w:tcPr>
            <w:tcW w:w="4080" w:type="dxa"/>
            <w:vAlign w:val="bottom"/>
            <w:tcBorders>
              <w:bottom w:val="single" w:sz="8" w:color="CCEEFF"/>
            </w:tcBorders>
          </w:tcPr>
          <w:p>
            <w:pPr>
              <w:spacing w:after="0"/>
              <w:rPr>
                <w:sz w:val="18"/>
                <w:szCs w:val="18"/>
                <w:color w:val="auto"/>
              </w:rPr>
            </w:pPr>
          </w:p>
        </w:tc>
        <w:tc>
          <w:tcPr>
            <w:tcW w:w="800" w:type="dxa"/>
            <w:vAlign w:val="bottom"/>
            <w:tcBorders>
              <w:top w:val="single" w:sz="8" w:color="auto"/>
              <w:bottom w:val="single" w:sz="8" w:color="auto"/>
            </w:tcBorders>
          </w:tcPr>
          <w:p>
            <w:pPr>
              <w:spacing w:after="0"/>
              <w:rPr>
                <w:sz w:val="18"/>
                <w:szCs w:val="18"/>
                <w:color w:val="auto"/>
              </w:rPr>
            </w:pPr>
          </w:p>
        </w:tc>
        <w:tc>
          <w:tcPr>
            <w:tcW w:w="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tcPr>
          <w:p>
            <w:pPr>
              <w:spacing w:after="0"/>
              <w:rPr>
                <w:sz w:val="18"/>
                <w:szCs w:val="18"/>
                <w:color w:val="auto"/>
              </w:rPr>
            </w:pP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tcPr>
          <w:p>
            <w:pPr>
              <w:spacing w:after="0"/>
              <w:rPr>
                <w:sz w:val="18"/>
                <w:szCs w:val="18"/>
                <w:color w:val="auto"/>
              </w:rPr>
            </w:pPr>
          </w:p>
        </w:tc>
        <w:tc>
          <w:tcPr>
            <w:tcW w:w="480" w:type="dxa"/>
            <w:vAlign w:val="bottom"/>
          </w:tcPr>
          <w:p>
            <w:pPr>
              <w:spacing w:after="0"/>
              <w:rPr>
                <w:sz w:val="18"/>
                <w:szCs w:val="18"/>
                <w:color w:val="auto"/>
              </w:rPr>
            </w:pPr>
          </w:p>
        </w:tc>
      </w:tr>
      <w:tr>
        <w:trPr>
          <w:trHeight w:val="210"/>
        </w:trPr>
        <w:tc>
          <w:tcPr>
            <w:tcW w:w="460" w:type="dxa"/>
            <w:vAlign w:val="bottom"/>
          </w:tcPr>
          <w:p>
            <w:pPr>
              <w:spacing w:after="0"/>
              <w:rPr>
                <w:sz w:val="18"/>
                <w:szCs w:val="18"/>
                <w:color w:val="auto"/>
              </w:rPr>
            </w:pPr>
          </w:p>
        </w:tc>
        <w:tc>
          <w:tcPr>
            <w:tcW w:w="3580" w:type="dxa"/>
            <w:vAlign w:val="bottom"/>
            <w:shd w:val="clear" w:color="auto" w:fill="CCEEFF"/>
          </w:tcPr>
          <w:p>
            <w:pPr>
              <w:spacing w:after="0"/>
              <w:rPr>
                <w:sz w:val="20"/>
                <w:szCs w:val="20"/>
                <w:color w:val="auto"/>
              </w:rPr>
            </w:pPr>
            <w:r>
              <w:rPr>
                <w:rFonts w:ascii="Arial" w:cs="Arial" w:eastAsia="Arial" w:hAnsi="Arial"/>
                <w:sz w:val="18"/>
                <w:szCs w:val="18"/>
                <w:color w:val="auto"/>
              </w:rPr>
              <w:t>State:</w:t>
            </w:r>
          </w:p>
        </w:tc>
        <w:tc>
          <w:tcPr>
            <w:tcW w:w="40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tcPr>
          <w:p>
            <w:pPr>
              <w:spacing w:after="0"/>
              <w:rPr>
                <w:sz w:val="18"/>
                <w:szCs w:val="18"/>
                <w:color w:val="auto"/>
              </w:rPr>
            </w:pPr>
          </w:p>
        </w:tc>
      </w:tr>
      <w:tr>
        <w:trPr>
          <w:trHeight w:val="216"/>
        </w:trPr>
        <w:tc>
          <w:tcPr>
            <w:tcW w:w="460" w:type="dxa"/>
            <w:vAlign w:val="bottom"/>
          </w:tcPr>
          <w:p>
            <w:pPr>
              <w:spacing w:after="0"/>
              <w:rPr>
                <w:sz w:val="18"/>
                <w:szCs w:val="18"/>
                <w:color w:val="auto"/>
              </w:rPr>
            </w:pPr>
          </w:p>
        </w:tc>
        <w:tc>
          <w:tcPr>
            <w:tcW w:w="3580" w:type="dxa"/>
            <w:vAlign w:val="bottom"/>
          </w:tcPr>
          <w:p>
            <w:pPr>
              <w:spacing w:after="0"/>
              <w:rPr>
                <w:sz w:val="20"/>
                <w:szCs w:val="20"/>
                <w:color w:val="auto"/>
              </w:rPr>
            </w:pPr>
            <w:r>
              <w:rPr>
                <w:rFonts w:ascii="Arial" w:cs="Arial" w:eastAsia="Arial" w:hAnsi="Arial"/>
                <w:sz w:val="18"/>
                <w:szCs w:val="18"/>
                <w:color w:val="auto"/>
              </w:rPr>
              <w:t>Current</w:t>
            </w:r>
          </w:p>
        </w:tc>
        <w:tc>
          <w:tcPr>
            <w:tcW w:w="4880" w:type="dxa"/>
            <w:vAlign w:val="bottom"/>
            <w:gridSpan w:val="2"/>
          </w:tcPr>
          <w:p>
            <w:pPr>
              <w:jc w:val="right"/>
              <w:ind w:right="645"/>
              <w:spacing w:after="0"/>
              <w:rPr>
                <w:sz w:val="20"/>
                <w:szCs w:val="20"/>
                <w:color w:val="auto"/>
              </w:rPr>
            </w:pPr>
            <w:r>
              <w:rPr>
                <w:rFonts w:ascii="Arial" w:cs="Arial" w:eastAsia="Arial" w:hAnsi="Arial"/>
                <w:sz w:val="18"/>
                <w:szCs w:val="18"/>
                <w:color w:val="auto"/>
              </w:rPr>
              <w:t>$</w:t>
            </w:r>
          </w:p>
        </w:tc>
        <w:tc>
          <w:tcPr>
            <w:tcW w:w="700" w:type="dxa"/>
            <w:vAlign w:val="bottom"/>
            <w:gridSpan w:val="2"/>
          </w:tcPr>
          <w:p>
            <w:pPr>
              <w:jc w:val="right"/>
              <w:ind w:right="240"/>
              <w:spacing w:after="0"/>
              <w:rPr>
                <w:sz w:val="20"/>
                <w:szCs w:val="20"/>
                <w:color w:val="auto"/>
              </w:rPr>
            </w:pPr>
            <w:r>
              <w:rPr>
                <w:rFonts w:ascii="Arial" w:cs="Arial" w:eastAsia="Arial" w:hAnsi="Arial"/>
                <w:sz w:val="18"/>
                <w:szCs w:val="18"/>
                <w:color w:val="auto"/>
                <w:w w:val="97"/>
              </w:rPr>
              <w:t>2,400</w:t>
            </w:r>
          </w:p>
        </w:tc>
        <w:tc>
          <w:tcPr>
            <w:tcW w:w="1340" w:type="dxa"/>
            <w:vAlign w:val="bottom"/>
            <w:gridSpan w:val="2"/>
          </w:tcPr>
          <w:p>
            <w:pPr>
              <w:jc w:val="right"/>
              <w:ind w:right="100"/>
              <w:spacing w:after="0"/>
              <w:rPr>
                <w:sz w:val="20"/>
                <w:szCs w:val="20"/>
                <w:color w:val="auto"/>
              </w:rPr>
            </w:pPr>
            <w:r>
              <w:rPr>
                <w:rFonts w:ascii="Arial" w:cs="Arial" w:eastAsia="Arial" w:hAnsi="Arial"/>
                <w:sz w:val="18"/>
                <w:szCs w:val="18"/>
                <w:color w:val="auto"/>
              </w:rPr>
              <w:t>2,400</w:t>
            </w:r>
          </w:p>
        </w:tc>
        <w:tc>
          <w:tcPr>
            <w:tcW w:w="480" w:type="dxa"/>
            <w:vAlign w:val="bottom"/>
          </w:tcPr>
          <w:p>
            <w:pPr>
              <w:spacing w:after="0"/>
              <w:rPr>
                <w:sz w:val="18"/>
                <w:szCs w:val="18"/>
                <w:color w:val="auto"/>
              </w:rPr>
            </w:pPr>
          </w:p>
        </w:tc>
      </w:tr>
      <w:tr>
        <w:trPr>
          <w:trHeight w:val="216"/>
        </w:trPr>
        <w:tc>
          <w:tcPr>
            <w:tcW w:w="460" w:type="dxa"/>
            <w:vAlign w:val="bottom"/>
          </w:tcPr>
          <w:p>
            <w:pPr>
              <w:spacing w:after="0"/>
              <w:rPr>
                <w:sz w:val="18"/>
                <w:szCs w:val="18"/>
                <w:color w:val="auto"/>
              </w:rPr>
            </w:pPr>
          </w:p>
        </w:tc>
        <w:tc>
          <w:tcPr>
            <w:tcW w:w="3580" w:type="dxa"/>
            <w:vAlign w:val="bottom"/>
            <w:shd w:val="clear" w:color="auto" w:fill="CCEEFF"/>
          </w:tcPr>
          <w:p>
            <w:pPr>
              <w:spacing w:after="0"/>
              <w:rPr>
                <w:sz w:val="20"/>
                <w:szCs w:val="20"/>
                <w:color w:val="auto"/>
              </w:rPr>
            </w:pPr>
            <w:r>
              <w:rPr>
                <w:rFonts w:ascii="Arial" w:cs="Arial" w:eastAsia="Arial" w:hAnsi="Arial"/>
                <w:sz w:val="18"/>
                <w:szCs w:val="18"/>
                <w:color w:val="auto"/>
              </w:rPr>
              <w:t>Deferred</w:t>
            </w:r>
          </w:p>
        </w:tc>
        <w:tc>
          <w:tcPr>
            <w:tcW w:w="40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3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18"/>
                <w:szCs w:val="18"/>
                <w:color w:val="auto"/>
              </w:rPr>
            </w:pPr>
          </w:p>
        </w:tc>
      </w:tr>
      <w:tr>
        <w:trPr>
          <w:trHeight w:val="210"/>
        </w:trPr>
        <w:tc>
          <w:tcPr>
            <w:tcW w:w="460" w:type="dxa"/>
            <w:vAlign w:val="bottom"/>
          </w:tcPr>
          <w:p>
            <w:pPr>
              <w:spacing w:after="0"/>
              <w:rPr>
                <w:sz w:val="18"/>
                <w:szCs w:val="18"/>
                <w:color w:val="auto"/>
              </w:rPr>
            </w:pPr>
          </w:p>
        </w:tc>
        <w:tc>
          <w:tcPr>
            <w:tcW w:w="358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Total State</w:t>
            </w:r>
          </w:p>
        </w:tc>
        <w:tc>
          <w:tcPr>
            <w:tcW w:w="4080" w:type="dxa"/>
            <w:vAlign w:val="bottom"/>
            <w:tcBorders>
              <w:bottom w:val="single" w:sz="8" w:color="CCEEFF"/>
            </w:tcBorders>
          </w:tcPr>
          <w:p>
            <w:pPr>
              <w:spacing w:after="0"/>
              <w:rPr>
                <w:sz w:val="18"/>
                <w:szCs w:val="18"/>
                <w:color w:val="auto"/>
              </w:rPr>
            </w:pPr>
          </w:p>
        </w:tc>
        <w:tc>
          <w:tcPr>
            <w:tcW w:w="800" w:type="dxa"/>
            <w:vAlign w:val="bottom"/>
            <w:tcBorders>
              <w:top w:val="single" w:sz="8" w:color="auto"/>
              <w:bottom w:val="single" w:sz="8" w:color="auto"/>
            </w:tcBorders>
          </w:tcPr>
          <w:p>
            <w:pPr>
              <w:jc w:val="right"/>
              <w:ind w:right="645"/>
              <w:spacing w:after="0"/>
              <w:rPr>
                <w:sz w:val="20"/>
                <w:szCs w:val="20"/>
                <w:color w:val="auto"/>
              </w:rPr>
            </w:pPr>
            <w:r>
              <w:rPr>
                <w:rFonts w:ascii="Arial" w:cs="Arial" w:eastAsia="Arial" w:hAnsi="Arial"/>
                <w:sz w:val="15"/>
                <w:szCs w:val="15"/>
                <w:color w:val="auto"/>
                <w:w w:val="71"/>
              </w:rPr>
              <w:t>$</w:t>
            </w:r>
          </w:p>
        </w:tc>
        <w:tc>
          <w:tcPr>
            <w:tcW w:w="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7"/>
              </w:rPr>
              <w:t>2,400</w:t>
            </w:r>
          </w:p>
        </w:tc>
        <w:tc>
          <w:tcPr>
            <w:tcW w:w="240" w:type="dxa"/>
            <w:vAlign w:val="bottom"/>
            <w:tcBorders>
              <w:bottom w:val="single" w:sz="8" w:color="CCEEFF"/>
            </w:tcBorders>
          </w:tcPr>
          <w:p>
            <w:pPr>
              <w:spacing w:after="0"/>
              <w:rPr>
                <w:sz w:val="18"/>
                <w:szCs w:val="18"/>
                <w:color w:val="auto"/>
              </w:rPr>
            </w:pP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2,400</w:t>
            </w:r>
          </w:p>
        </w:tc>
        <w:tc>
          <w:tcPr>
            <w:tcW w:w="100" w:type="dxa"/>
            <w:vAlign w:val="bottom"/>
            <w:tcBorders>
              <w:bottom w:val="single" w:sz="8" w:color="CCEEFF"/>
            </w:tcBorders>
          </w:tcPr>
          <w:p>
            <w:pPr>
              <w:spacing w:after="0"/>
              <w:rPr>
                <w:sz w:val="18"/>
                <w:szCs w:val="18"/>
                <w:color w:val="auto"/>
              </w:rPr>
            </w:pPr>
          </w:p>
        </w:tc>
        <w:tc>
          <w:tcPr>
            <w:tcW w:w="480" w:type="dxa"/>
            <w:vAlign w:val="bottom"/>
          </w:tcPr>
          <w:p>
            <w:pPr>
              <w:spacing w:after="0"/>
              <w:rPr>
                <w:sz w:val="18"/>
                <w:szCs w:val="18"/>
                <w:color w:val="auto"/>
              </w:rPr>
            </w:pPr>
          </w:p>
        </w:tc>
      </w:tr>
      <w:tr>
        <w:trPr>
          <w:trHeight w:val="210"/>
        </w:trPr>
        <w:tc>
          <w:tcPr>
            <w:tcW w:w="460" w:type="dxa"/>
            <w:vAlign w:val="bottom"/>
          </w:tcPr>
          <w:p>
            <w:pPr>
              <w:spacing w:after="0"/>
              <w:rPr>
                <w:sz w:val="18"/>
                <w:szCs w:val="18"/>
                <w:color w:val="auto"/>
              </w:rPr>
            </w:pPr>
          </w:p>
        </w:tc>
        <w:tc>
          <w:tcPr>
            <w:tcW w:w="35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Provision from income taxes</w:t>
            </w:r>
          </w:p>
        </w:tc>
        <w:tc>
          <w:tcPr>
            <w:tcW w:w="4080" w:type="dxa"/>
            <w:vAlign w:val="bottom"/>
            <w:tcBorders>
              <w:bottom w:val="single" w:sz="8" w:color="CCEEFF"/>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ind w:right="645"/>
              <w:spacing w:after="0"/>
              <w:rPr>
                <w:sz w:val="20"/>
                <w:szCs w:val="20"/>
                <w:color w:val="auto"/>
              </w:rPr>
            </w:pPr>
            <w:r>
              <w:rPr>
                <w:rFonts w:ascii="Arial" w:cs="Arial" w:eastAsia="Arial" w:hAnsi="Arial"/>
                <w:sz w:val="15"/>
                <w:szCs w:val="15"/>
                <w:color w:val="auto"/>
                <w:w w:val="71"/>
              </w:rPr>
              <w:t>$</w:t>
            </w: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2,400</w:t>
            </w:r>
          </w:p>
        </w:tc>
        <w:tc>
          <w:tcPr>
            <w:tcW w:w="240" w:type="dxa"/>
            <w:vAlign w:val="bottom"/>
            <w:tcBorders>
              <w:bottom w:val="single" w:sz="8" w:color="CCEEFF"/>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2,400</w:t>
            </w:r>
          </w:p>
        </w:tc>
        <w:tc>
          <w:tcPr>
            <w:tcW w:w="100" w:type="dxa"/>
            <w:vAlign w:val="bottom"/>
            <w:tcBorders>
              <w:bottom w:val="single" w:sz="8" w:color="CCEEFF"/>
            </w:tcBorders>
            <w:shd w:val="clear" w:color="auto" w:fill="CCEEFF"/>
          </w:tcPr>
          <w:p>
            <w:pPr>
              <w:spacing w:after="0"/>
              <w:rPr>
                <w:sz w:val="18"/>
                <w:szCs w:val="18"/>
                <w:color w:val="auto"/>
              </w:rPr>
            </w:pPr>
          </w:p>
        </w:tc>
        <w:tc>
          <w:tcPr>
            <w:tcW w:w="480" w:type="dxa"/>
            <w:vAlign w:val="bottom"/>
          </w:tcPr>
          <w:p>
            <w:pPr>
              <w:spacing w:after="0"/>
              <w:rPr>
                <w:sz w:val="18"/>
                <w:szCs w:val="18"/>
                <w:color w:val="auto"/>
              </w:rPr>
            </w:pPr>
          </w:p>
        </w:tc>
      </w:tr>
      <w:tr>
        <w:trPr>
          <w:trHeight w:val="20"/>
        </w:trPr>
        <w:tc>
          <w:tcPr>
            <w:tcW w:w="460" w:type="dxa"/>
            <w:vAlign w:val="bottom"/>
          </w:tcPr>
          <w:p>
            <w:pPr>
              <w:spacing w:after="0" w:line="20" w:lineRule="exact"/>
              <w:rPr>
                <w:sz w:val="1"/>
                <w:szCs w:val="1"/>
                <w:color w:val="auto"/>
              </w:rPr>
            </w:pPr>
          </w:p>
        </w:tc>
        <w:tc>
          <w:tcPr>
            <w:tcW w:w="3580" w:type="dxa"/>
            <w:vAlign w:val="bottom"/>
          </w:tcPr>
          <w:p>
            <w:pPr>
              <w:spacing w:after="0" w:line="20" w:lineRule="exact"/>
              <w:rPr>
                <w:sz w:val="1"/>
                <w:szCs w:val="1"/>
                <w:color w:val="auto"/>
              </w:rPr>
            </w:pPr>
          </w:p>
        </w:tc>
        <w:tc>
          <w:tcPr>
            <w:tcW w:w="408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r>
      <w:tr>
        <w:trPr>
          <w:trHeight w:val="656"/>
        </w:trPr>
        <w:tc>
          <w:tcPr>
            <w:tcW w:w="460" w:type="dxa"/>
            <w:vAlign w:val="bottom"/>
          </w:tcPr>
          <w:p>
            <w:pPr>
              <w:spacing w:after="0"/>
              <w:rPr>
                <w:sz w:val="24"/>
                <w:szCs w:val="24"/>
                <w:color w:val="auto"/>
              </w:rPr>
            </w:pPr>
          </w:p>
        </w:tc>
        <w:tc>
          <w:tcPr>
            <w:tcW w:w="3580" w:type="dxa"/>
            <w:vAlign w:val="bottom"/>
          </w:tcPr>
          <w:p>
            <w:pPr>
              <w:spacing w:after="0"/>
              <w:rPr>
                <w:sz w:val="24"/>
                <w:szCs w:val="24"/>
                <w:color w:val="auto"/>
              </w:rPr>
            </w:pPr>
          </w:p>
        </w:tc>
        <w:tc>
          <w:tcPr>
            <w:tcW w:w="4880" w:type="dxa"/>
            <w:vAlign w:val="bottom"/>
            <w:gridSpan w:val="2"/>
          </w:tcPr>
          <w:p>
            <w:pPr>
              <w:jc w:val="right"/>
              <w:ind w:right="2965"/>
              <w:spacing w:after="0"/>
              <w:rPr>
                <w:sz w:val="20"/>
                <w:szCs w:val="20"/>
                <w:color w:val="auto"/>
              </w:rPr>
            </w:pPr>
            <w:r>
              <w:rPr>
                <w:rFonts w:ascii="Arial" w:cs="Arial" w:eastAsia="Arial" w:hAnsi="Arial"/>
                <w:sz w:val="18"/>
                <w:szCs w:val="18"/>
                <w:color w:val="auto"/>
              </w:rPr>
              <w:t>F-21</w:t>
            </w:r>
          </w:p>
        </w:tc>
        <w:tc>
          <w:tcPr>
            <w:tcW w:w="4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r>
      <w:tr>
        <w:trPr>
          <w:trHeight w:val="115"/>
        </w:trPr>
        <w:tc>
          <w:tcPr>
            <w:tcW w:w="460" w:type="dxa"/>
            <w:vAlign w:val="bottom"/>
            <w:tcBorders>
              <w:bottom w:val="single" w:sz="8" w:color="9A9A9A"/>
            </w:tcBorders>
          </w:tcPr>
          <w:p>
            <w:pPr>
              <w:spacing w:after="0"/>
              <w:rPr>
                <w:sz w:val="10"/>
                <w:szCs w:val="10"/>
                <w:color w:val="auto"/>
              </w:rPr>
            </w:pPr>
          </w:p>
        </w:tc>
        <w:tc>
          <w:tcPr>
            <w:tcW w:w="3580" w:type="dxa"/>
            <w:vAlign w:val="bottom"/>
            <w:tcBorders>
              <w:bottom w:val="single" w:sz="8" w:color="9A9A9A"/>
            </w:tcBorders>
          </w:tcPr>
          <w:p>
            <w:pPr>
              <w:spacing w:after="0"/>
              <w:rPr>
                <w:sz w:val="10"/>
                <w:szCs w:val="10"/>
                <w:color w:val="auto"/>
              </w:rPr>
            </w:pPr>
          </w:p>
        </w:tc>
        <w:tc>
          <w:tcPr>
            <w:tcW w:w="4080" w:type="dxa"/>
            <w:vAlign w:val="bottom"/>
            <w:tcBorders>
              <w:bottom w:val="single" w:sz="8" w:color="9A9A9A"/>
            </w:tcBorders>
          </w:tcPr>
          <w:p>
            <w:pPr>
              <w:spacing w:after="0"/>
              <w:rPr>
                <w:sz w:val="10"/>
                <w:szCs w:val="10"/>
                <w:color w:val="auto"/>
              </w:rPr>
            </w:pPr>
          </w:p>
        </w:tc>
        <w:tc>
          <w:tcPr>
            <w:tcW w:w="800" w:type="dxa"/>
            <w:vAlign w:val="bottom"/>
            <w:tcBorders>
              <w:bottom w:val="single" w:sz="8" w:color="9A9A9A"/>
            </w:tcBorders>
          </w:tcPr>
          <w:p>
            <w:pPr>
              <w:spacing w:after="0"/>
              <w:rPr>
                <w:sz w:val="10"/>
                <w:szCs w:val="10"/>
                <w:color w:val="auto"/>
              </w:rPr>
            </w:pPr>
          </w:p>
        </w:tc>
        <w:tc>
          <w:tcPr>
            <w:tcW w:w="46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124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48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42">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4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233" w:right="219" w:bottom="1440" w:gutter="0" w:footer="0" w:header="0"/>
        </w:sectPr>
      </w:pPr>
    </w:p>
    <w:bookmarkStart w:id="81" w:name="page82"/>
    <w:bookmarkEnd w:id="81"/>
    <w:p>
      <w:pPr>
        <w:jc w:val="center"/>
        <w:ind w:right="-39"/>
        <w:spacing w:after="0"/>
        <w:rPr>
          <w:sz w:val="20"/>
          <w:szCs w:val="20"/>
          <w:color w:val="auto"/>
        </w:rPr>
      </w:pPr>
      <w:r>
        <w:rPr>
          <w:rFonts w:ascii="Arial" w:cs="Arial" w:eastAsia="Arial" w:hAnsi="Arial"/>
          <w:sz w:val="17"/>
          <w:szCs w:val="17"/>
          <w:color w:val="auto"/>
        </w:rPr>
        <w:t>The Company’s effective income tax rate differs from the statutory federal income tax rate as follows for the years ended September 30, 2017 and</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2016:</w:t>
      </w:r>
    </w:p>
    <w:p>
      <w:pPr>
        <w:spacing w:after="0" w:line="33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320" w:type="dxa"/>
            <w:vAlign w:val="bottom"/>
            <w:tcBorders>
              <w:bottom w:val="single" w:sz="8" w:color="CFF0FC"/>
            </w:tcBorders>
          </w:tcPr>
          <w:p>
            <w:pPr>
              <w:spacing w:after="0"/>
              <w:rPr>
                <w:sz w:val="14"/>
                <w:szCs w:val="14"/>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2017</w:t>
            </w:r>
          </w:p>
        </w:tc>
        <w:tc>
          <w:tcPr>
            <w:tcW w:w="440" w:type="dxa"/>
            <w:vAlign w:val="bottom"/>
            <w:tcBorders>
              <w:bottom w:val="single" w:sz="8" w:color="auto"/>
            </w:tcBorders>
          </w:tcPr>
          <w:p>
            <w:pPr>
              <w:spacing w:after="0"/>
              <w:rPr>
                <w:sz w:val="14"/>
                <w:szCs w:val="14"/>
                <w:color w:val="auto"/>
              </w:rPr>
            </w:pPr>
          </w:p>
        </w:tc>
        <w:tc>
          <w:tcPr>
            <w:tcW w:w="240" w:type="dxa"/>
            <w:vAlign w:val="bottom"/>
            <w:tcBorders>
              <w:bottom w:val="single" w:sz="8" w:color="CFF0FC"/>
            </w:tcBorders>
          </w:tcPr>
          <w:p>
            <w:pPr>
              <w:spacing w:after="0"/>
              <w:rPr>
                <w:sz w:val="14"/>
                <w:szCs w:val="14"/>
                <w:color w:val="auto"/>
              </w:rPr>
            </w:pPr>
          </w:p>
        </w:tc>
        <w:tc>
          <w:tcPr>
            <w:tcW w:w="1360" w:type="dxa"/>
            <w:vAlign w:val="bottom"/>
            <w:tcBorders>
              <w:bottom w:val="single" w:sz="8" w:color="auto"/>
            </w:tcBorders>
          </w:tcPr>
          <w:p>
            <w:pPr>
              <w:jc w:val="right"/>
              <w:ind w:right="452"/>
              <w:spacing w:after="0"/>
              <w:rPr>
                <w:sz w:val="20"/>
                <w:szCs w:val="20"/>
                <w:color w:val="auto"/>
              </w:rPr>
            </w:pPr>
            <w:r>
              <w:rPr>
                <w:rFonts w:ascii="Arial" w:cs="Arial" w:eastAsia="Arial" w:hAnsi="Arial"/>
                <w:sz w:val="14"/>
                <w:szCs w:val="14"/>
                <w:b w:val="1"/>
                <w:bCs w:val="1"/>
                <w:color w:val="auto"/>
              </w:rPr>
              <w:t>2016</w:t>
            </w:r>
          </w:p>
        </w:tc>
        <w:tc>
          <w:tcPr>
            <w:tcW w:w="220" w:type="dxa"/>
            <w:vAlign w:val="bottom"/>
            <w:tcBorders>
              <w:bottom w:val="single" w:sz="8" w:color="CFF0FC"/>
            </w:tcBorders>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8320" w:type="dxa"/>
            <w:vAlign w:val="bottom"/>
            <w:shd w:val="clear" w:color="auto" w:fill="CFF0FC"/>
          </w:tcPr>
          <w:p>
            <w:pPr>
              <w:spacing w:after="0"/>
              <w:rPr>
                <w:sz w:val="20"/>
                <w:szCs w:val="20"/>
                <w:color w:val="auto"/>
              </w:rPr>
            </w:pPr>
            <w:r>
              <w:rPr>
                <w:rFonts w:ascii="Arial" w:cs="Arial" w:eastAsia="Arial" w:hAnsi="Arial"/>
                <w:sz w:val="18"/>
                <w:szCs w:val="18"/>
                <w:color w:val="auto"/>
              </w:rPr>
              <w:t>At U.S. federal statutory rate</w:t>
            </w:r>
          </w:p>
        </w:tc>
        <w:tc>
          <w:tcPr>
            <w:tcW w:w="940" w:type="dxa"/>
            <w:vAlign w:val="bottom"/>
            <w:shd w:val="clear" w:color="auto" w:fill="CFF0FC"/>
          </w:tcPr>
          <w:p>
            <w:pPr>
              <w:spacing w:after="0"/>
              <w:rPr>
                <w:sz w:val="18"/>
                <w:szCs w:val="18"/>
                <w:color w:val="auto"/>
              </w:rPr>
            </w:pPr>
          </w:p>
        </w:tc>
        <w:tc>
          <w:tcPr>
            <w:tcW w:w="68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34.0%</w:t>
            </w:r>
          </w:p>
        </w:tc>
        <w:tc>
          <w:tcPr>
            <w:tcW w:w="158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34.0%</w:t>
            </w:r>
          </w:p>
        </w:tc>
        <w:tc>
          <w:tcPr>
            <w:tcW w:w="0" w:type="dxa"/>
            <w:vAlign w:val="bottom"/>
          </w:tcPr>
          <w:p>
            <w:pPr>
              <w:spacing w:after="0"/>
              <w:rPr>
                <w:sz w:val="1"/>
                <w:szCs w:val="1"/>
                <w:color w:val="auto"/>
              </w:rPr>
            </w:pPr>
          </w:p>
        </w:tc>
      </w:tr>
      <w:tr>
        <w:trPr>
          <w:trHeight w:val="216"/>
        </w:trPr>
        <w:tc>
          <w:tcPr>
            <w:tcW w:w="9260" w:type="dxa"/>
            <w:vAlign w:val="bottom"/>
            <w:gridSpan w:val="2"/>
          </w:tcPr>
          <w:p>
            <w:pPr>
              <w:spacing w:after="0"/>
              <w:rPr>
                <w:sz w:val="20"/>
                <w:szCs w:val="20"/>
                <w:color w:val="auto"/>
              </w:rPr>
            </w:pPr>
            <w:r>
              <w:rPr>
                <w:rFonts w:ascii="Arial" w:cs="Arial" w:eastAsia="Arial" w:hAnsi="Arial"/>
                <w:sz w:val="18"/>
                <w:szCs w:val="18"/>
                <w:color w:val="auto"/>
              </w:rPr>
              <w:t>State taxes, net of federal effect</w:t>
            </w:r>
          </w:p>
        </w:tc>
        <w:tc>
          <w:tcPr>
            <w:tcW w:w="680" w:type="dxa"/>
            <w:vAlign w:val="bottom"/>
            <w:gridSpan w:val="2"/>
          </w:tcPr>
          <w:p>
            <w:pPr>
              <w:jc w:val="right"/>
              <w:ind w:right="240"/>
              <w:spacing w:after="0"/>
              <w:rPr>
                <w:sz w:val="20"/>
                <w:szCs w:val="20"/>
                <w:color w:val="auto"/>
              </w:rPr>
            </w:pPr>
            <w:r>
              <w:rPr>
                <w:rFonts w:ascii="Arial" w:cs="Arial" w:eastAsia="Arial" w:hAnsi="Arial"/>
                <w:sz w:val="18"/>
                <w:szCs w:val="18"/>
                <w:color w:val="auto"/>
              </w:rPr>
              <w:t>4.9</w:t>
            </w:r>
          </w:p>
        </w:tc>
        <w:tc>
          <w:tcPr>
            <w:tcW w:w="1360" w:type="dxa"/>
            <w:vAlign w:val="bottom"/>
          </w:tcPr>
          <w:p>
            <w:pPr>
              <w:jc w:val="right"/>
              <w:spacing w:after="0"/>
              <w:rPr>
                <w:sz w:val="20"/>
                <w:szCs w:val="20"/>
                <w:color w:val="auto"/>
              </w:rPr>
            </w:pPr>
            <w:r>
              <w:rPr>
                <w:rFonts w:ascii="Arial" w:cs="Arial" w:eastAsia="Arial" w:hAnsi="Arial"/>
                <w:sz w:val="18"/>
                <w:szCs w:val="18"/>
                <w:color w:val="auto"/>
              </w:rPr>
              <w:t>9.0</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6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Stock compensation</w:t>
            </w:r>
          </w:p>
        </w:tc>
        <w:tc>
          <w:tcPr>
            <w:tcW w:w="68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(5.8)</w:t>
            </w:r>
          </w:p>
        </w:tc>
        <w:tc>
          <w:tcPr>
            <w:tcW w:w="158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16"/>
        </w:trPr>
        <w:tc>
          <w:tcPr>
            <w:tcW w:w="9260" w:type="dxa"/>
            <w:vAlign w:val="bottom"/>
            <w:gridSpan w:val="2"/>
          </w:tcPr>
          <w:p>
            <w:pPr>
              <w:spacing w:after="0"/>
              <w:rPr>
                <w:sz w:val="20"/>
                <w:szCs w:val="20"/>
                <w:color w:val="auto"/>
              </w:rPr>
            </w:pPr>
            <w:r>
              <w:rPr>
                <w:rFonts w:ascii="Arial" w:cs="Arial" w:eastAsia="Arial" w:hAnsi="Arial"/>
                <w:sz w:val="18"/>
                <w:szCs w:val="18"/>
                <w:color w:val="auto"/>
              </w:rPr>
              <w:t>Mark-to-market adjustments</w:t>
            </w:r>
          </w:p>
        </w:tc>
        <w:tc>
          <w:tcPr>
            <w:tcW w:w="680" w:type="dxa"/>
            <w:vAlign w:val="bottom"/>
            <w:gridSpan w:val="2"/>
          </w:tcPr>
          <w:p>
            <w:pPr>
              <w:jc w:val="right"/>
              <w:ind w:right="240"/>
              <w:spacing w:after="0"/>
              <w:rPr>
                <w:sz w:val="20"/>
                <w:szCs w:val="20"/>
                <w:color w:val="auto"/>
              </w:rPr>
            </w:pPr>
            <w:r>
              <w:rPr>
                <w:rFonts w:ascii="Arial" w:cs="Arial" w:eastAsia="Arial" w:hAnsi="Arial"/>
                <w:sz w:val="18"/>
                <w:szCs w:val="18"/>
                <w:color w:val="auto"/>
              </w:rPr>
              <w:t>0.9</w:t>
            </w:r>
          </w:p>
        </w:tc>
        <w:tc>
          <w:tcPr>
            <w:tcW w:w="1580" w:type="dxa"/>
            <w:vAlign w:val="bottom"/>
            <w:gridSpan w:val="2"/>
          </w:tcPr>
          <w:p>
            <w:pPr>
              <w:jc w:val="right"/>
              <w:ind w:right="160"/>
              <w:spacing w:after="0"/>
              <w:rPr>
                <w:sz w:val="20"/>
                <w:szCs w:val="20"/>
                <w:color w:val="auto"/>
              </w:rPr>
            </w:pPr>
            <w:r>
              <w:rPr>
                <w:rFonts w:ascii="Arial" w:cs="Arial" w:eastAsia="Arial" w:hAnsi="Arial"/>
                <w:sz w:val="18"/>
                <w:szCs w:val="18"/>
                <w:color w:val="auto"/>
              </w:rPr>
              <w:t>(0.1)</w:t>
            </w:r>
          </w:p>
        </w:tc>
        <w:tc>
          <w:tcPr>
            <w:tcW w:w="0" w:type="dxa"/>
            <w:vAlign w:val="bottom"/>
          </w:tcPr>
          <w:p>
            <w:pPr>
              <w:spacing w:after="0"/>
              <w:rPr>
                <w:sz w:val="1"/>
                <w:szCs w:val="1"/>
                <w:color w:val="auto"/>
              </w:rPr>
            </w:pPr>
          </w:p>
        </w:tc>
      </w:tr>
      <w:tr>
        <w:trPr>
          <w:trHeight w:val="216"/>
        </w:trPr>
        <w:tc>
          <w:tcPr>
            <w:tcW w:w="926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Valuation allowance</w:t>
            </w:r>
          </w:p>
        </w:tc>
        <w:tc>
          <w:tcPr>
            <w:tcW w:w="68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(23.1)</w:t>
            </w:r>
          </w:p>
        </w:tc>
        <w:tc>
          <w:tcPr>
            <w:tcW w:w="158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(41.1)</w:t>
            </w:r>
          </w:p>
        </w:tc>
        <w:tc>
          <w:tcPr>
            <w:tcW w:w="0" w:type="dxa"/>
            <w:vAlign w:val="bottom"/>
          </w:tcPr>
          <w:p>
            <w:pPr>
              <w:spacing w:after="0"/>
              <w:rPr>
                <w:sz w:val="1"/>
                <w:szCs w:val="1"/>
                <w:color w:val="auto"/>
              </w:rPr>
            </w:pPr>
          </w:p>
        </w:tc>
      </w:tr>
      <w:tr>
        <w:trPr>
          <w:trHeight w:val="216"/>
        </w:trPr>
        <w:tc>
          <w:tcPr>
            <w:tcW w:w="9260" w:type="dxa"/>
            <w:vAlign w:val="bottom"/>
            <w:gridSpan w:val="2"/>
          </w:tcPr>
          <w:p>
            <w:pPr>
              <w:spacing w:after="0"/>
              <w:rPr>
                <w:sz w:val="20"/>
                <w:szCs w:val="20"/>
                <w:color w:val="auto"/>
              </w:rPr>
            </w:pPr>
            <w:r>
              <w:rPr>
                <w:rFonts w:ascii="Arial" w:cs="Arial" w:eastAsia="Arial" w:hAnsi="Arial"/>
                <w:sz w:val="18"/>
                <w:szCs w:val="18"/>
                <w:color w:val="auto"/>
              </w:rPr>
              <w:t>True-up on deferred taxes</w:t>
            </w:r>
          </w:p>
        </w:tc>
        <w:tc>
          <w:tcPr>
            <w:tcW w:w="680" w:type="dxa"/>
            <w:vAlign w:val="bottom"/>
            <w:gridSpan w:val="2"/>
          </w:tcPr>
          <w:p>
            <w:pPr>
              <w:jc w:val="right"/>
              <w:ind w:right="180"/>
              <w:spacing w:after="0"/>
              <w:rPr>
                <w:sz w:val="20"/>
                <w:szCs w:val="20"/>
                <w:color w:val="auto"/>
              </w:rPr>
            </w:pPr>
            <w:r>
              <w:rPr>
                <w:rFonts w:ascii="Arial" w:cs="Arial" w:eastAsia="Arial" w:hAnsi="Arial"/>
                <w:sz w:val="18"/>
                <w:szCs w:val="18"/>
                <w:color w:val="auto"/>
              </w:rPr>
              <w:t>(3.0)</w:t>
            </w:r>
          </w:p>
        </w:tc>
        <w:tc>
          <w:tcPr>
            <w:tcW w:w="15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926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State blended rate change</w:t>
            </w:r>
          </w:p>
        </w:tc>
        <w:tc>
          <w:tcPr>
            <w:tcW w:w="68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(5.7)</w:t>
            </w:r>
          </w:p>
        </w:tc>
        <w:tc>
          <w:tcPr>
            <w:tcW w:w="158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8320" w:type="dxa"/>
            <w:vAlign w:val="bottom"/>
          </w:tcPr>
          <w:p>
            <w:pPr>
              <w:spacing w:after="0"/>
              <w:rPr>
                <w:sz w:val="20"/>
                <w:szCs w:val="20"/>
                <w:color w:val="auto"/>
              </w:rPr>
            </w:pPr>
            <w:r>
              <w:rPr>
                <w:rFonts w:ascii="Arial" w:cs="Arial" w:eastAsia="Arial" w:hAnsi="Arial"/>
                <w:sz w:val="18"/>
                <w:szCs w:val="18"/>
                <w:color w:val="auto"/>
              </w:rPr>
              <w:t>Other</w:t>
            </w:r>
          </w:p>
        </w:tc>
        <w:tc>
          <w:tcPr>
            <w:tcW w:w="940" w:type="dxa"/>
            <w:vAlign w:val="bottom"/>
          </w:tcPr>
          <w:p>
            <w:pPr>
              <w:spacing w:after="0"/>
              <w:rPr>
                <w:sz w:val="18"/>
                <w:szCs w:val="18"/>
                <w:color w:val="auto"/>
              </w:rPr>
            </w:pPr>
          </w:p>
        </w:tc>
        <w:tc>
          <w:tcPr>
            <w:tcW w:w="680" w:type="dxa"/>
            <w:vAlign w:val="bottom"/>
            <w:gridSpan w:val="2"/>
          </w:tcPr>
          <w:p>
            <w:pPr>
              <w:jc w:val="right"/>
              <w:ind w:right="180"/>
              <w:spacing w:after="0"/>
              <w:rPr>
                <w:sz w:val="20"/>
                <w:szCs w:val="20"/>
                <w:color w:val="auto"/>
              </w:rPr>
            </w:pPr>
            <w:r>
              <w:rPr>
                <w:rFonts w:ascii="Arial" w:cs="Arial" w:eastAsia="Arial" w:hAnsi="Arial"/>
                <w:sz w:val="18"/>
                <w:szCs w:val="18"/>
                <w:color w:val="auto"/>
              </w:rPr>
              <w:t>(2.2)</w:t>
            </w:r>
          </w:p>
        </w:tc>
        <w:tc>
          <w:tcPr>
            <w:tcW w:w="1580" w:type="dxa"/>
            <w:vAlign w:val="bottom"/>
            <w:gridSpan w:val="2"/>
          </w:tcPr>
          <w:p>
            <w:pPr>
              <w:jc w:val="right"/>
              <w:ind w:right="160"/>
              <w:spacing w:after="0"/>
              <w:rPr>
                <w:sz w:val="20"/>
                <w:szCs w:val="20"/>
                <w:color w:val="auto"/>
              </w:rPr>
            </w:pPr>
            <w:r>
              <w:rPr>
                <w:rFonts w:ascii="Arial" w:cs="Arial" w:eastAsia="Arial" w:hAnsi="Arial"/>
                <w:sz w:val="18"/>
                <w:szCs w:val="18"/>
                <w:color w:val="auto"/>
              </w:rPr>
              <w:t>(0.7)</w:t>
            </w:r>
          </w:p>
        </w:tc>
        <w:tc>
          <w:tcPr>
            <w:tcW w:w="0" w:type="dxa"/>
            <w:vAlign w:val="bottom"/>
          </w:tcPr>
          <w:p>
            <w:pPr>
              <w:spacing w:after="0"/>
              <w:rPr>
                <w:sz w:val="1"/>
                <w:szCs w:val="1"/>
                <w:color w:val="auto"/>
              </w:rPr>
            </w:pPr>
          </w:p>
        </w:tc>
      </w:tr>
      <w:tr>
        <w:trPr>
          <w:trHeight w:val="20"/>
        </w:trPr>
        <w:tc>
          <w:tcPr>
            <w:tcW w:w="8320" w:type="dxa"/>
            <w:vAlign w:val="bottom"/>
            <w:vMerge w:val="restart"/>
            <w:shd w:val="clear" w:color="auto" w:fill="CFF0FC"/>
          </w:tcPr>
          <w:p>
            <w:pPr>
              <w:spacing w:after="0"/>
              <w:rPr>
                <w:sz w:val="20"/>
                <w:szCs w:val="20"/>
                <w:color w:val="auto"/>
              </w:rPr>
            </w:pPr>
            <w:r>
              <w:rPr>
                <w:rFonts w:ascii="Arial" w:cs="Arial" w:eastAsia="Arial" w:hAnsi="Arial"/>
                <w:sz w:val="18"/>
                <w:szCs w:val="18"/>
                <w:color w:val="auto"/>
              </w:rPr>
              <w:t>Effective income tax rate</w:t>
            </w:r>
          </w:p>
        </w:tc>
        <w:tc>
          <w:tcPr>
            <w:tcW w:w="94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8320" w:type="dxa"/>
            <w:vAlign w:val="bottom"/>
            <w:vMerge w:val="continue"/>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68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0.0%</w:t>
            </w:r>
          </w:p>
        </w:tc>
        <w:tc>
          <w:tcPr>
            <w:tcW w:w="158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0.0%</w:t>
            </w:r>
          </w:p>
        </w:tc>
        <w:tc>
          <w:tcPr>
            <w:tcW w:w="0" w:type="dxa"/>
            <w:vAlign w:val="bottom"/>
          </w:tcPr>
          <w:p>
            <w:pPr>
              <w:spacing w:after="0"/>
              <w:rPr>
                <w:sz w:val="1"/>
                <w:szCs w:val="1"/>
                <w:color w:val="auto"/>
              </w:rPr>
            </w:pPr>
          </w:p>
        </w:tc>
      </w:tr>
      <w:tr>
        <w:trPr>
          <w:trHeight w:val="20"/>
        </w:trPr>
        <w:tc>
          <w:tcPr>
            <w:tcW w:w="8320" w:type="dxa"/>
            <w:vAlign w:val="bottom"/>
            <w:tcBorders>
              <w:top w:val="single" w:sz="8" w:color="CFF0FC"/>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FF0FC"/>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180" w:firstLine="518"/>
        <w:spacing w:after="0" w:line="255" w:lineRule="auto"/>
        <w:rPr>
          <w:sz w:val="20"/>
          <w:szCs w:val="20"/>
          <w:color w:val="auto"/>
        </w:rPr>
      </w:pPr>
      <w:r>
        <w:rPr>
          <w:rFonts w:ascii="Arial" w:cs="Arial" w:eastAsia="Arial" w:hAnsi="Arial"/>
          <w:sz w:val="18"/>
          <w:szCs w:val="18"/>
          <w:color w:val="auto"/>
        </w:rPr>
        <w:t>The Company has adopted guidance issued by the FASB that clarifies the accounting for uncertainty in income taxes recognized in an enterprise’s financial statements and prescribes a recognition threshold of more likely than not and a measurement process for financial statement recognition and measurement of a tax position taken or expected to be taken in a tax return. In making this assessment, a company must determine whether it is more likely than not that a tax position will be sustained upon examination, based solely on the technical merits of the position and must assume that the tax position will be examined by taxing authorities. The Company’s policy is to include interest and penalties related to unrecognized tax benefits in income tax expense. The Company has not recognized any unrecognized tax benefits and does not have any interest or penalties related to uncertain tax positions as of September 30, 2017 and 2016.</w:t>
      </w:r>
    </w:p>
    <w:p>
      <w:pPr>
        <w:spacing w:after="0" w:line="189" w:lineRule="exact"/>
        <w:rPr>
          <w:sz w:val="20"/>
          <w:szCs w:val="20"/>
          <w:color w:val="auto"/>
        </w:rPr>
      </w:pPr>
    </w:p>
    <w:p>
      <w:pPr>
        <w:ind w:right="140" w:firstLine="518"/>
        <w:spacing w:after="0" w:line="257" w:lineRule="auto"/>
        <w:rPr>
          <w:sz w:val="20"/>
          <w:szCs w:val="20"/>
          <w:color w:val="auto"/>
        </w:rPr>
      </w:pPr>
      <w:r>
        <w:rPr>
          <w:rFonts w:ascii="Arial" w:cs="Arial" w:eastAsia="Arial" w:hAnsi="Arial"/>
          <w:sz w:val="18"/>
          <w:szCs w:val="18"/>
          <w:color w:val="auto"/>
        </w:rPr>
        <w:t>The Company files income tax returns with the Internal Revenue Service (“IRS”), the state of California, the Australia Tax Office (“ATO”) and certain other taxing jurisdictions. The Company is subject to income tax examinations by the IRS and by state tax authorities until the net operating losses are settled. During the three months ended September 30, 2016, the IRS commenced an audit for the tax year ended September 30, 2015. The audit concluded during the year ended September 30, 2017 with no material adjustments. In November 2017, the ATO commenced an audit for the tax year ended September 30, 2016.</w:t>
      </w:r>
    </w:p>
    <w:p>
      <w:pPr>
        <w:spacing w:after="0" w:line="3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NOTE 11. </w:t>
      </w:r>
      <w:r>
        <w:rPr>
          <w:rFonts w:ascii="Arial" w:cs="Arial" w:eastAsia="Arial" w:hAnsi="Arial"/>
          <w:sz w:val="18"/>
          <w:szCs w:val="18"/>
          <w:b w:val="1"/>
          <w:bCs w:val="1"/>
          <w:i w:val="1"/>
          <w:iCs w:val="1"/>
          <w:color w:val="auto"/>
        </w:rPr>
        <w:t>EMPLOYEE BENEFIT PLANS</w:t>
      </w:r>
    </w:p>
    <w:p>
      <w:pPr>
        <w:spacing w:after="0" w:line="121" w:lineRule="exact"/>
        <w:rPr>
          <w:sz w:val="20"/>
          <w:szCs w:val="20"/>
          <w:color w:val="auto"/>
        </w:rPr>
      </w:pPr>
    </w:p>
    <w:p>
      <w:pPr>
        <w:ind w:right="160" w:firstLine="518"/>
        <w:spacing w:after="0" w:line="259" w:lineRule="auto"/>
        <w:rPr>
          <w:sz w:val="20"/>
          <w:szCs w:val="20"/>
          <w:color w:val="auto"/>
        </w:rPr>
      </w:pPr>
      <w:r>
        <w:rPr>
          <w:rFonts w:ascii="Arial" w:cs="Arial" w:eastAsia="Arial" w:hAnsi="Arial"/>
          <w:sz w:val="18"/>
          <w:szCs w:val="18"/>
          <w:color w:val="auto"/>
        </w:rPr>
        <w:t>In January 2005, the Company adopted a defined contribution 401(k) retirement savings plan covering substantially all of its employees. The Plan is administered under the “safe harbor” provision of ERISA. Under the terms of the plan, an eligible employee may elect to contribute a portion of their salary on a pre-tax basis, subject to federal statutory limitations. The plan allows for a discretionary match in an amount up to 100% of each participant’s first 3% of compensation contributed plus 50% of each participant’s next 2% of compensation contributed.</w:t>
      </w:r>
    </w:p>
    <w:p>
      <w:pPr>
        <w:spacing w:after="0" w:line="187" w:lineRule="exact"/>
        <w:rPr>
          <w:sz w:val="20"/>
          <w:szCs w:val="20"/>
          <w:color w:val="auto"/>
        </w:rPr>
      </w:pPr>
    </w:p>
    <w:p>
      <w:pPr>
        <w:ind w:right="260" w:firstLine="518"/>
        <w:spacing w:after="0" w:line="277" w:lineRule="auto"/>
        <w:rPr>
          <w:sz w:val="20"/>
          <w:szCs w:val="20"/>
          <w:color w:val="auto"/>
        </w:rPr>
      </w:pPr>
      <w:r>
        <w:rPr>
          <w:rFonts w:ascii="Arial" w:cs="Arial" w:eastAsia="Arial" w:hAnsi="Arial"/>
          <w:sz w:val="18"/>
          <w:szCs w:val="18"/>
          <w:color w:val="auto"/>
        </w:rPr>
        <w:t>For the years ended September 30, 2017, 2016, and 2015, we recorded expenses under this plan of approximately $426,470, $476,835 and $407,603, respectively.</w:t>
      </w:r>
    </w:p>
    <w:p>
      <w:pPr>
        <w:spacing w:after="0" w:line="170" w:lineRule="exact"/>
        <w:rPr>
          <w:sz w:val="20"/>
          <w:szCs w:val="20"/>
          <w:color w:val="auto"/>
        </w:rPr>
      </w:pPr>
    </w:p>
    <w:p>
      <w:pPr>
        <w:ind w:right="100" w:firstLine="518"/>
        <w:spacing w:after="0" w:line="277" w:lineRule="auto"/>
        <w:rPr>
          <w:sz w:val="20"/>
          <w:szCs w:val="20"/>
          <w:color w:val="auto"/>
        </w:rPr>
      </w:pPr>
      <w:r>
        <w:rPr>
          <w:rFonts w:ascii="Arial" w:cs="Arial" w:eastAsia="Arial" w:hAnsi="Arial"/>
          <w:sz w:val="18"/>
          <w:szCs w:val="18"/>
          <w:color w:val="auto"/>
        </w:rPr>
        <w:t>In addition to the employee benefit plans described above, the Company provides certain employee benefit plans, including those which provide health and life insurance benefits to employees.</w:t>
      </w:r>
    </w:p>
    <w:p>
      <w:pPr>
        <w:spacing w:after="0" w:line="200" w:lineRule="exact"/>
        <w:rPr>
          <w:sz w:val="20"/>
          <w:szCs w:val="20"/>
          <w:color w:val="auto"/>
        </w:rPr>
      </w:pPr>
    </w:p>
    <w:p>
      <w:pPr>
        <w:spacing w:after="0" w:line="376" w:lineRule="exact"/>
        <w:rPr>
          <w:sz w:val="20"/>
          <w:szCs w:val="20"/>
          <w:color w:val="auto"/>
        </w:rPr>
      </w:pPr>
    </w:p>
    <w:p>
      <w:pPr>
        <w:jc w:val="center"/>
        <w:ind w:right="100"/>
        <w:spacing w:after="0"/>
        <w:rPr>
          <w:sz w:val="20"/>
          <w:szCs w:val="20"/>
          <w:color w:val="auto"/>
        </w:rPr>
      </w:pPr>
      <w:r>
        <w:rPr>
          <w:rFonts w:ascii="Arial" w:cs="Arial" w:eastAsia="Arial" w:hAnsi="Arial"/>
          <w:sz w:val="18"/>
          <w:szCs w:val="18"/>
          <w:color w:val="auto"/>
        </w:rPr>
        <w:t>F-22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4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520"/>
          </w:cols>
          <w:pgMar w:left="240" w:top="125" w:right="139" w:bottom="1440" w:gutter="0" w:footer="0" w:header="0"/>
        </w:sectPr>
      </w:pPr>
    </w:p>
    <w:bookmarkStart w:id="82" w:name="page83"/>
    <w:bookmarkEnd w:id="82"/>
    <w:p>
      <w:pPr>
        <w:spacing w:after="0"/>
        <w:rPr>
          <w:sz w:val="20"/>
          <w:szCs w:val="20"/>
          <w:color w:val="auto"/>
        </w:rPr>
      </w:pPr>
      <w:r>
        <w:rPr>
          <w:rFonts w:ascii="Arial" w:cs="Arial" w:eastAsia="Arial" w:hAnsi="Arial"/>
          <w:sz w:val="18"/>
          <w:szCs w:val="18"/>
          <w:b w:val="1"/>
          <w:bCs w:val="1"/>
          <w:color w:val="auto"/>
        </w:rPr>
        <w:t xml:space="preserve">NOTE 12. </w:t>
      </w:r>
      <w:r>
        <w:rPr>
          <w:rFonts w:ascii="Arial" w:cs="Arial" w:eastAsia="Arial" w:hAnsi="Arial"/>
          <w:sz w:val="18"/>
          <w:szCs w:val="18"/>
          <w:b w:val="1"/>
          <w:bCs w:val="1"/>
          <w:i w:val="1"/>
          <w:iCs w:val="1"/>
          <w:color w:val="auto"/>
        </w:rPr>
        <w:t>UNAUDITED QUARTERLY FINANCIAL DATA</w:t>
      </w:r>
    </w:p>
    <w:p>
      <w:pPr>
        <w:spacing w:after="0" w:line="135"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presents selected unaudited quarterly financial data for each full quarterly period of the years ended September 30, 2017 and 2016:</w:t>
      </w:r>
    </w:p>
    <w:p>
      <w:pPr>
        <w:spacing w:after="0" w:line="26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7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20" w:type="dxa"/>
            <w:vAlign w:val="bottom"/>
            <w:gridSpan w:val="2"/>
          </w:tcPr>
          <w:p>
            <w:pPr>
              <w:jc w:val="center"/>
              <w:ind w:right="380"/>
              <w:spacing w:after="0"/>
              <w:rPr>
                <w:sz w:val="20"/>
                <w:szCs w:val="20"/>
                <w:color w:val="auto"/>
              </w:rPr>
            </w:pPr>
            <w:r>
              <w:rPr>
                <w:rFonts w:ascii="Arial" w:cs="Arial" w:eastAsia="Arial" w:hAnsi="Arial"/>
                <w:sz w:val="18"/>
                <w:szCs w:val="18"/>
                <w:b w:val="1"/>
                <w:bCs w:val="1"/>
                <w:color w:val="auto"/>
                <w:w w:val="97"/>
              </w:rPr>
              <w:t>First</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80" w:type="dxa"/>
            <w:vAlign w:val="bottom"/>
            <w:gridSpan w:val="2"/>
          </w:tcPr>
          <w:p>
            <w:pPr>
              <w:jc w:val="right"/>
              <w:ind w:right="560"/>
              <w:spacing w:after="0"/>
              <w:rPr>
                <w:sz w:val="20"/>
                <w:szCs w:val="20"/>
                <w:color w:val="auto"/>
              </w:rPr>
            </w:pPr>
            <w:r>
              <w:rPr>
                <w:rFonts w:ascii="Arial" w:cs="Arial" w:eastAsia="Arial" w:hAnsi="Arial"/>
                <w:sz w:val="18"/>
                <w:szCs w:val="18"/>
                <w:b w:val="1"/>
                <w:bCs w:val="1"/>
                <w:color w:val="auto"/>
              </w:rPr>
              <w:t>Second</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60" w:type="dxa"/>
            <w:vAlign w:val="bottom"/>
            <w:gridSpan w:val="2"/>
          </w:tcPr>
          <w:p>
            <w:pPr>
              <w:jc w:val="right"/>
              <w:ind w:right="580"/>
              <w:spacing w:after="0"/>
              <w:rPr>
                <w:sz w:val="20"/>
                <w:szCs w:val="20"/>
                <w:color w:val="auto"/>
              </w:rPr>
            </w:pPr>
            <w:r>
              <w:rPr>
                <w:rFonts w:ascii="Arial" w:cs="Arial" w:eastAsia="Arial" w:hAnsi="Arial"/>
                <w:sz w:val="18"/>
                <w:szCs w:val="18"/>
                <w:b w:val="1"/>
                <w:bCs w:val="1"/>
                <w:color w:val="auto"/>
              </w:rPr>
              <w:t>Third</w:t>
            </w: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gridSpan w:val="2"/>
          </w:tcPr>
          <w:p>
            <w:pPr>
              <w:jc w:val="right"/>
              <w:ind w:right="500"/>
              <w:spacing w:after="0"/>
              <w:rPr>
                <w:sz w:val="20"/>
                <w:szCs w:val="20"/>
                <w:color w:val="auto"/>
              </w:rPr>
            </w:pPr>
            <w:r>
              <w:rPr>
                <w:rFonts w:ascii="Arial" w:cs="Arial" w:eastAsia="Arial" w:hAnsi="Arial"/>
                <w:sz w:val="18"/>
                <w:szCs w:val="18"/>
                <w:b w:val="1"/>
                <w:bCs w:val="1"/>
                <w:color w:val="auto"/>
              </w:rPr>
              <w:t>Fourth</w:t>
            </w:r>
          </w:p>
        </w:tc>
      </w:tr>
      <w:tr>
        <w:trPr>
          <w:trHeight w:val="234"/>
        </w:trPr>
        <w:tc>
          <w:tcPr>
            <w:tcW w:w="4980" w:type="dxa"/>
            <w:vAlign w:val="bottom"/>
            <w:gridSpan w:val="2"/>
          </w:tcPr>
          <w:p>
            <w:pPr>
              <w:spacing w:after="0"/>
              <w:rPr>
                <w:sz w:val="20"/>
                <w:szCs w:val="20"/>
                <w:color w:val="auto"/>
              </w:rPr>
            </w:pPr>
            <w:r>
              <w:rPr>
                <w:rFonts w:ascii="Arial" w:cs="Arial" w:eastAsia="Arial" w:hAnsi="Arial"/>
                <w:sz w:val="18"/>
                <w:szCs w:val="18"/>
                <w:b w:val="1"/>
                <w:bCs w:val="1"/>
                <w:color w:val="auto"/>
              </w:rPr>
              <w:t>Year ended September 30, 2017</w:t>
            </w:r>
          </w:p>
        </w:tc>
        <w:tc>
          <w:tcPr>
            <w:tcW w:w="240" w:type="dxa"/>
            <w:vAlign w:val="bottom"/>
          </w:tcPr>
          <w:p>
            <w:pPr>
              <w:spacing w:after="0"/>
              <w:rPr>
                <w:sz w:val="20"/>
                <w:szCs w:val="20"/>
                <w:color w:val="auto"/>
              </w:rPr>
            </w:pPr>
          </w:p>
        </w:tc>
        <w:tc>
          <w:tcPr>
            <w:tcW w:w="1320" w:type="dxa"/>
            <w:vAlign w:val="bottom"/>
            <w:gridSpan w:val="2"/>
          </w:tcPr>
          <w:p>
            <w:pPr>
              <w:jc w:val="center"/>
              <w:ind w:right="380"/>
              <w:spacing w:after="0"/>
              <w:rPr>
                <w:sz w:val="20"/>
                <w:szCs w:val="20"/>
                <w:color w:val="auto"/>
              </w:rPr>
            </w:pPr>
            <w:r>
              <w:rPr>
                <w:rFonts w:ascii="Arial" w:cs="Arial" w:eastAsia="Arial" w:hAnsi="Arial"/>
                <w:sz w:val="18"/>
                <w:szCs w:val="18"/>
                <w:b w:val="1"/>
                <w:bCs w:val="1"/>
                <w:color w:val="auto"/>
                <w:w w:val="95"/>
              </w:rPr>
              <w:t>Quarter</w:t>
            </w:r>
          </w:p>
        </w:tc>
        <w:tc>
          <w:tcPr>
            <w:tcW w:w="1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80" w:type="dxa"/>
            <w:vAlign w:val="bottom"/>
            <w:gridSpan w:val="2"/>
          </w:tcPr>
          <w:p>
            <w:pPr>
              <w:jc w:val="right"/>
              <w:ind w:right="520"/>
              <w:spacing w:after="0"/>
              <w:rPr>
                <w:sz w:val="20"/>
                <w:szCs w:val="20"/>
                <w:color w:val="auto"/>
              </w:rPr>
            </w:pPr>
            <w:r>
              <w:rPr>
                <w:rFonts w:ascii="Arial" w:cs="Arial" w:eastAsia="Arial" w:hAnsi="Arial"/>
                <w:sz w:val="18"/>
                <w:szCs w:val="18"/>
                <w:b w:val="1"/>
                <w:bCs w:val="1"/>
                <w:color w:val="auto"/>
              </w:rPr>
              <w:t>Quarter</w:t>
            </w:r>
          </w:p>
        </w:tc>
        <w:tc>
          <w:tcPr>
            <w:tcW w:w="2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60" w:type="dxa"/>
            <w:vAlign w:val="bottom"/>
            <w:gridSpan w:val="2"/>
          </w:tcPr>
          <w:p>
            <w:pPr>
              <w:jc w:val="right"/>
              <w:ind w:right="500"/>
              <w:spacing w:after="0"/>
              <w:rPr>
                <w:sz w:val="20"/>
                <w:szCs w:val="20"/>
                <w:color w:val="auto"/>
              </w:rPr>
            </w:pPr>
            <w:r>
              <w:rPr>
                <w:rFonts w:ascii="Arial" w:cs="Arial" w:eastAsia="Arial" w:hAnsi="Arial"/>
                <w:sz w:val="18"/>
                <w:szCs w:val="18"/>
                <w:b w:val="1"/>
                <w:bCs w:val="1"/>
                <w:color w:val="auto"/>
              </w:rPr>
              <w:t>Quarter</w:t>
            </w:r>
          </w:p>
        </w:tc>
        <w:tc>
          <w:tcPr>
            <w:tcW w:w="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20" w:type="dxa"/>
            <w:vAlign w:val="bottom"/>
            <w:gridSpan w:val="2"/>
          </w:tcPr>
          <w:p>
            <w:pPr>
              <w:jc w:val="right"/>
              <w:ind w:right="460"/>
              <w:spacing w:after="0"/>
              <w:rPr>
                <w:sz w:val="20"/>
                <w:szCs w:val="20"/>
                <w:color w:val="auto"/>
              </w:rPr>
            </w:pPr>
            <w:r>
              <w:rPr>
                <w:rFonts w:ascii="Arial" w:cs="Arial" w:eastAsia="Arial" w:hAnsi="Arial"/>
                <w:sz w:val="18"/>
                <w:szCs w:val="18"/>
                <w:b w:val="1"/>
                <w:bCs w:val="1"/>
                <w:color w:val="auto"/>
              </w:rPr>
              <w:t>Quarter</w:t>
            </w:r>
          </w:p>
        </w:tc>
      </w:tr>
      <w:tr>
        <w:trPr>
          <w:trHeight w:val="210"/>
        </w:trPr>
        <w:tc>
          <w:tcPr>
            <w:tcW w:w="47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Revenues</w:t>
            </w:r>
          </w:p>
        </w:tc>
        <w:tc>
          <w:tcPr>
            <w:tcW w:w="28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4,365,496</w:t>
            </w:r>
          </w:p>
        </w:tc>
        <w:tc>
          <w:tcPr>
            <w:tcW w:w="1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8,985,930</w:t>
            </w:r>
          </w:p>
        </w:tc>
        <w:tc>
          <w:tcPr>
            <w:tcW w:w="2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9,342,498</w:t>
            </w:r>
          </w:p>
        </w:tc>
        <w:tc>
          <w:tcPr>
            <w:tcW w:w="1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8,713,785</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4980" w:type="dxa"/>
            <w:vAlign w:val="bottom"/>
            <w:gridSpan w:val="2"/>
          </w:tcPr>
          <w:p>
            <w:pPr>
              <w:spacing w:after="0"/>
              <w:rPr>
                <w:sz w:val="20"/>
                <w:szCs w:val="20"/>
                <w:color w:val="auto"/>
              </w:rPr>
            </w:pPr>
            <w:r>
              <w:rPr>
                <w:rFonts w:ascii="Arial" w:cs="Arial" w:eastAsia="Arial" w:hAnsi="Arial"/>
                <w:sz w:val="18"/>
                <w:szCs w:val="18"/>
                <w:color w:val="auto"/>
              </w:rPr>
              <w:t>Operating Losses</w:t>
            </w:r>
          </w:p>
        </w:tc>
        <w:tc>
          <w:tcPr>
            <w:tcW w:w="240" w:type="dxa"/>
            <w:vAlign w:val="bottom"/>
          </w:tcPr>
          <w:p>
            <w:pPr>
              <w:jc w:val="right"/>
              <w:ind w:right="85"/>
              <w:spacing w:after="0"/>
              <w:rPr>
                <w:sz w:val="20"/>
                <w:szCs w:val="20"/>
                <w:color w:val="auto"/>
              </w:rPr>
            </w:pPr>
            <w:r>
              <w:rPr>
                <w:rFonts w:ascii="Arial" w:cs="Arial" w:eastAsia="Arial" w:hAnsi="Arial"/>
                <w:sz w:val="15"/>
                <w:szCs w:val="15"/>
                <w:color w:val="auto"/>
                <w:w w:val="71"/>
              </w:rPr>
              <w:t>$</w:t>
            </w:r>
          </w:p>
        </w:tc>
        <w:tc>
          <w:tcPr>
            <w:tcW w:w="1320" w:type="dxa"/>
            <w:vAlign w:val="bottom"/>
            <w:gridSpan w:val="2"/>
          </w:tcPr>
          <w:p>
            <w:pPr>
              <w:jc w:val="right"/>
              <w:ind w:right="140"/>
              <w:spacing w:after="0"/>
              <w:rPr>
                <w:sz w:val="20"/>
                <w:szCs w:val="20"/>
                <w:color w:val="auto"/>
              </w:rPr>
            </w:pPr>
            <w:r>
              <w:rPr>
                <w:rFonts w:ascii="Arial" w:cs="Arial" w:eastAsia="Arial" w:hAnsi="Arial"/>
                <w:sz w:val="18"/>
                <w:szCs w:val="18"/>
                <w:color w:val="auto"/>
              </w:rPr>
              <w:t>(14,901,887)</w:t>
            </w:r>
          </w:p>
        </w:tc>
        <w:tc>
          <w:tcPr>
            <w:tcW w:w="340" w:type="dxa"/>
            <w:vAlign w:val="bottom"/>
            <w:gridSpan w:val="2"/>
          </w:tcPr>
          <w:p>
            <w:pPr>
              <w:jc w:val="right"/>
              <w:ind w:right="45"/>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(6,129,642)</w:t>
            </w:r>
          </w:p>
        </w:tc>
        <w:tc>
          <w:tcPr>
            <w:tcW w:w="200" w:type="dxa"/>
            <w:vAlign w:val="bottom"/>
          </w:tcPr>
          <w:p>
            <w:pPr>
              <w:spacing w:after="0"/>
              <w:rPr>
                <w:sz w:val="18"/>
                <w:szCs w:val="18"/>
                <w:color w:val="auto"/>
              </w:rPr>
            </w:pPr>
          </w:p>
        </w:tc>
        <w:tc>
          <w:tcPr>
            <w:tcW w:w="420" w:type="dxa"/>
            <w:vAlign w:val="bottom"/>
            <w:gridSpan w:val="2"/>
          </w:tcPr>
          <w:p>
            <w:pPr>
              <w:jc w:val="right"/>
              <w:ind w:right="65"/>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140"/>
              <w:spacing w:after="0"/>
              <w:rPr>
                <w:sz w:val="20"/>
                <w:szCs w:val="20"/>
                <w:color w:val="auto"/>
              </w:rPr>
            </w:pPr>
            <w:r>
              <w:rPr>
                <w:rFonts w:ascii="Arial" w:cs="Arial" w:eastAsia="Arial" w:hAnsi="Arial"/>
                <w:sz w:val="18"/>
                <w:szCs w:val="18"/>
                <w:color w:val="auto"/>
              </w:rPr>
              <w:t>(5,714,164)</w:t>
            </w:r>
          </w:p>
        </w:tc>
        <w:tc>
          <w:tcPr>
            <w:tcW w:w="360" w:type="dxa"/>
            <w:vAlign w:val="bottom"/>
            <w:gridSpan w:val="2"/>
          </w:tcPr>
          <w:p>
            <w:pPr>
              <w:jc w:val="right"/>
              <w:ind w:right="65"/>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(10,250,216)</w:t>
            </w:r>
          </w:p>
        </w:tc>
      </w:tr>
      <w:tr>
        <w:trPr>
          <w:trHeight w:val="216"/>
        </w:trPr>
        <w:tc>
          <w:tcPr>
            <w:tcW w:w="49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Loss</w:t>
            </w:r>
          </w:p>
        </w:tc>
        <w:tc>
          <w:tcPr>
            <w:tcW w:w="240" w:type="dxa"/>
            <w:vAlign w:val="bottom"/>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13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(12,086,108)</w:t>
            </w:r>
          </w:p>
        </w:tc>
        <w:tc>
          <w:tcPr>
            <w:tcW w:w="340" w:type="dxa"/>
            <w:vAlign w:val="bottom"/>
            <w:gridSpan w:val="2"/>
            <w:shd w:val="clear" w:color="auto" w:fill="CCEEFF"/>
          </w:tcPr>
          <w:p>
            <w:pPr>
              <w:jc w:val="right"/>
              <w:ind w:right="45"/>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(6,042,557)</w:t>
            </w:r>
          </w:p>
        </w:tc>
        <w:tc>
          <w:tcPr>
            <w:tcW w:w="20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ind w:right="65"/>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(5,519,741)</w:t>
            </w:r>
          </w:p>
        </w:tc>
        <w:tc>
          <w:tcPr>
            <w:tcW w:w="360" w:type="dxa"/>
            <w:vAlign w:val="bottom"/>
            <w:gridSpan w:val="2"/>
            <w:shd w:val="clear" w:color="auto" w:fill="CCEEFF"/>
          </w:tcPr>
          <w:p>
            <w:pPr>
              <w:jc w:val="right"/>
              <w:ind w:right="65"/>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(10,731,889)</w:t>
            </w:r>
          </w:p>
        </w:tc>
      </w:tr>
      <w:tr>
        <w:trPr>
          <w:trHeight w:val="216"/>
        </w:trPr>
        <w:tc>
          <w:tcPr>
            <w:tcW w:w="4980" w:type="dxa"/>
            <w:vAlign w:val="bottom"/>
            <w:gridSpan w:val="2"/>
          </w:tcPr>
          <w:p>
            <w:pPr>
              <w:spacing w:after="0"/>
              <w:rPr>
                <w:sz w:val="20"/>
                <w:szCs w:val="20"/>
                <w:color w:val="auto"/>
              </w:rPr>
            </w:pPr>
            <w:r>
              <w:rPr>
                <w:rFonts w:ascii="Arial" w:cs="Arial" w:eastAsia="Arial" w:hAnsi="Arial"/>
                <w:sz w:val="18"/>
                <w:szCs w:val="18"/>
                <w:color w:val="auto"/>
              </w:rPr>
              <w:t>Net Loss Attributable to Arrowhead</w:t>
            </w:r>
          </w:p>
        </w:tc>
        <w:tc>
          <w:tcPr>
            <w:tcW w:w="240" w:type="dxa"/>
            <w:vAlign w:val="bottom"/>
          </w:tcPr>
          <w:p>
            <w:pPr>
              <w:jc w:val="right"/>
              <w:ind w:right="85"/>
              <w:spacing w:after="0"/>
              <w:rPr>
                <w:sz w:val="20"/>
                <w:szCs w:val="20"/>
                <w:color w:val="auto"/>
              </w:rPr>
            </w:pPr>
            <w:r>
              <w:rPr>
                <w:rFonts w:ascii="Arial" w:cs="Arial" w:eastAsia="Arial" w:hAnsi="Arial"/>
                <w:sz w:val="15"/>
                <w:szCs w:val="15"/>
                <w:color w:val="auto"/>
                <w:w w:val="71"/>
              </w:rPr>
              <w:t>$</w:t>
            </w:r>
          </w:p>
        </w:tc>
        <w:tc>
          <w:tcPr>
            <w:tcW w:w="1320" w:type="dxa"/>
            <w:vAlign w:val="bottom"/>
            <w:gridSpan w:val="2"/>
          </w:tcPr>
          <w:p>
            <w:pPr>
              <w:jc w:val="right"/>
              <w:ind w:right="140"/>
              <w:spacing w:after="0"/>
              <w:rPr>
                <w:sz w:val="20"/>
                <w:szCs w:val="20"/>
                <w:color w:val="auto"/>
              </w:rPr>
            </w:pPr>
            <w:r>
              <w:rPr>
                <w:rFonts w:ascii="Arial" w:cs="Arial" w:eastAsia="Arial" w:hAnsi="Arial"/>
                <w:sz w:val="18"/>
                <w:szCs w:val="18"/>
                <w:color w:val="auto"/>
              </w:rPr>
              <w:t>(12,086,108)</w:t>
            </w:r>
          </w:p>
        </w:tc>
        <w:tc>
          <w:tcPr>
            <w:tcW w:w="340" w:type="dxa"/>
            <w:vAlign w:val="bottom"/>
            <w:gridSpan w:val="2"/>
          </w:tcPr>
          <w:p>
            <w:pPr>
              <w:jc w:val="right"/>
              <w:ind w:right="45"/>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(6,042,557)</w:t>
            </w:r>
          </w:p>
        </w:tc>
        <w:tc>
          <w:tcPr>
            <w:tcW w:w="200" w:type="dxa"/>
            <w:vAlign w:val="bottom"/>
          </w:tcPr>
          <w:p>
            <w:pPr>
              <w:spacing w:after="0"/>
              <w:rPr>
                <w:sz w:val="18"/>
                <w:szCs w:val="18"/>
                <w:color w:val="auto"/>
              </w:rPr>
            </w:pPr>
          </w:p>
        </w:tc>
        <w:tc>
          <w:tcPr>
            <w:tcW w:w="420" w:type="dxa"/>
            <w:vAlign w:val="bottom"/>
            <w:gridSpan w:val="2"/>
          </w:tcPr>
          <w:p>
            <w:pPr>
              <w:jc w:val="right"/>
              <w:ind w:right="65"/>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140"/>
              <w:spacing w:after="0"/>
              <w:rPr>
                <w:sz w:val="20"/>
                <w:szCs w:val="20"/>
                <w:color w:val="auto"/>
              </w:rPr>
            </w:pPr>
            <w:r>
              <w:rPr>
                <w:rFonts w:ascii="Arial" w:cs="Arial" w:eastAsia="Arial" w:hAnsi="Arial"/>
                <w:sz w:val="18"/>
                <w:szCs w:val="18"/>
                <w:color w:val="auto"/>
              </w:rPr>
              <w:t>(5,519,741)</w:t>
            </w:r>
          </w:p>
        </w:tc>
        <w:tc>
          <w:tcPr>
            <w:tcW w:w="360" w:type="dxa"/>
            <w:vAlign w:val="bottom"/>
            <w:gridSpan w:val="2"/>
          </w:tcPr>
          <w:p>
            <w:pPr>
              <w:jc w:val="right"/>
              <w:ind w:right="65"/>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(10,731,889)</w:t>
            </w:r>
          </w:p>
        </w:tc>
      </w:tr>
      <w:tr>
        <w:trPr>
          <w:trHeight w:val="216"/>
        </w:trPr>
        <w:tc>
          <w:tcPr>
            <w:tcW w:w="498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Loss per share (Basic and Diluted)</w:t>
            </w:r>
          </w:p>
        </w:tc>
        <w:tc>
          <w:tcPr>
            <w:tcW w:w="240" w:type="dxa"/>
            <w:vAlign w:val="bottom"/>
            <w:shd w:val="clear" w:color="auto" w:fill="CFF0FC"/>
          </w:tcPr>
          <w:p>
            <w:pPr>
              <w:jc w:val="right"/>
              <w:ind w:right="85"/>
              <w:spacing w:after="0"/>
              <w:rPr>
                <w:sz w:val="20"/>
                <w:szCs w:val="20"/>
                <w:color w:val="auto"/>
              </w:rPr>
            </w:pPr>
            <w:r>
              <w:rPr>
                <w:rFonts w:ascii="Arial" w:cs="Arial" w:eastAsia="Arial" w:hAnsi="Arial"/>
                <w:sz w:val="15"/>
                <w:szCs w:val="15"/>
                <w:color w:val="auto"/>
                <w:w w:val="71"/>
              </w:rPr>
              <w:t>$</w:t>
            </w:r>
          </w:p>
        </w:tc>
        <w:tc>
          <w:tcPr>
            <w:tcW w:w="132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(0.17)</w:t>
            </w:r>
          </w:p>
        </w:tc>
        <w:tc>
          <w:tcPr>
            <w:tcW w:w="340" w:type="dxa"/>
            <w:vAlign w:val="bottom"/>
            <w:gridSpan w:val="2"/>
            <w:shd w:val="clear" w:color="auto" w:fill="CFF0FC"/>
          </w:tcPr>
          <w:p>
            <w:pPr>
              <w:jc w:val="right"/>
              <w:ind w:right="45"/>
              <w:spacing w:after="0"/>
              <w:rPr>
                <w:sz w:val="20"/>
                <w:szCs w:val="20"/>
                <w:color w:val="auto"/>
              </w:rPr>
            </w:pPr>
            <w:r>
              <w:rPr>
                <w:rFonts w:ascii="Arial" w:cs="Arial" w:eastAsia="Arial" w:hAnsi="Arial"/>
                <w:sz w:val="18"/>
                <w:szCs w:val="18"/>
                <w:color w:val="auto"/>
              </w:rPr>
              <w:t>$</w:t>
            </w:r>
          </w:p>
        </w:tc>
        <w:tc>
          <w:tcPr>
            <w:tcW w:w="128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(0.08)</w:t>
            </w:r>
          </w:p>
        </w:tc>
        <w:tc>
          <w:tcPr>
            <w:tcW w:w="420" w:type="dxa"/>
            <w:vAlign w:val="bottom"/>
            <w:gridSpan w:val="2"/>
            <w:shd w:val="clear" w:color="auto" w:fill="CFF0FC"/>
          </w:tcPr>
          <w:p>
            <w:pPr>
              <w:jc w:val="right"/>
              <w:ind w:right="65"/>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(0.07)</w:t>
            </w:r>
          </w:p>
        </w:tc>
        <w:tc>
          <w:tcPr>
            <w:tcW w:w="360" w:type="dxa"/>
            <w:vAlign w:val="bottom"/>
            <w:gridSpan w:val="2"/>
            <w:shd w:val="clear" w:color="auto" w:fill="CFF0FC"/>
          </w:tcPr>
          <w:p>
            <w:pPr>
              <w:jc w:val="right"/>
              <w:ind w:right="65"/>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(0.14)</w:t>
            </w:r>
          </w:p>
        </w:tc>
      </w:tr>
    </w:tbl>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7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0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97"/>
              </w:rPr>
              <w:t>First</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80" w:type="dxa"/>
            <w:vAlign w:val="bottom"/>
            <w:gridSpan w:val="2"/>
          </w:tcPr>
          <w:p>
            <w:pPr>
              <w:jc w:val="center"/>
              <w:ind w:right="420"/>
              <w:spacing w:after="0"/>
              <w:rPr>
                <w:sz w:val="20"/>
                <w:szCs w:val="20"/>
                <w:color w:val="auto"/>
              </w:rPr>
            </w:pPr>
            <w:r>
              <w:rPr>
                <w:rFonts w:ascii="Arial" w:cs="Arial" w:eastAsia="Arial" w:hAnsi="Arial"/>
                <w:sz w:val="18"/>
                <w:szCs w:val="18"/>
                <w:b w:val="1"/>
                <w:bCs w:val="1"/>
                <w:color w:val="auto"/>
                <w:w w:val="82"/>
              </w:rPr>
              <w:t>Second</w:t>
            </w: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0" w:type="dxa"/>
            <w:vAlign w:val="bottom"/>
            <w:gridSpan w:val="2"/>
          </w:tcPr>
          <w:p>
            <w:pPr>
              <w:jc w:val="center"/>
              <w:ind w:right="520"/>
              <w:spacing w:after="0"/>
              <w:rPr>
                <w:sz w:val="20"/>
                <w:szCs w:val="20"/>
                <w:color w:val="auto"/>
              </w:rPr>
            </w:pPr>
            <w:r>
              <w:rPr>
                <w:rFonts w:ascii="Arial" w:cs="Arial" w:eastAsia="Arial" w:hAnsi="Arial"/>
                <w:sz w:val="18"/>
                <w:szCs w:val="18"/>
                <w:b w:val="1"/>
                <w:bCs w:val="1"/>
                <w:color w:val="auto"/>
                <w:w w:val="97"/>
              </w:rPr>
              <w:t>Third</w:t>
            </w:r>
          </w:p>
        </w:tc>
        <w:tc>
          <w:tcPr>
            <w:tcW w:w="220" w:type="dxa"/>
            <w:vAlign w:val="bottom"/>
          </w:tcPr>
          <w:p>
            <w:pPr>
              <w:spacing w:after="0"/>
              <w:rPr>
                <w:sz w:val="18"/>
                <w:szCs w:val="18"/>
                <w:color w:val="auto"/>
              </w:rPr>
            </w:pPr>
          </w:p>
        </w:tc>
        <w:tc>
          <w:tcPr>
            <w:tcW w:w="124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4"/>
              </w:rPr>
              <w:t>Fourth</w:t>
            </w:r>
          </w:p>
        </w:tc>
      </w:tr>
      <w:tr>
        <w:trPr>
          <w:trHeight w:val="234"/>
        </w:trPr>
        <w:tc>
          <w:tcPr>
            <w:tcW w:w="4980" w:type="dxa"/>
            <w:vAlign w:val="bottom"/>
            <w:gridSpan w:val="2"/>
          </w:tcPr>
          <w:p>
            <w:pPr>
              <w:spacing w:after="0"/>
              <w:rPr>
                <w:sz w:val="20"/>
                <w:szCs w:val="20"/>
                <w:color w:val="auto"/>
              </w:rPr>
            </w:pPr>
            <w:r>
              <w:rPr>
                <w:rFonts w:ascii="Arial" w:cs="Arial" w:eastAsia="Arial" w:hAnsi="Arial"/>
                <w:sz w:val="18"/>
                <w:szCs w:val="18"/>
                <w:b w:val="1"/>
                <w:bCs w:val="1"/>
                <w:color w:val="auto"/>
              </w:rPr>
              <w:t>Year ended September 30, 2016</w:t>
            </w:r>
          </w:p>
        </w:tc>
        <w:tc>
          <w:tcPr>
            <w:tcW w:w="220" w:type="dxa"/>
            <w:vAlign w:val="bottom"/>
          </w:tcPr>
          <w:p>
            <w:pPr>
              <w:spacing w:after="0"/>
              <w:rPr>
                <w:sz w:val="20"/>
                <w:szCs w:val="20"/>
                <w:color w:val="auto"/>
              </w:rPr>
            </w:pPr>
          </w:p>
        </w:tc>
        <w:tc>
          <w:tcPr>
            <w:tcW w:w="130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95"/>
              </w:rPr>
              <w:t>Quarter</w:t>
            </w:r>
          </w:p>
        </w:tc>
        <w:tc>
          <w:tcPr>
            <w:tcW w:w="1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80" w:type="dxa"/>
            <w:vAlign w:val="bottom"/>
            <w:gridSpan w:val="2"/>
          </w:tcPr>
          <w:p>
            <w:pPr>
              <w:jc w:val="center"/>
              <w:ind w:right="420"/>
              <w:spacing w:after="0"/>
              <w:rPr>
                <w:sz w:val="20"/>
                <w:szCs w:val="20"/>
                <w:color w:val="auto"/>
              </w:rPr>
            </w:pPr>
            <w:r>
              <w:rPr>
                <w:rFonts w:ascii="Arial" w:cs="Arial" w:eastAsia="Arial" w:hAnsi="Arial"/>
                <w:sz w:val="18"/>
                <w:szCs w:val="18"/>
                <w:b w:val="1"/>
                <w:bCs w:val="1"/>
                <w:color w:val="auto"/>
                <w:w w:val="95"/>
              </w:rPr>
              <w:t>Quarter</w:t>
            </w:r>
          </w:p>
        </w:tc>
        <w:tc>
          <w:tcPr>
            <w:tcW w:w="1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00" w:type="dxa"/>
            <w:vAlign w:val="bottom"/>
            <w:gridSpan w:val="2"/>
          </w:tcPr>
          <w:p>
            <w:pPr>
              <w:jc w:val="center"/>
              <w:ind w:right="520"/>
              <w:spacing w:after="0"/>
              <w:rPr>
                <w:sz w:val="20"/>
                <w:szCs w:val="20"/>
                <w:color w:val="auto"/>
              </w:rPr>
            </w:pPr>
            <w:r>
              <w:rPr>
                <w:rFonts w:ascii="Arial" w:cs="Arial" w:eastAsia="Arial" w:hAnsi="Arial"/>
                <w:sz w:val="18"/>
                <w:szCs w:val="18"/>
                <w:b w:val="1"/>
                <w:bCs w:val="1"/>
                <w:color w:val="auto"/>
                <w:w w:val="98"/>
              </w:rPr>
              <w:t>Quarter</w:t>
            </w:r>
          </w:p>
        </w:tc>
        <w:tc>
          <w:tcPr>
            <w:tcW w:w="220" w:type="dxa"/>
            <w:vAlign w:val="bottom"/>
          </w:tcPr>
          <w:p>
            <w:pPr>
              <w:spacing w:after="0"/>
              <w:rPr>
                <w:sz w:val="20"/>
                <w:szCs w:val="20"/>
                <w:color w:val="auto"/>
              </w:rPr>
            </w:pPr>
          </w:p>
        </w:tc>
        <w:tc>
          <w:tcPr>
            <w:tcW w:w="124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8"/>
              </w:rPr>
              <w:t>Quarter</w:t>
            </w:r>
          </w:p>
        </w:tc>
      </w:tr>
      <w:tr>
        <w:trPr>
          <w:trHeight w:val="210"/>
        </w:trPr>
        <w:tc>
          <w:tcPr>
            <w:tcW w:w="47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Revenues</w:t>
            </w:r>
          </w:p>
        </w:tc>
        <w:tc>
          <w:tcPr>
            <w:tcW w:w="28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43,750</w:t>
            </w:r>
          </w:p>
        </w:tc>
        <w:tc>
          <w:tcPr>
            <w:tcW w:w="1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43,750</w:t>
            </w:r>
          </w:p>
        </w:tc>
        <w:tc>
          <w:tcPr>
            <w:tcW w:w="2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39,583</w:t>
            </w:r>
          </w:p>
        </w:tc>
        <w:tc>
          <w:tcPr>
            <w:tcW w:w="28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31,250</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4980" w:type="dxa"/>
            <w:vAlign w:val="bottom"/>
            <w:gridSpan w:val="2"/>
          </w:tcPr>
          <w:p>
            <w:pPr>
              <w:spacing w:after="0"/>
              <w:rPr>
                <w:sz w:val="20"/>
                <w:szCs w:val="20"/>
                <w:color w:val="auto"/>
              </w:rPr>
            </w:pPr>
            <w:r>
              <w:rPr>
                <w:rFonts w:ascii="Arial" w:cs="Arial" w:eastAsia="Arial" w:hAnsi="Arial"/>
                <w:sz w:val="18"/>
                <w:szCs w:val="18"/>
                <w:color w:val="auto"/>
              </w:rPr>
              <w:t>Operating Losses</w:t>
            </w:r>
          </w:p>
        </w:tc>
        <w:tc>
          <w:tcPr>
            <w:tcW w:w="220" w:type="dxa"/>
            <w:vAlign w:val="bottom"/>
          </w:tcPr>
          <w:p>
            <w:pPr>
              <w:jc w:val="right"/>
              <w:ind w:right="65"/>
              <w:spacing w:after="0"/>
              <w:rPr>
                <w:sz w:val="20"/>
                <w:szCs w:val="20"/>
                <w:color w:val="auto"/>
              </w:rPr>
            </w:pPr>
            <w:r>
              <w:rPr>
                <w:rFonts w:ascii="Arial" w:cs="Arial" w:eastAsia="Arial" w:hAnsi="Arial"/>
                <w:sz w:val="15"/>
                <w:szCs w:val="15"/>
                <w:color w:val="auto"/>
                <w:w w:val="71"/>
              </w:rPr>
              <w:t>$</w:t>
            </w:r>
          </w:p>
        </w:tc>
        <w:tc>
          <w:tcPr>
            <w:tcW w:w="1300" w:type="dxa"/>
            <w:vAlign w:val="bottom"/>
            <w:gridSpan w:val="2"/>
          </w:tcPr>
          <w:p>
            <w:pPr>
              <w:jc w:val="right"/>
              <w:ind w:right="140"/>
              <w:spacing w:after="0"/>
              <w:rPr>
                <w:sz w:val="20"/>
                <w:szCs w:val="20"/>
                <w:color w:val="auto"/>
              </w:rPr>
            </w:pPr>
            <w:r>
              <w:rPr>
                <w:rFonts w:ascii="Arial" w:cs="Arial" w:eastAsia="Arial" w:hAnsi="Arial"/>
                <w:sz w:val="18"/>
                <w:szCs w:val="18"/>
                <w:color w:val="auto"/>
              </w:rPr>
              <w:t>(19,341,270)</w:t>
            </w:r>
          </w:p>
        </w:tc>
        <w:tc>
          <w:tcPr>
            <w:tcW w:w="360" w:type="dxa"/>
            <w:vAlign w:val="bottom"/>
            <w:gridSpan w:val="2"/>
          </w:tcPr>
          <w:p>
            <w:pPr>
              <w:jc w:val="right"/>
              <w:ind w:right="45"/>
              <w:spacing w:after="0"/>
              <w:rPr>
                <w:sz w:val="20"/>
                <w:szCs w:val="20"/>
                <w:color w:val="auto"/>
              </w:rPr>
            </w:pPr>
            <w:r>
              <w:rPr>
                <w:rFonts w:ascii="Arial" w:cs="Arial" w:eastAsia="Arial" w:hAnsi="Arial"/>
                <w:sz w:val="18"/>
                <w:szCs w:val="18"/>
                <w:color w:val="auto"/>
              </w:rPr>
              <w:t>$</w:t>
            </w:r>
          </w:p>
        </w:tc>
        <w:tc>
          <w:tcPr>
            <w:tcW w:w="1280" w:type="dxa"/>
            <w:vAlign w:val="bottom"/>
            <w:gridSpan w:val="2"/>
          </w:tcPr>
          <w:p>
            <w:pPr>
              <w:jc w:val="right"/>
              <w:ind w:right="200"/>
              <w:spacing w:after="0"/>
              <w:rPr>
                <w:sz w:val="20"/>
                <w:szCs w:val="20"/>
                <w:color w:val="auto"/>
              </w:rPr>
            </w:pPr>
            <w:r>
              <w:rPr>
                <w:rFonts w:ascii="Arial" w:cs="Arial" w:eastAsia="Arial" w:hAnsi="Arial"/>
                <w:sz w:val="18"/>
                <w:szCs w:val="18"/>
                <w:color w:val="auto"/>
              </w:rPr>
              <w:t>(21,264,855)</w:t>
            </w:r>
          </w:p>
        </w:tc>
        <w:tc>
          <w:tcPr>
            <w:tcW w:w="420" w:type="dxa"/>
            <w:vAlign w:val="bottom"/>
            <w:gridSpan w:val="2"/>
          </w:tcPr>
          <w:p>
            <w:pPr>
              <w:jc w:val="right"/>
              <w:ind w:right="50"/>
              <w:spacing w:after="0"/>
              <w:rPr>
                <w:sz w:val="20"/>
                <w:szCs w:val="20"/>
                <w:color w:val="auto"/>
              </w:rPr>
            </w:pPr>
            <w:r>
              <w:rPr>
                <w:rFonts w:ascii="Arial" w:cs="Arial" w:eastAsia="Arial" w:hAnsi="Arial"/>
                <w:sz w:val="18"/>
                <w:szCs w:val="18"/>
                <w:color w:val="auto"/>
              </w:rPr>
              <w:t>$</w:t>
            </w:r>
          </w:p>
        </w:tc>
        <w:tc>
          <w:tcPr>
            <w:tcW w:w="1400" w:type="dxa"/>
            <w:vAlign w:val="bottom"/>
            <w:gridSpan w:val="2"/>
          </w:tcPr>
          <w:p>
            <w:pPr>
              <w:jc w:val="right"/>
              <w:ind w:right="280"/>
              <w:spacing w:after="0"/>
              <w:rPr>
                <w:sz w:val="20"/>
                <w:szCs w:val="20"/>
                <w:color w:val="auto"/>
              </w:rPr>
            </w:pPr>
            <w:r>
              <w:rPr>
                <w:rFonts w:ascii="Arial" w:cs="Arial" w:eastAsia="Arial" w:hAnsi="Arial"/>
                <w:sz w:val="18"/>
                <w:szCs w:val="18"/>
                <w:color w:val="auto"/>
              </w:rPr>
              <w:t>(19,341,487)</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(21,795,114)</w:t>
            </w:r>
          </w:p>
        </w:tc>
      </w:tr>
      <w:tr>
        <w:trPr>
          <w:trHeight w:val="216"/>
        </w:trPr>
        <w:tc>
          <w:tcPr>
            <w:tcW w:w="49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Loss</w:t>
            </w:r>
          </w:p>
        </w:tc>
        <w:tc>
          <w:tcPr>
            <w:tcW w:w="220" w:type="dxa"/>
            <w:vAlign w:val="bottom"/>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13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(19,264,414)</w:t>
            </w:r>
          </w:p>
        </w:tc>
        <w:tc>
          <w:tcPr>
            <w:tcW w:w="360" w:type="dxa"/>
            <w:vAlign w:val="bottom"/>
            <w:gridSpan w:val="2"/>
            <w:shd w:val="clear" w:color="auto" w:fill="CCEEFF"/>
          </w:tcPr>
          <w:p>
            <w:pPr>
              <w:jc w:val="right"/>
              <w:ind w:right="45"/>
              <w:spacing w:after="0"/>
              <w:rPr>
                <w:sz w:val="20"/>
                <w:szCs w:val="20"/>
                <w:color w:val="auto"/>
              </w:rPr>
            </w:pPr>
            <w:r>
              <w:rPr>
                <w:rFonts w:ascii="Arial" w:cs="Arial" w:eastAsia="Arial" w:hAnsi="Arial"/>
                <w:sz w:val="18"/>
                <w:szCs w:val="18"/>
                <w:color w:val="auto"/>
              </w:rPr>
              <w:t>$</w:t>
            </w:r>
          </w:p>
        </w:tc>
        <w:tc>
          <w:tcPr>
            <w:tcW w:w="12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(20,815,860)</w:t>
            </w:r>
          </w:p>
        </w:tc>
        <w:tc>
          <w:tcPr>
            <w:tcW w:w="42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4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(19,420,743)</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(22,221,985)</w:t>
            </w:r>
          </w:p>
        </w:tc>
      </w:tr>
      <w:tr>
        <w:trPr>
          <w:trHeight w:val="216"/>
        </w:trPr>
        <w:tc>
          <w:tcPr>
            <w:tcW w:w="4980" w:type="dxa"/>
            <w:vAlign w:val="bottom"/>
            <w:gridSpan w:val="2"/>
          </w:tcPr>
          <w:p>
            <w:pPr>
              <w:spacing w:after="0"/>
              <w:rPr>
                <w:sz w:val="20"/>
                <w:szCs w:val="20"/>
                <w:color w:val="auto"/>
              </w:rPr>
            </w:pPr>
            <w:r>
              <w:rPr>
                <w:rFonts w:ascii="Arial" w:cs="Arial" w:eastAsia="Arial" w:hAnsi="Arial"/>
                <w:sz w:val="18"/>
                <w:szCs w:val="18"/>
                <w:color w:val="auto"/>
              </w:rPr>
              <w:t>Net Loss Attributable to Arrowhead</w:t>
            </w:r>
          </w:p>
        </w:tc>
        <w:tc>
          <w:tcPr>
            <w:tcW w:w="220" w:type="dxa"/>
            <w:vAlign w:val="bottom"/>
          </w:tcPr>
          <w:p>
            <w:pPr>
              <w:jc w:val="right"/>
              <w:ind w:right="65"/>
              <w:spacing w:after="0"/>
              <w:rPr>
                <w:sz w:val="20"/>
                <w:szCs w:val="20"/>
                <w:color w:val="auto"/>
              </w:rPr>
            </w:pPr>
            <w:r>
              <w:rPr>
                <w:rFonts w:ascii="Arial" w:cs="Arial" w:eastAsia="Arial" w:hAnsi="Arial"/>
                <w:sz w:val="15"/>
                <w:szCs w:val="15"/>
                <w:color w:val="auto"/>
                <w:w w:val="71"/>
              </w:rPr>
              <w:t>$</w:t>
            </w:r>
          </w:p>
        </w:tc>
        <w:tc>
          <w:tcPr>
            <w:tcW w:w="1300" w:type="dxa"/>
            <w:vAlign w:val="bottom"/>
            <w:gridSpan w:val="2"/>
          </w:tcPr>
          <w:p>
            <w:pPr>
              <w:jc w:val="right"/>
              <w:ind w:right="140"/>
              <w:spacing w:after="0"/>
              <w:rPr>
                <w:sz w:val="20"/>
                <w:szCs w:val="20"/>
                <w:color w:val="auto"/>
              </w:rPr>
            </w:pPr>
            <w:r>
              <w:rPr>
                <w:rFonts w:ascii="Arial" w:cs="Arial" w:eastAsia="Arial" w:hAnsi="Arial"/>
                <w:sz w:val="18"/>
                <w:szCs w:val="18"/>
                <w:color w:val="auto"/>
              </w:rPr>
              <w:t>(19,264,414)</w:t>
            </w:r>
          </w:p>
        </w:tc>
        <w:tc>
          <w:tcPr>
            <w:tcW w:w="360" w:type="dxa"/>
            <w:vAlign w:val="bottom"/>
            <w:gridSpan w:val="2"/>
          </w:tcPr>
          <w:p>
            <w:pPr>
              <w:jc w:val="right"/>
              <w:ind w:right="45"/>
              <w:spacing w:after="0"/>
              <w:rPr>
                <w:sz w:val="20"/>
                <w:szCs w:val="20"/>
                <w:color w:val="auto"/>
              </w:rPr>
            </w:pPr>
            <w:r>
              <w:rPr>
                <w:rFonts w:ascii="Arial" w:cs="Arial" w:eastAsia="Arial" w:hAnsi="Arial"/>
                <w:sz w:val="18"/>
                <w:szCs w:val="18"/>
                <w:color w:val="auto"/>
              </w:rPr>
              <w:t>$</w:t>
            </w:r>
          </w:p>
        </w:tc>
        <w:tc>
          <w:tcPr>
            <w:tcW w:w="1280" w:type="dxa"/>
            <w:vAlign w:val="bottom"/>
            <w:gridSpan w:val="2"/>
          </w:tcPr>
          <w:p>
            <w:pPr>
              <w:jc w:val="right"/>
              <w:ind w:right="200"/>
              <w:spacing w:after="0"/>
              <w:rPr>
                <w:sz w:val="20"/>
                <w:szCs w:val="20"/>
                <w:color w:val="auto"/>
              </w:rPr>
            </w:pPr>
            <w:r>
              <w:rPr>
                <w:rFonts w:ascii="Arial" w:cs="Arial" w:eastAsia="Arial" w:hAnsi="Arial"/>
                <w:sz w:val="18"/>
                <w:szCs w:val="18"/>
                <w:color w:val="auto"/>
              </w:rPr>
              <w:t>(20,815,860)</w:t>
            </w:r>
          </w:p>
        </w:tc>
        <w:tc>
          <w:tcPr>
            <w:tcW w:w="420" w:type="dxa"/>
            <w:vAlign w:val="bottom"/>
            <w:gridSpan w:val="2"/>
          </w:tcPr>
          <w:p>
            <w:pPr>
              <w:jc w:val="right"/>
              <w:ind w:right="50"/>
              <w:spacing w:after="0"/>
              <w:rPr>
                <w:sz w:val="20"/>
                <w:szCs w:val="20"/>
                <w:color w:val="auto"/>
              </w:rPr>
            </w:pPr>
            <w:r>
              <w:rPr>
                <w:rFonts w:ascii="Arial" w:cs="Arial" w:eastAsia="Arial" w:hAnsi="Arial"/>
                <w:sz w:val="18"/>
                <w:szCs w:val="18"/>
                <w:color w:val="auto"/>
              </w:rPr>
              <w:t>$</w:t>
            </w:r>
          </w:p>
        </w:tc>
        <w:tc>
          <w:tcPr>
            <w:tcW w:w="1400" w:type="dxa"/>
            <w:vAlign w:val="bottom"/>
            <w:gridSpan w:val="2"/>
          </w:tcPr>
          <w:p>
            <w:pPr>
              <w:jc w:val="right"/>
              <w:ind w:right="280"/>
              <w:spacing w:after="0"/>
              <w:rPr>
                <w:sz w:val="20"/>
                <w:szCs w:val="20"/>
                <w:color w:val="auto"/>
              </w:rPr>
            </w:pPr>
            <w:r>
              <w:rPr>
                <w:rFonts w:ascii="Arial" w:cs="Arial" w:eastAsia="Arial" w:hAnsi="Arial"/>
                <w:sz w:val="18"/>
                <w:szCs w:val="18"/>
                <w:color w:val="auto"/>
              </w:rPr>
              <w:t>(19,420,743)</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(22,221,985)</w:t>
            </w:r>
          </w:p>
        </w:tc>
      </w:tr>
      <w:tr>
        <w:trPr>
          <w:trHeight w:val="216"/>
        </w:trPr>
        <w:tc>
          <w:tcPr>
            <w:tcW w:w="498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Loss per share (Basic and Diluted)</w:t>
            </w:r>
          </w:p>
        </w:tc>
        <w:tc>
          <w:tcPr>
            <w:tcW w:w="220" w:type="dxa"/>
            <w:vAlign w:val="bottom"/>
            <w:shd w:val="clear" w:color="auto" w:fill="CFF0FC"/>
          </w:tcPr>
          <w:p>
            <w:pPr>
              <w:jc w:val="right"/>
              <w:ind w:right="65"/>
              <w:spacing w:after="0"/>
              <w:rPr>
                <w:sz w:val="20"/>
                <w:szCs w:val="20"/>
                <w:color w:val="auto"/>
              </w:rPr>
            </w:pPr>
            <w:r>
              <w:rPr>
                <w:rFonts w:ascii="Arial" w:cs="Arial" w:eastAsia="Arial" w:hAnsi="Arial"/>
                <w:sz w:val="15"/>
                <w:szCs w:val="15"/>
                <w:color w:val="auto"/>
                <w:w w:val="71"/>
              </w:rPr>
              <w:t>$</w:t>
            </w:r>
          </w:p>
        </w:tc>
        <w:tc>
          <w:tcPr>
            <w:tcW w:w="130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(0.32)</w:t>
            </w:r>
          </w:p>
        </w:tc>
        <w:tc>
          <w:tcPr>
            <w:tcW w:w="360" w:type="dxa"/>
            <w:vAlign w:val="bottom"/>
            <w:gridSpan w:val="2"/>
            <w:shd w:val="clear" w:color="auto" w:fill="CFF0FC"/>
          </w:tcPr>
          <w:p>
            <w:pPr>
              <w:jc w:val="right"/>
              <w:ind w:right="45"/>
              <w:spacing w:after="0"/>
              <w:rPr>
                <w:sz w:val="20"/>
                <w:szCs w:val="20"/>
                <w:color w:val="auto"/>
              </w:rPr>
            </w:pPr>
            <w:r>
              <w:rPr>
                <w:rFonts w:ascii="Arial" w:cs="Arial" w:eastAsia="Arial" w:hAnsi="Arial"/>
                <w:sz w:val="18"/>
                <w:szCs w:val="18"/>
                <w:color w:val="auto"/>
              </w:rPr>
              <w:t>$</w:t>
            </w:r>
          </w:p>
        </w:tc>
        <w:tc>
          <w:tcPr>
            <w:tcW w:w="128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(0.35)</w:t>
            </w:r>
          </w:p>
        </w:tc>
        <w:tc>
          <w:tcPr>
            <w:tcW w:w="420" w:type="dxa"/>
            <w:vAlign w:val="bottom"/>
            <w:gridSpan w:val="2"/>
            <w:shd w:val="clear" w:color="auto" w:fill="CFF0FC"/>
          </w:tcPr>
          <w:p>
            <w:pPr>
              <w:jc w:val="right"/>
              <w:ind w:right="50"/>
              <w:spacing w:after="0"/>
              <w:rPr>
                <w:sz w:val="20"/>
                <w:szCs w:val="20"/>
                <w:color w:val="auto"/>
              </w:rPr>
            </w:pPr>
            <w:r>
              <w:rPr>
                <w:rFonts w:ascii="Arial" w:cs="Arial" w:eastAsia="Arial" w:hAnsi="Arial"/>
                <w:sz w:val="18"/>
                <w:szCs w:val="18"/>
                <w:color w:val="auto"/>
              </w:rPr>
              <w:t>$</w:t>
            </w:r>
          </w:p>
        </w:tc>
        <w:tc>
          <w:tcPr>
            <w:tcW w:w="1400" w:type="dxa"/>
            <w:vAlign w:val="bottom"/>
            <w:gridSpan w:val="2"/>
            <w:shd w:val="clear" w:color="auto" w:fill="CFF0FC"/>
          </w:tcPr>
          <w:p>
            <w:pPr>
              <w:jc w:val="right"/>
              <w:ind w:right="280"/>
              <w:spacing w:after="0"/>
              <w:rPr>
                <w:sz w:val="20"/>
                <w:szCs w:val="20"/>
                <w:color w:val="auto"/>
              </w:rPr>
            </w:pPr>
            <w:r>
              <w:rPr>
                <w:rFonts w:ascii="Arial" w:cs="Arial" w:eastAsia="Arial" w:hAnsi="Arial"/>
                <w:sz w:val="18"/>
                <w:szCs w:val="18"/>
                <w:color w:val="auto"/>
              </w:rPr>
              <w:t>(0.32)</w:t>
            </w:r>
          </w:p>
        </w:tc>
        <w:tc>
          <w:tcPr>
            <w:tcW w:w="2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124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(0.34)</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F-23</w:t>
      </w:r>
    </w:p>
    <w:p>
      <w:pPr>
        <w:sectPr>
          <w:pgSz w:w="11900" w:h="16838" w:orient="portrait"/>
          <w:cols w:equalWidth="0" w:num="1">
            <w:col w:w="11420"/>
          </w:cols>
          <w:pgMar w:left="240" w:top="121" w:right="239" w:bottom="1440" w:gutter="0" w:footer="0" w:header="0"/>
        </w:sectPr>
      </w:pPr>
    </w:p>
    <w:bookmarkStart w:id="83" w:name="page84"/>
    <w:bookmarkEnd w:id="83"/>
    <w:p>
      <w:pPr>
        <w:jc w:val="right"/>
        <w:spacing w:after="0"/>
        <w:rPr>
          <w:sz w:val="20"/>
          <w:szCs w:val="20"/>
          <w:color w:val="auto"/>
        </w:rPr>
      </w:pPr>
      <w:r>
        <w:rPr>
          <w:rFonts w:ascii="Arial" w:cs="Arial" w:eastAsia="Arial" w:hAnsi="Arial"/>
          <w:sz w:val="18"/>
          <w:szCs w:val="18"/>
          <w:b w:val="1"/>
          <w:bCs w:val="1"/>
          <w:color w:val="auto"/>
        </w:rPr>
        <w:t>Exhibit 21.1</w:t>
      </w:r>
    </w:p>
    <w:p>
      <w:pPr>
        <w:spacing w:after="0" w:line="251" w:lineRule="exact"/>
        <w:rPr>
          <w:sz w:val="20"/>
          <w:szCs w:val="20"/>
          <w:color w:val="auto"/>
        </w:rPr>
      </w:pPr>
    </w:p>
    <w:tbl>
      <w:tblPr>
        <w:tblLayout w:type="fixed"/>
        <w:tblInd w:w="10" w:type="dxa"/>
        <w:tblCellMar>
          <w:top w:w="0" w:type="dxa"/>
          <w:left w:w="0" w:type="dxa"/>
          <w:bottom w:w="0" w:type="dxa"/>
          <w:right w:w="0" w:type="dxa"/>
        </w:tblCellMar>
      </w:tblPr>
      <w:tr>
        <w:trPr>
          <w:trHeight w:val="230"/>
        </w:trPr>
        <w:tc>
          <w:tcPr>
            <w:tcW w:w="5720" w:type="dxa"/>
            <w:vAlign w:val="bottom"/>
            <w:tcBorders>
              <w:top w:val="single" w:sz="8" w:color="auto"/>
              <w:left w:val="single" w:sz="8" w:color="auto"/>
              <w:bottom w:val="single" w:sz="8" w:color="auto"/>
              <w:right w:val="single" w:sz="8" w:color="auto"/>
            </w:tcBorders>
          </w:tcPr>
          <w:p>
            <w:pPr>
              <w:ind w:left="160"/>
              <w:spacing w:after="0"/>
              <w:rPr>
                <w:sz w:val="20"/>
                <w:szCs w:val="20"/>
                <w:color w:val="auto"/>
              </w:rPr>
            </w:pPr>
            <w:r>
              <w:rPr>
                <w:rFonts w:ascii="Arial" w:cs="Arial" w:eastAsia="Arial" w:hAnsi="Arial"/>
                <w:sz w:val="18"/>
                <w:szCs w:val="18"/>
                <w:b w:val="1"/>
                <w:bCs w:val="1"/>
                <w:color w:val="auto"/>
              </w:rPr>
              <w:t>Subsidiary</w:t>
            </w:r>
          </w:p>
        </w:tc>
        <w:tc>
          <w:tcPr>
            <w:tcW w:w="5700" w:type="dxa"/>
            <w:vAlign w:val="bottom"/>
            <w:tcBorders>
              <w:top w:val="single" w:sz="8" w:color="auto"/>
              <w:bottom w:val="single" w:sz="8" w:color="auto"/>
              <w:right w:val="single" w:sz="8" w:color="auto"/>
            </w:tcBorders>
          </w:tcPr>
          <w:p>
            <w:pPr>
              <w:ind w:left="140"/>
              <w:spacing w:after="0"/>
              <w:rPr>
                <w:sz w:val="20"/>
                <w:szCs w:val="20"/>
                <w:color w:val="auto"/>
              </w:rPr>
            </w:pPr>
            <w:r>
              <w:rPr>
                <w:rFonts w:ascii="Arial" w:cs="Arial" w:eastAsia="Arial" w:hAnsi="Arial"/>
                <w:sz w:val="18"/>
                <w:szCs w:val="18"/>
                <w:b w:val="1"/>
                <w:bCs w:val="1"/>
                <w:color w:val="auto"/>
              </w:rPr>
              <w:t>Jurisdiction</w:t>
            </w:r>
          </w:p>
        </w:tc>
      </w:tr>
      <w:tr>
        <w:trPr>
          <w:trHeight w:val="210"/>
        </w:trPr>
        <w:tc>
          <w:tcPr>
            <w:tcW w:w="5720" w:type="dxa"/>
            <w:vAlign w:val="bottom"/>
            <w:tcBorders>
              <w:left w:val="single" w:sz="8" w:color="auto"/>
              <w:bottom w:val="single" w:sz="8" w:color="auto"/>
              <w:right w:val="single" w:sz="8" w:color="auto"/>
            </w:tcBorders>
          </w:tcPr>
          <w:p>
            <w:pPr>
              <w:ind w:left="160"/>
              <w:spacing w:after="0"/>
              <w:rPr>
                <w:sz w:val="20"/>
                <w:szCs w:val="20"/>
                <w:color w:val="auto"/>
              </w:rPr>
            </w:pPr>
            <w:r>
              <w:rPr>
                <w:rFonts w:ascii="Arial" w:cs="Arial" w:eastAsia="Arial" w:hAnsi="Arial"/>
                <w:sz w:val="18"/>
                <w:szCs w:val="18"/>
                <w:color w:val="auto"/>
              </w:rPr>
              <w:t>Ablaris Therapeutics, Inc.</w:t>
            </w:r>
          </w:p>
        </w:tc>
        <w:tc>
          <w:tcPr>
            <w:tcW w:w="5700" w:type="dxa"/>
            <w:vAlign w:val="bottom"/>
            <w:tcBorders>
              <w:bottom w:val="single" w:sz="8" w:color="auto"/>
              <w:right w:val="single" w:sz="8" w:color="auto"/>
            </w:tcBorders>
          </w:tcPr>
          <w:p>
            <w:pPr>
              <w:ind w:left="140"/>
              <w:spacing w:after="0"/>
              <w:rPr>
                <w:sz w:val="20"/>
                <w:szCs w:val="20"/>
                <w:color w:val="auto"/>
              </w:rPr>
            </w:pPr>
            <w:r>
              <w:rPr>
                <w:rFonts w:ascii="Arial" w:cs="Arial" w:eastAsia="Arial" w:hAnsi="Arial"/>
                <w:sz w:val="18"/>
                <w:szCs w:val="18"/>
                <w:color w:val="auto"/>
              </w:rPr>
              <w:t>Delaware</w:t>
            </w:r>
          </w:p>
        </w:tc>
      </w:tr>
      <w:tr>
        <w:trPr>
          <w:trHeight w:val="210"/>
        </w:trPr>
        <w:tc>
          <w:tcPr>
            <w:tcW w:w="5720" w:type="dxa"/>
            <w:vAlign w:val="bottom"/>
            <w:tcBorders>
              <w:left w:val="single" w:sz="8" w:color="auto"/>
              <w:bottom w:val="single" w:sz="8" w:color="auto"/>
              <w:right w:val="single" w:sz="8" w:color="auto"/>
            </w:tcBorders>
          </w:tcPr>
          <w:p>
            <w:pPr>
              <w:ind w:left="160"/>
              <w:spacing w:after="0"/>
              <w:rPr>
                <w:sz w:val="20"/>
                <w:szCs w:val="20"/>
                <w:color w:val="auto"/>
              </w:rPr>
            </w:pPr>
            <w:r>
              <w:rPr>
                <w:rFonts w:ascii="Arial" w:cs="Arial" w:eastAsia="Arial" w:hAnsi="Arial"/>
                <w:sz w:val="18"/>
                <w:szCs w:val="18"/>
                <w:color w:val="auto"/>
              </w:rPr>
              <w:t>Arrowhead Madison Inc.</w:t>
            </w:r>
          </w:p>
        </w:tc>
        <w:tc>
          <w:tcPr>
            <w:tcW w:w="5700" w:type="dxa"/>
            <w:vAlign w:val="bottom"/>
            <w:tcBorders>
              <w:bottom w:val="single" w:sz="8" w:color="auto"/>
              <w:right w:val="single" w:sz="8" w:color="auto"/>
            </w:tcBorders>
          </w:tcPr>
          <w:p>
            <w:pPr>
              <w:ind w:left="140"/>
              <w:spacing w:after="0"/>
              <w:rPr>
                <w:sz w:val="20"/>
                <w:szCs w:val="20"/>
                <w:color w:val="auto"/>
              </w:rPr>
            </w:pPr>
            <w:r>
              <w:rPr>
                <w:rFonts w:ascii="Arial" w:cs="Arial" w:eastAsia="Arial" w:hAnsi="Arial"/>
                <w:sz w:val="18"/>
                <w:szCs w:val="18"/>
                <w:color w:val="auto"/>
              </w:rPr>
              <w:t>Delaware</w:t>
            </w:r>
          </w:p>
        </w:tc>
      </w:tr>
      <w:tr>
        <w:trPr>
          <w:trHeight w:val="210"/>
        </w:trPr>
        <w:tc>
          <w:tcPr>
            <w:tcW w:w="5720" w:type="dxa"/>
            <w:vAlign w:val="bottom"/>
            <w:tcBorders>
              <w:left w:val="single" w:sz="8" w:color="auto"/>
              <w:bottom w:val="single" w:sz="8" w:color="auto"/>
              <w:right w:val="single" w:sz="8" w:color="auto"/>
            </w:tcBorders>
          </w:tcPr>
          <w:p>
            <w:pPr>
              <w:ind w:left="160"/>
              <w:spacing w:after="0"/>
              <w:rPr>
                <w:sz w:val="20"/>
                <w:szCs w:val="20"/>
                <w:color w:val="auto"/>
              </w:rPr>
            </w:pPr>
            <w:r>
              <w:rPr>
                <w:rFonts w:ascii="Arial" w:cs="Arial" w:eastAsia="Arial" w:hAnsi="Arial"/>
                <w:sz w:val="18"/>
                <w:szCs w:val="18"/>
                <w:color w:val="auto"/>
              </w:rPr>
              <w:t>Arrowhead Australia Pty Ltd</w:t>
            </w:r>
          </w:p>
        </w:tc>
        <w:tc>
          <w:tcPr>
            <w:tcW w:w="5700" w:type="dxa"/>
            <w:vAlign w:val="bottom"/>
            <w:tcBorders>
              <w:bottom w:val="single" w:sz="8" w:color="auto"/>
              <w:right w:val="single" w:sz="8" w:color="auto"/>
            </w:tcBorders>
          </w:tcPr>
          <w:p>
            <w:pPr>
              <w:ind w:left="140"/>
              <w:spacing w:after="0"/>
              <w:rPr>
                <w:sz w:val="20"/>
                <w:szCs w:val="20"/>
                <w:color w:val="auto"/>
              </w:rPr>
            </w:pPr>
            <w:r>
              <w:rPr>
                <w:rFonts w:ascii="Arial" w:cs="Arial" w:eastAsia="Arial" w:hAnsi="Arial"/>
                <w:sz w:val="18"/>
                <w:szCs w:val="18"/>
                <w:color w:val="auto"/>
              </w:rPr>
              <w:t>Australia</w:t>
            </w:r>
          </w:p>
        </w:tc>
      </w:tr>
    </w:tbl>
    <w:p>
      <w:pPr>
        <w:sectPr>
          <w:pgSz w:w="11900" w:h="16838" w:orient="portrait"/>
          <w:cols w:equalWidth="0" w:num="1">
            <w:col w:w="11420"/>
          </w:cols>
          <w:pgMar w:left="240" w:top="121" w:right="239" w:bottom="1440" w:gutter="0" w:footer="0" w:header="0"/>
        </w:sectPr>
      </w:pPr>
    </w:p>
    <w:bookmarkStart w:id="84" w:name="page85"/>
    <w:bookmarkEnd w:id="84"/>
    <w:p>
      <w:pPr>
        <w:jc w:val="right"/>
        <w:spacing w:after="0"/>
        <w:rPr>
          <w:sz w:val="20"/>
          <w:szCs w:val="20"/>
          <w:color w:val="auto"/>
        </w:rPr>
      </w:pPr>
      <w:r>
        <w:rPr>
          <w:rFonts w:ascii="Arial" w:cs="Arial" w:eastAsia="Arial" w:hAnsi="Arial"/>
          <w:sz w:val="18"/>
          <w:szCs w:val="18"/>
          <w:b w:val="1"/>
          <w:bCs w:val="1"/>
          <w:color w:val="auto"/>
        </w:rPr>
        <w:t>Exhibit 23.1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229" w:lineRule="exact"/>
        <w:rPr>
          <w:sz w:val="20"/>
          <w:szCs w:val="20"/>
          <w:color w:val="auto"/>
        </w:rPr>
      </w:pPr>
    </w:p>
    <w:p>
      <w:pPr>
        <w:ind w:right="120"/>
        <w:spacing w:after="0" w:line="271" w:lineRule="auto"/>
        <w:rPr>
          <w:sz w:val="20"/>
          <w:szCs w:val="20"/>
          <w:color w:val="auto"/>
        </w:rPr>
      </w:pPr>
      <w:r>
        <w:rPr>
          <w:rFonts w:ascii="Arial" w:cs="Arial" w:eastAsia="Arial" w:hAnsi="Arial"/>
          <w:sz w:val="17"/>
          <w:szCs w:val="17"/>
          <w:color w:val="auto"/>
        </w:rPr>
        <w:t>We hereby consent to the incorporation by reference in the Registration Statements on Forms S-3 (Nos. 333-202737, 333-193748, 333-191922, 333-188718, 333-178532, 333-178073, 333-178072, 333-176159, 333-164039, 333-161344, 333-148218, 333-144109, 333-137329, 333-132310, 333-124065, 333-113065, 333-213484, 333-214311, and 333-214315) and Forms S-8 (Nos. 333-202741, 333-198920, 333-194596, 333-190970, 333-180692, 333-170252, 333-136225, 333-124066, 333-120072, and 333-210117) of Arrowhead Pharmaceuticals, Inc. of our report dated December 12, 2017, with respect to the consolidated balance sheets of Arrowhead Pharmaceuticals, Inc. and Subsidiaries as of September 30, 2017 and September 30, 2016, and the related consolidated statements of operations and comprehensive loss, stockholders’ equity and cash flows for each of the years in the three-year period ended September 30, 2017, and the effectiveness of internal control over financial reporting as of September 30, 2017, which reports appear in the September 30, 2017 annual report on Form 10-K of Arrowhead Pharmaceuticals,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color w:val="auto"/>
        </w:rPr>
        <w:t>/s/ Rose, Snyder &amp; Jacobs LLP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Encino, California</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color w:val="auto"/>
        </w:rPr>
        <w:t>December 12, 2017</w:t>
      </w:r>
    </w:p>
    <w:p>
      <w:pPr>
        <w:sectPr>
          <w:pgSz w:w="11900" w:h="16838" w:orient="portrait"/>
          <w:cols w:equalWidth="0" w:num="1">
            <w:col w:w="11420"/>
          </w:cols>
          <w:pgMar w:left="240" w:top="121" w:right="239" w:bottom="1440" w:gutter="0" w:footer="0" w:header="0"/>
        </w:sectPr>
      </w:pPr>
    </w:p>
    <w:bookmarkStart w:id="85" w:name="page86"/>
    <w:bookmarkEnd w:id="85"/>
    <w:p>
      <w:pPr>
        <w:jc w:val="right"/>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CHIEF EXECUTIVE OFFICER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RULE 13a-14(a) OR RULE 15d-14(a)</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 THE SECURITIES EXCHANGE ACT OF 1934</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Christopher Anzalone, Chief Executive Officer of Arrowhead Pharmaceuticals, Inc., certify that:</w:t>
      </w:r>
    </w:p>
    <w:p>
      <w:pPr>
        <w:spacing w:after="0" w:line="117" w:lineRule="exact"/>
        <w:rPr>
          <w:sz w:val="20"/>
          <w:szCs w:val="20"/>
          <w:color w:val="auto"/>
        </w:rPr>
      </w:pPr>
    </w:p>
    <w:p>
      <w:pPr>
        <w:ind w:left="700" w:hanging="174"/>
        <w:spacing w:after="0"/>
        <w:tabs>
          <w:tab w:leader="none" w:pos="7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Arrowhead Pharmaceuticals, Inc.;</w:t>
      </w:r>
    </w:p>
    <w:p>
      <w:pPr>
        <w:spacing w:after="0" w:line="117" w:lineRule="exact"/>
        <w:rPr>
          <w:rFonts w:ascii="Arial" w:cs="Arial" w:eastAsia="Arial" w:hAnsi="Arial"/>
          <w:sz w:val="18"/>
          <w:szCs w:val="18"/>
          <w:color w:val="auto"/>
        </w:rPr>
      </w:pPr>
    </w:p>
    <w:p>
      <w:pPr>
        <w:ind w:right="240" w:firstLine="526"/>
        <w:spacing w:after="0" w:line="342" w:lineRule="auto"/>
        <w:tabs>
          <w:tab w:leader="none" w:pos="698" w:val="left"/>
        </w:tabs>
        <w:numPr>
          <w:ilvl w:val="0"/>
          <w:numId w:val="37"/>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5" w:lineRule="exact"/>
        <w:rPr>
          <w:rFonts w:ascii="Arial" w:cs="Arial" w:eastAsia="Arial" w:hAnsi="Arial"/>
          <w:sz w:val="16"/>
          <w:szCs w:val="16"/>
          <w:color w:val="auto"/>
        </w:rPr>
      </w:pPr>
    </w:p>
    <w:p>
      <w:pPr>
        <w:ind w:right="200" w:firstLine="526"/>
        <w:spacing w:after="0" w:line="277" w:lineRule="auto"/>
        <w:tabs>
          <w:tab w:leader="none" w:pos="698" w:val="left"/>
        </w:tabs>
        <w:numPr>
          <w:ilvl w:val="0"/>
          <w:numId w:val="37"/>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62" w:lineRule="exact"/>
        <w:rPr>
          <w:rFonts w:ascii="Arial" w:cs="Arial" w:eastAsia="Arial" w:hAnsi="Arial"/>
          <w:sz w:val="18"/>
          <w:szCs w:val="18"/>
          <w:color w:val="auto"/>
        </w:rPr>
      </w:pPr>
    </w:p>
    <w:p>
      <w:pPr>
        <w:jc w:val="both"/>
        <w:ind w:right="240" w:firstLine="526"/>
        <w:spacing w:after="0" w:line="264" w:lineRule="auto"/>
        <w:tabs>
          <w:tab w:leader="none" w:pos="698"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3" w:lineRule="exact"/>
        <w:rPr>
          <w:rFonts w:ascii="Arial" w:cs="Arial" w:eastAsia="Arial" w:hAnsi="Arial"/>
          <w:sz w:val="18"/>
          <w:szCs w:val="18"/>
          <w:color w:val="auto"/>
        </w:rPr>
      </w:pPr>
    </w:p>
    <w:p>
      <w:pPr>
        <w:ind w:left="520" w:right="120" w:firstLine="501"/>
        <w:spacing w:after="0" w:line="264" w:lineRule="auto"/>
        <w:tabs>
          <w:tab w:leader="none" w:pos="1259" w:val="left"/>
        </w:tabs>
        <w:numPr>
          <w:ilvl w:val="1"/>
          <w:numId w:val="37"/>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3" w:lineRule="exact"/>
        <w:rPr>
          <w:rFonts w:ascii="Arial" w:cs="Arial" w:eastAsia="Arial" w:hAnsi="Arial"/>
          <w:sz w:val="18"/>
          <w:szCs w:val="18"/>
          <w:color w:val="auto"/>
        </w:rPr>
      </w:pPr>
    </w:p>
    <w:p>
      <w:pPr>
        <w:jc w:val="both"/>
        <w:ind w:left="520" w:right="320" w:firstLine="501"/>
        <w:spacing w:after="0" w:line="264" w:lineRule="auto"/>
        <w:tabs>
          <w:tab w:leader="none" w:pos="1269" w:val="left"/>
        </w:tabs>
        <w:numPr>
          <w:ilvl w:val="1"/>
          <w:numId w:val="37"/>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3" w:lineRule="exact"/>
        <w:rPr>
          <w:rFonts w:ascii="Arial" w:cs="Arial" w:eastAsia="Arial" w:hAnsi="Arial"/>
          <w:sz w:val="18"/>
          <w:szCs w:val="18"/>
          <w:color w:val="auto"/>
        </w:rPr>
      </w:pPr>
    </w:p>
    <w:p>
      <w:pPr>
        <w:ind w:left="520" w:right="460" w:firstLine="501"/>
        <w:spacing w:after="0" w:line="342" w:lineRule="auto"/>
        <w:tabs>
          <w:tab w:leader="none" w:pos="1259" w:val="left"/>
        </w:tabs>
        <w:numPr>
          <w:ilvl w:val="1"/>
          <w:numId w:val="37"/>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 w:lineRule="exact"/>
        <w:rPr>
          <w:rFonts w:ascii="Arial" w:cs="Arial" w:eastAsia="Arial" w:hAnsi="Arial"/>
          <w:sz w:val="16"/>
          <w:szCs w:val="16"/>
          <w:color w:val="auto"/>
        </w:rPr>
      </w:pPr>
    </w:p>
    <w:p>
      <w:pPr>
        <w:ind w:left="520" w:right="420" w:firstLine="501"/>
        <w:spacing w:after="0" w:line="264" w:lineRule="auto"/>
        <w:tabs>
          <w:tab w:leader="none" w:pos="1269" w:val="left"/>
        </w:tabs>
        <w:numPr>
          <w:ilvl w:val="1"/>
          <w:numId w:val="37"/>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73" w:lineRule="exact"/>
        <w:rPr>
          <w:rFonts w:ascii="Arial" w:cs="Arial" w:eastAsia="Arial" w:hAnsi="Arial"/>
          <w:sz w:val="18"/>
          <w:szCs w:val="18"/>
          <w:color w:val="auto"/>
        </w:rPr>
      </w:pPr>
    </w:p>
    <w:p>
      <w:pPr>
        <w:ind w:right="200" w:firstLine="526"/>
        <w:spacing w:after="0" w:line="308" w:lineRule="auto"/>
        <w:tabs>
          <w:tab w:leader="none" w:pos="698" w:val="left"/>
        </w:tabs>
        <w:numPr>
          <w:ilvl w:val="0"/>
          <w:numId w:val="37"/>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38" w:lineRule="exact"/>
        <w:rPr>
          <w:rFonts w:ascii="Arial" w:cs="Arial" w:eastAsia="Arial" w:hAnsi="Arial"/>
          <w:sz w:val="17"/>
          <w:szCs w:val="17"/>
          <w:color w:val="auto"/>
        </w:rPr>
      </w:pPr>
    </w:p>
    <w:p>
      <w:pPr>
        <w:ind w:left="520" w:right="680" w:firstLine="501"/>
        <w:spacing w:after="0" w:line="308" w:lineRule="auto"/>
        <w:tabs>
          <w:tab w:leader="none" w:pos="1249" w:val="left"/>
        </w:tabs>
        <w:numPr>
          <w:ilvl w:val="1"/>
          <w:numId w:val="37"/>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38" w:lineRule="exact"/>
        <w:rPr>
          <w:rFonts w:ascii="Arial" w:cs="Arial" w:eastAsia="Arial" w:hAnsi="Arial"/>
          <w:sz w:val="17"/>
          <w:szCs w:val="17"/>
          <w:color w:val="auto"/>
        </w:rPr>
      </w:pPr>
    </w:p>
    <w:p>
      <w:pPr>
        <w:ind w:left="520" w:right="360" w:firstLine="501"/>
        <w:spacing w:after="0" w:line="277" w:lineRule="auto"/>
        <w:tabs>
          <w:tab w:leader="none" w:pos="1259" w:val="left"/>
        </w:tabs>
        <w:numPr>
          <w:ilvl w:val="1"/>
          <w:numId w:val="37"/>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Date: December 12, 2017</w:t>
      </w:r>
    </w:p>
    <w:p>
      <w:pPr>
        <w:spacing w:after="0" w:line="239" w:lineRule="exact"/>
        <w:rPr>
          <w:sz w:val="20"/>
          <w:szCs w:val="20"/>
          <w:color w:val="auto"/>
        </w:rPr>
      </w:pPr>
    </w:p>
    <w:p>
      <w:pPr>
        <w:ind w:left="8220"/>
        <w:spacing w:after="0"/>
        <w:rPr>
          <w:sz w:val="20"/>
          <w:szCs w:val="20"/>
          <w:color w:val="auto"/>
        </w:rPr>
      </w:pPr>
      <w:r>
        <w:rPr>
          <w:rFonts w:ascii="Arial" w:cs="Arial" w:eastAsia="Arial" w:hAnsi="Arial"/>
          <w:sz w:val="18"/>
          <w:szCs w:val="18"/>
          <w:color w:val="auto"/>
        </w:rPr>
        <w:t>/s/ Christopher Anzalone</w:t>
      </w:r>
    </w:p>
    <w:p>
      <w:pPr>
        <w:spacing w:after="0" w:line="23" w:lineRule="exact"/>
        <w:rPr>
          <w:sz w:val="20"/>
          <w:szCs w:val="20"/>
          <w:color w:val="auto"/>
        </w:rPr>
      </w:pPr>
    </w:p>
    <w:p>
      <w:pPr>
        <w:ind w:left="8280"/>
        <w:spacing w:after="0"/>
        <w:rPr>
          <w:sz w:val="20"/>
          <w:szCs w:val="20"/>
          <w:color w:val="auto"/>
        </w:rPr>
      </w:pPr>
      <w:r>
        <w:rPr>
          <w:rFonts w:ascii="Arial" w:cs="Arial" w:eastAsia="Arial" w:hAnsi="Arial"/>
          <w:sz w:val="18"/>
          <w:szCs w:val="18"/>
          <w:b w:val="1"/>
          <w:bCs w:val="1"/>
          <w:color w:val="auto"/>
        </w:rPr>
        <w:t>Christopher Anzalone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-130810</wp:posOffset>
            </wp:positionV>
            <wp:extent cx="2898775" cy="889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45">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3" w:lineRule="exact"/>
        <w:rPr>
          <w:sz w:val="20"/>
          <w:szCs w:val="20"/>
          <w:color w:val="auto"/>
        </w:rPr>
      </w:pPr>
    </w:p>
    <w:p>
      <w:pPr>
        <w:ind w:left="8240"/>
        <w:spacing w:after="0"/>
        <w:rPr>
          <w:sz w:val="20"/>
          <w:szCs w:val="20"/>
          <w:color w:val="auto"/>
        </w:rPr>
      </w:pPr>
      <w:r>
        <w:rPr>
          <w:rFonts w:ascii="Arial" w:cs="Arial" w:eastAsia="Arial" w:hAnsi="Arial"/>
          <w:sz w:val="18"/>
          <w:szCs w:val="18"/>
          <w:b w:val="1"/>
          <w:bCs w:val="1"/>
          <w:color w:val="auto"/>
        </w:rPr>
        <w:t>Chief Executive Officer</w:t>
      </w:r>
    </w:p>
    <w:p>
      <w:pPr>
        <w:sectPr>
          <w:pgSz w:w="11900" w:h="16838" w:orient="portrait"/>
          <w:cols w:equalWidth="0" w:num="1">
            <w:col w:w="11420"/>
          </w:cols>
          <w:pgMar w:left="240" w:top="121" w:right="239" w:bottom="1440" w:gutter="0" w:footer="0" w:header="0"/>
        </w:sectPr>
      </w:pPr>
    </w:p>
    <w:bookmarkStart w:id="86" w:name="page87"/>
    <w:bookmarkEnd w:id="86"/>
    <w:p>
      <w:pPr>
        <w:jc w:val="right"/>
        <w:spacing w:after="0"/>
        <w:rPr>
          <w:sz w:val="20"/>
          <w:szCs w:val="20"/>
          <w:color w:val="auto"/>
        </w:rPr>
      </w:pPr>
      <w:r>
        <w:rPr>
          <w:rFonts w:ascii="Arial" w:cs="Arial" w:eastAsia="Arial" w:hAnsi="Arial"/>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CHIEF FINANCIAL OFFICER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RULE 13a-14(a) OR RULE 15d-14(a)</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 THE SECURITIES EXCHANGE ACT OF 1934</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Kenneth A. Myszkowski, Chief Financial Officer of Arrowhead Pharmaceuticals, Inc., certify that:</w:t>
      </w:r>
    </w:p>
    <w:p>
      <w:pPr>
        <w:spacing w:after="0" w:line="117" w:lineRule="exact"/>
        <w:rPr>
          <w:sz w:val="20"/>
          <w:szCs w:val="20"/>
          <w:color w:val="auto"/>
        </w:rPr>
      </w:pPr>
    </w:p>
    <w:p>
      <w:pPr>
        <w:ind w:left="700" w:hanging="174"/>
        <w:spacing w:after="0"/>
        <w:tabs>
          <w:tab w:leader="none" w:pos="7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Arrowhead Pharmaceuticals, Inc.;</w:t>
      </w:r>
    </w:p>
    <w:p>
      <w:pPr>
        <w:spacing w:after="0" w:line="117" w:lineRule="exact"/>
        <w:rPr>
          <w:rFonts w:ascii="Arial" w:cs="Arial" w:eastAsia="Arial" w:hAnsi="Arial"/>
          <w:sz w:val="18"/>
          <w:szCs w:val="18"/>
          <w:color w:val="auto"/>
        </w:rPr>
      </w:pPr>
    </w:p>
    <w:p>
      <w:pPr>
        <w:ind w:right="240" w:firstLine="526"/>
        <w:spacing w:after="0" w:line="342" w:lineRule="auto"/>
        <w:tabs>
          <w:tab w:leader="none" w:pos="698" w:val="left"/>
        </w:tabs>
        <w:numPr>
          <w:ilvl w:val="0"/>
          <w:numId w:val="38"/>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5" w:lineRule="exact"/>
        <w:rPr>
          <w:rFonts w:ascii="Arial" w:cs="Arial" w:eastAsia="Arial" w:hAnsi="Arial"/>
          <w:sz w:val="16"/>
          <w:szCs w:val="16"/>
          <w:color w:val="auto"/>
        </w:rPr>
      </w:pPr>
    </w:p>
    <w:p>
      <w:pPr>
        <w:ind w:right="200" w:firstLine="526"/>
        <w:spacing w:after="0" w:line="277" w:lineRule="auto"/>
        <w:tabs>
          <w:tab w:leader="none" w:pos="698" w:val="left"/>
        </w:tabs>
        <w:numPr>
          <w:ilvl w:val="0"/>
          <w:numId w:val="38"/>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62" w:lineRule="exact"/>
        <w:rPr>
          <w:rFonts w:ascii="Arial" w:cs="Arial" w:eastAsia="Arial" w:hAnsi="Arial"/>
          <w:sz w:val="18"/>
          <w:szCs w:val="18"/>
          <w:color w:val="auto"/>
        </w:rPr>
      </w:pPr>
    </w:p>
    <w:p>
      <w:pPr>
        <w:jc w:val="both"/>
        <w:ind w:right="240" w:firstLine="526"/>
        <w:spacing w:after="0" w:line="264" w:lineRule="auto"/>
        <w:tabs>
          <w:tab w:leader="none" w:pos="698"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3" w:lineRule="exact"/>
        <w:rPr>
          <w:rFonts w:ascii="Arial" w:cs="Arial" w:eastAsia="Arial" w:hAnsi="Arial"/>
          <w:sz w:val="18"/>
          <w:szCs w:val="18"/>
          <w:color w:val="auto"/>
        </w:rPr>
      </w:pPr>
    </w:p>
    <w:p>
      <w:pPr>
        <w:ind w:left="520" w:right="120" w:firstLine="501"/>
        <w:spacing w:after="0" w:line="264" w:lineRule="auto"/>
        <w:tabs>
          <w:tab w:leader="none" w:pos="1259" w:val="left"/>
        </w:tabs>
        <w:numPr>
          <w:ilvl w:val="1"/>
          <w:numId w:val="38"/>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3" w:lineRule="exact"/>
        <w:rPr>
          <w:rFonts w:ascii="Arial" w:cs="Arial" w:eastAsia="Arial" w:hAnsi="Arial"/>
          <w:sz w:val="18"/>
          <w:szCs w:val="18"/>
          <w:color w:val="auto"/>
        </w:rPr>
      </w:pPr>
    </w:p>
    <w:p>
      <w:pPr>
        <w:jc w:val="both"/>
        <w:ind w:left="520" w:right="320" w:firstLine="501"/>
        <w:spacing w:after="0" w:line="264" w:lineRule="auto"/>
        <w:tabs>
          <w:tab w:leader="none" w:pos="1269" w:val="left"/>
        </w:tabs>
        <w:numPr>
          <w:ilvl w:val="1"/>
          <w:numId w:val="38"/>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3" w:lineRule="exact"/>
        <w:rPr>
          <w:rFonts w:ascii="Arial" w:cs="Arial" w:eastAsia="Arial" w:hAnsi="Arial"/>
          <w:sz w:val="18"/>
          <w:szCs w:val="18"/>
          <w:color w:val="auto"/>
        </w:rPr>
      </w:pPr>
    </w:p>
    <w:p>
      <w:pPr>
        <w:ind w:left="520" w:right="460" w:firstLine="501"/>
        <w:spacing w:after="0" w:line="342" w:lineRule="auto"/>
        <w:tabs>
          <w:tab w:leader="none" w:pos="1259" w:val="left"/>
        </w:tabs>
        <w:numPr>
          <w:ilvl w:val="1"/>
          <w:numId w:val="38"/>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 w:lineRule="exact"/>
        <w:rPr>
          <w:rFonts w:ascii="Arial" w:cs="Arial" w:eastAsia="Arial" w:hAnsi="Arial"/>
          <w:sz w:val="16"/>
          <w:szCs w:val="16"/>
          <w:color w:val="auto"/>
        </w:rPr>
      </w:pPr>
    </w:p>
    <w:p>
      <w:pPr>
        <w:ind w:left="520" w:right="420" w:firstLine="501"/>
        <w:spacing w:after="0" w:line="264" w:lineRule="auto"/>
        <w:tabs>
          <w:tab w:leader="none" w:pos="1269" w:val="left"/>
        </w:tabs>
        <w:numPr>
          <w:ilvl w:val="1"/>
          <w:numId w:val="38"/>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73" w:lineRule="exact"/>
        <w:rPr>
          <w:rFonts w:ascii="Arial" w:cs="Arial" w:eastAsia="Arial" w:hAnsi="Arial"/>
          <w:sz w:val="18"/>
          <w:szCs w:val="18"/>
          <w:color w:val="auto"/>
        </w:rPr>
      </w:pPr>
    </w:p>
    <w:p>
      <w:pPr>
        <w:ind w:right="200" w:firstLine="526"/>
        <w:spacing w:after="0" w:line="308" w:lineRule="auto"/>
        <w:tabs>
          <w:tab w:leader="none" w:pos="698" w:val="left"/>
        </w:tabs>
        <w:numPr>
          <w:ilvl w:val="0"/>
          <w:numId w:val="38"/>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38" w:lineRule="exact"/>
        <w:rPr>
          <w:rFonts w:ascii="Arial" w:cs="Arial" w:eastAsia="Arial" w:hAnsi="Arial"/>
          <w:sz w:val="17"/>
          <w:szCs w:val="17"/>
          <w:color w:val="auto"/>
        </w:rPr>
      </w:pPr>
    </w:p>
    <w:p>
      <w:pPr>
        <w:ind w:left="520" w:right="680" w:firstLine="501"/>
        <w:spacing w:after="0" w:line="308" w:lineRule="auto"/>
        <w:tabs>
          <w:tab w:leader="none" w:pos="1249" w:val="left"/>
        </w:tabs>
        <w:numPr>
          <w:ilvl w:val="1"/>
          <w:numId w:val="38"/>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38" w:lineRule="exact"/>
        <w:rPr>
          <w:rFonts w:ascii="Arial" w:cs="Arial" w:eastAsia="Arial" w:hAnsi="Arial"/>
          <w:sz w:val="17"/>
          <w:szCs w:val="17"/>
          <w:color w:val="auto"/>
        </w:rPr>
      </w:pPr>
    </w:p>
    <w:p>
      <w:pPr>
        <w:ind w:left="520" w:right="360" w:firstLine="501"/>
        <w:spacing w:after="0" w:line="277" w:lineRule="auto"/>
        <w:tabs>
          <w:tab w:leader="none" w:pos="1259" w:val="left"/>
        </w:tabs>
        <w:numPr>
          <w:ilvl w:val="1"/>
          <w:numId w:val="38"/>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Date: December 12, 2017</w:t>
      </w:r>
    </w:p>
    <w:p>
      <w:pPr>
        <w:spacing w:after="0" w:line="239" w:lineRule="exact"/>
        <w:rPr>
          <w:sz w:val="20"/>
          <w:szCs w:val="20"/>
          <w:color w:val="auto"/>
        </w:rPr>
      </w:pPr>
    </w:p>
    <w:p>
      <w:pPr>
        <w:ind w:left="8140"/>
        <w:spacing w:after="0"/>
        <w:rPr>
          <w:sz w:val="20"/>
          <w:szCs w:val="20"/>
          <w:color w:val="auto"/>
        </w:rPr>
      </w:pPr>
      <w:r>
        <w:rPr>
          <w:rFonts w:ascii="Arial" w:cs="Arial" w:eastAsia="Arial" w:hAnsi="Arial"/>
          <w:sz w:val="18"/>
          <w:szCs w:val="18"/>
          <w:color w:val="auto"/>
        </w:rPr>
        <w:t>/s/ Kenneth A. Myszkowski</w:t>
      </w:r>
    </w:p>
    <w:p>
      <w:pPr>
        <w:spacing w:after="0" w:line="23" w:lineRule="exact"/>
        <w:rPr>
          <w:sz w:val="20"/>
          <w:szCs w:val="20"/>
          <w:color w:val="auto"/>
        </w:rPr>
      </w:pPr>
    </w:p>
    <w:p>
      <w:pPr>
        <w:ind w:left="8180"/>
        <w:spacing w:after="0"/>
        <w:rPr>
          <w:sz w:val="20"/>
          <w:szCs w:val="20"/>
          <w:color w:val="auto"/>
        </w:rPr>
      </w:pPr>
      <w:r>
        <w:rPr>
          <w:rFonts w:ascii="Arial" w:cs="Arial" w:eastAsia="Arial" w:hAnsi="Arial"/>
          <w:sz w:val="18"/>
          <w:szCs w:val="18"/>
          <w:b w:val="1"/>
          <w:bCs w:val="1"/>
          <w:color w:val="auto"/>
        </w:rPr>
        <w:t>Kenneth A. Myszkowski,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-130810</wp:posOffset>
            </wp:positionV>
            <wp:extent cx="2898775" cy="889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46">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3" w:lineRule="exact"/>
        <w:rPr>
          <w:sz w:val="20"/>
          <w:szCs w:val="20"/>
          <w:color w:val="auto"/>
        </w:rPr>
      </w:pPr>
    </w:p>
    <w:p>
      <w:pPr>
        <w:ind w:left="8240"/>
        <w:spacing w:after="0"/>
        <w:rPr>
          <w:sz w:val="20"/>
          <w:szCs w:val="20"/>
          <w:color w:val="auto"/>
        </w:rPr>
      </w:pPr>
      <w:r>
        <w:rPr>
          <w:rFonts w:ascii="Arial" w:cs="Arial" w:eastAsia="Arial" w:hAnsi="Arial"/>
          <w:sz w:val="18"/>
          <w:szCs w:val="18"/>
          <w:b w:val="1"/>
          <w:bCs w:val="1"/>
          <w:color w:val="auto"/>
        </w:rPr>
        <w:t>Chief Financial Officer</w:t>
      </w:r>
    </w:p>
    <w:p>
      <w:pPr>
        <w:sectPr>
          <w:pgSz w:w="11900" w:h="16838" w:orient="portrait"/>
          <w:cols w:equalWidth="0" w:num="1">
            <w:col w:w="11420"/>
          </w:cols>
          <w:pgMar w:left="240" w:top="121" w:right="239" w:bottom="1440" w:gutter="0" w:footer="0" w:header="0"/>
        </w:sectPr>
      </w:pPr>
    </w:p>
    <w:bookmarkStart w:id="87" w:name="page88"/>
    <w:bookmarkEnd w:id="87"/>
    <w:p>
      <w:pPr>
        <w:jc w:val="right"/>
        <w:spacing w:after="0"/>
        <w:rPr>
          <w:sz w:val="20"/>
          <w:szCs w:val="20"/>
          <w:color w:val="auto"/>
        </w:rPr>
      </w:pPr>
      <w:r>
        <w:rPr>
          <w:rFonts w:ascii="Arial" w:cs="Arial" w:eastAsia="Arial" w:hAnsi="Arial"/>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CHIEF EXECUTIVE OFFICER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RULE 13a-14(b) OR RULE 15d-14(b)</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 THE SECURITIES EXCHANGE ACT OF 1934</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AND 18 U.S.C. SECTION 1350</w:t>
      </w:r>
    </w:p>
    <w:p>
      <w:pPr>
        <w:spacing w:after="0" w:line="211" w:lineRule="exact"/>
        <w:rPr>
          <w:sz w:val="20"/>
          <w:szCs w:val="20"/>
          <w:color w:val="auto"/>
        </w:rPr>
      </w:pPr>
    </w:p>
    <w:p>
      <w:pPr>
        <w:jc w:val="both"/>
        <w:ind w:firstLine="518"/>
        <w:spacing w:after="0" w:line="302" w:lineRule="auto"/>
        <w:rPr>
          <w:sz w:val="20"/>
          <w:szCs w:val="20"/>
          <w:color w:val="auto"/>
        </w:rPr>
      </w:pPr>
      <w:r>
        <w:rPr>
          <w:rFonts w:ascii="Arial" w:cs="Arial" w:eastAsia="Arial" w:hAnsi="Arial"/>
          <w:sz w:val="16"/>
          <w:szCs w:val="16"/>
          <w:color w:val="auto"/>
        </w:rPr>
        <w:t>I, Christopher Anzalone, Chief Executive Officer of Arrowhead Pharmaceuticals, Inc. (the “Company”), certify, pursuant to Rule 13(a)-14(b) or Rule 15(d)-14(b) of the Securities Exchange Act of 1934 and 18 U.S.C. Section 1350, that (i) the Annual Report on Form 10-K of the Company for the year ended September 30, 2017, fully complies with the requirements of Section 13(a) or 15(d) of the Securities Exchange Act of 1934, and (ii) the information contained in such Annual Report on Form 10-K fairly presents in all material respects the financial condition and results of operations of the Company.</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Date: December 12, 2017</w:t>
      </w:r>
    </w:p>
    <w:p>
      <w:pPr>
        <w:spacing w:after="0" w:line="239" w:lineRule="exact"/>
        <w:rPr>
          <w:sz w:val="20"/>
          <w:szCs w:val="20"/>
          <w:color w:val="auto"/>
        </w:rPr>
      </w:pPr>
    </w:p>
    <w:p>
      <w:pPr>
        <w:ind w:left="8260"/>
        <w:spacing w:after="0"/>
        <w:rPr>
          <w:sz w:val="20"/>
          <w:szCs w:val="20"/>
          <w:color w:val="auto"/>
        </w:rPr>
      </w:pPr>
      <w:r>
        <w:rPr>
          <w:rFonts w:ascii="Arial" w:cs="Arial" w:eastAsia="Arial" w:hAnsi="Arial"/>
          <w:sz w:val="18"/>
          <w:szCs w:val="18"/>
          <w:color w:val="auto"/>
        </w:rPr>
        <w:t>/s/Christopher Anzalone</w:t>
      </w:r>
    </w:p>
    <w:p>
      <w:pPr>
        <w:spacing w:after="0" w:line="23" w:lineRule="exact"/>
        <w:rPr>
          <w:sz w:val="20"/>
          <w:szCs w:val="20"/>
          <w:color w:val="auto"/>
        </w:rPr>
      </w:pPr>
    </w:p>
    <w:p>
      <w:pPr>
        <w:ind w:left="8280"/>
        <w:spacing w:after="0"/>
        <w:rPr>
          <w:sz w:val="20"/>
          <w:szCs w:val="20"/>
          <w:color w:val="auto"/>
        </w:rPr>
      </w:pPr>
      <w:r>
        <w:rPr>
          <w:rFonts w:ascii="Arial" w:cs="Arial" w:eastAsia="Arial" w:hAnsi="Arial"/>
          <w:sz w:val="18"/>
          <w:szCs w:val="18"/>
          <w:b w:val="1"/>
          <w:bCs w:val="1"/>
          <w:color w:val="auto"/>
        </w:rPr>
        <w:t>Christopher Anzalone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-130810</wp:posOffset>
            </wp:positionV>
            <wp:extent cx="2898775" cy="889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47">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3" w:lineRule="exact"/>
        <w:rPr>
          <w:sz w:val="20"/>
          <w:szCs w:val="20"/>
          <w:color w:val="auto"/>
        </w:rPr>
      </w:pPr>
    </w:p>
    <w:p>
      <w:pPr>
        <w:ind w:left="8240"/>
        <w:spacing w:after="0"/>
        <w:rPr>
          <w:sz w:val="20"/>
          <w:szCs w:val="20"/>
          <w:color w:val="auto"/>
        </w:rPr>
      </w:pPr>
      <w:r>
        <w:rPr>
          <w:rFonts w:ascii="Arial" w:cs="Arial" w:eastAsia="Arial" w:hAnsi="Arial"/>
          <w:sz w:val="18"/>
          <w:szCs w:val="18"/>
          <w:b w:val="1"/>
          <w:bCs w:val="1"/>
          <w:color w:val="auto"/>
        </w:rPr>
        <w:t>Chief Executive Officer</w:t>
      </w:r>
    </w:p>
    <w:p>
      <w:pPr>
        <w:spacing w:after="0" w:line="211" w:lineRule="exact"/>
        <w:rPr>
          <w:sz w:val="20"/>
          <w:szCs w:val="20"/>
          <w:color w:val="auto"/>
        </w:rPr>
      </w:pPr>
    </w:p>
    <w:p>
      <w:pPr>
        <w:ind w:right="240" w:firstLine="518"/>
        <w:spacing w:after="0" w:line="308" w:lineRule="auto"/>
        <w:rPr>
          <w:sz w:val="20"/>
          <w:szCs w:val="20"/>
          <w:color w:val="auto"/>
        </w:rPr>
      </w:pPr>
      <w:r>
        <w:rPr>
          <w:rFonts w:ascii="Arial" w:cs="Arial" w:eastAsia="Arial" w:hAnsi="Arial"/>
          <w:sz w:val="17"/>
          <w:szCs w:val="17"/>
          <w:color w:val="auto"/>
        </w:rPr>
        <w:t>A signed original of these written statements required by 18 U.S.C. Section 1350 has been provided to Arrowhead Pharmaceuticals, Inc. and will be retained by Arrowhead Pharmaceuticals, Inc. and furnished to the Securities and Exchange Commission or its staff upon request.</w:t>
      </w:r>
    </w:p>
    <w:p>
      <w:pPr>
        <w:sectPr>
          <w:pgSz w:w="11900" w:h="16838" w:orient="portrait"/>
          <w:cols w:equalWidth="0" w:num="1">
            <w:col w:w="11420"/>
          </w:cols>
          <w:pgMar w:left="240" w:top="121" w:right="239" w:bottom="1440" w:gutter="0" w:footer="0" w:header="0"/>
        </w:sectPr>
      </w:pPr>
    </w:p>
    <w:bookmarkStart w:id="88" w:name="page89"/>
    <w:bookmarkEnd w:id="88"/>
    <w:p>
      <w:pPr>
        <w:jc w:val="right"/>
        <w:spacing w:after="0"/>
        <w:rPr>
          <w:sz w:val="20"/>
          <w:szCs w:val="20"/>
          <w:color w:val="auto"/>
        </w:rPr>
      </w:pPr>
      <w:r>
        <w:rPr>
          <w:rFonts w:ascii="Arial" w:cs="Arial" w:eastAsia="Arial" w:hAnsi="Arial"/>
          <w:sz w:val="18"/>
          <w:szCs w:val="18"/>
          <w:b w:val="1"/>
          <w:bCs w:val="1"/>
          <w:color w:val="auto"/>
        </w:rPr>
        <w:t>Exhibit 32.2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CHIEF FINANCIAL OFFICER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RULE 13a-14(b) OR RULE 15d-14(b)</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 THE SECURITIES EXCHANGE ACT OF 1934</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AND 18 U.S.C. SECTION 1350</w:t>
      </w:r>
    </w:p>
    <w:p>
      <w:pPr>
        <w:spacing w:after="0" w:line="211" w:lineRule="exact"/>
        <w:rPr>
          <w:sz w:val="20"/>
          <w:szCs w:val="20"/>
          <w:color w:val="auto"/>
        </w:rPr>
      </w:pPr>
    </w:p>
    <w:p>
      <w:pPr>
        <w:ind w:right="160" w:firstLine="518"/>
        <w:spacing w:after="0" w:line="302" w:lineRule="auto"/>
        <w:rPr>
          <w:sz w:val="20"/>
          <w:szCs w:val="20"/>
          <w:color w:val="auto"/>
        </w:rPr>
      </w:pPr>
      <w:r>
        <w:rPr>
          <w:rFonts w:ascii="Arial" w:cs="Arial" w:eastAsia="Arial" w:hAnsi="Arial"/>
          <w:sz w:val="16"/>
          <w:szCs w:val="16"/>
          <w:color w:val="auto"/>
        </w:rPr>
        <w:t>I, Kenneth A. Myszkowski, Chief Financial Officer of Arrowhead Pharmaceuticals, Inc. (the “Company”), certify, pursuant to Rule 13(a)-14(b) or Rule 15(d)-14(b) of the Securities Exchange Act of 1934 and 18 U.S.C. Section 1350, that (i) the Annual Report on Form 10-K of the Company for the year ended September 30, 2017, fully complies with the requirements of Section 13(a) or 15(d) of the Securities Exchange Act of 1934, and (ii) the information contained in such Annual Report on Form 10-K fairly presents in all material respects the financial condition and results of operations of the Company.</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Date: December 12, 2017</w:t>
      </w:r>
    </w:p>
    <w:p>
      <w:pPr>
        <w:spacing w:after="0" w:line="239" w:lineRule="exact"/>
        <w:rPr>
          <w:sz w:val="20"/>
          <w:szCs w:val="20"/>
          <w:color w:val="auto"/>
        </w:rPr>
      </w:pPr>
    </w:p>
    <w:p>
      <w:pPr>
        <w:ind w:left="8140"/>
        <w:spacing w:after="0"/>
        <w:rPr>
          <w:sz w:val="20"/>
          <w:szCs w:val="20"/>
          <w:color w:val="auto"/>
        </w:rPr>
      </w:pPr>
      <w:r>
        <w:rPr>
          <w:rFonts w:ascii="Arial" w:cs="Arial" w:eastAsia="Arial" w:hAnsi="Arial"/>
          <w:sz w:val="18"/>
          <w:szCs w:val="18"/>
          <w:color w:val="auto"/>
        </w:rPr>
        <w:t>/s/ Kenneth A. Myszkowski</w:t>
      </w:r>
    </w:p>
    <w:p>
      <w:pPr>
        <w:spacing w:after="0" w:line="23" w:lineRule="exact"/>
        <w:rPr>
          <w:sz w:val="20"/>
          <w:szCs w:val="20"/>
          <w:color w:val="auto"/>
        </w:rPr>
      </w:pPr>
    </w:p>
    <w:p>
      <w:pPr>
        <w:ind w:left="8200"/>
        <w:spacing w:after="0"/>
        <w:rPr>
          <w:sz w:val="20"/>
          <w:szCs w:val="20"/>
          <w:color w:val="auto"/>
        </w:rPr>
      </w:pPr>
      <w:r>
        <w:rPr>
          <w:rFonts w:ascii="Arial" w:cs="Arial" w:eastAsia="Arial" w:hAnsi="Arial"/>
          <w:sz w:val="18"/>
          <w:szCs w:val="18"/>
          <w:b w:val="1"/>
          <w:bCs w:val="1"/>
          <w:color w:val="auto"/>
        </w:rPr>
        <w:t>Kenneth A. Myszkowski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-130810</wp:posOffset>
            </wp:positionV>
            <wp:extent cx="2898775" cy="889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48">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3" w:lineRule="exact"/>
        <w:rPr>
          <w:sz w:val="20"/>
          <w:szCs w:val="20"/>
          <w:color w:val="auto"/>
        </w:rPr>
      </w:pPr>
    </w:p>
    <w:p>
      <w:pPr>
        <w:ind w:left="8240"/>
        <w:spacing w:after="0"/>
        <w:rPr>
          <w:sz w:val="20"/>
          <w:szCs w:val="20"/>
          <w:color w:val="auto"/>
        </w:rPr>
      </w:pPr>
      <w:r>
        <w:rPr>
          <w:rFonts w:ascii="Arial" w:cs="Arial" w:eastAsia="Arial" w:hAnsi="Arial"/>
          <w:sz w:val="18"/>
          <w:szCs w:val="18"/>
          <w:b w:val="1"/>
          <w:bCs w:val="1"/>
          <w:color w:val="auto"/>
        </w:rPr>
        <w:t>Chief Financial Officer</w:t>
      </w:r>
    </w:p>
    <w:p>
      <w:pPr>
        <w:spacing w:after="0" w:line="211" w:lineRule="exact"/>
        <w:rPr>
          <w:sz w:val="20"/>
          <w:szCs w:val="20"/>
          <w:color w:val="auto"/>
        </w:rPr>
      </w:pPr>
    </w:p>
    <w:p>
      <w:pPr>
        <w:ind w:right="240" w:firstLine="518"/>
        <w:spacing w:after="0" w:line="308" w:lineRule="auto"/>
        <w:rPr>
          <w:sz w:val="20"/>
          <w:szCs w:val="20"/>
          <w:color w:val="auto"/>
        </w:rPr>
      </w:pPr>
      <w:r>
        <w:rPr>
          <w:rFonts w:ascii="Arial" w:cs="Arial" w:eastAsia="Arial" w:hAnsi="Arial"/>
          <w:sz w:val="17"/>
          <w:szCs w:val="17"/>
          <w:color w:val="auto"/>
        </w:rPr>
        <w:t>A signed original of these written statements required by 18 U.S.C. Section 1350 has been provided to Arrowhead Pharmaceuticals, Inc. and will be retained by Arrowhead Pharmaceuticals, Inc. and furnished to the Securities and Exchange Commission or its staff upon request.</w:t>
      </w:r>
    </w:p>
    <w:sectPr>
      <w:pgSz w:w="11900" w:h="16838" w:orient="portrait"/>
      <w:cols w:equalWidth="0" w:num="1">
        <w:col w:w="11420"/>
      </w:cols>
      <w:pgMar w:left="240" w:top="12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A1"/>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57130A3"/>
    <w:multiLevelType w:val="hybridMultilevel"/>
    <w:lvl w:ilvl="0">
      <w:lvlJc w:val="left"/>
      <w:lvlText w:val="☒"/>
      <w:numFmt w:val="bullet"/>
      <w:start w:val="1"/>
    </w:lvl>
  </w:abstractNum>
  <w:abstractNum w:abstractNumId="1">
    <w:nsid w:val="62BBD95A"/>
    <w:multiLevelType w:val="hybridMultilevel"/>
    <w:lvl w:ilvl="0">
      <w:lvlJc w:val="left"/>
      <w:lvlText w:val="☐"/>
      <w:numFmt w:val="bullet"/>
      <w:start w:val="1"/>
    </w:lvl>
  </w:abstractNum>
  <w:abstractNum w:abstractNumId="2">
    <w:nsid w:val="436C6125"/>
    <w:multiLevelType w:val="hybridMultilevel"/>
    <w:lvl w:ilvl="0">
      <w:lvlJc w:val="left"/>
      <w:lvlText w:val="•"/>
      <w:numFmt w:val="bullet"/>
      <w:start w:val="1"/>
    </w:lvl>
  </w:abstractNum>
  <w:abstractNum w:abstractNumId="3">
    <w:nsid w:val="628C895D"/>
    <w:multiLevelType w:val="hybridMultilevel"/>
    <w:lvl w:ilvl="0">
      <w:lvlJc w:val="left"/>
      <w:lvlText w:val="•"/>
      <w:numFmt w:val="bullet"/>
      <w:start w:val="1"/>
    </w:lvl>
  </w:abstractNum>
  <w:abstractNum w:abstractNumId="4">
    <w:nsid w:val="333AB105"/>
    <w:multiLevelType w:val="hybridMultilevel"/>
    <w:lvl w:ilvl="0">
      <w:lvlJc w:val="left"/>
      <w:lvlText w:val="•"/>
      <w:numFmt w:val="bullet"/>
      <w:start w:val="1"/>
    </w:lvl>
  </w:abstractNum>
  <w:abstractNum w:abstractNumId="5">
    <w:nsid w:val="721DA317"/>
    <w:multiLevelType w:val="hybridMultilevel"/>
    <w:lvl w:ilvl="0">
      <w:lvlJc w:val="left"/>
      <w:lvlText w:val="(%1)"/>
      <w:numFmt w:val="decimal"/>
      <w:start w:val="1"/>
    </w:lvl>
  </w:abstractNum>
  <w:abstractNum w:abstractNumId="6">
    <w:nsid w:val="2443A858"/>
    <w:multiLevelType w:val="hybridMultilevel"/>
    <w:lvl w:ilvl="0">
      <w:lvlJc w:val="left"/>
      <w:lvlText w:val="(%1)"/>
      <w:numFmt w:val="decimal"/>
      <w:start w:val="4"/>
    </w:lvl>
  </w:abstractNum>
  <w:abstractNum w:abstractNumId="7">
    <w:nsid w:val="2D1D5AE9"/>
    <w:multiLevelType w:val="hybridMultilevel"/>
    <w:lvl w:ilvl="0">
      <w:lvlJc w:val="left"/>
      <w:lvlText w:val="•"/>
      <w:numFmt w:val="bullet"/>
      <w:start w:val="1"/>
    </w:lvl>
  </w:abstractNum>
  <w:abstractNum w:abstractNumId="8">
    <w:nsid w:val="6763845E"/>
    <w:multiLevelType w:val="hybridMultilevel"/>
    <w:lvl w:ilvl="0">
      <w:lvlJc w:val="left"/>
      <w:lvlText w:val="•"/>
      <w:numFmt w:val="bullet"/>
      <w:start w:val="1"/>
    </w:lvl>
  </w:abstractNum>
  <w:abstractNum w:abstractNumId="9">
    <w:nsid w:val="75A2A8D4"/>
    <w:multiLevelType w:val="hybridMultilevel"/>
    <w:lvl w:ilvl="0">
      <w:lvlJc w:val="left"/>
      <w:lvlText w:val="•"/>
      <w:numFmt w:val="bullet"/>
      <w:start w:val="1"/>
    </w:lvl>
  </w:abstractNum>
  <w:abstractNum w:abstractNumId="10">
    <w:nsid w:val="8EDBDAB"/>
    <w:multiLevelType w:val="hybridMultilevel"/>
    <w:lvl w:ilvl="0">
      <w:lvlJc w:val="left"/>
      <w:lvlText w:val="•"/>
      <w:numFmt w:val="bullet"/>
      <w:start w:val="1"/>
    </w:lvl>
  </w:abstractNum>
  <w:abstractNum w:abstractNumId="11">
    <w:nsid w:val="79838CB2"/>
    <w:multiLevelType w:val="hybridMultilevel"/>
    <w:lvl w:ilvl="0">
      <w:lvlJc w:val="left"/>
      <w:lvlText w:val="•"/>
      <w:numFmt w:val="bullet"/>
      <w:start w:val="1"/>
    </w:lvl>
    <w:lvl w:ilvl="1">
      <w:lvlJc w:val="left"/>
      <w:lvlText w:val="•"/>
      <w:numFmt w:val="bullet"/>
      <w:start w:val="1"/>
    </w:lvl>
  </w:abstractNum>
  <w:abstractNum w:abstractNumId="12">
    <w:nsid w:val="4353D0CD"/>
    <w:multiLevelType w:val="hybridMultilevel"/>
    <w:lvl w:ilvl="0">
      <w:lvlJc w:val="left"/>
      <w:lvlText w:val="•"/>
      <w:numFmt w:val="bullet"/>
      <w:start w:val="1"/>
    </w:lvl>
  </w:abstractNum>
  <w:abstractNum w:abstractNumId="13">
    <w:nsid w:val="B03E0C6"/>
    <w:multiLevelType w:val="hybridMultilevel"/>
    <w:lvl w:ilvl="0">
      <w:lvlJc w:val="left"/>
      <w:lvlText w:val="•"/>
      <w:numFmt w:val="bullet"/>
      <w:start w:val="1"/>
    </w:lvl>
  </w:abstractNum>
  <w:abstractNum w:abstractNumId="14">
    <w:nsid w:val="189A769B"/>
    <w:multiLevelType w:val="hybridMultilevel"/>
    <w:lvl w:ilvl="0">
      <w:lvlJc w:val="left"/>
      <w:lvlText w:val="•"/>
      <w:numFmt w:val="bullet"/>
      <w:start w:val="1"/>
    </w:lvl>
  </w:abstractNum>
  <w:abstractNum w:abstractNumId="15">
    <w:nsid w:val="54E49EB4"/>
    <w:multiLevelType w:val="hybridMultilevel"/>
    <w:lvl w:ilvl="0">
      <w:lvlJc w:val="left"/>
      <w:lvlText w:val="•"/>
      <w:numFmt w:val="bullet"/>
      <w:start w:val="1"/>
    </w:lvl>
  </w:abstractNum>
  <w:abstractNum w:abstractNumId="16">
    <w:nsid w:val="71F32454"/>
    <w:multiLevelType w:val="hybridMultilevel"/>
    <w:lvl w:ilvl="0">
      <w:lvlJc w:val="left"/>
      <w:lvlText w:val="●"/>
      <w:numFmt w:val="bullet"/>
      <w:start w:val="1"/>
    </w:lvl>
  </w:abstractNum>
  <w:abstractNum w:abstractNumId="17">
    <w:nsid w:val="2CA88611"/>
    <w:multiLevelType w:val="hybridMultilevel"/>
    <w:lvl w:ilvl="0">
      <w:lvlJc w:val="left"/>
      <w:lvlText w:val="●"/>
      <w:numFmt w:val="bullet"/>
      <w:start w:val="1"/>
    </w:lvl>
  </w:abstractNum>
  <w:abstractNum w:abstractNumId="18">
    <w:nsid w:val="836C40E"/>
    <w:multiLevelType w:val="hybridMultilevel"/>
    <w:lvl w:ilvl="0">
      <w:lvlJc w:val="left"/>
      <w:lvlText w:val="●"/>
      <w:numFmt w:val="bullet"/>
      <w:start w:val="1"/>
    </w:lvl>
  </w:abstractNum>
  <w:abstractNum w:abstractNumId="19">
    <w:nsid w:val="2901D82"/>
    <w:multiLevelType w:val="hybridMultilevel"/>
    <w:lvl w:ilvl="0">
      <w:lvlJc w:val="left"/>
      <w:lvlText w:val="●"/>
      <w:numFmt w:val="bullet"/>
      <w:start w:val="1"/>
    </w:lvl>
  </w:abstractNum>
  <w:abstractNum w:abstractNumId="20">
    <w:nsid w:val="3A95F874"/>
    <w:multiLevelType w:val="hybridMultilevel"/>
    <w:lvl w:ilvl="0">
      <w:lvlJc w:val="left"/>
      <w:lvlText w:val="•"/>
      <w:numFmt w:val="bullet"/>
      <w:start w:val="1"/>
    </w:lvl>
  </w:abstractNum>
  <w:abstractNum w:abstractNumId="21">
    <w:nsid w:val="8138641"/>
    <w:multiLevelType w:val="hybridMultilevel"/>
    <w:lvl w:ilvl="0">
      <w:lvlJc w:val="left"/>
      <w:lvlText w:val="●"/>
      <w:numFmt w:val="bullet"/>
      <w:start w:val="1"/>
    </w:lvl>
  </w:abstractNum>
  <w:abstractNum w:abstractNumId="22">
    <w:nsid w:val="1E7FF521"/>
    <w:multiLevelType w:val="hybridMultilevel"/>
    <w:lvl w:ilvl="0">
      <w:lvlJc w:val="left"/>
      <w:lvlText w:val="●"/>
      <w:numFmt w:val="bullet"/>
      <w:start w:val="1"/>
    </w:lvl>
  </w:abstractNum>
  <w:abstractNum w:abstractNumId="23">
    <w:nsid w:val="7C3DBD3D"/>
    <w:multiLevelType w:val="hybridMultilevel"/>
    <w:lvl w:ilvl="0">
      <w:lvlJc w:val="left"/>
      <w:lvlText w:val="•"/>
      <w:numFmt w:val="bullet"/>
      <w:start w:val="1"/>
    </w:lvl>
  </w:abstractNum>
  <w:abstractNum w:abstractNumId="24">
    <w:nsid w:val="737B8DDC"/>
    <w:multiLevelType w:val="hybridMultilevel"/>
    <w:lvl w:ilvl="0">
      <w:lvlJc w:val="left"/>
      <w:lvlText w:val="●"/>
      <w:numFmt w:val="bullet"/>
      <w:start w:val="1"/>
    </w:lvl>
  </w:abstractNum>
  <w:abstractNum w:abstractNumId="25">
    <w:nsid w:val="6CEAF087"/>
    <w:multiLevelType w:val="hybridMultilevel"/>
    <w:lvl w:ilvl="0">
      <w:lvlJc w:val="left"/>
      <w:lvlText w:val="(%1)"/>
      <w:numFmt w:val="lowerLetter"/>
      <w:start w:val="1"/>
    </w:lvl>
  </w:abstractNum>
  <w:abstractNum w:abstractNumId="26">
    <w:nsid w:val="22221A70"/>
    <w:multiLevelType w:val="hybridMultilevel"/>
    <w:lvl w:ilvl="0">
      <w:lvlJc w:val="left"/>
      <w:lvlText w:val="-"/>
      <w:numFmt w:val="bullet"/>
      <w:start w:val="1"/>
    </w:lvl>
  </w:abstractNum>
  <w:abstractNum w:abstractNumId="27">
    <w:nsid w:val="4516DDE9"/>
    <w:multiLevelType w:val="hybridMultilevel"/>
    <w:lvl w:ilvl="0">
      <w:lvlJc w:val="left"/>
      <w:lvlText w:val="-"/>
      <w:numFmt w:val="bullet"/>
      <w:start w:val="1"/>
    </w:lvl>
  </w:abstractNum>
  <w:abstractNum w:abstractNumId="28">
    <w:nsid w:val="3006C83E"/>
    <w:multiLevelType w:val="hybridMultilevel"/>
    <w:lvl w:ilvl="0">
      <w:lvlJc w:val="left"/>
      <w:lvlText w:val="%1."/>
      <w:numFmt w:val="decimal"/>
      <w:start w:val="521"/>
    </w:lvl>
  </w:abstractNum>
  <w:abstractNum w:abstractNumId="29">
    <w:nsid w:val="614FD4A1"/>
    <w:multiLevelType w:val="hybridMultilevel"/>
    <w:lvl w:ilvl="0">
      <w:lvlJc w:val="left"/>
      <w:lvlText w:val="(%1)"/>
      <w:numFmt w:val="decimal"/>
      <w:start w:val="1"/>
    </w:lvl>
  </w:abstractNum>
  <w:abstractNum w:abstractNumId="30">
    <w:nsid w:val="419AC241"/>
    <w:multiLevelType w:val="hybridMultilevel"/>
    <w:lvl w:ilvl="0">
      <w:lvlJc w:val="left"/>
      <w:lvlText w:val="(%1)"/>
      <w:numFmt w:val="decimal"/>
      <w:start w:val="3"/>
    </w:lvl>
  </w:abstractNum>
  <w:abstractNum w:abstractNumId="31">
    <w:nsid w:val="5577F8E1"/>
    <w:multiLevelType w:val="hybridMultilevel"/>
    <w:lvl w:ilvl="0">
      <w:lvlJc w:val="left"/>
      <w:lvlText w:val="*"/>
      <w:numFmt w:val="bullet"/>
      <w:start w:val="1"/>
    </w:lvl>
  </w:abstractNum>
  <w:abstractNum w:abstractNumId="32">
    <w:nsid w:val="440BADFC"/>
    <w:multiLevelType w:val="hybridMultilevel"/>
    <w:lvl w:ilvl="0">
      <w:lvlJc w:val="left"/>
      <w:lvlText w:val="**"/>
      <w:numFmt w:val="bullet"/>
      <w:start w:val="1"/>
    </w:lvl>
  </w:abstractNum>
  <w:abstractNum w:abstractNumId="33">
    <w:nsid w:val="5072367"/>
    <w:multiLevelType w:val="hybridMultilevel"/>
    <w:lvl w:ilvl="0">
      <w:lvlJc w:val="left"/>
      <w:lvlText w:val="***"/>
      <w:numFmt w:val="bullet"/>
      <w:start w:val="1"/>
    </w:lvl>
  </w:abstractNum>
  <w:abstractNum w:abstractNumId="34">
    <w:nsid w:val="3804823E"/>
    <w:multiLevelType w:val="hybridMultilevel"/>
    <w:lvl w:ilvl="0">
      <w:lvlJc w:val="left"/>
      <w:lvlText w:val="†"/>
      <w:numFmt w:val="bullet"/>
      <w:start w:val="1"/>
    </w:lvl>
  </w:abstractNum>
  <w:abstractNum w:abstractNumId="35">
    <w:nsid w:val="77465F01"/>
    <w:multiLevelType w:val="hybridMultilevel"/>
    <w:lvl w:ilvl="0">
      <w:lvlJc w:val="left"/>
      <w:lvlText w:val="%1)"/>
      <w:numFmt w:val="decimal"/>
      <w:start w:val="890"/>
    </w:lvl>
  </w:abstractNum>
  <w:abstractNum w:abstractNumId="36">
    <w:nsid w:val="7724C67E"/>
    <w:multiLevelType w:val="hybridMultilevel"/>
    <w:lvl w:ilvl="0">
      <w:lvlJc w:val="left"/>
      <w:lvlText w:val="%1."/>
      <w:numFmt w:val="decimal"/>
      <w:start w:val="1"/>
    </w:lvl>
    <w:lvl w:ilvl="1">
      <w:lvlJc w:val="left"/>
      <w:lvlText w:val="(%2)"/>
      <w:numFmt w:val="lowerLetter"/>
      <w:start w:val="1"/>
    </w:lvl>
  </w:abstractNum>
  <w:abstractNum w:abstractNumId="37">
    <w:nsid w:val="5C482A97"/>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jpe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jpeg"/><Relationship Id="rId29" Type="http://schemas.openxmlformats.org/officeDocument/2006/relationships/image" Target="media/image22.png"/><Relationship Id="rId30" Type="http://schemas.openxmlformats.org/officeDocument/2006/relationships/image" Target="media/image23.jpe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jpe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97" Type="http://schemas.openxmlformats.org/officeDocument/2006/relationships/image" Target="media/image74.png"/><Relationship Id="rId98" Type="http://schemas.openxmlformats.org/officeDocument/2006/relationships/image" Target="media/image75.png"/><Relationship Id="rId113" Type="http://schemas.openxmlformats.org/officeDocument/2006/relationships/image" Target="media/image76.png"/><Relationship Id="rId114" Type="http://schemas.openxmlformats.org/officeDocument/2006/relationships/image" Target="media/image77.png"/><Relationship Id="rId115" Type="http://schemas.openxmlformats.org/officeDocument/2006/relationships/image" Target="media/image78.png"/><Relationship Id="rId116" Type="http://schemas.openxmlformats.org/officeDocument/2006/relationships/image" Target="media/image79.png"/><Relationship Id="rId117" Type="http://schemas.openxmlformats.org/officeDocument/2006/relationships/image" Target="media/image80.png"/><Relationship Id="rId118" Type="http://schemas.openxmlformats.org/officeDocument/2006/relationships/image" Target="media/image81.png"/><Relationship Id="rId119" Type="http://schemas.openxmlformats.org/officeDocument/2006/relationships/image" Target="media/image82.png"/><Relationship Id="rId120" Type="http://schemas.openxmlformats.org/officeDocument/2006/relationships/image" Target="media/image83.png"/><Relationship Id="rId121" Type="http://schemas.openxmlformats.org/officeDocument/2006/relationships/image" Target="media/image84.png"/><Relationship Id="rId122" Type="http://schemas.openxmlformats.org/officeDocument/2006/relationships/image" Target="media/image85.png"/><Relationship Id="rId123" Type="http://schemas.openxmlformats.org/officeDocument/2006/relationships/image" Target="media/image86.png"/><Relationship Id="rId124" Type="http://schemas.openxmlformats.org/officeDocument/2006/relationships/image" Target="media/image87.png"/><Relationship Id="rId125" Type="http://schemas.openxmlformats.org/officeDocument/2006/relationships/image" Target="media/image88.png"/><Relationship Id="rId126" Type="http://schemas.openxmlformats.org/officeDocument/2006/relationships/image" Target="media/image89.png"/><Relationship Id="rId127" Type="http://schemas.openxmlformats.org/officeDocument/2006/relationships/image" Target="media/image90.png"/><Relationship Id="rId128" Type="http://schemas.openxmlformats.org/officeDocument/2006/relationships/image" Target="media/image91.png"/><Relationship Id="rId129" Type="http://schemas.openxmlformats.org/officeDocument/2006/relationships/image" Target="media/image92.png"/><Relationship Id="rId130" Type="http://schemas.openxmlformats.org/officeDocument/2006/relationships/image" Target="media/image93.png"/><Relationship Id="rId131" Type="http://schemas.openxmlformats.org/officeDocument/2006/relationships/image" Target="media/image94.png"/><Relationship Id="rId132" Type="http://schemas.openxmlformats.org/officeDocument/2006/relationships/image" Target="media/image95.png"/><Relationship Id="rId133" Type="http://schemas.openxmlformats.org/officeDocument/2006/relationships/image" Target="media/image96.png"/><Relationship Id="rId134" Type="http://schemas.openxmlformats.org/officeDocument/2006/relationships/image" Target="media/image97.png"/><Relationship Id="rId135" Type="http://schemas.openxmlformats.org/officeDocument/2006/relationships/image" Target="media/image98.png"/><Relationship Id="rId136" Type="http://schemas.openxmlformats.org/officeDocument/2006/relationships/image" Target="media/image99.png"/><Relationship Id="rId137" Type="http://schemas.openxmlformats.org/officeDocument/2006/relationships/image" Target="media/image100.png"/><Relationship Id="rId138" Type="http://schemas.openxmlformats.org/officeDocument/2006/relationships/image" Target="media/image101.png"/><Relationship Id="rId139" Type="http://schemas.openxmlformats.org/officeDocument/2006/relationships/image" Target="media/image102.png"/><Relationship Id="rId140" Type="http://schemas.openxmlformats.org/officeDocument/2006/relationships/image" Target="media/image103.png"/><Relationship Id="rId141" Type="http://schemas.openxmlformats.org/officeDocument/2006/relationships/image" Target="media/image104.png"/><Relationship Id="rId142" Type="http://schemas.openxmlformats.org/officeDocument/2006/relationships/image" Target="media/image105.png"/><Relationship Id="rId143" Type="http://schemas.openxmlformats.org/officeDocument/2006/relationships/image" Target="media/image106.png"/><Relationship Id="rId144" Type="http://schemas.openxmlformats.org/officeDocument/2006/relationships/image" Target="media/image107.png"/><Relationship Id="rId145" Type="http://schemas.openxmlformats.org/officeDocument/2006/relationships/image" Target="media/image108.png"/><Relationship Id="rId146" Type="http://schemas.openxmlformats.org/officeDocument/2006/relationships/image" Target="media/image109.png"/><Relationship Id="rId147" Type="http://schemas.openxmlformats.org/officeDocument/2006/relationships/image" Target="media/image110.png"/><Relationship Id="rId148" Type="http://schemas.openxmlformats.org/officeDocument/2006/relationships/image" Target="media/image111.png"/><Relationship Id="rId81" Type="http://schemas.openxmlformats.org/officeDocument/2006/relationships/hyperlink" Target="http://www.sec.gov/Archives/edgar/data/879407/000119312511347334/d265091dex21.htm" TargetMode="External"/><Relationship Id="rId82" Type="http://schemas.openxmlformats.org/officeDocument/2006/relationships/hyperlink" Target="http://www.sec.gov/Archives/edgar/data/879407/000156459015003902/arwr-ex21_20150331298.htm" TargetMode="External"/><Relationship Id="rId83" Type="http://schemas.openxmlformats.org/officeDocument/2006/relationships/hyperlink" Target="http://www.sec.gov/Archives/edgar/data/879407/000119312516532364/d175317dex33.htm" TargetMode="External"/><Relationship Id="rId84" Type="http://schemas.openxmlformats.org/officeDocument/2006/relationships/hyperlink" Target="http://www.sec.gov/Archives/edgar/data/879407/000119312516532364/d175317dex34.htm" TargetMode="External"/><Relationship Id="rId85" Type="http://schemas.openxmlformats.org/officeDocument/2006/relationships/hyperlink" Target="http://www.sec.gov/Archives/edgar/data/879407/000119312517092797/d319463dex31.htm" TargetMode="External"/><Relationship Id="rId86" Type="http://schemas.openxmlformats.org/officeDocument/2006/relationships/hyperlink" Target="http://www.sec.gov/Archives/edgar/data/879407/000119312507125290/dex41.htm" TargetMode="External"/><Relationship Id="rId87" Type="http://schemas.openxmlformats.org/officeDocument/2006/relationships/hyperlink" Target="http://www.sec.gov/Archives/edgar/data/879407/000119312512500051/d451384dex42.htm" TargetMode="External"/><Relationship Id="rId88" Type="http://schemas.openxmlformats.org/officeDocument/2006/relationships/hyperlink" Target="http://www.sec.gov/Archives/edgar/data/879407/000119312513029963/d476118dex42.htm" TargetMode="External"/><Relationship Id="rId89" Type="http://schemas.openxmlformats.org/officeDocument/2006/relationships/hyperlink" Target="http://www.sec.gov/Archives/edgar/data/879407/000156459013001463/arwr-ex4_20130930383.htm" TargetMode="External"/><Relationship Id="rId90" Type="http://schemas.openxmlformats.org/officeDocument/2006/relationships/hyperlink" Target="http://www.sec.gov/Archives/edgar/data/879407/000119312516532364/d175317dex41.htm" TargetMode="External"/><Relationship Id="rId91" Type="http://schemas.openxmlformats.org/officeDocument/2006/relationships/hyperlink" Target="http://www.sec.gov/Archives/edgar/data/879407/000119312516751770/d278005dex42.htm" TargetMode="External"/><Relationship Id="rId92" Type="http://schemas.openxmlformats.org/officeDocument/2006/relationships/hyperlink" Target="http://www.sec.gov/Archives/edgar/data/879407/000119312517092797/d319463dex41.htm" TargetMode="External"/><Relationship Id="rId93" Type="http://schemas.openxmlformats.org/officeDocument/2006/relationships/hyperlink" Target="http://www.sec.gov/Archives/edgar/data/879407/000101540200003706/0001015402-00-003706-0001.txt" TargetMode="External"/><Relationship Id="rId94" Type="http://schemas.openxmlformats.org/officeDocument/2006/relationships/hyperlink" Target="http://www.sec.gov/Archives/edgar/data/879407/000119312512009893/d275001ddef14a.htm" TargetMode="External"/><Relationship Id="rId95" Type="http://schemas.openxmlformats.org/officeDocument/2006/relationships/hyperlink" Target="http://www.sec.gov/Archives/edgar/data/879407/000119312513481209/d647635ddef14a.htm" TargetMode="External"/><Relationship Id="rId96" Type="http://schemas.openxmlformats.org/officeDocument/2006/relationships/hyperlink" Target="http://www.sec.gov/Archives/edgar/data/879407/000119312514048097/d675317dex101.htm" TargetMode="External"/><Relationship Id="rId99" Type="http://schemas.openxmlformats.org/officeDocument/2006/relationships/hyperlink" Target="http://www.sec.gov/Archives/edgar/data/879407/000119312514048097/d675317dex102.htm" TargetMode="External"/><Relationship Id="rId100" Type="http://schemas.openxmlformats.org/officeDocument/2006/relationships/hyperlink" Target="http://www.sec.gov/Archives/edgar/data/879407/000119312506253375/dex1011.htm" TargetMode="External"/><Relationship Id="rId101" Type="http://schemas.openxmlformats.org/officeDocument/2006/relationships/hyperlink" Target="http://www.sec.gov/Archives/edgar/data/879407/000119312508133616/dex101.htm" TargetMode="External"/><Relationship Id="rId102" Type="http://schemas.openxmlformats.org/officeDocument/2006/relationships/hyperlink" Target="http://www.sec.gov/Archives/edgar/data/879407/000119312509258134/dex108.htm" TargetMode="External"/><Relationship Id="rId103" Type="http://schemas.openxmlformats.org/officeDocument/2006/relationships/hyperlink" Target="http://www.sec.gov/Archives/edgar/data/879407/000119312511347334/d265091dex1033.htm" TargetMode="External"/><Relationship Id="rId104" Type="http://schemas.openxmlformats.org/officeDocument/2006/relationships/hyperlink" Target="http://www.sec.gov/Archives/edgar/data/879407/000119312511347334/d265091dex1035.htm" TargetMode="External"/><Relationship Id="rId105" Type="http://schemas.openxmlformats.org/officeDocument/2006/relationships/hyperlink" Target="http://www.sec.gov/Archives/edgar/data/879407/000119312511347334/d265091dex1036.htm" TargetMode="External"/><Relationship Id="rId106" Type="http://schemas.openxmlformats.org/officeDocument/2006/relationships/hyperlink" Target="http://www.sec.gov/Archives/edgar/data/879407/000119312512218387/d336351dex101.htm" TargetMode="External"/><Relationship Id="rId107" Type="http://schemas.openxmlformats.org/officeDocument/2006/relationships/hyperlink" Target="http://www.sec.gov/Archives/edgar/data/879407/000156459014003557/arwr-ex10_20140630353.htm" TargetMode="External"/><Relationship Id="rId108" Type="http://schemas.openxmlformats.org/officeDocument/2006/relationships/hyperlink" Target="http://www.sec.gov/Archives/edgar/data/879407/000156459016012515/arwr-ex101_83.htm" TargetMode="External"/><Relationship Id="rId109" Type="http://schemas.openxmlformats.org/officeDocument/2006/relationships/hyperlink" Target="http://www.sec.gov/Archives/edgar/data/879407/000119312516678199/d236239dex101.htm" TargetMode="External"/><Relationship Id="rId110" Type="http://schemas.openxmlformats.org/officeDocument/2006/relationships/hyperlink" Target="http://www.sec.gov/Archives/edgar/data/879407/000156459016030217/arwr-ex1018_310.htm" TargetMode="External"/><Relationship Id="rId111" Type="http://schemas.openxmlformats.org/officeDocument/2006/relationships/hyperlink" Target="http://www.sec.gov/Archives/edgar/data/879407/000156459016030217/arwr-ex1019_309.htm" TargetMode="External"/><Relationship Id="rId112" Type="http://schemas.openxmlformats.org/officeDocument/2006/relationships/hyperlink" Target="http://www.sec.gov/Archives/edgar/data/879407/000119312516776646/d272157dex10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2019-12-29T02:25:48Z</dcterms:created>
  <dcterms:modified xsi:type="dcterms:W3CDTF">2019-12-29T02:25:48Z</dcterms:modified>
</cp:coreProperties>
</file>