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83185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UNDER SECTION 13 OR 15(d) OF THE SECURITIES EXCHANGE ACT OF 1934</w:t>
      </w:r>
    </w:p>
    <w:p>
      <w:pPr>
        <w:spacing w:after="0" w:line="109" w:lineRule="exact"/>
        <w:rPr>
          <w:rFonts w:ascii="MS PGothic" w:cs="MS PGothic" w:eastAsia="MS PGothic" w:hAnsi="MS PGothic"/>
          <w:sz w:val="18"/>
          <w:szCs w:val="18"/>
          <w:color w:val="auto"/>
        </w:rPr>
      </w:pPr>
    </w:p>
    <w:p>
      <w:pPr>
        <w:ind w:left="41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September 30, 2014.</w:t>
      </w:r>
    </w:p>
    <w:p>
      <w:pPr>
        <w:spacing w:after="0" w:line="122"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122" w:lineRule="exact"/>
        <w:rPr>
          <w:sz w:val="24"/>
          <w:szCs w:val="24"/>
          <w:color w:val="auto"/>
        </w:rPr>
      </w:pPr>
    </w:p>
    <w:p>
      <w:pPr>
        <w:ind w:left="412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71755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ARROWHEAD RESEARCH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020" w:type="dxa"/>
            <w:vAlign w:val="bottom"/>
          </w:tcPr>
          <w:p>
            <w:pPr>
              <w:jc w:val="center"/>
              <w:ind w:left="1646"/>
              <w:spacing w:after="0"/>
              <w:rPr>
                <w:sz w:val="20"/>
                <w:szCs w:val="20"/>
                <w:color w:val="auto"/>
              </w:rPr>
            </w:pPr>
            <w:r>
              <w:rPr>
                <w:rFonts w:ascii="Arial" w:cs="Arial" w:eastAsia="Arial" w:hAnsi="Arial"/>
                <w:sz w:val="16"/>
                <w:szCs w:val="16"/>
                <w:b w:val="1"/>
                <w:bCs w:val="1"/>
                <w:color w:val="auto"/>
                <w:w w:val="93"/>
              </w:rPr>
              <w:t>Delaware</w:t>
            </w:r>
          </w:p>
        </w:tc>
        <w:tc>
          <w:tcPr>
            <w:tcW w:w="7400" w:type="dxa"/>
            <w:vAlign w:val="bottom"/>
            <w:gridSpan w:val="5"/>
          </w:tcPr>
          <w:p>
            <w:pPr>
              <w:jc w:val="center"/>
              <w:ind w:left="1705"/>
              <w:spacing w:after="0"/>
              <w:rPr>
                <w:sz w:val="20"/>
                <w:szCs w:val="20"/>
                <w:color w:val="auto"/>
              </w:rPr>
            </w:pPr>
            <w:r>
              <w:rPr>
                <w:rFonts w:ascii="Arial" w:cs="Arial" w:eastAsia="Arial" w:hAnsi="Arial"/>
                <w:sz w:val="16"/>
                <w:szCs w:val="16"/>
                <w:b w:val="1"/>
                <w:bCs w:val="1"/>
                <w:color w:val="auto"/>
                <w:w w:val="91"/>
              </w:rPr>
              <w:t>46-0408024</w:t>
            </w:r>
          </w:p>
        </w:tc>
      </w:tr>
      <w:tr>
        <w:trPr>
          <w:trHeight w:val="164"/>
        </w:trPr>
        <w:tc>
          <w:tcPr>
            <w:tcW w:w="4020" w:type="dxa"/>
            <w:vAlign w:val="bottom"/>
          </w:tcPr>
          <w:p>
            <w:pPr>
              <w:jc w:val="center"/>
              <w:ind w:left="1646"/>
              <w:spacing w:after="0"/>
              <w:rPr>
                <w:sz w:val="20"/>
                <w:szCs w:val="20"/>
                <w:color w:val="auto"/>
              </w:rPr>
            </w:pPr>
            <w:r>
              <w:rPr>
                <w:rFonts w:ascii="Arial" w:cs="Arial" w:eastAsia="Arial" w:hAnsi="Arial"/>
                <w:sz w:val="13"/>
                <w:szCs w:val="13"/>
                <w:b w:val="1"/>
                <w:bCs w:val="1"/>
                <w:color w:val="auto"/>
                <w:w w:val="87"/>
              </w:rPr>
              <w:t>(State of incorporation)</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580" w:type="dxa"/>
            <w:vAlign w:val="bottom"/>
          </w:tcPr>
          <w:p>
            <w:pPr>
              <w:jc w:val="center"/>
              <w:ind w:right="951"/>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259"/>
        </w:trPr>
        <w:tc>
          <w:tcPr>
            <w:tcW w:w="4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60" w:type="dxa"/>
            <w:vAlign w:val="bottom"/>
            <w:gridSpan w:val="4"/>
          </w:tcPr>
          <w:p>
            <w:pPr>
              <w:jc w:val="center"/>
              <w:ind w:right="4471"/>
              <w:spacing w:after="0"/>
              <w:rPr>
                <w:sz w:val="20"/>
                <w:szCs w:val="20"/>
                <w:color w:val="auto"/>
              </w:rPr>
            </w:pPr>
            <w:r>
              <w:rPr>
                <w:rFonts w:ascii="Arial" w:cs="Arial" w:eastAsia="Arial" w:hAnsi="Arial"/>
                <w:sz w:val="16"/>
                <w:szCs w:val="16"/>
                <w:b w:val="1"/>
                <w:bCs w:val="1"/>
                <w:color w:val="auto"/>
                <w:w w:val="90"/>
              </w:rPr>
              <w:t>225 S. Lake Avenue, Suite 1050</w:t>
            </w:r>
          </w:p>
        </w:tc>
      </w:tr>
      <w:tr>
        <w:trPr>
          <w:trHeight w:val="203"/>
        </w:trPr>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60" w:type="dxa"/>
            <w:vAlign w:val="bottom"/>
            <w:gridSpan w:val="4"/>
          </w:tcPr>
          <w:p>
            <w:pPr>
              <w:jc w:val="center"/>
              <w:ind w:right="4471"/>
              <w:spacing w:after="0"/>
              <w:rPr>
                <w:sz w:val="20"/>
                <w:szCs w:val="20"/>
                <w:color w:val="auto"/>
              </w:rPr>
            </w:pPr>
            <w:r>
              <w:rPr>
                <w:rFonts w:ascii="Arial" w:cs="Arial" w:eastAsia="Arial" w:hAnsi="Arial"/>
                <w:sz w:val="16"/>
                <w:szCs w:val="16"/>
                <w:b w:val="1"/>
                <w:bCs w:val="1"/>
                <w:color w:val="auto"/>
                <w:w w:val="91"/>
              </w:rPr>
              <w:t>Pasadena, California 91101</w:t>
            </w:r>
          </w:p>
        </w:tc>
      </w:tr>
      <w:tr>
        <w:trPr>
          <w:trHeight w:val="198"/>
        </w:trPr>
        <w:tc>
          <w:tcPr>
            <w:tcW w:w="4020" w:type="dxa"/>
            <w:vAlign w:val="bottom"/>
          </w:tcPr>
          <w:p>
            <w:pPr>
              <w:spacing w:after="0"/>
              <w:rPr>
                <w:sz w:val="17"/>
                <w:szCs w:val="17"/>
                <w:color w:val="auto"/>
              </w:rPr>
            </w:pPr>
          </w:p>
        </w:tc>
        <w:tc>
          <w:tcPr>
            <w:tcW w:w="2820" w:type="dxa"/>
            <w:vAlign w:val="bottom"/>
            <w:gridSpan w:val="4"/>
          </w:tcPr>
          <w:p>
            <w:pPr>
              <w:jc w:val="center"/>
              <w:ind w:left="485"/>
              <w:spacing w:after="0"/>
              <w:rPr>
                <w:sz w:val="20"/>
                <w:szCs w:val="20"/>
                <w:color w:val="auto"/>
              </w:rPr>
            </w:pPr>
            <w:r>
              <w:rPr>
                <w:rFonts w:ascii="Arial" w:cs="Arial" w:eastAsia="Arial" w:hAnsi="Arial"/>
                <w:sz w:val="16"/>
                <w:szCs w:val="16"/>
                <w:b w:val="1"/>
                <w:bCs w:val="1"/>
                <w:color w:val="auto"/>
                <w:w w:val="93"/>
              </w:rPr>
              <w:t>(626) 304-3400</w:t>
            </w:r>
          </w:p>
        </w:tc>
        <w:tc>
          <w:tcPr>
            <w:tcW w:w="4580" w:type="dxa"/>
            <w:vAlign w:val="bottom"/>
          </w:tcPr>
          <w:p>
            <w:pPr>
              <w:spacing w:after="0"/>
              <w:rPr>
                <w:sz w:val="17"/>
                <w:szCs w:val="17"/>
                <w:color w:val="auto"/>
              </w:rPr>
            </w:pPr>
          </w:p>
        </w:tc>
      </w:tr>
      <w:tr>
        <w:trPr>
          <w:trHeight w:val="164"/>
        </w:trPr>
        <w:tc>
          <w:tcPr>
            <w:tcW w:w="4020" w:type="dxa"/>
            <w:vAlign w:val="bottom"/>
          </w:tcPr>
          <w:p>
            <w:pPr>
              <w:spacing w:after="0"/>
              <w:rPr>
                <w:sz w:val="14"/>
                <w:szCs w:val="14"/>
                <w:color w:val="auto"/>
              </w:rPr>
            </w:pPr>
          </w:p>
        </w:tc>
        <w:tc>
          <w:tcPr>
            <w:tcW w:w="7400" w:type="dxa"/>
            <w:vAlign w:val="bottom"/>
            <w:gridSpan w:val="5"/>
          </w:tcPr>
          <w:p>
            <w:pPr>
              <w:jc w:val="center"/>
              <w:ind w:right="3931"/>
              <w:spacing w:after="0"/>
              <w:rPr>
                <w:sz w:val="20"/>
                <w:szCs w:val="20"/>
                <w:color w:val="auto"/>
              </w:rPr>
            </w:pPr>
            <w:r>
              <w:rPr>
                <w:rFonts w:ascii="Arial" w:cs="Arial" w:eastAsia="Arial" w:hAnsi="Arial"/>
                <w:sz w:val="13"/>
                <w:szCs w:val="13"/>
                <w:b w:val="1"/>
                <w:bCs w:val="1"/>
                <w:color w:val="auto"/>
                <w:w w:val="86"/>
              </w:rPr>
              <w:t>(Address and telephone number of principal executive offices)</w:t>
            </w:r>
          </w:p>
        </w:tc>
      </w:tr>
      <w:tr>
        <w:trPr>
          <w:trHeight w:val="70"/>
        </w:trPr>
        <w:tc>
          <w:tcPr>
            <w:tcW w:w="4560" w:type="dxa"/>
            <w:vAlign w:val="bottom"/>
            <w:gridSpan w:val="2"/>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580" w:type="dxa"/>
            <w:vAlign w:val="bottom"/>
          </w:tcPr>
          <w:p>
            <w:pPr>
              <w:spacing w:after="0"/>
              <w:rPr>
                <w:sz w:val="6"/>
                <w:szCs w:val="6"/>
                <w:color w:val="auto"/>
              </w:rPr>
            </w:pPr>
          </w:p>
        </w:tc>
      </w:tr>
      <w:tr>
        <w:trPr>
          <w:trHeight w:val="298"/>
        </w:trPr>
        <w:tc>
          <w:tcPr>
            <w:tcW w:w="11420" w:type="dxa"/>
            <w:vAlign w:val="bottom"/>
            <w:gridSpan w:val="6"/>
          </w:tcPr>
          <w:p>
            <w:pPr>
              <w:jc w:val="center"/>
              <w:spacing w:after="0"/>
              <w:rPr>
                <w:sz w:val="20"/>
                <w:szCs w:val="20"/>
                <w:color w:val="auto"/>
              </w:rPr>
            </w:pPr>
            <w:r>
              <w:rPr>
                <w:rFonts w:ascii="Arial" w:cs="Arial" w:eastAsia="Arial" w:hAnsi="Arial"/>
                <w:sz w:val="16"/>
                <w:szCs w:val="16"/>
                <w:b w:val="1"/>
                <w:bCs w:val="1"/>
                <w:color w:val="auto"/>
                <w:w w:val="89"/>
              </w:rPr>
              <w:t>Securities registered under Section 12(b) of the Exchange Act:</w:t>
            </w:r>
          </w:p>
        </w:tc>
      </w:tr>
      <w:tr>
        <w:trPr>
          <w:trHeight w:val="182"/>
        </w:trPr>
        <w:tc>
          <w:tcPr>
            <w:tcW w:w="4020" w:type="dxa"/>
            <w:vAlign w:val="bottom"/>
            <w:tcBorders>
              <w:bottom w:val="single" w:sz="8" w:color="auto"/>
            </w:tcBorders>
          </w:tcPr>
          <w:p>
            <w:pPr>
              <w:jc w:val="center"/>
              <w:ind w:left="1646"/>
              <w:spacing w:after="0"/>
              <w:rPr>
                <w:sz w:val="20"/>
                <w:szCs w:val="20"/>
                <w:color w:val="auto"/>
              </w:rPr>
            </w:pPr>
            <w:r>
              <w:rPr>
                <w:rFonts w:ascii="Arial" w:cs="Arial" w:eastAsia="Arial" w:hAnsi="Arial"/>
                <w:sz w:val="13"/>
                <w:szCs w:val="13"/>
                <w:b w:val="1"/>
                <w:bCs w:val="1"/>
                <w:color w:val="auto"/>
                <w:w w:val="83"/>
              </w:rPr>
              <w:t>Title of each class</w:t>
            </w: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tcPr>
          <w:p>
            <w:pPr>
              <w:jc w:val="center"/>
              <w:ind w:right="971"/>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204"/>
        </w:trPr>
        <w:tc>
          <w:tcPr>
            <w:tcW w:w="4020" w:type="dxa"/>
            <w:vAlign w:val="bottom"/>
          </w:tcPr>
          <w:p>
            <w:pPr>
              <w:jc w:val="center"/>
              <w:ind w:left="1626"/>
              <w:spacing w:after="0"/>
              <w:rPr>
                <w:sz w:val="20"/>
                <w:szCs w:val="20"/>
                <w:color w:val="auto"/>
              </w:rPr>
            </w:pPr>
            <w:r>
              <w:rPr>
                <w:rFonts w:ascii="Arial" w:cs="Arial" w:eastAsia="Arial" w:hAnsi="Arial"/>
                <w:sz w:val="16"/>
                <w:szCs w:val="16"/>
                <w:b w:val="1"/>
                <w:bCs w:val="1"/>
                <w:color w:val="auto"/>
                <w:w w:val="91"/>
              </w:rPr>
              <w:t>Common Stock, $0.001 par value</w:t>
            </w: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580" w:type="dxa"/>
            <w:vAlign w:val="bottom"/>
          </w:tcPr>
          <w:p>
            <w:pPr>
              <w:jc w:val="center"/>
              <w:ind w:right="951"/>
              <w:spacing w:after="0"/>
              <w:rPr>
                <w:sz w:val="20"/>
                <w:szCs w:val="20"/>
                <w:color w:val="auto"/>
              </w:rPr>
            </w:pPr>
            <w:r>
              <w:rPr>
                <w:rFonts w:ascii="Arial" w:cs="Arial" w:eastAsia="Arial" w:hAnsi="Arial"/>
                <w:sz w:val="16"/>
                <w:szCs w:val="16"/>
                <w:b w:val="1"/>
                <w:bCs w:val="1"/>
                <w:color w:val="auto"/>
                <w:w w:val="95"/>
              </w:rPr>
              <w:t>The NASDAQ Global Select Market</w:t>
            </w:r>
          </w:p>
        </w:tc>
      </w:tr>
    </w:tbl>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Exchange Act:</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80645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ind w:left="520" w:right="2280"/>
        <w:spacing w:after="0" w:line="283" w:lineRule="exact"/>
        <w:rPr>
          <w:sz w:val="20"/>
          <w:szCs w:val="20"/>
          <w:color w:val="auto"/>
        </w:rPr>
      </w:pPr>
      <w:r>
        <w:rPr>
          <w:rFonts w:ascii="Arial" w:cs="Arial" w:eastAsia="Arial" w:hAnsi="Arial"/>
          <w:sz w:val="15"/>
          <w:szCs w:val="15"/>
          <w:color w:val="auto"/>
        </w:rPr>
        <w:t xml:space="preserve">Indicate by a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a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right="34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ind w:right="30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500" w:firstLine="518"/>
        <w:spacing w:after="0" w:line="21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87" w:lineRule="exact"/>
        <w:rPr>
          <w:sz w:val="24"/>
          <w:szCs w:val="24"/>
          <w:color w:val="auto"/>
        </w:rPr>
      </w:pPr>
    </w:p>
    <w:p>
      <w:pPr>
        <w:ind w:right="220" w:firstLine="518"/>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4"/>
          <w:szCs w:val="24"/>
          <w:color w:val="auto"/>
        </w:rPr>
      </w:pPr>
    </w:p>
    <w:p>
      <w:pPr>
        <w:spacing w:after="0" w:line="184" w:lineRule="exact"/>
        <w:tabs>
          <w:tab w:leader="none" w:pos="2880" w:val="left"/>
          <w:tab w:leader="none" w:pos="5120" w:val="left"/>
          <w:tab w:leader="none" w:pos="78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27" w:lineRule="exact"/>
        <w:rPr>
          <w:sz w:val="24"/>
          <w:szCs w:val="24"/>
          <w:color w:val="auto"/>
        </w:rPr>
      </w:pPr>
    </w:p>
    <w:p>
      <w:pPr>
        <w:ind w:left="5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7" w:lineRule="exact"/>
        <w:rPr>
          <w:sz w:val="24"/>
          <w:szCs w:val="24"/>
          <w:color w:val="auto"/>
        </w:rPr>
      </w:pPr>
    </w:p>
    <w:p>
      <w:pPr>
        <w:ind w:right="100" w:firstLine="518"/>
        <w:spacing w:after="0" w:line="273" w:lineRule="auto"/>
        <w:rPr>
          <w:sz w:val="20"/>
          <w:szCs w:val="20"/>
          <w:color w:val="auto"/>
        </w:rPr>
      </w:pPr>
      <w:r>
        <w:rPr>
          <w:rFonts w:ascii="Arial" w:cs="Arial" w:eastAsia="Arial" w:hAnsi="Arial"/>
          <w:sz w:val="16"/>
          <w:szCs w:val="16"/>
          <w:color w:val="auto"/>
        </w:rPr>
        <w:t>The aggregate market value of issuer’s voting and non-voting outstanding Common Stock held by non-affiliates was approximately $760 million based upon the closing stock price of issuer’s Common Stock on March 31, 2014. Shares of common stock held by each officer and director and by each person who is known to own 10% or more of the outstanding Common Stock have been excluded in that such persons may be deemed to be affiliates of the Company. This determination of affiliate status is not necessarily a conclusive determination for other purposes.</w:t>
      </w:r>
    </w:p>
    <w:p>
      <w:pPr>
        <w:spacing w:after="0" w:line="81"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November 24, 2014, 54,682,636 shares of the issuer’s Common Stock were issued and outstanding.</w:t>
      </w:r>
    </w:p>
    <w:p>
      <w:pPr>
        <w:spacing w:after="0" w:line="42" w:lineRule="exact"/>
        <w:rPr>
          <w:sz w:val="24"/>
          <w:szCs w:val="24"/>
          <w:color w:val="auto"/>
        </w:rPr>
      </w:pPr>
    </w:p>
    <w:p>
      <w:pPr>
        <w:ind w:left="41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100" w:firstLine="518"/>
        <w:spacing w:after="0" w:line="293" w:lineRule="auto"/>
        <w:rPr>
          <w:sz w:val="20"/>
          <w:szCs w:val="20"/>
          <w:color w:val="auto"/>
        </w:rPr>
      </w:pPr>
      <w:r>
        <w:rPr>
          <w:rFonts w:ascii="Arial" w:cs="Arial" w:eastAsia="Arial" w:hAnsi="Arial"/>
          <w:sz w:val="16"/>
          <w:szCs w:val="16"/>
          <w:color w:val="auto"/>
        </w:rPr>
        <w:t>Portions of the Definitive Proxy Statement to be filed for Arrowhead Research Corporation’s 2015 Annual Meeting of Stockholders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140" w:type="dxa"/>
            <w:vAlign w:val="bottom"/>
            <w:gridSpan w:val="8"/>
          </w:tcPr>
          <w:p>
            <w:pPr>
              <w:ind w:left="14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r>
      <w:tr>
        <w:trPr>
          <w:trHeight w:val="459"/>
        </w:trPr>
        <w:tc>
          <w:tcPr>
            <w:tcW w:w="9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7"/>
        </w:trPr>
        <w:tc>
          <w:tcPr>
            <w:tcW w:w="96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w:t>
            </w:r>
          </w:p>
        </w:tc>
        <w:tc>
          <w:tcPr>
            <w:tcW w:w="68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B</w:t>
              </w:r>
              <w:r>
                <w:rPr>
                  <w:rFonts w:ascii="Arial" w:cs="Arial" w:eastAsia="Arial" w:hAnsi="Arial"/>
                  <w:sz w:val="13"/>
                  <w:szCs w:val="13"/>
                  <w:color w:val="0000EE"/>
                  <w:w w:val="95"/>
                </w:rPr>
                <w:t>USINESS</w:t>
              </w:r>
            </w:hyperlink>
          </w:p>
        </w:tc>
        <w:tc>
          <w:tcPr>
            <w:tcW w:w="9120" w:type="dxa"/>
            <w:vAlign w:val="bottom"/>
            <w:gridSpan w:val="2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1A.</w:t>
            </w:r>
          </w:p>
        </w:tc>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R</w:t>
              </w:r>
              <w:r>
                <w:rPr>
                  <w:rFonts w:ascii="Arial" w:cs="Arial" w:eastAsia="Arial" w:hAnsi="Arial"/>
                  <w:sz w:val="13"/>
                  <w:szCs w:val="13"/>
                  <w:color w:val="0000EE"/>
                  <w:w w:val="95"/>
                </w:rPr>
                <w:t>ISK</w:t>
              </w:r>
              <w:r>
                <w:rPr>
                  <w:rFonts w:ascii="Arial" w:cs="Arial" w:eastAsia="Arial" w:hAnsi="Arial"/>
                  <w:sz w:val="18"/>
                  <w:szCs w:val="18"/>
                  <w:color w:val="0000EE"/>
                  <w:w w:val="95"/>
                </w:rPr>
                <w:t xml:space="preserve"> F</w:t>
              </w:r>
              <w:r>
                <w:rPr>
                  <w:rFonts w:ascii="Arial" w:cs="Arial" w:eastAsia="Arial" w:hAnsi="Arial"/>
                  <w:sz w:val="13"/>
                  <w:szCs w:val="13"/>
                  <w:color w:val="0000EE"/>
                  <w:w w:val="95"/>
                </w:rPr>
                <w:t>ACTORS</w:t>
              </w:r>
            </w:hyperlink>
          </w:p>
        </w:tc>
        <w:tc>
          <w:tcPr>
            <w:tcW w:w="8780" w:type="dxa"/>
            <w:vAlign w:val="bottom"/>
            <w:gridSpan w:val="1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1B.</w:t>
            </w:r>
          </w:p>
        </w:tc>
        <w:tc>
          <w:tcPr>
            <w:tcW w:w="224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46">
              <w:r>
                <w:rPr>
                  <w:rFonts w:ascii="Arial" w:cs="Arial" w:eastAsia="Arial" w:hAnsi="Arial"/>
                  <w:sz w:val="18"/>
                  <w:szCs w:val="18"/>
                  <w:color w:val="0000EE"/>
                  <w:w w:val="97"/>
                </w:rPr>
                <w:t>U</w:t>
              </w:r>
              <w:r>
                <w:rPr>
                  <w:rFonts w:ascii="Arial" w:cs="Arial" w:eastAsia="Arial" w:hAnsi="Arial"/>
                  <w:sz w:val="13"/>
                  <w:szCs w:val="13"/>
                  <w:color w:val="0000EE"/>
                  <w:w w:val="97"/>
                </w:rPr>
                <w:t>NRESOLVED</w:t>
              </w:r>
              <w:r>
                <w:rPr>
                  <w:rFonts w:ascii="Arial" w:cs="Arial" w:eastAsia="Arial" w:hAnsi="Arial"/>
                  <w:sz w:val="18"/>
                  <w:szCs w:val="18"/>
                  <w:color w:val="0000EE"/>
                  <w:w w:val="97"/>
                </w:rPr>
                <w:t xml:space="preserve"> S</w:t>
              </w:r>
              <w:r>
                <w:rPr>
                  <w:rFonts w:ascii="Arial" w:cs="Arial" w:eastAsia="Arial" w:hAnsi="Arial"/>
                  <w:sz w:val="13"/>
                  <w:szCs w:val="13"/>
                  <w:color w:val="0000EE"/>
                  <w:w w:val="97"/>
                </w:rPr>
                <w:t>TAFF</w:t>
              </w:r>
              <w:r>
                <w:rPr>
                  <w:rFonts w:ascii="Arial" w:cs="Arial" w:eastAsia="Arial" w:hAnsi="Arial"/>
                  <w:sz w:val="18"/>
                  <w:szCs w:val="18"/>
                  <w:color w:val="0000EE"/>
                  <w:w w:val="97"/>
                </w:rPr>
                <w:t xml:space="preserve"> C</w:t>
              </w:r>
              <w:r>
                <w:rPr>
                  <w:rFonts w:ascii="Arial" w:cs="Arial" w:eastAsia="Arial" w:hAnsi="Arial"/>
                  <w:sz w:val="13"/>
                  <w:szCs w:val="13"/>
                  <w:color w:val="0000EE"/>
                  <w:w w:val="97"/>
                </w:rPr>
                <w:t>OMMENTS</w:t>
              </w:r>
            </w:hyperlink>
          </w:p>
        </w:tc>
        <w:tc>
          <w:tcPr>
            <w:tcW w:w="7560" w:type="dxa"/>
            <w:vAlign w:val="bottom"/>
            <w:gridSpan w:val="1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2.</w:t>
            </w:r>
          </w:p>
        </w:tc>
        <w:tc>
          <w:tcPr>
            <w:tcW w:w="8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P</w:t>
              </w:r>
              <w:r>
                <w:rPr>
                  <w:rFonts w:ascii="Arial" w:cs="Arial" w:eastAsia="Arial" w:hAnsi="Arial"/>
                  <w:sz w:val="13"/>
                  <w:szCs w:val="13"/>
                  <w:color w:val="0000EE"/>
                  <w:w w:val="91"/>
                </w:rPr>
                <w:t>ROPERTIES</w:t>
              </w:r>
            </w:hyperlink>
          </w:p>
        </w:tc>
        <w:tc>
          <w:tcPr>
            <w:tcW w:w="8980" w:type="dxa"/>
            <w:vAlign w:val="bottom"/>
            <w:gridSpan w:val="1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3.</w:t>
            </w:r>
          </w:p>
        </w:tc>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46">
              <w:r>
                <w:rPr>
                  <w:rFonts w:ascii="Arial" w:cs="Arial" w:eastAsia="Arial" w:hAnsi="Arial"/>
                  <w:sz w:val="18"/>
                  <w:szCs w:val="18"/>
                  <w:color w:val="0000EE"/>
                  <w:w w:val="97"/>
                </w:rPr>
                <w:t>L</w:t>
              </w:r>
              <w:r>
                <w:rPr>
                  <w:rFonts w:ascii="Arial" w:cs="Arial" w:eastAsia="Arial" w:hAnsi="Arial"/>
                  <w:sz w:val="13"/>
                  <w:szCs w:val="13"/>
                  <w:color w:val="0000EE"/>
                  <w:w w:val="97"/>
                </w:rPr>
                <w:t>EGAL</w:t>
              </w:r>
              <w:r>
                <w:rPr>
                  <w:rFonts w:ascii="Arial" w:cs="Arial" w:eastAsia="Arial" w:hAnsi="Arial"/>
                  <w:sz w:val="18"/>
                  <w:szCs w:val="18"/>
                  <w:color w:val="0000EE"/>
                  <w:w w:val="97"/>
                </w:rPr>
                <w:t xml:space="preserve"> P</w:t>
              </w:r>
              <w:r>
                <w:rPr>
                  <w:rFonts w:ascii="Arial" w:cs="Arial" w:eastAsia="Arial" w:hAnsi="Arial"/>
                  <w:sz w:val="13"/>
                  <w:szCs w:val="13"/>
                  <w:color w:val="0000EE"/>
                  <w:w w:val="97"/>
                </w:rPr>
                <w:t>ROCEEDINGS</w:t>
              </w:r>
            </w:hyperlink>
          </w:p>
        </w:tc>
        <w:tc>
          <w:tcPr>
            <w:tcW w:w="832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4.</w:t>
            </w:r>
          </w:p>
        </w:tc>
        <w:tc>
          <w:tcPr>
            <w:tcW w:w="9800" w:type="dxa"/>
            <w:vAlign w:val="bottom"/>
            <w:gridSpan w:val="2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M</w:t>
              </w:r>
              <w:r>
                <w:rPr>
                  <w:rFonts w:ascii="Arial" w:cs="Arial" w:eastAsia="Arial" w:hAnsi="Arial"/>
                  <w:sz w:val="13"/>
                  <w:szCs w:val="13"/>
                  <w:color w:val="0000EE"/>
                </w:rPr>
                <w:t>INE</w:t>
              </w:r>
              <w:r>
                <w:rPr>
                  <w:rFonts w:ascii="Arial" w:cs="Arial" w:eastAsia="Arial" w:hAnsi="Arial"/>
                  <w:sz w:val="18"/>
                  <w:szCs w:val="18"/>
                  <w:color w:val="0000EE"/>
                </w:rPr>
                <w:t xml:space="preserve"> S</w:t>
              </w:r>
              <w:r>
                <w:rPr>
                  <w:rFonts w:ascii="Arial" w:cs="Arial" w:eastAsia="Arial" w:hAnsi="Arial"/>
                  <w:sz w:val="13"/>
                  <w:szCs w:val="13"/>
                  <w:color w:val="0000EE"/>
                </w:rPr>
                <w:t>AFETY</w:t>
              </w:r>
              <w:r>
                <w:rPr>
                  <w:rFonts w:ascii="Arial" w:cs="Arial" w:eastAsia="Arial" w:hAnsi="Arial"/>
                  <w:sz w:val="18"/>
                  <w:szCs w:val="18"/>
                  <w:color w:val="0000EE"/>
                </w:rPr>
                <w:t xml:space="preserve"> D</w:t>
              </w:r>
              <w:r>
                <w:rPr>
                  <w:rFonts w:ascii="Arial" w:cs="Arial" w:eastAsia="Arial" w:hAnsi="Arial"/>
                  <w:sz w:val="13"/>
                  <w:szCs w:val="13"/>
                  <w:color w:val="0000EE"/>
                </w:rPr>
                <w:t>ISCLOSURES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3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7"/>
        </w:trPr>
        <w:tc>
          <w:tcPr>
            <w:tcW w:w="96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5.</w:t>
            </w:r>
          </w:p>
        </w:tc>
        <w:tc>
          <w:tcPr>
            <w:tcW w:w="938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M</w:t>
              </w:r>
              <w:r>
                <w:rPr>
                  <w:rFonts w:ascii="Arial" w:cs="Arial" w:eastAsia="Arial" w:hAnsi="Arial"/>
                  <w:sz w:val="13"/>
                  <w:szCs w:val="13"/>
                  <w:color w:val="0000EE"/>
                  <w:w w:val="99"/>
                </w:rPr>
                <w:t>ARKET FOR THE</w:t>
              </w:r>
              <w:r>
                <w:rPr>
                  <w:rFonts w:ascii="Arial" w:cs="Arial" w:eastAsia="Arial" w:hAnsi="Arial"/>
                  <w:sz w:val="18"/>
                  <w:szCs w:val="18"/>
                  <w:color w:val="0000EE"/>
                  <w:w w:val="99"/>
                </w:rPr>
                <w:t xml:space="preserve"> R</w:t>
              </w:r>
              <w:r>
                <w:rPr>
                  <w:rFonts w:ascii="Arial" w:cs="Arial" w:eastAsia="Arial" w:hAnsi="Arial"/>
                  <w:sz w:val="13"/>
                  <w:szCs w:val="13"/>
                  <w:color w:val="0000EE"/>
                  <w:w w:val="99"/>
                </w:rPr>
                <w:t>EGISTRANT</w:t>
              </w:r>
              <w:r>
                <w:rPr>
                  <w:rFonts w:ascii="Arial" w:cs="Arial" w:eastAsia="Arial" w:hAnsi="Arial"/>
                  <w:sz w:val="18"/>
                  <w:szCs w:val="18"/>
                  <w:color w:val="0000EE"/>
                  <w:w w:val="99"/>
                </w:rPr>
                <w:t>’</w:t>
              </w:r>
              <w:r>
                <w:rPr>
                  <w:rFonts w:ascii="Arial" w:cs="Arial" w:eastAsia="Arial" w:hAnsi="Arial"/>
                  <w:sz w:val="13"/>
                  <w:szCs w:val="13"/>
                  <w:color w:val="0000EE"/>
                  <w:w w:val="99"/>
                </w:rPr>
                <w:t>S</w:t>
              </w:r>
              <w:r>
                <w:rPr>
                  <w:rFonts w:ascii="Arial" w:cs="Arial" w:eastAsia="Arial" w:hAnsi="Arial"/>
                  <w:sz w:val="18"/>
                  <w:szCs w:val="18"/>
                  <w:color w:val="0000EE"/>
                  <w:w w:val="99"/>
                </w:rPr>
                <w:t xml:space="preserve"> C</w:t>
              </w:r>
              <w:r>
                <w:rPr>
                  <w:rFonts w:ascii="Arial" w:cs="Arial" w:eastAsia="Arial" w:hAnsi="Arial"/>
                  <w:sz w:val="13"/>
                  <w:szCs w:val="13"/>
                  <w:color w:val="0000EE"/>
                  <w:w w:val="99"/>
                </w:rPr>
                <w:t>OMMON</w:t>
              </w:r>
              <w:r>
                <w:rPr>
                  <w:rFonts w:ascii="Arial" w:cs="Arial" w:eastAsia="Arial" w:hAnsi="Arial"/>
                  <w:sz w:val="18"/>
                  <w:szCs w:val="18"/>
                  <w:color w:val="0000EE"/>
                  <w:w w:val="99"/>
                </w:rPr>
                <w:t xml:space="preserve"> E</w:t>
              </w:r>
              <w:r>
                <w:rPr>
                  <w:rFonts w:ascii="Arial" w:cs="Arial" w:eastAsia="Arial" w:hAnsi="Arial"/>
                  <w:sz w:val="13"/>
                  <w:szCs w:val="13"/>
                  <w:color w:val="0000EE"/>
                  <w:w w:val="99"/>
                </w:rPr>
                <w:t>QUITY</w:t>
              </w:r>
              <w:r>
                <w:rPr>
                  <w:rFonts w:ascii="Arial" w:cs="Arial" w:eastAsia="Arial" w:hAnsi="Arial"/>
                  <w:sz w:val="18"/>
                  <w:szCs w:val="18"/>
                  <w:color w:val="0000EE"/>
                  <w:w w:val="99"/>
                </w:rPr>
                <w:t>, R</w:t>
              </w:r>
              <w:r>
                <w:rPr>
                  <w:rFonts w:ascii="Arial" w:cs="Arial" w:eastAsia="Arial" w:hAnsi="Arial"/>
                  <w:sz w:val="13"/>
                  <w:szCs w:val="13"/>
                  <w:color w:val="0000EE"/>
                  <w:w w:val="99"/>
                </w:rPr>
                <w:t>ELATED</w:t>
              </w:r>
              <w:r>
                <w:rPr>
                  <w:rFonts w:ascii="Arial" w:cs="Arial" w:eastAsia="Arial" w:hAnsi="Arial"/>
                  <w:sz w:val="18"/>
                  <w:szCs w:val="18"/>
                  <w:color w:val="0000EE"/>
                  <w:w w:val="99"/>
                </w:rPr>
                <w:t xml:space="preserve"> S</w:t>
              </w:r>
              <w:r>
                <w:rPr>
                  <w:rFonts w:ascii="Arial" w:cs="Arial" w:eastAsia="Arial" w:hAnsi="Arial"/>
                  <w:sz w:val="13"/>
                  <w:szCs w:val="13"/>
                  <w:color w:val="0000EE"/>
                  <w:w w:val="99"/>
                </w:rPr>
                <w:t>TOCKHOLDER</w:t>
              </w:r>
              <w:r>
                <w:rPr>
                  <w:rFonts w:ascii="Arial" w:cs="Arial" w:eastAsia="Arial" w:hAnsi="Arial"/>
                  <w:sz w:val="18"/>
                  <w:szCs w:val="18"/>
                  <w:color w:val="0000EE"/>
                  <w:w w:val="99"/>
                </w:rPr>
                <w:t xml:space="preserve"> M</w:t>
              </w:r>
              <w:r>
                <w:rPr>
                  <w:rFonts w:ascii="Arial" w:cs="Arial" w:eastAsia="Arial" w:hAnsi="Arial"/>
                  <w:sz w:val="13"/>
                  <w:szCs w:val="13"/>
                  <w:color w:val="0000EE"/>
                  <w:w w:val="99"/>
                </w:rPr>
                <w:t>ATTERS AND</w:t>
              </w:r>
              <w:r>
                <w:rPr>
                  <w:rFonts w:ascii="Arial" w:cs="Arial" w:eastAsia="Arial" w:hAnsi="Arial"/>
                  <w:sz w:val="18"/>
                  <w:szCs w:val="18"/>
                  <w:color w:val="0000EE"/>
                  <w:w w:val="99"/>
                </w:rPr>
                <w:t xml:space="preserve"> I</w:t>
              </w:r>
              <w:r>
                <w:rPr>
                  <w:rFonts w:ascii="Arial" w:cs="Arial" w:eastAsia="Arial" w:hAnsi="Arial"/>
                  <w:sz w:val="13"/>
                  <w:szCs w:val="13"/>
                  <w:color w:val="0000EE"/>
                  <w:w w:val="99"/>
                </w:rPr>
                <w:t>SSUER</w:t>
              </w:r>
              <w:r>
                <w:rPr>
                  <w:rFonts w:ascii="Arial" w:cs="Arial" w:eastAsia="Arial" w:hAnsi="Arial"/>
                  <w:sz w:val="18"/>
                  <w:szCs w:val="18"/>
                  <w:color w:val="0000EE"/>
                  <w:w w:val="99"/>
                </w:rPr>
                <w:t xml:space="preserve"> P</w:t>
              </w:r>
              <w:r>
                <w:rPr>
                  <w:rFonts w:ascii="Arial" w:cs="Arial" w:eastAsia="Arial" w:hAnsi="Arial"/>
                  <w:sz w:val="13"/>
                  <w:szCs w:val="13"/>
                  <w:color w:val="0000EE"/>
                  <w:w w:val="99"/>
                </w:rPr>
                <w:t>URCHASES OF</w:t>
              </w:r>
              <w:r>
                <w:rPr>
                  <w:rFonts w:ascii="Arial" w:cs="Arial" w:eastAsia="Arial" w:hAnsi="Arial"/>
                  <w:sz w:val="18"/>
                  <w:szCs w:val="18"/>
                  <w:color w:val="0000EE"/>
                  <w:w w:val="99"/>
                </w:rPr>
                <w:t xml:space="preserve"> E</w:t>
              </w:r>
              <w:r>
                <w:rPr>
                  <w:rFonts w:ascii="Arial" w:cs="Arial" w:eastAsia="Arial" w:hAnsi="Arial"/>
                  <w:sz w:val="13"/>
                  <w:szCs w:val="13"/>
                  <w:color w:val="0000EE"/>
                  <w:w w:val="99"/>
                </w:rPr>
                <w:t>QUITY</w:t>
              </w:r>
              <w:r>
                <w:rPr>
                  <w:rFonts w:ascii="Arial" w:cs="Arial" w:eastAsia="Arial" w:hAnsi="Arial"/>
                  <w:sz w:val="18"/>
                  <w:szCs w:val="18"/>
                  <w:color w:val="0000EE"/>
                  <w:w w:val="99"/>
                </w:rPr>
                <w:t xml:space="preserve"> S</w:t>
              </w:r>
              <w:r>
                <w:rPr>
                  <w:rFonts w:ascii="Arial" w:cs="Arial" w:eastAsia="Arial" w:hAnsi="Arial"/>
                  <w:sz w:val="13"/>
                  <w:szCs w:val="13"/>
                  <w:color w:val="0000EE"/>
                  <w:w w:val="99"/>
                </w:rPr>
                <w:t>ECURITIES</w:t>
              </w:r>
            </w:hyperlink>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6.</w:t>
            </w:r>
          </w:p>
        </w:tc>
        <w:tc>
          <w:tcPr>
            <w:tcW w:w="1940" w:type="dxa"/>
            <w:vAlign w:val="bottom"/>
            <w:tcBorders>
              <w:bottom w:val="single" w:sz="8" w:color="0000EE"/>
            </w:tcBorders>
            <w:gridSpan w:val="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w:t>
              </w:r>
              <w:r>
                <w:rPr>
                  <w:rFonts w:ascii="Arial" w:cs="Arial" w:eastAsia="Arial" w:hAnsi="Arial"/>
                  <w:sz w:val="13"/>
                  <w:szCs w:val="13"/>
                  <w:color w:val="0000EE"/>
                </w:rPr>
                <w:t>ELECTED</w:t>
              </w:r>
              <w:r>
                <w:rPr>
                  <w:rFonts w:ascii="Arial" w:cs="Arial" w:eastAsia="Arial" w:hAnsi="Arial"/>
                  <w:sz w:val="18"/>
                  <w:szCs w:val="18"/>
                  <w:color w:val="0000EE"/>
                </w:rPr>
                <w:t xml:space="preserve"> F</w:t>
              </w:r>
              <w:r>
                <w:rPr>
                  <w:rFonts w:ascii="Arial" w:cs="Arial" w:eastAsia="Arial" w:hAnsi="Arial"/>
                  <w:sz w:val="13"/>
                  <w:szCs w:val="13"/>
                  <w:color w:val="0000EE"/>
                </w:rPr>
                <w:t>INANCIAL</w:t>
              </w:r>
              <w:r>
                <w:rPr>
                  <w:rFonts w:ascii="Arial" w:cs="Arial" w:eastAsia="Arial" w:hAnsi="Arial"/>
                  <w:sz w:val="18"/>
                  <w:szCs w:val="18"/>
                  <w:color w:val="0000EE"/>
                </w:rPr>
                <w:t xml:space="preserve"> D</w:t>
              </w:r>
              <w:r>
                <w:rPr>
                  <w:rFonts w:ascii="Arial" w:cs="Arial" w:eastAsia="Arial" w:hAnsi="Arial"/>
                  <w:sz w:val="13"/>
                  <w:szCs w:val="13"/>
                  <w:color w:val="0000EE"/>
                </w:rPr>
                <w:t>ATA</w:t>
              </w:r>
            </w:hyperlink>
          </w:p>
        </w:tc>
        <w:tc>
          <w:tcPr>
            <w:tcW w:w="786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7.</w:t>
            </w:r>
          </w:p>
        </w:tc>
        <w:tc>
          <w:tcPr>
            <w:tcW w:w="9800" w:type="dxa"/>
            <w:vAlign w:val="bottom"/>
            <w:gridSpan w:val="2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w:t>
              </w:r>
              <w:r>
                <w:rPr>
                  <w:rFonts w:ascii="Arial" w:cs="Arial" w:eastAsia="Arial" w:hAnsi="Arial"/>
                  <w:sz w:val="13"/>
                  <w:szCs w:val="13"/>
                  <w:color w:val="0000EE"/>
                </w:rPr>
                <w:t>ANAGEMENT</w:t>
              </w:r>
              <w:r>
                <w:rPr>
                  <w:rFonts w:ascii="Arial" w:cs="Arial" w:eastAsia="Arial" w:hAnsi="Arial"/>
                  <w:sz w:val="18"/>
                  <w:szCs w:val="18"/>
                  <w:color w:val="0000EE"/>
                </w:rPr>
                <w:t>’</w:t>
              </w:r>
              <w:r>
                <w:rPr>
                  <w:rFonts w:ascii="Arial" w:cs="Arial" w:eastAsia="Arial" w:hAnsi="Arial"/>
                  <w:sz w:val="13"/>
                  <w:szCs w:val="13"/>
                  <w:color w:val="0000EE"/>
                </w:rPr>
                <w:t>S</w:t>
              </w:r>
              <w:r>
                <w:rPr>
                  <w:rFonts w:ascii="Arial" w:cs="Arial" w:eastAsia="Arial" w:hAnsi="Arial"/>
                  <w:sz w:val="18"/>
                  <w:szCs w:val="18"/>
                  <w:color w:val="0000EE"/>
                </w:rPr>
                <w:t xml:space="preserve"> D</w:t>
              </w:r>
              <w:r>
                <w:rPr>
                  <w:rFonts w:ascii="Arial" w:cs="Arial" w:eastAsia="Arial" w:hAnsi="Arial"/>
                  <w:sz w:val="13"/>
                  <w:szCs w:val="13"/>
                  <w:color w:val="0000EE"/>
                </w:rPr>
                <w:t>ISCUSSION AND</w:t>
              </w:r>
              <w:r>
                <w:rPr>
                  <w:rFonts w:ascii="Arial" w:cs="Arial" w:eastAsia="Arial" w:hAnsi="Arial"/>
                  <w:sz w:val="18"/>
                  <w:szCs w:val="18"/>
                  <w:color w:val="0000EE"/>
                </w:rPr>
                <w:t xml:space="preserve"> A</w:t>
              </w:r>
              <w:r>
                <w:rPr>
                  <w:rFonts w:ascii="Arial" w:cs="Arial" w:eastAsia="Arial" w:hAnsi="Arial"/>
                  <w:sz w:val="13"/>
                  <w:szCs w:val="13"/>
                  <w:color w:val="0000EE"/>
                </w:rPr>
                <w:t>NALYSIS OF</w:t>
              </w:r>
              <w:r>
                <w:rPr>
                  <w:rFonts w:ascii="Arial" w:cs="Arial" w:eastAsia="Arial" w:hAnsi="Arial"/>
                  <w:sz w:val="18"/>
                  <w:szCs w:val="18"/>
                  <w:color w:val="0000EE"/>
                </w:rPr>
                <w:t xml:space="preserve"> F</w:t>
              </w:r>
              <w:r>
                <w:rPr>
                  <w:rFonts w:ascii="Arial" w:cs="Arial" w:eastAsia="Arial" w:hAnsi="Arial"/>
                  <w:sz w:val="13"/>
                  <w:szCs w:val="13"/>
                  <w:color w:val="0000EE"/>
                </w:rPr>
                <w:t>INANCIAL</w:t>
              </w:r>
              <w:r>
                <w:rPr>
                  <w:rFonts w:ascii="Arial" w:cs="Arial" w:eastAsia="Arial" w:hAnsi="Arial"/>
                  <w:sz w:val="18"/>
                  <w:szCs w:val="18"/>
                  <w:color w:val="0000EE"/>
                </w:rPr>
                <w:t xml:space="preserve"> C</w:t>
              </w:r>
              <w:r>
                <w:rPr>
                  <w:rFonts w:ascii="Arial" w:cs="Arial" w:eastAsia="Arial" w:hAnsi="Arial"/>
                  <w:sz w:val="13"/>
                  <w:szCs w:val="13"/>
                  <w:color w:val="0000EE"/>
                </w:rPr>
                <w:t>ONDITION AND</w:t>
              </w:r>
              <w:r>
                <w:rPr>
                  <w:rFonts w:ascii="Arial" w:cs="Arial" w:eastAsia="Arial" w:hAnsi="Arial"/>
                  <w:sz w:val="18"/>
                  <w:szCs w:val="18"/>
                  <w:color w:val="0000EE"/>
                </w:rPr>
                <w:t xml:space="preserve"> R</w:t>
              </w:r>
              <w:r>
                <w:rPr>
                  <w:rFonts w:ascii="Arial" w:cs="Arial" w:eastAsia="Arial" w:hAnsi="Arial"/>
                  <w:sz w:val="13"/>
                  <w:szCs w:val="13"/>
                  <w:color w:val="0000EE"/>
                </w:rPr>
                <w:t>ESULTS OF</w:t>
              </w:r>
              <w:r>
                <w:rPr>
                  <w:rFonts w:ascii="Arial" w:cs="Arial" w:eastAsia="Arial" w:hAnsi="Arial"/>
                  <w:sz w:val="18"/>
                  <w:szCs w:val="18"/>
                  <w:color w:val="0000EE"/>
                </w:rPr>
                <w:t xml:space="preserve"> O</w:t>
              </w:r>
              <w:r>
                <w:rPr>
                  <w:rFonts w:ascii="Arial" w:cs="Arial" w:eastAsia="Arial" w:hAnsi="Arial"/>
                  <w:sz w:val="13"/>
                  <w:szCs w:val="13"/>
                  <w:color w:val="0000EE"/>
                </w:rPr>
                <w:t>PERATIONS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7A.</w:t>
            </w:r>
          </w:p>
        </w:tc>
        <w:tc>
          <w:tcPr>
            <w:tcW w:w="70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Q</w:t>
              </w:r>
              <w:r>
                <w:rPr>
                  <w:rFonts w:ascii="Arial" w:cs="Arial" w:eastAsia="Arial" w:hAnsi="Arial"/>
                  <w:sz w:val="13"/>
                  <w:szCs w:val="13"/>
                  <w:color w:val="0000EE"/>
                </w:rPr>
                <w:t>UANTITATIVE AND</w:t>
              </w:r>
              <w:r>
                <w:rPr>
                  <w:rFonts w:ascii="Arial" w:cs="Arial" w:eastAsia="Arial" w:hAnsi="Arial"/>
                  <w:sz w:val="18"/>
                  <w:szCs w:val="18"/>
                  <w:color w:val="0000EE"/>
                </w:rPr>
                <w:t xml:space="preserve"> Q</w:t>
              </w:r>
              <w:r>
                <w:rPr>
                  <w:rFonts w:ascii="Arial" w:cs="Arial" w:eastAsia="Arial" w:hAnsi="Arial"/>
                  <w:sz w:val="13"/>
                  <w:szCs w:val="13"/>
                  <w:color w:val="0000EE"/>
                </w:rPr>
                <w:t>UALITATIVE</w:t>
              </w:r>
              <w:r>
                <w:rPr>
                  <w:rFonts w:ascii="Arial" w:cs="Arial" w:eastAsia="Arial" w:hAnsi="Arial"/>
                  <w:sz w:val="18"/>
                  <w:szCs w:val="18"/>
                  <w:color w:val="0000EE"/>
                </w:rPr>
                <w:t xml:space="preserve"> D</w:t>
              </w:r>
              <w:r>
                <w:rPr>
                  <w:rFonts w:ascii="Arial" w:cs="Arial" w:eastAsia="Arial" w:hAnsi="Arial"/>
                  <w:sz w:val="13"/>
                  <w:szCs w:val="13"/>
                  <w:color w:val="0000EE"/>
                </w:rPr>
                <w:t>ISCLOSURES</w:t>
              </w:r>
              <w:r>
                <w:rPr>
                  <w:rFonts w:ascii="Arial" w:cs="Arial" w:eastAsia="Arial" w:hAnsi="Arial"/>
                  <w:sz w:val="18"/>
                  <w:szCs w:val="18"/>
                  <w:color w:val="0000EE"/>
                </w:rPr>
                <w:t xml:space="preserve"> A</w:t>
              </w:r>
              <w:r>
                <w:rPr>
                  <w:rFonts w:ascii="Arial" w:cs="Arial" w:eastAsia="Arial" w:hAnsi="Arial"/>
                  <w:sz w:val="13"/>
                  <w:szCs w:val="13"/>
                  <w:color w:val="0000EE"/>
                </w:rPr>
                <w:t>BOUT</w:t>
              </w:r>
              <w:r>
                <w:rPr>
                  <w:rFonts w:ascii="Arial" w:cs="Arial" w:eastAsia="Arial" w:hAnsi="Arial"/>
                  <w:sz w:val="18"/>
                  <w:szCs w:val="18"/>
                  <w:color w:val="0000EE"/>
                </w:rPr>
                <w:t xml:space="preserve"> M</w:t>
              </w:r>
              <w:r>
                <w:rPr>
                  <w:rFonts w:ascii="Arial" w:cs="Arial" w:eastAsia="Arial" w:hAnsi="Arial"/>
                  <w:sz w:val="13"/>
                  <w:szCs w:val="13"/>
                  <w:color w:val="0000EE"/>
                </w:rPr>
                <w:t>ARKET</w:t>
              </w:r>
              <w:r>
                <w:rPr>
                  <w:rFonts w:ascii="Arial" w:cs="Arial" w:eastAsia="Arial" w:hAnsi="Arial"/>
                  <w:sz w:val="18"/>
                  <w:szCs w:val="18"/>
                  <w:color w:val="0000EE"/>
                </w:rPr>
                <w:t xml:space="preserve"> R</w:t>
              </w:r>
              <w:r>
                <w:rPr>
                  <w:rFonts w:ascii="Arial" w:cs="Arial" w:eastAsia="Arial" w:hAnsi="Arial"/>
                  <w:sz w:val="13"/>
                  <w:szCs w:val="13"/>
                  <w:color w:val="0000EE"/>
                </w:rPr>
                <w:t>ISK</w:t>
              </w:r>
            </w:hyperlink>
          </w:p>
        </w:tc>
        <w:tc>
          <w:tcPr>
            <w:tcW w:w="276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8.</w:t>
            </w:r>
          </w:p>
        </w:tc>
        <w:tc>
          <w:tcPr>
            <w:tcW w:w="36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F</w:t>
              </w:r>
              <w:r>
                <w:rPr>
                  <w:rFonts w:ascii="Arial" w:cs="Arial" w:eastAsia="Arial" w:hAnsi="Arial"/>
                  <w:sz w:val="13"/>
                  <w:szCs w:val="13"/>
                  <w:color w:val="0000EE"/>
                  <w:w w:val="99"/>
                </w:rPr>
                <w:t>INANCIAL</w:t>
              </w:r>
              <w:r>
                <w:rPr>
                  <w:rFonts w:ascii="Arial" w:cs="Arial" w:eastAsia="Arial" w:hAnsi="Arial"/>
                  <w:sz w:val="18"/>
                  <w:szCs w:val="18"/>
                  <w:color w:val="0000EE"/>
                  <w:w w:val="99"/>
                </w:rPr>
                <w:t xml:space="preserve"> S</w:t>
              </w:r>
              <w:r>
                <w:rPr>
                  <w:rFonts w:ascii="Arial" w:cs="Arial" w:eastAsia="Arial" w:hAnsi="Arial"/>
                  <w:sz w:val="13"/>
                  <w:szCs w:val="13"/>
                  <w:color w:val="0000EE"/>
                  <w:w w:val="99"/>
                </w:rPr>
                <w:t>TATEMENTS AND</w:t>
              </w:r>
              <w:r>
                <w:rPr>
                  <w:rFonts w:ascii="Arial" w:cs="Arial" w:eastAsia="Arial" w:hAnsi="Arial"/>
                  <w:sz w:val="18"/>
                  <w:szCs w:val="18"/>
                  <w:color w:val="0000EE"/>
                  <w:w w:val="99"/>
                </w:rPr>
                <w:t xml:space="preserve"> S</w:t>
              </w:r>
              <w:r>
                <w:rPr>
                  <w:rFonts w:ascii="Arial" w:cs="Arial" w:eastAsia="Arial" w:hAnsi="Arial"/>
                  <w:sz w:val="13"/>
                  <w:szCs w:val="13"/>
                  <w:color w:val="0000EE"/>
                  <w:w w:val="99"/>
                </w:rPr>
                <w:t>UPPLEMENTARY</w:t>
              </w:r>
              <w:r>
                <w:rPr>
                  <w:rFonts w:ascii="Arial" w:cs="Arial" w:eastAsia="Arial" w:hAnsi="Arial"/>
                  <w:sz w:val="18"/>
                  <w:szCs w:val="18"/>
                  <w:color w:val="0000EE"/>
                  <w:w w:val="99"/>
                </w:rPr>
                <w:t xml:space="preserve"> D</w:t>
              </w:r>
              <w:r>
                <w:rPr>
                  <w:rFonts w:ascii="Arial" w:cs="Arial" w:eastAsia="Arial" w:hAnsi="Arial"/>
                  <w:sz w:val="13"/>
                  <w:szCs w:val="13"/>
                  <w:color w:val="0000EE"/>
                  <w:w w:val="99"/>
                </w:rPr>
                <w:t>ATA</w:t>
              </w:r>
            </w:hyperlink>
          </w:p>
        </w:tc>
        <w:tc>
          <w:tcPr>
            <w:tcW w:w="1220" w:type="dxa"/>
            <w:vAlign w:val="bottom"/>
            <w:tcBorders>
              <w:top w:val="single" w:sz="8" w:color="0000EE"/>
            </w:tcBorders>
            <w:gridSpan w:val="2"/>
          </w:tcPr>
          <w:p>
            <w:pPr>
              <w:spacing w:after="0"/>
              <w:rPr>
                <w:sz w:val="17"/>
                <w:szCs w:val="17"/>
                <w:color w:val="auto"/>
              </w:rPr>
            </w:pPr>
          </w:p>
        </w:tc>
        <w:tc>
          <w:tcPr>
            <w:tcW w:w="492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9.</w:t>
            </w:r>
          </w:p>
        </w:tc>
        <w:tc>
          <w:tcPr>
            <w:tcW w:w="9800" w:type="dxa"/>
            <w:vAlign w:val="bottom"/>
            <w:gridSpan w:val="2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w:t>
              </w:r>
              <w:r>
                <w:rPr>
                  <w:rFonts w:ascii="Arial" w:cs="Arial" w:eastAsia="Arial" w:hAnsi="Arial"/>
                  <w:sz w:val="13"/>
                  <w:szCs w:val="13"/>
                  <w:color w:val="0000EE"/>
                </w:rPr>
                <w:t>HANGES IN AND</w:t>
              </w:r>
              <w:r>
                <w:rPr>
                  <w:rFonts w:ascii="Arial" w:cs="Arial" w:eastAsia="Arial" w:hAnsi="Arial"/>
                  <w:sz w:val="18"/>
                  <w:szCs w:val="18"/>
                  <w:color w:val="0000EE"/>
                </w:rPr>
                <w:t xml:space="preserve"> D</w:t>
              </w:r>
              <w:r>
                <w:rPr>
                  <w:rFonts w:ascii="Arial" w:cs="Arial" w:eastAsia="Arial" w:hAnsi="Arial"/>
                  <w:sz w:val="13"/>
                  <w:szCs w:val="13"/>
                  <w:color w:val="0000EE"/>
                </w:rPr>
                <w:t>ISAGREEMENTS WITH</w:t>
              </w:r>
              <w:r>
                <w:rPr>
                  <w:rFonts w:ascii="Arial" w:cs="Arial" w:eastAsia="Arial" w:hAnsi="Arial"/>
                  <w:sz w:val="18"/>
                  <w:szCs w:val="18"/>
                  <w:color w:val="0000EE"/>
                </w:rPr>
                <w:t xml:space="preserve"> A</w:t>
              </w:r>
              <w:r>
                <w:rPr>
                  <w:rFonts w:ascii="Arial" w:cs="Arial" w:eastAsia="Arial" w:hAnsi="Arial"/>
                  <w:sz w:val="13"/>
                  <w:szCs w:val="13"/>
                  <w:color w:val="0000EE"/>
                </w:rPr>
                <w:t>CCOUNTANTS ON</w:t>
              </w:r>
              <w:r>
                <w:rPr>
                  <w:rFonts w:ascii="Arial" w:cs="Arial" w:eastAsia="Arial" w:hAnsi="Arial"/>
                  <w:sz w:val="18"/>
                  <w:szCs w:val="18"/>
                  <w:color w:val="0000EE"/>
                </w:rPr>
                <w:t xml:space="preserve"> A</w:t>
              </w:r>
              <w:r>
                <w:rPr>
                  <w:rFonts w:ascii="Arial" w:cs="Arial" w:eastAsia="Arial" w:hAnsi="Arial"/>
                  <w:sz w:val="13"/>
                  <w:szCs w:val="13"/>
                  <w:color w:val="0000EE"/>
                </w:rPr>
                <w:t>CCOUNTING AND</w:t>
              </w:r>
              <w:r>
                <w:rPr>
                  <w:rFonts w:ascii="Arial" w:cs="Arial" w:eastAsia="Arial" w:hAnsi="Arial"/>
                  <w:sz w:val="18"/>
                  <w:szCs w:val="18"/>
                  <w:color w:val="0000EE"/>
                </w:rPr>
                <w:t xml:space="preserve"> F</w:t>
              </w:r>
              <w:r>
                <w:rPr>
                  <w:rFonts w:ascii="Arial" w:cs="Arial" w:eastAsia="Arial" w:hAnsi="Arial"/>
                  <w:sz w:val="13"/>
                  <w:szCs w:val="13"/>
                  <w:color w:val="0000EE"/>
                </w:rPr>
                <w:t>INANCIAL</w:t>
              </w:r>
              <w:r>
                <w:rPr>
                  <w:rFonts w:ascii="Arial" w:cs="Arial" w:eastAsia="Arial" w:hAnsi="Arial"/>
                  <w:sz w:val="18"/>
                  <w:szCs w:val="18"/>
                  <w:color w:val="0000EE"/>
                </w:rPr>
                <w:t xml:space="preserve"> D</w:t>
              </w:r>
              <w:r>
                <w:rPr>
                  <w:rFonts w:ascii="Arial" w:cs="Arial" w:eastAsia="Arial" w:hAnsi="Arial"/>
                  <w:sz w:val="13"/>
                  <w:szCs w:val="13"/>
                  <w:color w:val="0000EE"/>
                </w:rPr>
                <w:t>ISCLOSURE</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9A.</w:t>
            </w:r>
          </w:p>
        </w:tc>
        <w:tc>
          <w:tcPr>
            <w:tcW w:w="2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C</w:t>
              </w:r>
              <w:r>
                <w:rPr>
                  <w:rFonts w:ascii="Arial" w:cs="Arial" w:eastAsia="Arial" w:hAnsi="Arial"/>
                  <w:sz w:val="13"/>
                  <w:szCs w:val="13"/>
                  <w:color w:val="0000EE"/>
                  <w:w w:val="97"/>
                </w:rPr>
                <w:t>ONTROLS AND</w:t>
              </w:r>
              <w:r>
                <w:rPr>
                  <w:rFonts w:ascii="Arial" w:cs="Arial" w:eastAsia="Arial" w:hAnsi="Arial"/>
                  <w:sz w:val="18"/>
                  <w:szCs w:val="18"/>
                  <w:color w:val="0000EE"/>
                  <w:w w:val="97"/>
                </w:rPr>
                <w:t xml:space="preserve"> P</w:t>
              </w:r>
              <w:r>
                <w:rPr>
                  <w:rFonts w:ascii="Arial" w:cs="Arial" w:eastAsia="Arial" w:hAnsi="Arial"/>
                  <w:sz w:val="13"/>
                  <w:szCs w:val="13"/>
                  <w:color w:val="0000EE"/>
                  <w:w w:val="97"/>
                </w:rPr>
                <w:t>ROCEDURES</w:t>
              </w:r>
            </w:hyperlink>
          </w:p>
        </w:tc>
        <w:tc>
          <w:tcPr>
            <w:tcW w:w="5080" w:type="dxa"/>
            <w:vAlign w:val="bottom"/>
            <w:tcBorders>
              <w:top w:val="single" w:sz="8" w:color="0000EE"/>
            </w:tcBorders>
            <w:gridSpan w:val="10"/>
          </w:tcPr>
          <w:p>
            <w:pPr>
              <w:spacing w:after="0"/>
              <w:rPr>
                <w:sz w:val="17"/>
                <w:szCs w:val="17"/>
                <w:color w:val="auto"/>
              </w:rPr>
            </w:pPr>
          </w:p>
        </w:tc>
        <w:tc>
          <w:tcPr>
            <w:tcW w:w="268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9B.</w:t>
            </w:r>
          </w:p>
        </w:tc>
        <w:tc>
          <w:tcPr>
            <w:tcW w:w="9800" w:type="dxa"/>
            <w:vAlign w:val="bottom"/>
            <w:gridSpan w:val="2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w:t>
              </w:r>
              <w:r>
                <w:rPr>
                  <w:rFonts w:ascii="Arial" w:cs="Arial" w:eastAsia="Arial" w:hAnsi="Arial"/>
                  <w:sz w:val="13"/>
                  <w:szCs w:val="13"/>
                  <w:color w:val="0000EE"/>
                </w:rPr>
                <w:t>THER</w:t>
              </w:r>
              <w:r>
                <w:rPr>
                  <w:rFonts w:ascii="Arial" w:cs="Arial" w:eastAsia="Arial" w:hAnsi="Arial"/>
                  <w:sz w:val="18"/>
                  <w:szCs w:val="18"/>
                  <w:color w:val="0000EE"/>
                </w:rPr>
                <w:t xml:space="preserve"> I</w:t>
              </w:r>
              <w:r>
                <w:rPr>
                  <w:rFonts w:ascii="Arial" w:cs="Arial" w:eastAsia="Arial" w:hAnsi="Arial"/>
                  <w:sz w:val="13"/>
                  <w:szCs w:val="13"/>
                  <w:color w:val="0000EE"/>
                </w:rPr>
                <w:t>NFORMATION</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3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7"/>
        </w:trPr>
        <w:tc>
          <w:tcPr>
            <w:tcW w:w="96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10.</w:t>
            </w:r>
          </w:p>
        </w:tc>
        <w:tc>
          <w:tcPr>
            <w:tcW w:w="9800" w:type="dxa"/>
            <w:vAlign w:val="bottom"/>
            <w:gridSpan w:val="2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D</w:t>
              </w:r>
              <w:r>
                <w:rPr>
                  <w:rFonts w:ascii="Arial" w:cs="Arial" w:eastAsia="Arial" w:hAnsi="Arial"/>
                  <w:sz w:val="13"/>
                  <w:szCs w:val="13"/>
                  <w:color w:val="0000EE"/>
                </w:rPr>
                <w:t>IRECTORS</w:t>
              </w:r>
              <w:r>
                <w:rPr>
                  <w:rFonts w:ascii="Arial" w:cs="Arial" w:eastAsia="Arial" w:hAnsi="Arial"/>
                  <w:sz w:val="18"/>
                  <w:szCs w:val="18"/>
                  <w:color w:val="0000EE"/>
                </w:rPr>
                <w:t>, E</w:t>
              </w:r>
              <w:r>
                <w:rPr>
                  <w:rFonts w:ascii="Arial" w:cs="Arial" w:eastAsia="Arial" w:hAnsi="Arial"/>
                  <w:sz w:val="13"/>
                  <w:szCs w:val="13"/>
                  <w:color w:val="0000EE"/>
                </w:rPr>
                <w:t>XECUTIVE</w:t>
              </w:r>
              <w:r>
                <w:rPr>
                  <w:rFonts w:ascii="Arial" w:cs="Arial" w:eastAsia="Arial" w:hAnsi="Arial"/>
                  <w:sz w:val="18"/>
                  <w:szCs w:val="18"/>
                  <w:color w:val="0000EE"/>
                </w:rPr>
                <w:t xml:space="preserve"> O</w:t>
              </w:r>
              <w:r>
                <w:rPr>
                  <w:rFonts w:ascii="Arial" w:cs="Arial" w:eastAsia="Arial" w:hAnsi="Arial"/>
                  <w:sz w:val="13"/>
                  <w:szCs w:val="13"/>
                  <w:color w:val="0000EE"/>
                </w:rPr>
                <w:t>FFICERS</w:t>
              </w:r>
              <w:r>
                <w:rPr>
                  <w:rFonts w:ascii="Arial" w:cs="Arial" w:eastAsia="Arial" w:hAnsi="Arial"/>
                  <w:sz w:val="18"/>
                  <w:szCs w:val="18"/>
                  <w:color w:val="0000EE"/>
                </w:rPr>
                <w:t xml:space="preserve">, </w:t>
              </w:r>
              <w:r>
                <w:rPr>
                  <w:rFonts w:ascii="Arial" w:cs="Arial" w:eastAsia="Arial" w:hAnsi="Arial"/>
                  <w:sz w:val="13"/>
                  <w:szCs w:val="13"/>
                  <w:color w:val="0000EE"/>
                </w:rPr>
                <w:t>AND</w:t>
              </w:r>
              <w:r>
                <w:rPr>
                  <w:rFonts w:ascii="Arial" w:cs="Arial" w:eastAsia="Arial" w:hAnsi="Arial"/>
                  <w:sz w:val="18"/>
                  <w:szCs w:val="18"/>
                  <w:color w:val="0000EE"/>
                </w:rPr>
                <w:t xml:space="preserve"> C</w:t>
              </w:r>
              <w:r>
                <w:rPr>
                  <w:rFonts w:ascii="Arial" w:cs="Arial" w:eastAsia="Arial" w:hAnsi="Arial"/>
                  <w:sz w:val="13"/>
                  <w:szCs w:val="13"/>
                  <w:color w:val="0000EE"/>
                </w:rPr>
                <w:t>ORPORATE</w:t>
              </w:r>
              <w:r>
                <w:rPr>
                  <w:rFonts w:ascii="Arial" w:cs="Arial" w:eastAsia="Arial" w:hAnsi="Arial"/>
                  <w:sz w:val="18"/>
                  <w:szCs w:val="18"/>
                  <w:color w:val="0000EE"/>
                </w:rPr>
                <w:t xml:space="preserve"> G</w:t>
              </w:r>
              <w:r>
                <w:rPr>
                  <w:rFonts w:ascii="Arial" w:cs="Arial" w:eastAsia="Arial" w:hAnsi="Arial"/>
                  <w:sz w:val="13"/>
                  <w:szCs w:val="13"/>
                  <w:color w:val="0000EE"/>
                </w:rPr>
                <w:t>OVERNANCE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11.</w:t>
            </w:r>
          </w:p>
        </w:tc>
        <w:tc>
          <w:tcPr>
            <w:tcW w:w="46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w:t>
              </w:r>
              <w:r>
                <w:rPr>
                  <w:rFonts w:ascii="Arial" w:cs="Arial" w:eastAsia="Arial" w:hAnsi="Arial"/>
                  <w:sz w:val="13"/>
                  <w:szCs w:val="13"/>
                  <w:color w:val="0000EE"/>
                </w:rPr>
                <w:t>XECUTIVE</w:t>
              </w:r>
              <w:r>
                <w:rPr>
                  <w:rFonts w:ascii="Arial" w:cs="Arial" w:eastAsia="Arial" w:hAnsi="Arial"/>
                  <w:sz w:val="18"/>
                  <w:szCs w:val="18"/>
                  <w:color w:val="0000EE"/>
                </w:rPr>
                <w:t xml:space="preserve"> C</w:t>
              </w:r>
              <w:r>
                <w:rPr>
                  <w:rFonts w:ascii="Arial" w:cs="Arial" w:eastAsia="Arial" w:hAnsi="Arial"/>
                  <w:sz w:val="13"/>
                  <w:szCs w:val="13"/>
                  <w:color w:val="0000EE"/>
                </w:rPr>
                <w:t>OMPENSATION</w:t>
              </w:r>
            </w:hyperlink>
          </w:p>
        </w:tc>
        <w:tc>
          <w:tcPr>
            <w:tcW w:w="5180" w:type="dxa"/>
            <w:vAlign w:val="bottom"/>
            <w:gridSpan w:val="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9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12.</w:t>
            </w:r>
          </w:p>
        </w:tc>
        <w:tc>
          <w:tcPr>
            <w:tcW w:w="8100" w:type="dxa"/>
            <w:vAlign w:val="bottom"/>
            <w:tcBorders>
              <w:bottom w:val="single" w:sz="8" w:color="0000EE"/>
            </w:tcBorders>
            <w:gridSpan w:val="20"/>
          </w:tcPr>
          <w:p>
            <w:pPr>
              <w:spacing w:after="0" w:line="196" w:lineRule="exact"/>
              <w:rPr>
                <w:rFonts w:ascii="Arial" w:cs="Arial" w:eastAsia="Arial" w:hAnsi="Arial"/>
                <w:sz w:val="18"/>
                <w:szCs w:val="18"/>
                <w:color w:val="0000EE"/>
                <w:w w:val="99"/>
              </w:rPr>
            </w:pPr>
            <w:hyperlink w:anchor="page62">
              <w:r>
                <w:rPr>
                  <w:rFonts w:ascii="Arial" w:cs="Arial" w:eastAsia="Arial" w:hAnsi="Arial"/>
                  <w:sz w:val="18"/>
                  <w:szCs w:val="18"/>
                  <w:color w:val="0000EE"/>
                  <w:w w:val="99"/>
                </w:rPr>
                <w:t>S</w:t>
              </w:r>
              <w:r>
                <w:rPr>
                  <w:rFonts w:ascii="Arial" w:cs="Arial" w:eastAsia="Arial" w:hAnsi="Arial"/>
                  <w:sz w:val="13"/>
                  <w:szCs w:val="13"/>
                  <w:color w:val="0000EE"/>
                  <w:w w:val="99"/>
                </w:rPr>
                <w:t>ECURITY</w:t>
              </w:r>
              <w:r>
                <w:rPr>
                  <w:rFonts w:ascii="Arial" w:cs="Arial" w:eastAsia="Arial" w:hAnsi="Arial"/>
                  <w:sz w:val="18"/>
                  <w:szCs w:val="18"/>
                  <w:color w:val="0000EE"/>
                  <w:w w:val="99"/>
                </w:rPr>
                <w:t xml:space="preserve"> O</w:t>
              </w:r>
              <w:r>
                <w:rPr>
                  <w:rFonts w:ascii="Arial" w:cs="Arial" w:eastAsia="Arial" w:hAnsi="Arial"/>
                  <w:sz w:val="13"/>
                  <w:szCs w:val="13"/>
                  <w:color w:val="0000EE"/>
                  <w:w w:val="99"/>
                </w:rPr>
                <w:t>WNERSHIP OF</w:t>
              </w:r>
              <w:r>
                <w:rPr>
                  <w:rFonts w:ascii="Arial" w:cs="Arial" w:eastAsia="Arial" w:hAnsi="Arial"/>
                  <w:sz w:val="18"/>
                  <w:szCs w:val="18"/>
                  <w:color w:val="0000EE"/>
                  <w:w w:val="99"/>
                </w:rPr>
                <w:t xml:space="preserve"> C</w:t>
              </w:r>
              <w:r>
                <w:rPr>
                  <w:rFonts w:ascii="Arial" w:cs="Arial" w:eastAsia="Arial" w:hAnsi="Arial"/>
                  <w:sz w:val="13"/>
                  <w:szCs w:val="13"/>
                  <w:color w:val="0000EE"/>
                  <w:w w:val="99"/>
                </w:rPr>
                <w:t>ERTAIN</w:t>
              </w:r>
              <w:r>
                <w:rPr>
                  <w:rFonts w:ascii="Arial" w:cs="Arial" w:eastAsia="Arial" w:hAnsi="Arial"/>
                  <w:sz w:val="18"/>
                  <w:szCs w:val="18"/>
                  <w:color w:val="0000EE"/>
                  <w:w w:val="99"/>
                </w:rPr>
                <w:t xml:space="preserve"> B</w:t>
              </w:r>
              <w:r>
                <w:rPr>
                  <w:rFonts w:ascii="Arial" w:cs="Arial" w:eastAsia="Arial" w:hAnsi="Arial"/>
                  <w:sz w:val="13"/>
                  <w:szCs w:val="13"/>
                  <w:color w:val="0000EE"/>
                  <w:w w:val="99"/>
                </w:rPr>
                <w:t>ENEFICIAL</w:t>
              </w:r>
              <w:r>
                <w:rPr>
                  <w:rFonts w:ascii="Arial" w:cs="Arial" w:eastAsia="Arial" w:hAnsi="Arial"/>
                  <w:sz w:val="18"/>
                  <w:szCs w:val="18"/>
                  <w:color w:val="0000EE"/>
                  <w:w w:val="99"/>
                </w:rPr>
                <w:t xml:space="preserve"> O</w:t>
              </w:r>
              <w:r>
                <w:rPr>
                  <w:rFonts w:ascii="Arial" w:cs="Arial" w:eastAsia="Arial" w:hAnsi="Arial"/>
                  <w:sz w:val="13"/>
                  <w:szCs w:val="13"/>
                  <w:color w:val="0000EE"/>
                  <w:w w:val="99"/>
                </w:rPr>
                <w:t>WNERS AND</w:t>
              </w:r>
              <w:r>
                <w:rPr>
                  <w:rFonts w:ascii="Arial" w:cs="Arial" w:eastAsia="Arial" w:hAnsi="Arial"/>
                  <w:sz w:val="18"/>
                  <w:szCs w:val="18"/>
                  <w:color w:val="0000EE"/>
                  <w:w w:val="99"/>
                </w:rPr>
                <w:t xml:space="preserve"> M</w:t>
              </w:r>
              <w:r>
                <w:rPr>
                  <w:rFonts w:ascii="Arial" w:cs="Arial" w:eastAsia="Arial" w:hAnsi="Arial"/>
                  <w:sz w:val="13"/>
                  <w:szCs w:val="13"/>
                  <w:color w:val="0000EE"/>
                  <w:w w:val="99"/>
                </w:rPr>
                <w:t>ANAGEMENT AND</w:t>
              </w:r>
              <w:r>
                <w:rPr>
                  <w:rFonts w:ascii="Arial" w:cs="Arial" w:eastAsia="Arial" w:hAnsi="Arial"/>
                  <w:sz w:val="18"/>
                  <w:szCs w:val="18"/>
                  <w:color w:val="0000EE"/>
                  <w:w w:val="99"/>
                </w:rPr>
                <w:t xml:space="preserve"> R</w:t>
              </w:r>
              <w:r>
                <w:rPr>
                  <w:rFonts w:ascii="Arial" w:cs="Arial" w:eastAsia="Arial" w:hAnsi="Arial"/>
                  <w:sz w:val="13"/>
                  <w:szCs w:val="13"/>
                  <w:color w:val="0000EE"/>
                  <w:w w:val="99"/>
                </w:rPr>
                <w:t>ELATED</w:t>
              </w:r>
              <w:r>
                <w:rPr>
                  <w:rFonts w:ascii="Arial" w:cs="Arial" w:eastAsia="Arial" w:hAnsi="Arial"/>
                  <w:sz w:val="18"/>
                  <w:szCs w:val="18"/>
                  <w:color w:val="0000EE"/>
                  <w:w w:val="99"/>
                </w:rPr>
                <w:t xml:space="preserve"> S</w:t>
              </w:r>
              <w:r>
                <w:rPr>
                  <w:rFonts w:ascii="Arial" w:cs="Arial" w:eastAsia="Arial" w:hAnsi="Arial"/>
                  <w:sz w:val="13"/>
                  <w:szCs w:val="13"/>
                  <w:color w:val="0000EE"/>
                  <w:w w:val="99"/>
                </w:rPr>
                <w:t>TOCKHOLDER</w:t>
              </w:r>
              <w:r>
                <w:rPr>
                  <w:rFonts w:ascii="Arial" w:cs="Arial" w:eastAsia="Arial" w:hAnsi="Arial"/>
                  <w:sz w:val="18"/>
                  <w:szCs w:val="18"/>
                  <w:color w:val="0000EE"/>
                  <w:w w:val="99"/>
                </w:rPr>
                <w:t xml:space="preserve"> M</w:t>
              </w:r>
              <w:r>
                <w:rPr>
                  <w:rFonts w:ascii="Arial" w:cs="Arial" w:eastAsia="Arial" w:hAnsi="Arial"/>
                  <w:sz w:val="13"/>
                  <w:szCs w:val="13"/>
                  <w:color w:val="0000EE"/>
                  <w:w w:val="99"/>
                </w:rPr>
                <w:t>ATTERS</w:t>
              </w:r>
            </w:hyperlink>
          </w:p>
        </w:tc>
        <w:tc>
          <w:tcPr>
            <w:tcW w:w="170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13.</w:t>
            </w:r>
          </w:p>
        </w:tc>
        <w:tc>
          <w:tcPr>
            <w:tcW w:w="5780" w:type="dxa"/>
            <w:vAlign w:val="bottom"/>
            <w:tcBorders>
              <w:bottom w:val="single" w:sz="8" w:color="0000EE"/>
            </w:tcBorders>
            <w:gridSpan w:val="17"/>
          </w:tcPr>
          <w:p>
            <w:pPr>
              <w:spacing w:after="0" w:line="196" w:lineRule="exact"/>
              <w:rPr>
                <w:rFonts w:ascii="Arial" w:cs="Arial" w:eastAsia="Arial" w:hAnsi="Arial"/>
                <w:sz w:val="18"/>
                <w:szCs w:val="18"/>
                <w:color w:val="0000EE"/>
                <w:w w:val="98"/>
              </w:rPr>
            </w:pPr>
            <w:hyperlink w:anchor="page62">
              <w:r>
                <w:rPr>
                  <w:rFonts w:ascii="Arial" w:cs="Arial" w:eastAsia="Arial" w:hAnsi="Arial"/>
                  <w:sz w:val="18"/>
                  <w:szCs w:val="18"/>
                  <w:color w:val="0000EE"/>
                  <w:w w:val="98"/>
                </w:rPr>
                <w:t>C</w:t>
              </w:r>
              <w:r>
                <w:rPr>
                  <w:rFonts w:ascii="Arial" w:cs="Arial" w:eastAsia="Arial" w:hAnsi="Arial"/>
                  <w:sz w:val="13"/>
                  <w:szCs w:val="13"/>
                  <w:color w:val="0000EE"/>
                  <w:w w:val="98"/>
                </w:rPr>
                <w:t>ERTAIN</w:t>
              </w:r>
              <w:r>
                <w:rPr>
                  <w:rFonts w:ascii="Arial" w:cs="Arial" w:eastAsia="Arial" w:hAnsi="Arial"/>
                  <w:sz w:val="18"/>
                  <w:szCs w:val="18"/>
                  <w:color w:val="0000EE"/>
                  <w:w w:val="98"/>
                </w:rPr>
                <w:t xml:space="preserve"> R</w:t>
              </w:r>
              <w:r>
                <w:rPr>
                  <w:rFonts w:ascii="Arial" w:cs="Arial" w:eastAsia="Arial" w:hAnsi="Arial"/>
                  <w:sz w:val="13"/>
                  <w:szCs w:val="13"/>
                  <w:color w:val="0000EE"/>
                  <w:w w:val="98"/>
                </w:rPr>
                <w:t>ELATIONSHIPS</w:t>
              </w:r>
              <w:r>
                <w:rPr>
                  <w:rFonts w:ascii="Arial" w:cs="Arial" w:eastAsia="Arial" w:hAnsi="Arial"/>
                  <w:sz w:val="18"/>
                  <w:szCs w:val="18"/>
                  <w:color w:val="0000EE"/>
                  <w:w w:val="98"/>
                </w:rPr>
                <w:t>, R</w:t>
              </w:r>
              <w:r>
                <w:rPr>
                  <w:rFonts w:ascii="Arial" w:cs="Arial" w:eastAsia="Arial" w:hAnsi="Arial"/>
                  <w:sz w:val="13"/>
                  <w:szCs w:val="13"/>
                  <w:color w:val="0000EE"/>
                  <w:w w:val="98"/>
                </w:rPr>
                <w:t>ELATED</w:t>
              </w:r>
              <w:r>
                <w:rPr>
                  <w:rFonts w:ascii="Arial" w:cs="Arial" w:eastAsia="Arial" w:hAnsi="Arial"/>
                  <w:sz w:val="18"/>
                  <w:szCs w:val="18"/>
                  <w:color w:val="0000EE"/>
                  <w:w w:val="98"/>
                </w:rPr>
                <w:t xml:space="preserve"> T</w:t>
              </w:r>
              <w:r>
                <w:rPr>
                  <w:rFonts w:ascii="Arial" w:cs="Arial" w:eastAsia="Arial" w:hAnsi="Arial"/>
                  <w:sz w:val="13"/>
                  <w:szCs w:val="13"/>
                  <w:color w:val="0000EE"/>
                  <w:w w:val="98"/>
                </w:rPr>
                <w:t>RANSACTIONS AND</w:t>
              </w:r>
              <w:r>
                <w:rPr>
                  <w:rFonts w:ascii="Arial" w:cs="Arial" w:eastAsia="Arial" w:hAnsi="Arial"/>
                  <w:sz w:val="18"/>
                  <w:szCs w:val="18"/>
                  <w:color w:val="0000EE"/>
                  <w:w w:val="98"/>
                </w:rPr>
                <w:t xml:space="preserve"> D</w:t>
              </w:r>
              <w:r>
                <w:rPr>
                  <w:rFonts w:ascii="Arial" w:cs="Arial" w:eastAsia="Arial" w:hAnsi="Arial"/>
                  <w:sz w:val="13"/>
                  <w:szCs w:val="13"/>
                  <w:color w:val="0000EE"/>
                  <w:w w:val="98"/>
                </w:rPr>
                <w:t>IRECTORS</w:t>
              </w:r>
              <w:r>
                <w:rPr>
                  <w:rFonts w:ascii="Arial" w:cs="Arial" w:eastAsia="Arial" w:hAnsi="Arial"/>
                  <w:sz w:val="18"/>
                  <w:szCs w:val="18"/>
                  <w:color w:val="0000EE"/>
                  <w:w w:val="98"/>
                </w:rPr>
                <w:t xml:space="preserve"> I</w:t>
              </w:r>
              <w:r>
                <w:rPr>
                  <w:rFonts w:ascii="Arial" w:cs="Arial" w:eastAsia="Arial" w:hAnsi="Arial"/>
                  <w:sz w:val="13"/>
                  <w:szCs w:val="13"/>
                  <w:color w:val="0000EE"/>
                  <w:w w:val="98"/>
                </w:rPr>
                <w:t>NDEPENDENCE</w:t>
              </w:r>
            </w:hyperlink>
          </w:p>
        </w:tc>
        <w:tc>
          <w:tcPr>
            <w:tcW w:w="402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14.</w:t>
            </w:r>
          </w:p>
        </w:tc>
        <w:tc>
          <w:tcPr>
            <w:tcW w:w="9800" w:type="dxa"/>
            <w:vAlign w:val="bottom"/>
            <w:gridSpan w:val="2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P</w:t>
              </w:r>
              <w:r>
                <w:rPr>
                  <w:rFonts w:ascii="Arial" w:cs="Arial" w:eastAsia="Arial" w:hAnsi="Arial"/>
                  <w:sz w:val="13"/>
                  <w:szCs w:val="13"/>
                  <w:color w:val="0000EE"/>
                </w:rPr>
                <w:t>RINCIPAL</w:t>
              </w:r>
              <w:r>
                <w:rPr>
                  <w:rFonts w:ascii="Arial" w:cs="Arial" w:eastAsia="Arial" w:hAnsi="Arial"/>
                  <w:sz w:val="18"/>
                  <w:szCs w:val="18"/>
                  <w:color w:val="0000EE"/>
                </w:rPr>
                <w:t xml:space="preserve"> A</w:t>
              </w:r>
              <w:r>
                <w:rPr>
                  <w:rFonts w:ascii="Arial" w:cs="Arial" w:eastAsia="Arial" w:hAnsi="Arial"/>
                  <w:sz w:val="13"/>
                  <w:szCs w:val="13"/>
                  <w:color w:val="0000EE"/>
                </w:rPr>
                <w:t>CCOUNTANT</w:t>
              </w:r>
              <w:r>
                <w:rPr>
                  <w:rFonts w:ascii="Arial" w:cs="Arial" w:eastAsia="Arial" w:hAnsi="Arial"/>
                  <w:sz w:val="18"/>
                  <w:szCs w:val="18"/>
                  <w:color w:val="0000EE"/>
                </w:rPr>
                <w:t xml:space="preserve"> F</w:t>
              </w:r>
              <w:r>
                <w:rPr>
                  <w:rFonts w:ascii="Arial" w:cs="Arial" w:eastAsia="Arial" w:hAnsi="Arial"/>
                  <w:sz w:val="13"/>
                  <w:szCs w:val="13"/>
                  <w:color w:val="0000EE"/>
                </w:rPr>
                <w:t>EES AND</w:t>
              </w:r>
              <w:r>
                <w:rPr>
                  <w:rFonts w:ascii="Arial" w:cs="Arial" w:eastAsia="Arial" w:hAnsi="Arial"/>
                  <w:sz w:val="18"/>
                  <w:szCs w:val="18"/>
                  <w:color w:val="0000EE"/>
                </w:rPr>
                <w:t xml:space="preserve"> S</w:t>
              </w:r>
              <w:r>
                <w:rPr>
                  <w:rFonts w:ascii="Arial" w:cs="Arial" w:eastAsia="Arial" w:hAnsi="Arial"/>
                  <w:sz w:val="13"/>
                  <w:szCs w:val="13"/>
                  <w:color w:val="0000EE"/>
                </w:rPr>
                <w:t>ERVICES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3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7"/>
        </w:trPr>
        <w:tc>
          <w:tcPr>
            <w:tcW w:w="96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15.</w:t>
            </w:r>
          </w:p>
        </w:tc>
        <w:tc>
          <w:tcPr>
            <w:tcW w:w="9800" w:type="dxa"/>
            <w:vAlign w:val="bottom"/>
            <w:gridSpan w:val="2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w:t>
              </w:r>
              <w:r>
                <w:rPr>
                  <w:rFonts w:ascii="Arial" w:cs="Arial" w:eastAsia="Arial" w:hAnsi="Arial"/>
                  <w:sz w:val="13"/>
                  <w:szCs w:val="13"/>
                  <w:color w:val="0000EE"/>
                </w:rPr>
                <w:t>XHIBITS AND</w:t>
              </w:r>
              <w:r>
                <w:rPr>
                  <w:rFonts w:ascii="Arial" w:cs="Arial" w:eastAsia="Arial" w:hAnsi="Arial"/>
                  <w:sz w:val="18"/>
                  <w:szCs w:val="18"/>
                  <w:color w:val="0000EE"/>
                </w:rPr>
                <w:t xml:space="preserve"> F</w:t>
              </w:r>
              <w:r>
                <w:rPr>
                  <w:rFonts w:ascii="Arial" w:cs="Arial" w:eastAsia="Arial" w:hAnsi="Arial"/>
                  <w:sz w:val="13"/>
                  <w:szCs w:val="13"/>
                  <w:color w:val="0000EE"/>
                </w:rPr>
                <w:t>INANCIAL</w:t>
              </w:r>
              <w:r>
                <w:rPr>
                  <w:rFonts w:ascii="Arial" w:cs="Arial" w:eastAsia="Arial" w:hAnsi="Arial"/>
                  <w:sz w:val="18"/>
                  <w:szCs w:val="18"/>
                  <w:color w:val="0000EE"/>
                </w:rPr>
                <w:t xml:space="preserve"> S</w:t>
              </w:r>
              <w:r>
                <w:rPr>
                  <w:rFonts w:ascii="Arial" w:cs="Arial" w:eastAsia="Arial" w:hAnsi="Arial"/>
                  <w:sz w:val="13"/>
                  <w:szCs w:val="13"/>
                  <w:color w:val="0000EE"/>
                </w:rPr>
                <w:t>TATEMENT</w:t>
              </w:r>
              <w:r>
                <w:rPr>
                  <w:rFonts w:ascii="Arial" w:cs="Arial" w:eastAsia="Arial" w:hAnsi="Arial"/>
                  <w:sz w:val="18"/>
                  <w:szCs w:val="18"/>
                  <w:color w:val="0000EE"/>
                </w:rPr>
                <w:t xml:space="preserve"> S</w:t>
              </w:r>
              <w:r>
                <w:rPr>
                  <w:rFonts w:ascii="Arial" w:cs="Arial" w:eastAsia="Arial" w:hAnsi="Arial"/>
                  <w:sz w:val="13"/>
                  <w:szCs w:val="13"/>
                  <w:color w:val="0000EE"/>
                </w:rPr>
                <w:t>CHEDULES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9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340" w:type="dxa"/>
            <w:vAlign w:val="bottom"/>
            <w:gridSpan w:val="11"/>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10760" w:type="dxa"/>
            <w:vAlign w:val="bottom"/>
            <w:gridSpan w:val="2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SIGNATURES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460" w:type="dxa"/>
            <w:vAlign w:val="bottom"/>
            <w:gridSpan w:val="12"/>
          </w:tcPr>
          <w:p>
            <w:pPr>
              <w:spacing w:after="0" w:line="20" w:lineRule="exact"/>
              <w:rPr>
                <w:sz w:val="1"/>
                <w:szCs w:val="1"/>
                <w:color w:val="auto"/>
              </w:rPr>
            </w:pPr>
          </w:p>
        </w:tc>
        <w:tc>
          <w:tcPr>
            <w:tcW w:w="620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10760" w:type="dxa"/>
            <w:vAlign w:val="bottom"/>
            <w:gridSpan w:val="2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INDEX TO FINANCIAL STATEMENTS AND SCHEDULES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Factors that may cause or contribute to such differences include, but are not limited to, those discussed in more detail in Item 1 (Business) and 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121"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Arrowhead Research develops novel drugs to treat intractable diseases by silencing the genes that cause them. Using the broadest portfolio of RNA chemistries and efficient modes of delivery, Arrowhead therapies trigger the RNA interference mechanism to induce rapid, deep and durable knockdown of target genes. Arrowhead’s most advanced drug candidate in clinical development is ARC-520, which is designed to treat chronic hepatitis B infection by inhibiting the production of all HBV gene products. The goal is to reverse the immune suppression that prevents the body from controlling the virus and clearing the disease. Arrowhead’s second clinical candidate is ARC-AAT, a treatment for a rare liver disease associated with a genetic disorder that causes alpha-1 antitrypsin deficiency.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 Product Candidates</w:t>
      </w:r>
    </w:p>
    <w:p>
      <w:pPr>
        <w:spacing w:after="0" w:line="117" w:lineRule="exact"/>
        <w:rPr>
          <w:sz w:val="20"/>
          <w:szCs w:val="20"/>
          <w:color w:val="auto"/>
        </w:rPr>
      </w:pPr>
    </w:p>
    <w:p>
      <w:pPr>
        <w:ind w:left="1020" w:right="40" w:hanging="358"/>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ARC-520 is an RNAi-based therapeutic designed to treat chronic hepatitis B virus (HBV) infection. It is the first clinical-stage drug candidate from Arrowhead’s Dynamic Polyconjugate</w:t>
      </w:r>
      <w:r>
        <w:rPr>
          <w:rFonts w:ascii="Arial" w:cs="Arial" w:eastAsia="Arial" w:hAnsi="Arial"/>
          <w:sz w:val="15"/>
          <w:szCs w:val="15"/>
          <w:color w:val="auto"/>
        </w:rPr>
        <w:t>®</w:t>
      </w:r>
      <w:r>
        <w:rPr>
          <w:rFonts w:ascii="Arial" w:cs="Arial" w:eastAsia="Arial" w:hAnsi="Arial"/>
          <w:sz w:val="18"/>
          <w:szCs w:val="18"/>
          <w:color w:val="auto"/>
        </w:rPr>
        <w:t xml:space="preserve"> delivery platform. It is designed to treat chronic HBV infection by reducing the expression and release of new viral particles and key viral proteins with the goal of achieving a functional cure for HBV. The Company is currently conducting a Phase 2a dose-finding clinical study and expects to file with regulatory authorities by the end of 2014 to seek regulatory approval to begin Phase 2b clinical efficacy studies.</w:t>
      </w:r>
    </w:p>
    <w:p>
      <w:pPr>
        <w:spacing w:after="0" w:line="80" w:lineRule="exact"/>
        <w:rPr>
          <w:rFonts w:ascii="Arial" w:cs="Arial" w:eastAsia="Arial" w:hAnsi="Arial"/>
          <w:sz w:val="18"/>
          <w:szCs w:val="18"/>
          <w:color w:val="auto"/>
        </w:rPr>
      </w:pPr>
    </w:p>
    <w:p>
      <w:pPr>
        <w:ind w:left="1020" w:hanging="358"/>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ARC-AAT is a novel unlocked nucleobase analog (UNA)-containing RNAi-based therapeutic for the treatment of liver disease associated with Alpha-1 Antitrypsin Deficiency (AATD), a rare genetic disease that can severely damage the liver and lungs of affected individuals. The goal of treatment with ARC-AAT is to reduce the production of the mutant Z-AAT protein to prevent and potentially reverse accumulation-related liver injury and fibrosis. The Company expects to file with regulatory authorities by the end of 2014 to seek regulatory approval to begin a Phase 1 clinical study.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Delivery Technology</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Dynamic Polyconjugate (DPC</w:t>
      </w:r>
      <w:r>
        <w:rPr>
          <w:rFonts w:ascii="Arial" w:cs="Arial" w:eastAsia="Arial" w:hAnsi="Arial"/>
          <w:sz w:val="15"/>
          <w:szCs w:val="15"/>
          <w:color w:val="auto"/>
        </w:rPr>
        <w:t>®</w:t>
      </w:r>
      <w:r>
        <w:rPr>
          <w:rFonts w:ascii="Arial" w:cs="Arial" w:eastAsia="Arial" w:hAnsi="Arial"/>
          <w:sz w:val="18"/>
          <w:szCs w:val="18"/>
          <w:color w:val="auto"/>
        </w:rPr>
        <w:t>) platform is an RNAi delivery system that has been demonstrated to preferentially deliver to hepatocytes, induce efficient endosomal escape, promote high levels of gene knockdown in multiple animal models, and appears to be well tolerated using a variety of RNAi trigger molecules. It is a modular system that can be optimized on a target-by-target basis and may be targeted in the future to address multiple organ systems and cell types.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Development Strategy</w:t>
      </w:r>
    </w:p>
    <w:p>
      <w:pPr>
        <w:spacing w:after="0" w:line="11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Arrowhead’s internal drug pipeline is intended to drive value directly through the clinical development of novel therapeutics and to provide proof of concept for our platform technologies. In addition to our two lead product candidates, ARC-520 and ARC-AAT, we intend to nominate additional clinical candidates starting in 2015 that utilize the DPC delivery system. Our core areas of focus for expanding our internal pipeline of RNAi therapeutics are: (1) develop intravenous (IV) administered liver-targeted candidates; (2) develop subcutaneously administered liver-targeted candidates; and (3) explore extra-hepatic targets, including oncology.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Arrowhead made significant progress on product and platform development during fiscal 2014 with an expanding pipeline of RNAi therapeutics based on the DPC delivery system. The following are highlights of this progress: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Corporate Events</w:t>
      </w:r>
    </w:p>
    <w:p>
      <w:pPr>
        <w:spacing w:after="0" w:line="117" w:lineRule="exact"/>
        <w:rPr>
          <w:sz w:val="20"/>
          <w:szCs w:val="20"/>
          <w:color w:val="auto"/>
        </w:rPr>
      </w:pPr>
    </w:p>
    <w:p>
      <w:pPr>
        <w:ind w:left="1020" w:hanging="358"/>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Strengthened our balance sheet with equity financings totaling approximately $172.6 million in net proceeds during fiscal 2014;</w:t>
      </w:r>
    </w:p>
    <w:p>
      <w:pPr>
        <w:spacing w:after="0" w:line="117" w:lineRule="exact"/>
        <w:rPr>
          <w:rFonts w:ascii="Arial" w:cs="Arial" w:eastAsia="Arial" w:hAnsi="Arial"/>
          <w:sz w:val="18"/>
          <w:szCs w:val="18"/>
          <w:color w:val="auto"/>
        </w:rPr>
      </w:pPr>
    </w:p>
    <w:p>
      <w:pPr>
        <w:ind w:left="1020" w:right="20" w:hanging="358"/>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Hired additional R&amp;D staff in key areas, including manufacturing, toxicology, chemistry, biology, quality assurance, and regulatory and clinical operations to support rapid development of ARC-520 and additional clinical candidates;</w:t>
      </w:r>
    </w:p>
    <w:p>
      <w:pPr>
        <w:spacing w:after="0" w:line="62" w:lineRule="exact"/>
        <w:rPr>
          <w:rFonts w:ascii="Arial" w:cs="Arial" w:eastAsia="Arial" w:hAnsi="Arial"/>
          <w:sz w:val="18"/>
          <w:szCs w:val="18"/>
          <w:color w:val="auto"/>
        </w:rPr>
      </w:pPr>
    </w:p>
    <w:p>
      <w:pPr>
        <w:ind w:left="1020" w:hanging="358"/>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Upgraded NASDAQ listing to the Global Select Market;</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Joined the broad-market Russell 3000 Index and the small-cap Russell 2000 Index;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1" w:right="2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color w:val="auto"/>
        </w:rPr>
        <w:t>Pipeline Events</w:t>
      </w:r>
    </w:p>
    <w:p>
      <w:pPr>
        <w:spacing w:after="0" w:line="117" w:lineRule="exact"/>
        <w:rPr>
          <w:sz w:val="20"/>
          <w:szCs w:val="20"/>
          <w:color w:val="auto"/>
        </w:rPr>
      </w:pPr>
    </w:p>
    <w:p>
      <w:pPr>
        <w:ind w:left="1020" w:right="140" w:hanging="358"/>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planned enrollment of six initial dose cohorts (n=36) and three additional cohorts (n=18) in a Phase 1 clinical trial which indicated that ARC-520 was generally well-tolerated in all nine cohorts at ascending dose levels of 0.01-4.0 mg/kg;</w:t>
      </w:r>
    </w:p>
    <w:p>
      <w:pPr>
        <w:spacing w:after="0" w:line="62" w:lineRule="exact"/>
        <w:rPr>
          <w:rFonts w:ascii="Arial" w:cs="Arial" w:eastAsia="Arial" w:hAnsi="Arial"/>
          <w:sz w:val="18"/>
          <w:szCs w:val="18"/>
          <w:color w:val="auto"/>
        </w:rPr>
      </w:pPr>
    </w:p>
    <w:p>
      <w:pPr>
        <w:jc w:val="both"/>
        <w:ind w:left="1020" w:right="300" w:hanging="358"/>
        <w:spacing w:after="0" w:line="26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Presented preclinical data on ARC-520 at the 2013 Annual Meeting of the American Association for the Study of Liver Diseases (AASLD) Liver Meeting demonstrating reduction of key HBV antigens and DNA, and evidence of immune reactivation in a chimpanzee with chronic HBV infection;</w:t>
      </w:r>
    </w:p>
    <w:p>
      <w:pPr>
        <w:spacing w:after="0" w:line="73" w:lineRule="exact"/>
        <w:rPr>
          <w:rFonts w:ascii="Arial" w:cs="Arial" w:eastAsia="Arial" w:hAnsi="Arial"/>
          <w:sz w:val="18"/>
          <w:szCs w:val="18"/>
          <w:color w:val="auto"/>
        </w:rPr>
      </w:pPr>
    </w:p>
    <w:p>
      <w:pPr>
        <w:ind w:left="1020" w:right="600" w:hanging="358"/>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Nominated ARC-AAT as the Company’s next clinical candidate and held an analyst day in June 2014 to present preclinical data for this candidate;</w:t>
      </w:r>
    </w:p>
    <w:p>
      <w:pPr>
        <w:spacing w:after="0" w:line="62" w:lineRule="exact"/>
        <w:rPr>
          <w:rFonts w:ascii="Arial" w:cs="Arial" w:eastAsia="Arial" w:hAnsi="Arial"/>
          <w:sz w:val="18"/>
          <w:szCs w:val="18"/>
          <w:color w:val="auto"/>
        </w:rPr>
      </w:pPr>
    </w:p>
    <w:p>
      <w:pPr>
        <w:ind w:left="1020" w:right="60" w:hanging="358"/>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Initiated a Phase 2a dose finding study of ARC-520 and completed dosing of three initial dose cohorts (n=24) at 1.0, 2.0, and 3.0 mg/kg, with a 4 mg/kg cohort now underway; and</w:t>
      </w:r>
    </w:p>
    <w:p>
      <w:pPr>
        <w:spacing w:after="0" w:line="62" w:lineRule="exact"/>
        <w:rPr>
          <w:rFonts w:ascii="Arial" w:cs="Arial" w:eastAsia="Arial" w:hAnsi="Arial"/>
          <w:sz w:val="18"/>
          <w:szCs w:val="18"/>
          <w:color w:val="auto"/>
        </w:rPr>
      </w:pPr>
    </w:p>
    <w:p>
      <w:pPr>
        <w:ind w:left="1020" w:right="400" w:hanging="358"/>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Presented interim data on the ongoing Phase 2a study of ARC-520 and additional preclinical data on ARC-AAT at the 2014 AASLD Liver Meeting.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Roche RNAi business</w:t>
      </w:r>
    </w:p>
    <w:p>
      <w:pPr>
        <w:spacing w:after="0" w:line="117"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The last few years have brought substantial change to Arrowhead’s research and development (R&amp;D) capabilities and strategy. We have transitioned from being a nanotechnology holding company with programs spanning multiple industries to a focused biotechnology model. We are now an integrated RNAi therapeutics company, developing novel drugs that silence disease causing genes based on our broad RNAi technology platform.</w:t>
      </w:r>
    </w:p>
    <w:p>
      <w:pPr>
        <w:spacing w:after="0" w:line="14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most significant step in this transition was our 2011 acquisition of Roche’s RNAi therapeutics business, which included the Dynamic Polyconjugate, or DPC, delivery system that we use in ARC-520, our hepatitis B drug candidate, and in ARC-AAT, our Alpha-1 antitrypsin deficiency drug. Roche built this business unit in a manner that only a large pharmaceutical company is capable of: backed by expansive capital resources, Roche systematically acquired technologies, licensed expansive intellectual property rights, attracted leading scientists, developed new technologies internally, and built state-of-the-art facilities. At a time when the markets were questioning whether RNAi could become a viable therapeutic modality, we saw great promise in the technology broadly and the quality of what Roche built specifically. The acquisition provided us with three primary sources of value:</w:t>
      </w:r>
    </w:p>
    <w:p>
      <w:pPr>
        <w:spacing w:after="0" w:line="70" w:lineRule="exact"/>
        <w:rPr>
          <w:sz w:val="20"/>
          <w:szCs w:val="20"/>
          <w:color w:val="auto"/>
        </w:rPr>
      </w:pPr>
    </w:p>
    <w:p>
      <w:pPr>
        <w:ind w:left="1020" w:right="300" w:hanging="358"/>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 freedom to operate with respect to key patents directed to the primary RNAi-trigger formats: canonical, UNA, meroduplex, and dicer substrate structures;</w:t>
      </w:r>
    </w:p>
    <w:p>
      <w:pPr>
        <w:spacing w:after="0" w:line="62" w:lineRule="exact"/>
        <w:rPr>
          <w:rFonts w:ascii="Arial" w:cs="Arial" w:eastAsia="Arial" w:hAnsi="Arial"/>
          <w:sz w:val="18"/>
          <w:szCs w:val="18"/>
          <w:color w:val="auto"/>
        </w:rPr>
      </w:pPr>
    </w:p>
    <w:p>
      <w:pPr>
        <w:ind w:left="1020" w:hanging="35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best-in-class RNAi delivery system, which we believe to be the targetable DPC platform; and</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state-of-the-art R&amp;D facility in Madison, Wisconsin, including a large team of scientists experienced in RNAi and oligonucleotide delivery.</w:t>
      </w:r>
    </w:p>
    <w:p>
      <w:pPr>
        <w:spacing w:after="0" w:line="24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see this as a powerful combination of intellectual property, R&amp;D infrastructure, and RNAi delivery experts. It provided us with the tools we needed to build an independent and broad RNAi company. We believe we are the only company with access to all primary RNAi-trigger structures, which enables us to optimize our drug candidates on a target-by-target basis. Our DPC delivery system enables us to deliver efficiently to hepatocytes and potentially to non-hepatic tissues in a highly specific manner. Our R&amp;D team and facility enable rapid innovation and drive to the clinic, as evidenced by the speed at which we have advanced the ARC-520 and ARC-AAT programs.</w:t>
      </w:r>
    </w:p>
    <w:p>
      <w:pPr>
        <w:spacing w:after="0" w:line="18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have made significant strides since the acquisition. We brought ARC-520 into the clinic, completed a Phase 1 trial, and we are in the process of conducting a Phase 2a trial. Additionally, we have made important advances in the DPC delivery technology. This includes new generations of DPCs that we believe are capable of inducing deep and durable gene knockdown with various constructs designed for both IV and subcutaneous administration. A key to DPC’s potency, and one of its differentiating qualities, is a polymer backbone designed to induce efficient endosomal escape. This allows more of the RNAi-trigger to get into the cytosol where it can engage the cell’s RNAi machinery. We have also taken advantage of DPC’s targetable nature and have made substantial progress toward extra-hepatic delivery. Delivering outside the liver is important for maximizing the value of DPCs and to continue to differentiate Arrowhead from its competitors.</w:t>
      </w:r>
    </w:p>
    <w:p>
      <w:pPr>
        <w:spacing w:after="0" w:line="189"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We have focused our resources primarily on the DPC platform and our current focus is entirely on advancing our proprietary candidates through the clinic and developing additional DPC-enabled RNAi therapeutics. Additionally, Arrowhead now has the infrastructure, expertise, IP portfolio, and management that we believe is necessary to enable us to pursue a broad range of partnerships and research collaborations with large biopharma companies from discovery stage through clinical trials.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41"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Pipeline Overview</w:t>
      </w:r>
    </w:p>
    <w:p>
      <w:pPr>
        <w:spacing w:after="0" w:line="117"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Our internal preclinical and clinical development programs are designed to create value directly through our proprietary candidates. These programs also drive value to the technology platform as proof of concept for the power of the programs to enable innovative new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119380</wp:posOffset>
            </wp:positionV>
            <wp:extent cx="5488305" cy="1775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830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Clinical Programs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ARC-520 – Hepatitis B Virus Infection</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ARC-520 is an RNAi therapeutic candidate for the treatment of chronic hepatitis B infection with the goal of achieving a functional cure. It is the first clinical candidate to use our proprietary Dynamic Polyconjugate (DPC) technology and includes two siRNA duplexes, each conjugated to a cholesterol derivative to enhance liver delivery and cellular uptake. We have designed ARC-520 to be co-administered with an active excipient, a masked, hepatocyte targeted polymeric amine (the DPC).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2907030" cy="2992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07030"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1: ARC-520 schematic</w:t>
      </w:r>
    </w:p>
    <w:p>
      <w:pPr>
        <w:spacing w:after="0" w:line="234"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We see the need for a next generation HBV treatment with fewer side effects, that eliminates the need for interferon based treatment, has a finite treatment period and an attractive dosing regimen, and that can be used at earlier stages of disease. We believe a novel therapeutic approach such as this that can effectively treat or provide a functional cure (seroclearance of HBsAg and with or without development of excess patient antibodies against HBsAg) has the potential to take significant market share and may expand the available market to include patients that are currently untreated.</w:t>
      </w:r>
    </w:p>
    <w:p>
      <w:pPr>
        <w:spacing w:after="0" w:line="2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Chronic Hepatitis B Virus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According to the World Health Organization, 360 million people worldwide are chronically infected with hepatitis B virus, of which 500,000 to 1,000,000 people die each year from HBV related liver disease. Chronic HBV infection is defined by the presence of hepatitis B surface antigen (HBsAg) for more than 6 months. In the immune tolerant phase of chronic infection, which can last for many years, the infected person typically produces very high levels of viral DNA and viral antigens. However, the infection is not cytotoxic and the carrier may have no symptoms of illness. Over time, the ongoing production of viral antigens causes inflammation and necrosis, leading to elevation of liver enzymes such as alanine and aspartate transaminases, hepatitis, fibrosis, and liver cancer (HCC). If untreated, as many as 25% to 40% of chronic HBV carriers ultimately develop cirrhosis or HCC. Antiviral therapy is generally prescribed when liver enzymes become elevated.</w:t>
      </w:r>
    </w:p>
    <w:p>
      <w:pPr>
        <w:sectPr>
          <w:pgSz w:w="11900" w:h="16838" w:orient="portrait"/>
          <w:cols w:equalWidth="0" w:num="1">
            <w:col w:w="11360"/>
          </w:cols>
          <w:pgMar w:left="240" w:top="449" w:right="299" w:bottom="1440" w:gutter="0" w:footer="0" w:header="0"/>
        </w:sectPr>
      </w:pP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40" w:top="449" w:right="299" w:bottom="1440" w:gutter="0" w:footer="0" w:header="0"/>
          <w:type w:val="continuous"/>
        </w:sectPr>
      </w:pPr>
    </w:p>
    <w:bookmarkStart w:id="6" w:name="page7"/>
    <w:bookmarkEnd w:id="6"/>
    <w:p>
      <w:pPr>
        <w:ind w:left="520"/>
        <w:spacing w:after="0"/>
        <w:rPr>
          <w:sz w:val="20"/>
          <w:szCs w:val="20"/>
          <w:color w:val="auto"/>
        </w:rPr>
      </w:pPr>
      <w:r>
        <w:rPr>
          <w:rFonts w:ascii="Arial" w:cs="Arial" w:eastAsia="Arial" w:hAnsi="Arial"/>
          <w:sz w:val="18"/>
          <w:szCs w:val="18"/>
          <w:b w:val="1"/>
          <w:bCs w:val="1"/>
          <w:color w:val="auto"/>
        </w:rPr>
        <w:t>Current Treatments</w:t>
      </w:r>
    </w:p>
    <w:p>
      <w:pPr>
        <w:spacing w:after="0" w:line="12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current standard of care for treatment of chronic HBV infection is a daily oral dose of nucleotide/nucleoside analogs (NUCs) or a regimen of interferon injections for approximately one year. NUCs are generally well tolerated, but patients may need lifetime treatment because viral replication often rebounds upon cessation of treatment. Interferon therapeutics can result in a functional cure in 10-20% of some patient types, but treatment is often associated with significant side effects, including severe flu-like symptoms, marrow suppression, and autoimmune disorders.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Goal of ARC-520 Treatment</w:t>
      </w:r>
    </w:p>
    <w:p>
      <w:pPr>
        <w:spacing w:after="0" w:line="121"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ARC-520 is designed to silence the production of all HBV gene products with the goal of achieving a functional cure. The siRNAs in ARC-520 target multiple components of HBV production including the pregenomic RNA that would be reverse transcribed to generate the viral DNA. The siRNAs intervene at the mRNA level, upstream of where NUCs act, and target the mRNAs that produce HBsAg proteins, the viral polymerase, the core protein that forms the capsid, the pre-genomic RNA and the HBeAg. NUCs are effective at reducing production of viral particles, but are ineffective at controlling production of HBsAg and other HBV gene products. A reduction of HBsAg is considered necessary to effective therapy because it is thought to be a major contributor to repression of the immune system and the persistence of liver disease secondary to HBV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632710" cy="3018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271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2: Chronic HBV mechanism untreated</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45" w:right="2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2478405" cy="2675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478405"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3: Mechanism of action NUCs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158115</wp:posOffset>
            </wp:positionV>
            <wp:extent cx="2838450" cy="2881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8450"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4: Mechanism of action ARC-520</w:t>
      </w:r>
    </w:p>
    <w:p>
      <w:pPr>
        <w:spacing w:after="0" w:line="23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1440" w:right="1440"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b w:val="1"/>
          <w:bCs w:val="1"/>
          <w:color w:val="auto"/>
        </w:rPr>
        <w:t>Preclinical Data</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Efficacy data in mouse models of HBV infection show that ARC-520 is capable of reducing HBsAg by greater than 3 log (99.9%), HBV DNA by approximately 3 logs, and HBeAg to the limit of detection. Pharmacologic effects persist for approximately one month after a single dose of ARC-520. Safety data in rodents and non-human primates indicate an acceptable safety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576320" cy="20840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7632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5: HBsAg reduction in chimpanzee</w:t>
      </w:r>
    </w:p>
    <w:p>
      <w:pPr>
        <w:spacing w:after="0" w:line="234"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Additional preclinical data in a chimpanzee chronically infected with HBV demonstrate that intravenous administration of two doses (2 mg/kg on day 1, and 3 mg/kg on day 15) of ARC-520 resulted in substantial and sustained reductions in HBV DNA, HBeAg, and HBsAg, which did not return to baseline until study day 43, 43, and 71, respectively. In addition, an increase in serum alanine transaminase (ALT) occurred 4 weeks after the second dose, coincident with the nadir of circulating HBsAg. This is suggestive of a therapeutic immunological flare, which is thought to be part of a cascade that under chronic therapy may lead to HBsAg seroclearance and functional cure. Observed increases in key chemokine/cytokine mRNAs are also consistent with a T-cell mediated immunological event.</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Phase 1</w:t>
      </w:r>
    </w:p>
    <w:p>
      <w:pPr>
        <w:spacing w:after="0" w:line="12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Arrowhead completed nine dose cohorts in a Phase 1 trial in 2014. The study was designed to characterize the safety profile of ARC-520 across a range of doses and evaluate pharmacokinetics. It was a single-center, randomized, double-blind, placebo-controlled, single dose-escalation, first-in-human study of ARC-520 administered intravenously to healthy adult volunteers. All subjects received either placebo or ARC-520 in doses ranging from 0.01 mg/kg to 4 mg/kg. The study successfully enrolled all 54 subjects (36 received ARC-520, 18 placebo) at a single center in Melbourne, Australia.</w:t>
      </w:r>
    </w:p>
    <w:p>
      <w:pPr>
        <w:spacing w:after="0" w:line="154" w:lineRule="exact"/>
        <w:rPr>
          <w:sz w:val="20"/>
          <w:szCs w:val="20"/>
          <w:color w:val="auto"/>
        </w:rPr>
      </w:pPr>
    </w:p>
    <w:p>
      <w:pPr>
        <w:ind w:right="420" w:firstLine="518"/>
        <w:spacing w:after="0" w:line="297" w:lineRule="auto"/>
        <w:rPr>
          <w:sz w:val="20"/>
          <w:szCs w:val="20"/>
          <w:color w:val="auto"/>
        </w:rPr>
      </w:pPr>
      <w:r>
        <w:rPr>
          <w:rFonts w:ascii="Arial" w:cs="Arial" w:eastAsia="Arial" w:hAnsi="Arial"/>
          <w:sz w:val="16"/>
          <w:szCs w:val="16"/>
          <w:color w:val="auto"/>
        </w:rPr>
        <w:t>There have been no reports of serious adverse events (SAEs), no dose limiting toxicities, no discontinuations due to adverse events (AEs), and a modest overall occurrence rate of AEs without a clear dose-related increase in frequency or severity. There has been a modest occurrence rate of non-clinically significant abnormal laboratory tests. There were no reported drug related or clinically significant differences for vital signs or ECGs between subjects receiving drug versus placebo. One arrhythmia noted on telemetry occurred in a subject with similar previously undiagnosed prior cardiac atrial rhythm abnormalities and one occurrence of hypotension that appears to have been artifact from a failing automated blood pressure machine.</w:t>
      </w:r>
    </w:p>
    <w:p>
      <w:pPr>
        <w:spacing w:after="0" w:line="15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One occurrence each of moderate flushing and urticarial rash seen at dose levels of 0.30 mg/kg and 2 mg/kg respectively led to the subsequent reduction, by half, in infusion rate of ARC-520 as well as the introduction of pretreatment with an oral over-the-counter antihistamine. Since the introduction of these mitigations, no additional signs of hypersensitivity or infusion reactions have been seen.</w:t>
      </w:r>
    </w:p>
    <w:p>
      <w:pPr>
        <w:spacing w:after="0" w:line="18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There were mild creatinine elevations in 6% of subjects receiving ARC-520 and 6% receiving placebo, which were transient with rapid (&lt;24 hours) return to baseline. There were no signs of tubular damage on laboratory evaluation and these subjects had no additional clinical symptoms. Overall, the changes in creatinine are similar between ARC-520 and placebo groups and thought to be, at least primarily, due to dietary intake of protein. There were no changes in ALT, AST or CK considered to be clinically significant by the study investigator.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45" w:right="259" w:bottom="1440" w:gutter="0" w:footer="0" w:header="0"/>
        </w:sectPr>
      </w:pPr>
    </w:p>
    <w:bookmarkStart w:id="9" w:name="page10"/>
    <w:bookmarkEnd w:id="9"/>
    <w:p>
      <w:pPr>
        <w:ind w:right="140" w:firstLine="518"/>
        <w:spacing w:after="0" w:line="277" w:lineRule="auto"/>
        <w:rPr>
          <w:sz w:val="20"/>
          <w:szCs w:val="20"/>
          <w:color w:val="auto"/>
        </w:rPr>
      </w:pPr>
      <w:r>
        <w:rPr>
          <w:rFonts w:ascii="Arial" w:cs="Arial" w:eastAsia="Arial" w:hAnsi="Arial"/>
          <w:sz w:val="18"/>
          <w:szCs w:val="18"/>
          <w:color w:val="auto"/>
        </w:rPr>
        <w:t>In conclusion, ARC-520 when administered as a single dose up to 4 mg/kg to healthy volunteers appears to be well tolerated. The table below shows the incidence of treatment emergent adverse events observed in greater than 5% of subjects.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760" w:type="dxa"/>
            <w:vAlign w:val="bottom"/>
            <w:tcBorders>
              <w:top w:val="single" w:sz="8" w:color="auto"/>
              <w:left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Adverse Events &gt;5%</w:t>
            </w:r>
          </w:p>
        </w:tc>
        <w:tc>
          <w:tcPr>
            <w:tcW w:w="2060" w:type="dxa"/>
            <w:vAlign w:val="bottom"/>
            <w:tcBorders>
              <w:top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b w:val="1"/>
                <w:bCs w:val="1"/>
                <w:color w:val="auto"/>
              </w:rPr>
              <w:t>Placebo (n=18)</w:t>
            </w:r>
          </w:p>
        </w:tc>
        <w:tc>
          <w:tcPr>
            <w:tcW w:w="2060" w:type="dxa"/>
            <w:vAlign w:val="bottom"/>
            <w:tcBorders>
              <w:top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ARC-520 (n=36)</w:t>
            </w:r>
          </w:p>
        </w:tc>
        <w:tc>
          <w:tcPr>
            <w:tcW w:w="0" w:type="dxa"/>
            <w:vAlign w:val="bottom"/>
          </w:tcPr>
          <w:p>
            <w:pPr>
              <w:spacing w:after="0"/>
              <w:rPr>
                <w:sz w:val="1"/>
                <w:szCs w:val="1"/>
                <w:color w:val="auto"/>
              </w:rPr>
            </w:pPr>
          </w:p>
        </w:tc>
      </w:tr>
      <w:tr>
        <w:trPr>
          <w:trHeight w:val="126"/>
        </w:trPr>
        <w:tc>
          <w:tcPr>
            <w:tcW w:w="2760" w:type="dxa"/>
            <w:vAlign w:val="bottom"/>
            <w:tcBorders>
              <w:left w:val="single" w:sz="8" w:color="auto"/>
              <w:right w:val="single" w:sz="8" w:color="auto"/>
            </w:tcBorders>
            <w:vMerge w:val="restart"/>
          </w:tcPr>
          <w:p>
            <w:pPr>
              <w:ind w:left="780"/>
              <w:spacing w:after="0"/>
              <w:rPr>
                <w:sz w:val="20"/>
                <w:szCs w:val="20"/>
                <w:color w:val="auto"/>
              </w:rPr>
            </w:pPr>
            <w:r>
              <w:rPr>
                <w:rFonts w:ascii="Arial" w:cs="Arial" w:eastAsia="Arial" w:hAnsi="Arial"/>
                <w:sz w:val="18"/>
                <w:szCs w:val="18"/>
                <w:b w:val="1"/>
                <w:bCs w:val="1"/>
                <w:color w:val="auto"/>
              </w:rPr>
              <w:t>All Attributions</w:t>
            </w:r>
          </w:p>
        </w:tc>
        <w:tc>
          <w:tcPr>
            <w:tcW w:w="206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All AEs</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67%</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67%</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Mild</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72%</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69%</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Moderate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28%</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31%</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Headache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33%</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14%</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URI</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28%</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19%</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Somnolence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6%</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Lethargy</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6%</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Creatinine increase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6%</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Myalgia</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0"/>
        </w:trPr>
        <w:tc>
          <w:tcPr>
            <w:tcW w:w="2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Dizziness</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6: Phase 1 AE reporting</w:t>
      </w:r>
    </w:p>
    <w:p>
      <w:pPr>
        <w:spacing w:after="0" w:line="33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Phase 2a</w:t>
      </w:r>
    </w:p>
    <w:p>
      <w:pPr>
        <w:spacing w:after="0" w:line="12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March 2014, Arrowhead began a Phase 2a multicenter, randomized, double-blind, placebo-controlled, dose-escalation study to determine the depth and duration of hepatitis B surface antigen (HBsAg) reduction after a single intravenous dose of ARC-520 in combination with entecavir in patients with chronic HBV infection. Secondary objectives include the assessment of safety and tolerability of escalating single doses of ARC-520 co-administered with a fixed dose of entecavir and multiple additional secondary and exploratory endpoints. At each dose level to be evaluated, a cohort of 8 patients are being enrolled with 6 being dosed with ARC-520 and 2 being dosed with placebo. Single doses of ARC-520 are being evaluated and, to date, three ascending doses of 1.0, 2.0, and 3.0 mg/kg have been completed and screening for dose escalation to 4.0 mg/kg is beginning.</w:t>
      </w:r>
    </w:p>
    <w:p>
      <w:pPr>
        <w:spacing w:after="0" w:line="178"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the first three dose cohorts, twenty-four patients were successfully dosed, 18 receiving drug and 6 receiving placebo. Unblinded data is available for the first two cohorts. Sixteen patients were enrolled and dosed in these cohorts, six females and ten males. All were of Chinese ethnicity, with an age range of 37 to 59. BMI ranged from 19.5 to 29.5. Eight patients have been enrolled in Cohort 3 and data collection is ongoing and remains blinded. Interim results for the first two dose cohorts at 1.0 mg/kg and 2.0 mg/kg and partial (blinded) safety results from the 3.0 mg/kg dose cohort were reported at the 2014 AASLD Liver Meeting. To date, there have been no serious AEs, no dose limiting toxicities, no discontinuations, and a modest occurrence rate of AEs. All reported AEs were either deemed unrelated to study drug (flu like symptoms, CK elevation, extravasation, leg pain) or unlikely related (near syncope, malaise) by the principal investigator. Safety labs continue to lack indication of end organ toxicity, with a low occurrence rate of abnormal laboratory tests with no observed relationship to timing or dose. The table below describes all AEs reported to date.</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740" w:type="dxa"/>
            <w:vAlign w:val="bottom"/>
            <w:tcBorders>
              <w:top w:val="single" w:sz="8" w:color="auto"/>
              <w:left w:val="single" w:sz="8" w:color="auto"/>
              <w:right w:val="single" w:sz="8" w:color="auto"/>
            </w:tcBorders>
            <w:vMerge w:val="restart"/>
          </w:tcPr>
          <w:p>
            <w:pPr>
              <w:ind w:left="780"/>
              <w:spacing w:after="0"/>
              <w:rPr>
                <w:sz w:val="20"/>
                <w:szCs w:val="20"/>
                <w:color w:val="auto"/>
              </w:rPr>
            </w:pPr>
            <w:r>
              <w:rPr>
                <w:rFonts w:ascii="Arial" w:cs="Arial" w:eastAsia="Arial" w:hAnsi="Arial"/>
                <w:sz w:val="18"/>
                <w:szCs w:val="18"/>
                <w:b w:val="1"/>
                <w:bCs w:val="1"/>
                <w:color w:val="auto"/>
              </w:rPr>
              <w:t>Adverse Events</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Placebo (n=4)</w:t>
            </w:r>
          </w:p>
        </w:tc>
        <w:tc>
          <w:tcPr>
            <w:tcW w:w="1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Cohort 1 (n=6)</w:t>
            </w:r>
          </w:p>
        </w:tc>
        <w:tc>
          <w:tcPr>
            <w:tcW w:w="1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Cohort 2 (n=6)</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Cohort 3 Blinded</w:t>
            </w:r>
          </w:p>
        </w:tc>
        <w:tc>
          <w:tcPr>
            <w:tcW w:w="0" w:type="dxa"/>
            <w:vAlign w:val="bottom"/>
          </w:tcPr>
          <w:p>
            <w:pPr>
              <w:spacing w:after="0"/>
              <w:rPr>
                <w:sz w:val="1"/>
                <w:szCs w:val="1"/>
                <w:color w:val="auto"/>
              </w:rPr>
            </w:pPr>
          </w:p>
        </w:tc>
      </w:tr>
      <w:tr>
        <w:trPr>
          <w:trHeight w:val="126"/>
        </w:trPr>
        <w:tc>
          <w:tcPr>
            <w:tcW w:w="2740" w:type="dxa"/>
            <w:vAlign w:val="bottom"/>
            <w:tcBorders>
              <w:left w:val="single" w:sz="8" w:color="auto"/>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(n=8)</w:t>
            </w:r>
          </w:p>
        </w:tc>
        <w:tc>
          <w:tcPr>
            <w:tcW w:w="0" w:type="dxa"/>
            <w:vAlign w:val="bottom"/>
          </w:tcPr>
          <w:p>
            <w:pPr>
              <w:spacing w:after="0"/>
              <w:rPr>
                <w:sz w:val="1"/>
                <w:szCs w:val="1"/>
                <w:color w:val="auto"/>
              </w:rPr>
            </w:pPr>
          </w:p>
        </w:tc>
      </w:tr>
      <w:tr>
        <w:trPr>
          <w:trHeight w:val="115"/>
        </w:trPr>
        <w:tc>
          <w:tcPr>
            <w:tcW w:w="2740" w:type="dxa"/>
            <w:vAlign w:val="bottom"/>
            <w:tcBorders>
              <w:left w:val="single" w:sz="8" w:color="auto"/>
              <w:bottom w:val="single" w:sz="8" w:color="auto"/>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All AEs</w:t>
            </w:r>
          </w:p>
        </w:tc>
        <w:tc>
          <w:tcPr>
            <w:tcW w:w="17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17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0"/>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Flu like symptoms</w:t>
            </w:r>
          </w:p>
        </w:tc>
        <w:tc>
          <w:tcPr>
            <w:tcW w:w="170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1 mild</w:t>
            </w:r>
          </w:p>
        </w:tc>
        <w:tc>
          <w:tcPr>
            <w:tcW w:w="172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CK elevation</w:t>
            </w:r>
          </w:p>
        </w:tc>
        <w:tc>
          <w:tcPr>
            <w:tcW w:w="170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mild</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Injection extravasation</w:t>
            </w:r>
          </w:p>
        </w:tc>
        <w:tc>
          <w:tcPr>
            <w:tcW w:w="170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mild</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Near syncope</w:t>
            </w:r>
          </w:p>
        </w:tc>
        <w:tc>
          <w:tcPr>
            <w:tcW w:w="170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 mod</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Malaise</w:t>
            </w:r>
          </w:p>
        </w:tc>
        <w:tc>
          <w:tcPr>
            <w:tcW w:w="170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 mod</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Leg pain</w:t>
            </w:r>
          </w:p>
        </w:tc>
        <w:tc>
          <w:tcPr>
            <w:tcW w:w="170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mild</w:t>
            </w:r>
          </w:p>
        </w:tc>
        <w:tc>
          <w:tcPr>
            <w:tcW w:w="0" w:type="dxa"/>
            <w:vAlign w:val="bottom"/>
          </w:tcPr>
          <w:p>
            <w:pPr>
              <w:spacing w:after="0"/>
              <w:rPr>
                <w:sz w:val="1"/>
                <w:szCs w:val="1"/>
                <w:color w:val="auto"/>
              </w:rPr>
            </w:pPr>
          </w:p>
        </w:tc>
      </w:tr>
      <w:tr>
        <w:trPr>
          <w:trHeight w:val="298"/>
        </w:trPr>
        <w:tc>
          <w:tcPr>
            <w:tcW w:w="2740" w:type="dxa"/>
            <w:vAlign w:val="bottom"/>
          </w:tcPr>
          <w:p>
            <w:pPr>
              <w:spacing w:after="0"/>
              <w:rPr>
                <w:sz w:val="20"/>
                <w:szCs w:val="20"/>
                <w:color w:val="auto"/>
              </w:rPr>
            </w:pPr>
            <w:r>
              <w:rPr>
                <w:rFonts w:ascii="Arial" w:cs="Arial" w:eastAsia="Arial" w:hAnsi="Arial"/>
                <w:sz w:val="16"/>
                <w:szCs w:val="16"/>
                <w:b w:val="1"/>
                <w:bCs w:val="1"/>
                <w:color w:val="4F81BD"/>
              </w:rPr>
              <w:t>Figure 7: Phase 2a AE reporting</w:t>
            </w: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41" w:right="279" w:bottom="1440" w:gutter="0" w:footer="0" w:header="0"/>
        </w:sectPr>
      </w:pPr>
    </w:p>
    <w:bookmarkStart w:id="10" w:name="page11"/>
    <w:bookmarkEnd w:id="10"/>
    <w:p>
      <w:pPr>
        <w:ind w:firstLine="518"/>
        <w:spacing w:after="0" w:line="272" w:lineRule="auto"/>
        <w:rPr>
          <w:sz w:val="20"/>
          <w:szCs w:val="20"/>
          <w:color w:val="auto"/>
        </w:rPr>
      </w:pPr>
      <w:r>
        <w:rPr>
          <w:rFonts w:ascii="Arial" w:cs="Arial" w:eastAsia="Arial" w:hAnsi="Arial"/>
          <w:sz w:val="17"/>
          <w:szCs w:val="17"/>
          <w:color w:val="auto"/>
        </w:rPr>
        <w:t>ARC-520 activity is assessed by measuring percent change of quantitative HBsAg decline from baseline. Changes from baseline for HBsAg (qHBsAg) were analyzed using a repeated measures analysis of variance (ANOVA) model. This is the first time that a reduction in HBsAg mediated through RNA interference has been reported in chronic HBV patients. Initial results indicate that a single injection of ARC-520 resulted in significant reduction in HBsAg for up to 43 days (p &lt; 0.05). In cohort 1, the mean nadir of HBsAg was -39% (range -22 to -57) with a mean change on day 85 of -31% (range -14 to -39). In cohort 2, the mean nadir of HBsAg was -51% (range -46 to -59) with a mean change on day 85 of -22% (range -7 to -40). For cohort 2, the percent reduction in HBsAg was statistically significant versus placebo (p&lt;.05) for Days 3 through 43 post dose. For cohort 2, the mean day of HBsAg nadir was day 33 with a range of day 8 to day 57. These data are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139065</wp:posOffset>
            </wp:positionV>
            <wp:extent cx="4853940" cy="2838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5394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8: Quantitative HBsAg in serum</w:t>
      </w:r>
    </w:p>
    <w:p>
      <w:pPr>
        <w:spacing w:after="0" w:line="33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Phase 2b</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Multiple dose GLP-toxicology studies are underway to support a series of Phase 2b studies, for which the Company plans to file with regulatory authorities in the fourth quarter of 2014 to seek regulatory approval to begin with Phase 2b studies. These studies are planned to have clinical sites in the US, Western Europe, Asia, and potentially other countries and/or regions. Several studies are currently contemplated, including ARC-520 in combination with entecavir or tenofovir as well as combination studies that add an immunostimulatory agent.</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341" w:right="29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color w:val="auto"/>
        </w:rPr>
        <w:t>ARC-AAT – Liver Disease Associated with Alpha-1 Antitrypsin Deficiency</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Arrowhead has developed a therapeutic candidate (ARC-AAT) for the treatment of liver disease associated with Alpha-1 Antitrypsin Deficiency (AATD), a rare genetic disease that severely damages the liver and lungs of affected individuals. ARC-AAT employs a novel unlocked nucleobase analog (UNA)-containing RNAi molecule designed for systemic delivery using the Dynamic Polyconjugate (DPC) delivery system. Pre-clinical studies have demonstrated that ARC-AAT is highly effective at knocking down the Alpha-1 antitrypsin (AAT) gene transcript and reducing the hepatic production of the mutant AAT protein. The Company plans to file with regulatory authorities in the fourth quarter of 2014 and commence clinical studies shortly after receiving regulatory approval to proceed.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881630" cy="2400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8163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9: ARC-AAT schematic</w:t>
      </w:r>
    </w:p>
    <w:p>
      <w:pPr>
        <w:spacing w:after="0" w:line="33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Alpha-1 Antitrypsin Deficiency</w:t>
      </w:r>
    </w:p>
    <w:p>
      <w:pPr>
        <w:spacing w:after="0" w:line="12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AATD is an autosomal recessive genetic disorder associated with liver disease in children and adults and pulmonary disease in adults. AAT is a circulating glycoprotein protease inhibitor that is primarily synthesized and secreted by liver hepatocytes. Its physiologic function is the inhibition of neutrophil proteases to protect healthy tissues during inflammation and prevent tissue damage. The most common disease variant, the Z mutant, has a single amino acid substitution that results in improper folding of the protein. The mutant protein cannot be effectively secreted and accumulates in globules in the hepatocytes. This triggers continuous hepatocyte injury, leading to fibrosis, cirrhosis, and increased risk of hepatocellular carcinoma.</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Current Treatments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Individuals with the homozygous PiZZ genotype have severe deficiency of functional AAT leading to pulmonary disease and hepatocyte injury and liver disease. Lung disease is frequently treated with AAT augmentation therapy. However, augmentation therapy does nothing to treat liver disease, and there is no specific therapy for hepatic manifestations. There is a significant unmet need as liver transplant, with its attendant morbidity and mortality, is currently the only available cure.</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Goal of ARC-AAT Treatment</w:t>
      </w:r>
    </w:p>
    <w:p>
      <w:pPr>
        <w:spacing w:after="0" w:line="12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goal of treatment with ARC-AAT is prevention and potential reversal of Z-AAT accumulation-related liver injury and fibrosis. Reduction of inflammatory Z-AAT protein, which has been clearly defined as the cause of progressive liver disease in AATD patients, is important as it is expected to halt the progression of liver disease and allow fibrotic tissue repair.</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Preclinical Data</w:t>
      </w:r>
    </w:p>
    <w:p>
      <w:pPr>
        <w:spacing w:after="0" w:line="12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preclinical studies with PiZ mice, which are genetically modified to produce the mutant human AAT (Z-AAT), ARC-AAT induced a greater than 95 percent reduction in circulating AAT after a single dose. The addition of chemical modifications, including UNAs, slowed the rebound in production of AAT compared to canonical siRNAs, and produced a substantially improved duration of effect.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45" w:right="259" w:bottom="1440" w:gutter="0" w:footer="0" w:header="0"/>
        </w:sectPr>
      </w:pPr>
    </w:p>
    <w:bookmarkStart w:id="12" w:name="page13"/>
    <w:bookmarkEnd w:id="12"/>
    <w:p>
      <w:pPr>
        <w:ind w:firstLine="518"/>
        <w:spacing w:after="0" w:line="259" w:lineRule="auto"/>
        <w:rPr>
          <w:sz w:val="20"/>
          <w:szCs w:val="20"/>
          <w:color w:val="auto"/>
        </w:rPr>
      </w:pPr>
      <w:r>
        <w:rPr>
          <w:rFonts w:ascii="Arial" w:cs="Arial" w:eastAsia="Arial" w:hAnsi="Arial"/>
          <w:sz w:val="18"/>
          <w:szCs w:val="18"/>
          <w:color w:val="auto"/>
        </w:rPr>
        <w:t>After eight weeks of treatment in multi-dose studies in PiZ mice, soluble (monomeric) and insoluble (polymeric) forms of Z-AAT were greatly reduced in the livers of PiZ mice treated with ARC-AAT. In addition, liver globule burden was substantially reduced from baseline levels and in comparison to treatment with saline, which showed progressive globule formation (shown in the figure below). These data were submitted as an abstract to the 2014 AASLD Liver Meeting and selected for presentation at this conference.</w:t>
      </w:r>
    </w:p>
    <w:p>
      <w:pPr>
        <w:sectPr>
          <w:pgSz w:w="11900" w:h="16838" w:orient="portrait"/>
          <w:cols w:equalWidth="0" w:num="1">
            <w:col w:w="11260"/>
          </w:cols>
          <w:pgMar w:left="240" w:top="341" w:right="399" w:bottom="1440" w:gutter="0" w:footer="0" w:header="0"/>
        </w:sect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Baseline</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 weeks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620520" cy="2400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0520" cy="2400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AAT-UNA q2w</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weeks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135255</wp:posOffset>
            </wp:positionV>
            <wp:extent cx="1637665" cy="2400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37665" cy="2400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Saline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weeks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142240</wp:posOffset>
            </wp:positionV>
            <wp:extent cx="1637665" cy="2400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7665" cy="240093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3520" w:space="720"/>
            <w:col w:w="3100" w:space="720"/>
            <w:col w:w="3200"/>
          </w:cols>
          <w:pgMar w:left="240" w:top="34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10: Reduction in Z-AAT globules in livers of PiZ mice</w:t>
      </w:r>
    </w:p>
    <w:p>
      <w:pPr>
        <w:spacing w:after="0" w:line="234"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primate studies, knockdown of AAT in serum persisted for over ten weeks with greater than 80 percent knockdown observed at the six-week time point. Multi-dose studies in primates showed a sustained reduction of AAT with once every six weeks dosing, suggesting that once monthly or less frequent dosing is sufficient to maintain ~80-90% knockdown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141605</wp:posOffset>
            </wp:positionV>
            <wp:extent cx="5471160" cy="258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7116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 xml:space="preserve">Figure 11: </w:t>
      </w:r>
      <w:r>
        <w:rPr>
          <w:rFonts w:ascii="Arial" w:cs="Arial" w:eastAsia="Arial" w:hAnsi="Arial"/>
          <w:sz w:val="18"/>
          <w:szCs w:val="18"/>
          <w:b w:val="1"/>
          <w:bCs w:val="1"/>
          <w:color w:val="4F81BD"/>
        </w:rPr>
        <w:t>Long term reduction of AAT in NHPs following repeat dosing with ARC-AAT</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341" w:right="399" w:bottom="1440" w:gutter="0" w:footer="0" w:header="0"/>
          <w:type w:val="continuous"/>
        </w:sectPr>
      </w:pPr>
    </w:p>
    <w:bookmarkStart w:id="13" w:name="page14"/>
    <w:bookmarkEnd w:id="13"/>
    <w:p>
      <w:pPr>
        <w:ind w:left="520"/>
        <w:spacing w:after="0"/>
        <w:rPr>
          <w:sz w:val="20"/>
          <w:szCs w:val="20"/>
          <w:color w:val="auto"/>
        </w:rPr>
      </w:pPr>
      <w:r>
        <w:rPr>
          <w:rFonts w:ascii="Arial" w:cs="Arial" w:eastAsia="Arial" w:hAnsi="Arial"/>
          <w:sz w:val="18"/>
          <w:szCs w:val="18"/>
          <w:b w:val="1"/>
          <w:bCs w:val="1"/>
          <w:color w:val="auto"/>
        </w:rPr>
        <w:t>The Alpha-1 Project</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Arrowhead has an agreement with The Alpha-1 Project (TAP), the venture philanthropy subsidiary of the Alpha-1 Foundation. TAP’s mission is to support organizations in pursuit of cures and therapies for lung and liver disease caused by Alpha-1 Antitrypsin Deficiency. Under the terms of the agreement, TAP will partially fund the development of ARC-AAT. In addition to the funding, TAP will make its scientific advisors available to Arrowhead, assist with patient recruitment for clinical trials thanks to the Alpha-1 Foundation Patient Research Registry, and engage in other collaborative efforts that support the development of ARC-AAT.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Partner-based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169545</wp:posOffset>
            </wp:positionV>
            <wp:extent cx="5488305" cy="13633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8830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Adipotide – Obesity and Metabolic Disorder</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Adipotide is under development by our majority-owned subsidiary, Ablaris Therapeutics, Inc. Adipotide is based on the Homing Peptide™ library developed at MD Anderson Cancer Center, the licensor, which is also funding and managing a Phase 1 clinical trial. Patient recruitment is on going, and though internal resources are not being expended on this program, the Company continues to monitor its progress to determine whether it can be an attractive licensing candidate.</w:t>
      </w:r>
    </w:p>
    <w:p>
      <w:pPr>
        <w:spacing w:after="0" w:line="187"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An Investigational New Drug Application (IND) for Adipotide was filed with the FDA, and patient enrollment began in 2012 as part of a Phase 1 clinical trial to test the safety of the compound in human patients. Our collaborator, MD Anderson Cancer Center in Houston, is seeking to enroll up to 39 obese prostate cancer patients in the Phase 1 study and has agreed to bear all direct costs of this trial. Up to five dose levels of the drug candidate will be tested in the trial. Three participants will be enrolled at each dose level, with the first group of participants receiving the lowest dose level by injection under the skin once per day for 28 days and each new group receiving a higher dose than the group before it, if no intolerable side effects are seen. This will continue until the highest tolerable dose is found or the study terminates.</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Cyclosert and CRLX-101 (formerly IT-101)</w:t>
      </w:r>
    </w:p>
    <w:p>
      <w:pPr>
        <w:spacing w:after="0" w:line="121"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The linear cyclodextrin-based drug delivery platform, Cyclosert, was designed for the delivery of small-molecule drugs. In December 2008, we completed a Phase 1 trial with IT-101, a conjugate of the linear cyclodextrin polymer and Camptothecin, a potent anti-cancer drug, with a positive safety profile and indications of efficacy.</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June 2009, we entered into a transaction with Cerulean Pharmaceuticals, Inc., a Boston-based company. Cerulean licensed rights to further research and commercialize IT-101 (now known as “CRLX-101”), and the Cyclosert platform for all products except for nucleic acids, tubulysin, cytolysin and second-generation epothilones. In connection with the transaction, we assigned certain patents to Cerulean and Cerulean granted back to us rights necessary to research and commercialize the excluded products.</w:t>
      </w:r>
    </w:p>
    <w:p>
      <w:pPr>
        <w:spacing w:after="0" w:line="187" w:lineRule="exact"/>
        <w:rPr>
          <w:sz w:val="20"/>
          <w:szCs w:val="20"/>
          <w:color w:val="auto"/>
        </w:rPr>
      </w:pPr>
    </w:p>
    <w:p>
      <w:pPr>
        <w:ind w:right="360" w:firstLine="518"/>
        <w:spacing w:after="0" w:line="312" w:lineRule="auto"/>
        <w:rPr>
          <w:sz w:val="20"/>
          <w:szCs w:val="20"/>
          <w:color w:val="auto"/>
        </w:rPr>
      </w:pPr>
      <w:r>
        <w:rPr>
          <w:rFonts w:ascii="Arial" w:cs="Arial" w:eastAsia="Arial" w:hAnsi="Arial"/>
          <w:sz w:val="16"/>
          <w:szCs w:val="16"/>
          <w:color w:val="auto"/>
        </w:rPr>
        <w:t>We received an initial payment of $2.4 million, and may receive development and sales milestones and royalty payments if CRLX-101 or other products based on the Cyclosert platform are successfully developed. Should Cerulean sublicense CRLX-101 to a third party, we are entitled to receive a percentage of any sublicensing income at rates between 10% and 40%, depending on the stage of the drug’s development at the time of sublicensing.</w:t>
      </w:r>
    </w:p>
    <w:p>
      <w:pPr>
        <w:spacing w:after="0" w:line="14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Cerulean has multiple active Phase 2 trials ongoing to study CRLX-101 in several cancer types, including: relapsed renal cell carcinoma, relapsed ovarian cancer, and non-metastatic rectal cancer.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5" w:right="2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b w:val="1"/>
          <w:bCs w:val="1"/>
          <w:color w:val="auto"/>
        </w:rPr>
        <w:t>Alnylam Pharmaceuticals</w:t>
      </w:r>
    </w:p>
    <w:p>
      <w:pPr>
        <w:spacing w:after="0" w:line="12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In January 2012, Arrowhead granted Alnylam Pharmaceuticals, Inc., (“Alnylam”) a license to utilize the Dynamic Polyconjugate delivery technology for a single RNAi therapeutic product. Alnylam is collaborating with Arrowhead to develop this technology for an undisclosed target in its "Alnylam 5x15" pipeline, which is focused on genetically defined targets and diseases. Alnylam has not publically disclosed what progress, if any, it may have made with respect to this target. Arrowhead is eligible to receive milestone payments and royalties on sales from Alnylam.</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Shire</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December 2012, Arrowhead signed a research collaboration and license agreement with Shire AG to develop and commercialize targeted peptide-drug conjugates (PDCs) utilizing Arrowhead’s human-derived Homing Peptide platform and Shire’s therapeutic payloads. Arrowhead may receive research funding and could be eligible for development, regulatory, and commercialization milestone payments of up to $32.8 million for each development candidate, plus additional milestone payments for a second indication, and royalties on worldwide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Programs</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addition to our clinical candidates and our partner-based programs, we are actively engaged in the discovery and development of additional pre-clinical stage products for intravenous and subcutaneous administered therapeutics targeting the liver, as well as programs targeting extra-hepatic tissues. We focus on disease targets that are well suited for intervention with targeted RNAi therapeutics using our DPC delivery platform. These may include liver disease, oncology, and other therapeutic areas.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RNAi Program</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In October 2011, Arrowhead acquired Roche’s RNAi business, including its RNA therapeutic assets, related intellectual property and research facility in Madison, Wisconsin. As a result of this acquition, Arrowhead possesses the following RNAi assets:</w:t>
      </w:r>
    </w:p>
    <w:p>
      <w:pPr>
        <w:spacing w:after="0" w:line="62" w:lineRule="exact"/>
        <w:rPr>
          <w:sz w:val="20"/>
          <w:szCs w:val="20"/>
          <w:color w:val="auto"/>
        </w:rPr>
      </w:pPr>
    </w:p>
    <w:p>
      <w:pPr>
        <w:jc w:val="both"/>
        <w:ind w:left="1020" w:right="460" w:hanging="358"/>
        <w:spacing w:after="0" w:line="26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Non-exclusive license from Alnylam to develop RNAi therapeutics in oncology, respiratory diseases, metabolic diseases and certain liver diseases using certain siRNA-type RNAi triggers. This includes a sub-license from Isis Pharmaceuticals granting Arrowhead a license for chemical modifications for these specific disease areas.</w:t>
      </w:r>
    </w:p>
    <w:p>
      <w:pPr>
        <w:spacing w:after="0" w:line="73" w:lineRule="exact"/>
        <w:rPr>
          <w:rFonts w:ascii="Arial" w:cs="Arial" w:eastAsia="Arial" w:hAnsi="Arial"/>
          <w:sz w:val="18"/>
          <w:szCs w:val="18"/>
          <w:color w:val="auto"/>
        </w:rPr>
      </w:pPr>
    </w:p>
    <w:p>
      <w:pPr>
        <w:ind w:left="1020" w:hanging="358"/>
        <w:spacing w:after="0" w:line="25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Non-exclusive license from City of Hope Comprehensive Cancer Center to Dicer substrate and Meroduplex RNAi triggers and a non-exclusive license from Marina Biotech to Unlocked Nucleobase Analogs (UNA). The Dicer, meroduplex, and UNA technologies may provide advantages over canonical siRNAs in certain circumstances. In addition, different RNAi-trigger formats may perform more or less efficiently on a target-by-target basis.</w:t>
      </w:r>
    </w:p>
    <w:p>
      <w:pPr>
        <w:spacing w:after="0" w:line="78" w:lineRule="exact"/>
        <w:rPr>
          <w:rFonts w:ascii="Arial" w:cs="Arial" w:eastAsia="Arial" w:hAnsi="Arial"/>
          <w:sz w:val="18"/>
          <w:szCs w:val="18"/>
          <w:color w:val="auto"/>
        </w:rPr>
      </w:pPr>
    </w:p>
    <w:p>
      <w:pPr>
        <w:ind w:left="1020" w:hanging="358"/>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Patent estate covering the Dynamic Polyconjugate siRNA delivery system.</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certain patents on targeting RNAi drugs with antibodies and small molecules.</w:t>
      </w:r>
    </w:p>
    <w:p>
      <w:pPr>
        <w:spacing w:after="0" w:line="117" w:lineRule="exact"/>
        <w:rPr>
          <w:rFonts w:ascii="Arial" w:cs="Arial" w:eastAsia="Arial" w:hAnsi="Arial"/>
          <w:sz w:val="18"/>
          <w:szCs w:val="18"/>
          <w:color w:val="auto"/>
        </w:rPr>
      </w:pPr>
    </w:p>
    <w:p>
      <w:pPr>
        <w:ind w:left="1020" w:right="620" w:hanging="358"/>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State-of-the-art laboratory facilities in Madison, Wisconsin, managed by long-term leaders in oligonucleotide therapeutics and delivery, including a small animal research facility.</w:t>
      </w:r>
    </w:p>
    <w:p>
      <w:pPr>
        <w:spacing w:after="0" w:line="62" w:lineRule="exact"/>
        <w:rPr>
          <w:rFonts w:ascii="Arial" w:cs="Arial" w:eastAsia="Arial" w:hAnsi="Arial"/>
          <w:sz w:val="18"/>
          <w:szCs w:val="18"/>
          <w:color w:val="auto"/>
        </w:rPr>
      </w:pPr>
    </w:p>
    <w:p>
      <w:pPr>
        <w:ind w:left="1020" w:hanging="358"/>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Intellectual property covering Roche’s internally developed liposomal nanoparticle drug delivery technology.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this represents one of the broadest RNAi drug and delivery portfolios in the field.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45"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RNA Interference &amp; the Benefits of RNAi Therapeutics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RNA interference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RNAi-based therapeutics may leverage this natural pathway of gene silencing to target and shut down specific disease causing genes.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144780</wp:posOffset>
            </wp:positionV>
            <wp:extent cx="3018790" cy="3713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18790" cy="371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12: Mechanism of RNA interference</w:t>
      </w:r>
    </w:p>
    <w:p>
      <w:pPr>
        <w:spacing w:after="0" w:line="234"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Small molecule and antibody drugs have proven effective at inhibiting certain cell surface, intracellular, and extracellular targets. However, other drug targets such as intranuclear genes and some proteins have proven difficult to inhibit with traditional drug-based and biologic therapeutics. Developing effective drugs for these targets would have the potential to address large underserved markets for the treatment of many diseases. Using the ability to specifically silence any gene, RNAi therapeutics may be able to address previously “undruggable” targets, unlocking the market potential of such targets.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Advantages of RNAi as a Therapeutic Modality</w:t>
      </w:r>
    </w:p>
    <w:p>
      <w:pPr>
        <w:spacing w:after="0" w:line="117" w:lineRule="exact"/>
        <w:rPr>
          <w:sz w:val="20"/>
          <w:szCs w:val="20"/>
          <w:color w:val="auto"/>
        </w:rPr>
      </w:pPr>
    </w:p>
    <w:p>
      <w:pPr>
        <w:ind w:left="1020" w:hanging="35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Silences the expression of disease causing genes;</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to address any target in the transcriptome including previously "undruggable" targets;</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Rapid lead identification;</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 specificity;</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Opportunity to use multiple RNA sequences in one drug product for synergistic silencing of related targets; and</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RNAi therapeutics are uniquely suited for personalized medicine through target and cell specific delivery and gene knockdown.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49"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Addressing the RNAi Delivery Challenge</w:t>
      </w:r>
    </w:p>
    <w:p>
      <w:pPr>
        <w:spacing w:after="0" w:line="117" w:lineRule="exact"/>
        <w:rPr>
          <w:sz w:val="20"/>
          <w:szCs w:val="20"/>
          <w:color w:val="auto"/>
        </w:rPr>
      </w:pPr>
    </w:p>
    <w:p>
      <w:pPr>
        <w:ind w:right="260" w:firstLine="518"/>
        <w:spacing w:after="0" w:line="302" w:lineRule="auto"/>
        <w:rPr>
          <w:sz w:val="20"/>
          <w:szCs w:val="20"/>
          <w:color w:val="auto"/>
        </w:rPr>
      </w:pPr>
      <w:r>
        <w:rPr>
          <w:rFonts w:ascii="Arial" w:cs="Arial" w:eastAsia="Arial" w:hAnsi="Arial"/>
          <w:sz w:val="16"/>
          <w:szCs w:val="16"/>
          <w:color w:val="auto"/>
        </w:rPr>
        <w:t>To date, the primary challenge to the development of RNAi therapeutics has been delivering the fragile, often immunogenic and otherwise rapidly cleared RNAi trigger molecules, into the cytoplasm of the cell, where RNAi activity occurs. This hurdle has prevented many RNAi therapeutics from reaching their full potential. Many companies have attempted to overcome the delivery challenge. Most early systems involved various carriers such as liposomes. However, development in humans has been limited due to toxicity and immunogenicity of these approaches when studied in clinical trials.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Dynamic Polyconjugate RNAi Delivery System</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DPC delivery system represents an innovative solution to the RNAi delivery problem, specifically designed to overcome barriers to systemic administration of RNAi trigger molecules. Developed by Arrowhead scientists, the inspiration for DPC technology came from the physical characteristics of viruses, nature’s own nanoparticles for nucleic acid delivery. Viruses are efficient at finding their target cells and delivering their nucleic acid payload to the proper cellular compartment. Key features of viruses are their small size, their overall negative surface charge, their specificity for particular cell types based on receptors unique to that cell, and their ability to disassemble and release their nucleic acid cargo to the proper cell compartment in response to cellular triggers. All of these features are incorporated into DPC technology.</w:t>
      </w:r>
    </w:p>
    <w:p>
      <w:pPr>
        <w:spacing w:after="0" w:line="178"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 xml:space="preserve">DPCs are small nanoparticles, generally 5-20 nanometers (nm) in size, with an amphipathic polymer backbone. Arrowhead has a library of polymers, enabling optimization based on factors such as preferred mode of administration, pharmacokinetics, and target tissue. Shielding agents such as polyethylene glycol and targeting ligands may be reversibly attached to the polymer backbone. In some constructs, the RNAi trigger payload is attached to the DPC, while in other constructs, the RNAi trigger circulates attached to a different carrier. When attached, the DPC construct protects the RNAi trigger payload while allowing the polymer to circulate in the blood without creating undue toxicity. The targeting ligand guides it to the cell type of interest where, together with the RNAi trigger, it is taken up into a membrane-enclosed cellular compartment known as an endosome. The polymer is selected for its ability to disrupt the endosomal membrane, which allows the RNAi trigger to be released into the cytoplasm. There, it engages the cell’s RNAi machinery, ultimately resulting in knockdown of target gene expression. This membrane active chemistry of the DPC polymeric backbone is modified, or “masked”, using proprietary chemistry until it reaches the endosome where pH changes cause the masking chemistries to fall off. Masking of the polymer’s membrane active chemistry accomplishes two interrelated objectives that are critical to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RNAi delivery:</w:t>
      </w:r>
    </w:p>
    <w:p>
      <w:pPr>
        <w:spacing w:after="0" w:line="61" w:lineRule="exact"/>
        <w:rPr>
          <w:sz w:val="20"/>
          <w:szCs w:val="20"/>
          <w:color w:val="auto"/>
        </w:rPr>
      </w:pPr>
    </w:p>
    <w:p>
      <w:pPr>
        <w:ind w:left="1020" w:hanging="35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Reduction of toxicity by controlling when the membrane disruptive property of the polymer is activated; and</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Inhibition of non-specific interactions with blood components and non-targeted cell types.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449"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483235</wp:posOffset>
            </wp:positionH>
            <wp:positionV relativeFrom="page">
              <wp:posOffset>88900</wp:posOffset>
            </wp:positionV>
            <wp:extent cx="3181350" cy="385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3181350" cy="385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13: Single molecule DPCs</w:t>
      </w:r>
    </w:p>
    <w:p>
      <w:pPr>
        <w:spacing w:after="0" w:line="2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1440" w:right="1440"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color w:val="auto"/>
        </w:rPr>
        <w:t>Co-injection of DPCs and RNAi Triggers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Arrowhead has developed multiple forms of the prototypical DPC delivery system. ARC-520 and ARC-AAT use a DPC formulation whereby the RNAi trigger is conjugated to cholesterol and is not attached to the DPC. Pre-clinical studies have shown co-injection of the liver-targeted DPC polymer together with the RNAi trigger conjugated to a lipophilic moiety, such as cholesterol, results in a greater than 500-fold increase in the potency when compared to the RNAi trigger with cholesterol alone. This formulation retains the potent endosomal escape capabilities of Arrowhead's DPC platform, simplifies drug manufacturing, and creates new targeting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146050</wp:posOffset>
            </wp:positionV>
            <wp:extent cx="2058035" cy="5351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58035" cy="535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14: Mechanism of action for co-injected DPCs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5" w:right="2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b w:val="1"/>
          <w:bCs w:val="1"/>
          <w:color w:val="auto"/>
        </w:rPr>
        <w:t>Subcutaneous Administration of DPCs</w:t>
      </w:r>
    </w:p>
    <w:p>
      <w:pPr>
        <w:spacing w:after="0" w:line="121"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A DPC formulation for subcutaneous administration has also been developed using Arrowhead’s latest proprietary polymer masking technology. Using DPCs to deliver RNAi triggers, high-level target gene knockdown is observed at low doses with limited toxicity in rodents and non-human primates. Arrowhead studies have shown knockdown of greater than 99% in monkeys after a single injection of 1 mg/kg, greater than 90% at 0.5 mg/kg, and 80% in mice at 0.05 mg/kg, with a substantially longer duration of action than has been reported by competing technologies. Pharmacokinetic (PK) and biodistribution studies indicate that the new masking technology is highly stable, allowing for maximal bioavailability and long circulation times. Arrowhead is developing this formulation for use in multiple therapeutic areas where chronic dosing may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208280</wp:posOffset>
            </wp:positionV>
            <wp:extent cx="4408170" cy="3533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08170" cy="353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4F81BD"/>
        </w:rPr>
        <w:t>Figure 15: Efficacy of subcutaneous DPCs in NHPs against coagulation factor 7 (F7)</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controls approximately 95 issued patents (31 for DPCs; 13 for hydrodynamic gene delivery; 7 for pH labile molecules; 7 for polyampholyte; 5 for template polymerization; 2 for membrane active anionic polymers; 1 for liver expression vector; and 29 for Homing Peptides), including European validations, and 140 patent applications (132 applications in 15 families for DPCs; and 8 for Homing Peptides). The pending applications have been filed throughout the world, including, in the United States, Argentina, ARIPO (Africa Regional Intellectual Property Organization), Australia, Brazil, Canada, Chile, China, Eurasian Patent Organization, Europe, Hong Kong, Israel, India, Indonesia, Iraq, Jordan, Japan, Republic of Korea, Mexico, New Zealand, OAPI (African Intellectual Property Organization), Peru, Philippines, Russian Federation, Saudi Arabia, Singapore, Thailand, Taiwan, Venezuela, Vietnam, and South Africa.</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RNAi Triggers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owns patents directed to RNAi triggers targeted to reduce expression of hepatitis B viral proteins as well the RRM2 gene.</w:t>
      </w:r>
    </w:p>
    <w:p>
      <w:pPr>
        <w:spacing w:after="0" w:line="247" w:lineRule="exact"/>
        <w:rPr>
          <w:sz w:val="20"/>
          <w:szCs w:val="20"/>
          <w:color w:val="auto"/>
        </w:rPr>
      </w:pPr>
    </w:p>
    <w:tbl>
      <w:tblPr>
        <w:tblLayout w:type="fixed"/>
        <w:tblInd w:w="510" w:type="dxa"/>
        <w:tblCellMar>
          <w:top w:w="0" w:type="dxa"/>
          <w:left w:w="0" w:type="dxa"/>
          <w:bottom w:w="0" w:type="dxa"/>
          <w:right w:w="0" w:type="dxa"/>
        </w:tblCellMar>
      </w:tblPr>
      <w:tr>
        <w:trPr>
          <w:trHeight w:val="338"/>
        </w:trPr>
        <w:tc>
          <w:tcPr>
            <w:tcW w:w="4280" w:type="dxa"/>
            <w:vAlign w:val="bottom"/>
            <w:tcBorders>
              <w:top w:val="single" w:sz="8" w:color="auto"/>
              <w:left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rPr>
              <w:t>Patent Group</w:t>
            </w:r>
          </w:p>
        </w:tc>
        <w:tc>
          <w:tcPr>
            <w:tcW w:w="1140" w:type="dxa"/>
            <w:vAlign w:val="bottom"/>
            <w:tcBorders>
              <w:top w:val="single" w:sz="8" w:color="auto"/>
              <w:bottom w:val="single" w:sz="8" w:color="auto"/>
              <w:right w:val="single" w:sz="8" w:color="auto"/>
            </w:tcBorders>
          </w:tcPr>
          <w:p>
            <w:pPr>
              <w:spacing w:after="0"/>
              <w:rPr>
                <w:sz w:val="24"/>
                <w:szCs w:val="24"/>
                <w:color w:val="auto"/>
              </w:rPr>
            </w:pPr>
          </w:p>
        </w:tc>
        <w:tc>
          <w:tcPr>
            <w:tcW w:w="378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Estimated Year of Expiration</w:t>
            </w:r>
          </w:p>
        </w:tc>
      </w:tr>
      <w:tr>
        <w:trPr>
          <w:trHeight w:val="318"/>
        </w:trPr>
        <w:tc>
          <w:tcPr>
            <w:tcW w:w="4280" w:type="dxa"/>
            <w:vAlign w:val="bottom"/>
            <w:tcBorders>
              <w:left w:val="single" w:sz="8" w:color="auto"/>
              <w:bottom w:val="single" w:sz="8" w:color="auto"/>
            </w:tcBorders>
            <w:shd w:val="clear" w:color="auto" w:fill="EEECE1"/>
          </w:tcPr>
          <w:p>
            <w:pPr>
              <w:ind w:left="560"/>
              <w:spacing w:after="0"/>
              <w:rPr>
                <w:sz w:val="20"/>
                <w:szCs w:val="20"/>
                <w:color w:val="auto"/>
              </w:rPr>
            </w:pPr>
            <w:r>
              <w:rPr>
                <w:rFonts w:ascii="Arial" w:cs="Arial" w:eastAsia="Arial" w:hAnsi="Arial"/>
                <w:sz w:val="18"/>
                <w:szCs w:val="18"/>
                <w:b w:val="1"/>
                <w:bCs w:val="1"/>
                <w:color w:val="auto"/>
              </w:rPr>
              <w:t>RNAi Triggers</w:t>
            </w:r>
          </w:p>
        </w:tc>
        <w:tc>
          <w:tcPr>
            <w:tcW w:w="1140" w:type="dxa"/>
            <w:vAlign w:val="bottom"/>
            <w:tcBorders>
              <w:bottom w:val="single" w:sz="8" w:color="auto"/>
              <w:right w:val="single" w:sz="8" w:color="EEECE1"/>
            </w:tcBorders>
            <w:shd w:val="clear" w:color="auto" w:fill="EEECE1"/>
          </w:tcPr>
          <w:p>
            <w:pPr>
              <w:spacing w:after="0"/>
              <w:rPr>
                <w:sz w:val="24"/>
                <w:szCs w:val="24"/>
                <w:color w:val="auto"/>
              </w:rPr>
            </w:pPr>
          </w:p>
        </w:tc>
        <w:tc>
          <w:tcPr>
            <w:tcW w:w="3780" w:type="dxa"/>
            <w:vAlign w:val="bottom"/>
            <w:tcBorders>
              <w:bottom w:val="single" w:sz="8" w:color="auto"/>
              <w:right w:val="single" w:sz="8" w:color="auto"/>
            </w:tcBorders>
            <w:shd w:val="clear" w:color="auto" w:fill="EEECE1"/>
          </w:tcPr>
          <w:p>
            <w:pPr>
              <w:spacing w:after="0"/>
              <w:rPr>
                <w:sz w:val="24"/>
                <w:szCs w:val="24"/>
                <w:color w:val="auto"/>
              </w:rPr>
            </w:pPr>
          </w:p>
        </w:tc>
      </w:tr>
      <w:tr>
        <w:trPr>
          <w:trHeight w:val="318"/>
        </w:trPr>
        <w:tc>
          <w:tcPr>
            <w:tcW w:w="4280" w:type="dxa"/>
            <w:vAlign w:val="bottom"/>
            <w:tcBorders>
              <w:left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Patent directed to HBV RNAi triggers</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2032</w:t>
            </w:r>
          </w:p>
        </w:tc>
      </w:tr>
      <w:tr>
        <w:trPr>
          <w:trHeight w:val="318"/>
        </w:trPr>
        <w:tc>
          <w:tcPr>
            <w:tcW w:w="4280" w:type="dxa"/>
            <w:vAlign w:val="bottom"/>
            <w:tcBorders>
              <w:left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Patent directed to RRM2 RNAi triggers</w:t>
            </w:r>
          </w:p>
        </w:tc>
        <w:tc>
          <w:tcPr>
            <w:tcW w:w="114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2031</w:t>
            </w:r>
          </w:p>
        </w:tc>
      </w:tr>
      <w:tr>
        <w:trPr>
          <w:trHeight w:val="426"/>
        </w:trPr>
        <w:tc>
          <w:tcPr>
            <w:tcW w:w="428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378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b w:val="1"/>
          <w:bCs w:val="1"/>
          <w:color w:val="auto"/>
        </w:rPr>
        <w:t>DPCs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DPC related patents have issued in the United States, Australia, Canada, Europe, France, Germany, Italy, Spain, Switzerland, United Kingdom, India, Japan, Mexico, New Zealand, Philippines, Russia, South Korea, Singapore, and South Africa. The Company also controls a number of patents directed to hydrodynamic nucleic acid delivery, which issued in the United States, Australia and Europe (validated in Austria, Belgium, Switzerland, Germany, Denmark, Spain, Finland, France, the United Kingdom, Hungary, Ireland, Italy, Netherlands and Sweden). The approximate year of expiration for each of these various groups of patents are set forth below:</w:t>
      </w:r>
    </w:p>
    <w:p>
      <w:pPr>
        <w:spacing w:after="0" w:line="210" w:lineRule="exact"/>
        <w:rPr>
          <w:sz w:val="20"/>
          <w:szCs w:val="20"/>
          <w:color w:val="auto"/>
        </w:rPr>
      </w:pPr>
    </w:p>
    <w:tbl>
      <w:tblPr>
        <w:tblLayout w:type="fixed"/>
        <w:tblInd w:w="510" w:type="dxa"/>
        <w:tblCellMar>
          <w:top w:w="0" w:type="dxa"/>
          <w:left w:w="0" w:type="dxa"/>
          <w:bottom w:w="0" w:type="dxa"/>
          <w:right w:w="0" w:type="dxa"/>
        </w:tblCellMar>
      </w:tblPr>
      <w:tr>
        <w:trPr>
          <w:trHeight w:val="248"/>
        </w:trPr>
        <w:tc>
          <w:tcPr>
            <w:tcW w:w="5980" w:type="dxa"/>
            <w:vAlign w:val="bottom"/>
            <w:tcBorders>
              <w:top w:val="single" w:sz="8" w:color="auto"/>
              <w:left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Patent Group</w:t>
            </w:r>
          </w:p>
        </w:tc>
        <w:tc>
          <w:tcPr>
            <w:tcW w:w="3240" w:type="dxa"/>
            <w:vAlign w:val="bottom"/>
            <w:tcBorders>
              <w:top w:val="single" w:sz="8" w:color="auto"/>
              <w:right w:val="single" w:sz="8" w:color="auto"/>
            </w:tcBorders>
            <w:vMerge w:val="restart"/>
          </w:tcPr>
          <w:p>
            <w:pPr>
              <w:ind w:left="520"/>
              <w:spacing w:after="0"/>
              <w:rPr>
                <w:sz w:val="20"/>
                <w:szCs w:val="20"/>
                <w:color w:val="auto"/>
              </w:rPr>
            </w:pPr>
            <w:r>
              <w:rPr>
                <w:rFonts w:ascii="Arial" w:cs="Arial" w:eastAsia="Arial" w:hAnsi="Arial"/>
                <w:sz w:val="18"/>
                <w:szCs w:val="18"/>
                <w:b w:val="1"/>
                <w:bCs w:val="1"/>
                <w:color w:val="auto"/>
              </w:rPr>
              <w:t>Estimated Year of Expiration</w:t>
            </w:r>
          </w:p>
        </w:tc>
        <w:tc>
          <w:tcPr>
            <w:tcW w:w="0" w:type="dxa"/>
            <w:vAlign w:val="bottom"/>
          </w:tcPr>
          <w:p>
            <w:pPr>
              <w:spacing w:after="0"/>
              <w:rPr>
                <w:sz w:val="1"/>
                <w:szCs w:val="1"/>
                <w:color w:val="auto"/>
              </w:rPr>
            </w:pPr>
          </w:p>
        </w:tc>
      </w:tr>
      <w:tr>
        <w:trPr>
          <w:trHeight w:val="90"/>
        </w:trPr>
        <w:tc>
          <w:tcPr>
            <w:tcW w:w="5980" w:type="dxa"/>
            <w:vAlign w:val="bottom"/>
            <w:tcBorders>
              <w:left w:val="single" w:sz="8" w:color="auto"/>
              <w:bottom w:val="single" w:sz="8" w:color="auto"/>
              <w:right w:val="single" w:sz="8" w:color="auto"/>
            </w:tcBorders>
          </w:tcPr>
          <w:p>
            <w:pPr>
              <w:spacing w:after="0"/>
              <w:rPr>
                <w:sz w:val="7"/>
                <w:szCs w:val="7"/>
                <w:color w:val="auto"/>
              </w:rPr>
            </w:pPr>
          </w:p>
        </w:tc>
        <w:tc>
          <w:tcPr>
            <w:tcW w:w="32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EEECE1"/>
            </w:tcBorders>
            <w:shd w:val="clear" w:color="auto" w:fill="EEECE1"/>
          </w:tcPr>
          <w:p>
            <w:pPr>
              <w:ind w:left="560"/>
              <w:spacing w:after="0"/>
              <w:rPr>
                <w:sz w:val="20"/>
                <w:szCs w:val="20"/>
                <w:color w:val="auto"/>
              </w:rPr>
            </w:pPr>
            <w:r>
              <w:rPr>
                <w:rFonts w:ascii="Arial" w:cs="Arial" w:eastAsia="Arial" w:hAnsi="Arial"/>
                <w:sz w:val="18"/>
                <w:szCs w:val="18"/>
                <w:b w:val="1"/>
                <w:bCs w:val="1"/>
                <w:color w:val="auto"/>
              </w:rPr>
              <w:t>Dynamic Polyconjugates</w:t>
            </w:r>
            <w:r>
              <w:rPr>
                <w:rFonts w:ascii="Arial" w:cs="Arial" w:eastAsia="Arial" w:hAnsi="Arial"/>
                <w:sz w:val="15"/>
                <w:szCs w:val="15"/>
                <w:color w:val="auto"/>
              </w:rPr>
              <w:t>®</w:t>
            </w:r>
            <w:r>
              <w:rPr>
                <w:rFonts w:ascii="Arial" w:cs="Arial" w:eastAsia="Arial" w:hAnsi="Arial"/>
                <w:sz w:val="18"/>
                <w:szCs w:val="18"/>
                <w:b w:val="1"/>
                <w:bCs w:val="1"/>
                <w:color w:val="auto"/>
              </w:rPr>
              <w:t xml:space="preserve"> (DPC</w:t>
            </w:r>
            <w:r>
              <w:rPr>
                <w:rFonts w:ascii="Arial" w:cs="Arial" w:eastAsia="Arial" w:hAnsi="Arial"/>
                <w:sz w:val="15"/>
                <w:szCs w:val="15"/>
                <w:color w:val="auto"/>
              </w:rPr>
              <w:t>®</w:t>
            </w:r>
            <w:r>
              <w:rPr>
                <w:rFonts w:ascii="Arial" w:cs="Arial" w:eastAsia="Arial" w:hAnsi="Arial"/>
                <w:sz w:val="18"/>
                <w:szCs w:val="18"/>
                <w:b w:val="1"/>
                <w:bCs w:val="1"/>
                <w:color w:val="auto"/>
              </w:rPr>
              <w:t>)</w:t>
            </w:r>
          </w:p>
        </w:tc>
        <w:tc>
          <w:tcPr>
            <w:tcW w:w="3240" w:type="dxa"/>
            <w:vAlign w:val="bottom"/>
            <w:tcBorders>
              <w:bottom w:val="single" w:sz="8" w:color="auto"/>
              <w:right w:val="single" w:sz="8" w:color="auto"/>
            </w:tcBorders>
            <w:shd w:val="clear" w:color="auto" w:fill="EEECE1"/>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980" w:type="dxa"/>
            <w:vAlign w:val="bottom"/>
            <w:tcBorders>
              <w:left w:val="single" w:sz="8" w:color="auto"/>
              <w:right w:val="single" w:sz="8" w:color="auto"/>
            </w:tcBorders>
            <w:vMerge w:val="restart"/>
          </w:tcPr>
          <w:p>
            <w:pPr>
              <w:ind w:left="560"/>
              <w:spacing w:after="0"/>
              <w:rPr>
                <w:sz w:val="20"/>
                <w:szCs w:val="20"/>
                <w:color w:val="auto"/>
              </w:rPr>
            </w:pPr>
            <w:r>
              <w:rPr>
                <w:rFonts w:ascii="Arial" w:cs="Arial" w:eastAsia="Arial" w:hAnsi="Arial"/>
                <w:sz w:val="18"/>
                <w:szCs w:val="18"/>
                <w:color w:val="auto"/>
              </w:rPr>
              <w:t>Membrane Active Polymers</w:t>
            </w:r>
          </w:p>
        </w:tc>
        <w:tc>
          <w:tcPr>
            <w:tcW w:w="324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94"/>
        </w:trPr>
        <w:tc>
          <w:tcPr>
            <w:tcW w:w="59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3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598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Membrane Active Polymers – Additional Iterations</w:t>
            </w:r>
          </w:p>
        </w:tc>
        <w:tc>
          <w:tcPr>
            <w:tcW w:w="324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94"/>
        </w:trPr>
        <w:tc>
          <w:tcPr>
            <w:tcW w:w="5980" w:type="dxa"/>
            <w:vAlign w:val="bottom"/>
            <w:tcBorders>
              <w:left w:val="single" w:sz="8" w:color="auto"/>
              <w:bottom w:val="single" w:sz="8" w:color="auto"/>
              <w:right w:val="single" w:sz="8" w:color="auto"/>
            </w:tcBorders>
          </w:tcPr>
          <w:p>
            <w:pPr>
              <w:spacing w:after="0"/>
              <w:rPr>
                <w:sz w:val="8"/>
                <w:szCs w:val="8"/>
                <w:color w:val="auto"/>
              </w:rPr>
            </w:pPr>
          </w:p>
        </w:tc>
        <w:tc>
          <w:tcPr>
            <w:tcW w:w="324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Copolymer Systems</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Polynucleotide-Polymer Composition</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Polynucleotide-Polymer Composition – Additional Iterations</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ARC-520 Polymer</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Masking Chemistry</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Polyampholyte Delivery</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pH Labile Molecules</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Endosomolytic Polymers</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EEECE1"/>
            </w:tcBorders>
            <w:shd w:val="clear" w:color="auto" w:fill="EEECE1"/>
          </w:tcPr>
          <w:p>
            <w:pPr>
              <w:ind w:left="560"/>
              <w:spacing w:after="0"/>
              <w:rPr>
                <w:sz w:val="20"/>
                <w:szCs w:val="20"/>
                <w:color w:val="auto"/>
              </w:rPr>
            </w:pPr>
            <w:r>
              <w:rPr>
                <w:rFonts w:ascii="Arial" w:cs="Arial" w:eastAsia="Arial" w:hAnsi="Arial"/>
                <w:sz w:val="18"/>
                <w:szCs w:val="18"/>
                <w:b w:val="1"/>
                <w:bCs w:val="1"/>
                <w:color w:val="auto"/>
              </w:rPr>
              <w:t>Hydrodynamic delivery</w:t>
            </w:r>
          </w:p>
        </w:tc>
        <w:tc>
          <w:tcPr>
            <w:tcW w:w="3240" w:type="dxa"/>
            <w:vAlign w:val="bottom"/>
            <w:tcBorders>
              <w:bottom w:val="single" w:sz="8" w:color="auto"/>
              <w:right w:val="single" w:sz="8" w:color="auto"/>
            </w:tcBorders>
            <w:shd w:val="clear" w:color="auto" w:fill="EEECE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First iterations</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18"/>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Second iteration</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4"/>
        </w:trPr>
        <w:tc>
          <w:tcPr>
            <w:tcW w:w="598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Third iteration</w:t>
            </w:r>
          </w:p>
        </w:tc>
        <w:tc>
          <w:tcPr>
            <w:tcW w:w="324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94"/>
        </w:trPr>
        <w:tc>
          <w:tcPr>
            <w:tcW w:w="5980" w:type="dxa"/>
            <w:vAlign w:val="bottom"/>
            <w:tcBorders>
              <w:left w:val="single" w:sz="8" w:color="auto"/>
              <w:bottom w:val="single" w:sz="8" w:color="auto"/>
              <w:right w:val="single" w:sz="8" w:color="auto"/>
            </w:tcBorders>
          </w:tcPr>
          <w:p>
            <w:pPr>
              <w:spacing w:after="0"/>
              <w:rPr>
                <w:sz w:val="8"/>
                <w:szCs w:val="8"/>
                <w:color w:val="auto"/>
              </w:rPr>
            </w:pPr>
          </w:p>
        </w:tc>
        <w:tc>
          <w:tcPr>
            <w:tcW w:w="324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The RNAi and drug delivery patent landscapes are complex and rapidly evolving. As such, we may need to obtain additional patent licenses prior to commercialization of our candidates. You should review the factors identified in “Risk Factors” in Part I, Item 1A of this Annual Report on Form 10-K.</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Homing Peptides</w:t>
      </w:r>
    </w:p>
    <w:p>
      <w:pPr>
        <w:spacing w:after="0" w:line="121" w:lineRule="exact"/>
        <w:rPr>
          <w:sz w:val="20"/>
          <w:szCs w:val="20"/>
          <w:color w:val="auto"/>
        </w:rPr>
      </w:pPr>
    </w:p>
    <w:p>
      <w:pPr>
        <w:ind w:right="300" w:firstLine="518"/>
        <w:spacing w:after="0" w:line="286" w:lineRule="auto"/>
        <w:rPr>
          <w:sz w:val="20"/>
          <w:szCs w:val="20"/>
          <w:color w:val="auto"/>
        </w:rPr>
      </w:pPr>
      <w:r>
        <w:rPr>
          <w:rFonts w:ascii="Arial" w:cs="Arial" w:eastAsia="Arial" w:hAnsi="Arial"/>
          <w:sz w:val="17"/>
          <w:szCs w:val="17"/>
          <w:color w:val="auto"/>
        </w:rPr>
        <w:t>We also control patents related to our Homing Peptide platforms, related to Adipotide, our drug candidate for the treatment for obesity and related metabolic disorders. Approximately seven of these patents are United States patents and the remaining patents are validated in Belgium, Switzerland, Germany, Spain, France, Japan, the United Kingdom, Ireland, Greece, Italy, Netherlands, Portugal, Sweden and Turkey.</w:t>
      </w:r>
    </w:p>
    <w:p>
      <w:pPr>
        <w:spacing w:after="0" w:line="187" w:lineRule="exact"/>
        <w:rPr>
          <w:sz w:val="20"/>
          <w:szCs w:val="20"/>
          <w:color w:val="auto"/>
        </w:rPr>
      </w:pPr>
    </w:p>
    <w:tbl>
      <w:tblPr>
        <w:tblLayout w:type="fixed"/>
        <w:tblInd w:w="510" w:type="dxa"/>
        <w:tblCellMar>
          <w:top w:w="0" w:type="dxa"/>
          <w:left w:w="0" w:type="dxa"/>
          <w:bottom w:w="0" w:type="dxa"/>
          <w:right w:w="0" w:type="dxa"/>
        </w:tblCellMar>
      </w:tblPr>
      <w:tr>
        <w:trPr>
          <w:trHeight w:val="230"/>
        </w:trPr>
        <w:tc>
          <w:tcPr>
            <w:tcW w:w="598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Patent Group</w:t>
            </w:r>
          </w:p>
        </w:tc>
        <w:tc>
          <w:tcPr>
            <w:tcW w:w="324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Estimated Year of Expiration</w:t>
            </w:r>
          </w:p>
        </w:tc>
      </w:tr>
      <w:tr>
        <w:trPr>
          <w:trHeight w:val="210"/>
        </w:trPr>
        <w:tc>
          <w:tcPr>
            <w:tcW w:w="5980" w:type="dxa"/>
            <w:vAlign w:val="bottom"/>
            <w:tcBorders>
              <w:left w:val="single" w:sz="8" w:color="auto"/>
              <w:bottom w:val="single" w:sz="8" w:color="auto"/>
              <w:right w:val="single" w:sz="8" w:color="EEECE1"/>
            </w:tcBorders>
            <w:shd w:val="clear" w:color="auto" w:fill="EEECE1"/>
          </w:tcPr>
          <w:p>
            <w:pPr>
              <w:ind w:left="560"/>
              <w:spacing w:after="0"/>
              <w:rPr>
                <w:sz w:val="20"/>
                <w:szCs w:val="20"/>
                <w:color w:val="auto"/>
              </w:rPr>
            </w:pPr>
            <w:r>
              <w:rPr>
                <w:rFonts w:ascii="Arial" w:cs="Arial" w:eastAsia="Arial" w:hAnsi="Arial"/>
                <w:sz w:val="18"/>
                <w:szCs w:val="18"/>
                <w:b w:val="1"/>
                <w:bCs w:val="1"/>
                <w:color w:val="auto"/>
              </w:rPr>
              <w:t>Adipotide</w:t>
            </w:r>
            <w:r>
              <w:rPr>
                <w:rFonts w:ascii="Arial" w:cs="Arial" w:eastAsia="Arial" w:hAnsi="Arial"/>
                <w:sz w:val="15"/>
                <w:szCs w:val="15"/>
                <w:color w:val="auto"/>
              </w:rPr>
              <w:t>®</w:t>
            </w:r>
          </w:p>
        </w:tc>
        <w:tc>
          <w:tcPr>
            <w:tcW w:w="3240" w:type="dxa"/>
            <w:vAlign w:val="bottom"/>
            <w:tcBorders>
              <w:bottom w:val="single" w:sz="8" w:color="auto"/>
              <w:right w:val="single" w:sz="8" w:color="auto"/>
            </w:tcBorders>
            <w:shd w:val="clear" w:color="auto" w:fill="EEECE1"/>
          </w:tcPr>
          <w:p>
            <w:pPr>
              <w:spacing w:after="0"/>
              <w:rPr>
                <w:sz w:val="18"/>
                <w:szCs w:val="18"/>
                <w:color w:val="auto"/>
              </w:rPr>
            </w:pPr>
          </w:p>
        </w:tc>
      </w:tr>
      <w:tr>
        <w:trPr>
          <w:trHeight w:val="210"/>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Targeting moieties and conjugates</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2021</w:t>
            </w:r>
          </w:p>
        </w:tc>
      </w:tr>
      <w:tr>
        <w:trPr>
          <w:trHeight w:val="210"/>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Targeted Pharmaceutical Compositions</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2021</w:t>
            </w:r>
          </w:p>
        </w:tc>
      </w:tr>
      <w:tr>
        <w:trPr>
          <w:trHeight w:val="210"/>
        </w:trPr>
        <w:tc>
          <w:tcPr>
            <w:tcW w:w="5980" w:type="dxa"/>
            <w:vAlign w:val="bottom"/>
            <w:tcBorders>
              <w:left w:val="single" w:sz="8" w:color="auto"/>
              <w:bottom w:val="single" w:sz="8" w:color="auto"/>
              <w:right w:val="single" w:sz="8" w:color="EEECE1"/>
            </w:tcBorders>
            <w:shd w:val="clear" w:color="auto" w:fill="EEECE1"/>
          </w:tcPr>
          <w:p>
            <w:pPr>
              <w:ind w:left="560"/>
              <w:spacing w:after="0"/>
              <w:rPr>
                <w:sz w:val="20"/>
                <w:szCs w:val="20"/>
                <w:color w:val="auto"/>
              </w:rPr>
            </w:pPr>
            <w:r>
              <w:rPr>
                <w:rFonts w:ascii="Arial" w:cs="Arial" w:eastAsia="Arial" w:hAnsi="Arial"/>
                <w:sz w:val="18"/>
                <w:szCs w:val="18"/>
                <w:b w:val="1"/>
                <w:bCs w:val="1"/>
                <w:color w:val="auto"/>
              </w:rPr>
              <w:t>Homing Peptides</w:t>
            </w:r>
          </w:p>
        </w:tc>
        <w:tc>
          <w:tcPr>
            <w:tcW w:w="3240" w:type="dxa"/>
            <w:vAlign w:val="bottom"/>
            <w:tcBorders>
              <w:bottom w:val="single" w:sz="8" w:color="auto"/>
              <w:right w:val="single" w:sz="8" w:color="auto"/>
            </w:tcBorders>
            <w:shd w:val="clear" w:color="auto" w:fill="EEECE1"/>
          </w:tcPr>
          <w:p>
            <w:pPr>
              <w:spacing w:after="0"/>
              <w:rPr>
                <w:sz w:val="18"/>
                <w:szCs w:val="18"/>
                <w:color w:val="auto"/>
              </w:rPr>
            </w:pPr>
          </w:p>
        </w:tc>
      </w:tr>
      <w:tr>
        <w:trPr>
          <w:trHeight w:val="210"/>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EphA5 Targeting Peptides</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2027</w:t>
            </w:r>
          </w:p>
        </w:tc>
      </w:tr>
      <w:tr>
        <w:trPr>
          <w:trHeight w:val="210"/>
        </w:trPr>
        <w:tc>
          <w:tcPr>
            <w:tcW w:w="598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IL-11R Targeting Peptides</w:t>
            </w:r>
          </w:p>
        </w:tc>
        <w:tc>
          <w:tcPr>
            <w:tcW w:w="3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2022</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Non-Exclusively Licensed Patent Rights obtained from Roche</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Hoffmann-La Roche, Inc. and F. Hoffmann-La Roche Ltd. (collectively, “Roche”) and the Company entered into a Stock and Asset Purchase Agreement on October 21, 2011 in which Roche assigned to Arrowhead its entire rights under certain licenses for example: the License and Collaboration Agreement between Roche and Alnylam dated July 8, 2007 (the “Alnylam License”); the Non-Exclusive Patent License Agreement between Roche and MDRNA, Inc. dated February 12, 2009 (“MDRNA License”); and the Non-Exclusive License Agreement between Roche and City of Hope dated September 19, 2011 (the “COH License”) (Collectively the “RNAi Licenses”). The RNAi Licenses provide the Company with non-exclusive, worldwide, perpetual, irrevocable, royalty-bearing rights and the right to sublicense a broad portfolio of intellectual property relating to the discovery, development, manufacture, characterization, and use of therapeutic products that function through the mechanism of RNA interference for specified targets.</w:t>
      </w:r>
    </w:p>
    <w:p>
      <w:pPr>
        <w:sectPr>
          <w:pgSz w:w="11900" w:h="16838" w:orient="portrait"/>
          <w:cols w:equalWidth="0" w:num="1">
            <w:col w:w="11340"/>
          </w:cols>
          <w:pgMar w:left="240" w:top="445" w:right="319" w:bottom="1440" w:gutter="0" w:footer="0" w:header="0"/>
        </w:sectPr>
      </w:pP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40"/>
          </w:cols>
          <w:pgMar w:left="240" w:top="445" w:right="3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Terms of the Alnylam License</w:t>
      </w:r>
    </w:p>
    <w:p>
      <w:pPr>
        <w:spacing w:after="0" w:line="117"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The Alnylam License provides us with a non-exclusive, worldwide, perpetual, irrevocable, royalty-bearing right and sublicensable license under Alnylam’s rights in certain intellectual property existing as of its effective date, to engage in discovery, development, commercialization and manufacturing activities, including to make, have made, use, offer for sale, sell and import certain licensed products in certain fields. The fields include the treatment or prophylaxis of indications comprising an RNAi compound complementary to, and function in mediating the RNAi of, a target known or believed to be primarily implicated in one or more primary therapeutic areas. The primary therapeutic areas are cancer, hepatic, metabolic disease and pulmonary disease. The hepatic therapeutic area specifically excludes targets of infectious pathogen.</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Alnylam license excludes access to intellectual property specifically related to “Blocked Targets.” “Blocked Targets” are those targets that are subject to a contractual obligation of a pre-existing alliance agreement. One such pre-existing alliance agreement was a license to Novartis AG (the “Novartis Agreement”). The Novartis Agreement has been terminated. However, Novartis retains rights to a defined number of Blocked Targets not currently available to us.</w:t>
      </w:r>
    </w:p>
    <w:p>
      <w:pPr>
        <w:spacing w:after="0" w:line="18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Under the Alnylam License, we may be obligated to pay development and sales milestone payments of up to the mid to upper double digit millions of dollars for each licensed product that progresses through clinical trials in a particular indication, receives marketing approval for that indication and is the subject of a first commercial sale. Additionally, we may be obligated to pay mid to high single digit percentage royalties on sales of such products.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Patents relating to RNAi</w:t>
      </w:r>
    </w:p>
    <w:p>
      <w:pPr>
        <w:spacing w:after="0" w:line="11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The RNAi Licenses include patents relating to the general structure, architecture, and design of double-stranded oligonucleotide molecules, which engage RNA interference mechanisms in a cell. These rights include the “Tuschl II” patents, including issued U.S. Patent Nos. 7,056,704; 7,078,196; 7,078,196; 8,329,463; 8,362,231; 8,372,968; and 8,445,327; “Tuschl I” patents, including U.S. Patent Nos. 8,394,628 and 8,420,391; and allowed “Tuschl I” patent application, U.S. Publication No. 2011024446; “City of Hope” patents, including U.S. Patent No. 8,084,599; and “Kreutzer-Limmer” patents assigned to Alnylam, including U.S. Patent Nos. 7,829,693; 8,101,594; 8,119,608; 8,202,980; and 8,168,776.</w:t>
      </w:r>
    </w:p>
    <w:p>
      <w:pPr>
        <w:spacing w:after="0" w:line="1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Thomas Tuschl is the first named inventor on “Tuschl I” and “Tuschl II.” “Tuschl I” refers to the patents arising from the patent application entitled “The Uses of 21-23 Sequence-Specific Mediators of Double-Stranded RNA Interference as a Tool to Study Gene Function and as a Gene-Specific Therapeutic.” “Tuschl II” patents refer to the patents and patent applications arising from the patent application entitled “RNA Interference Mediating Small RNA Molecules.” “City of Hope” is the first named assignee of certain core RNAi trigger patents. The second named assignee of these patents is Integrated DNA Technologies, Inc. Kreutzer-Limmer patents refer to the Alnylam patents and patent applications, relating to core siRNA IP, which includes inventors, Roland Kreutzer and Stefan Limmer.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Chemical modifications of double-stranded oligonucleotides</w:t>
      </w:r>
    </w:p>
    <w:p>
      <w:pPr>
        <w:spacing w:after="0" w:line="11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RNAi Licenses also include patents related to modifications of double-stranded oligonucleotides, including modifications to the base, sugar, or internucleoside linkage, nucleotide mimetics, and end modifications, which do not abolish the RNAi activity of the double-stranded oligonucleotides. Also included are patents relating to modified double-stranded oligonucleotides, such as meroduplexes described in in U.S. Publication No. 20100209487 assigned to Marina Biotech (f/k/a MDRNA, Inc.), and microRNAs described in U.S. Patent Nos. 7,582,744; 7,674,778, and 7,772,387 assigned to Alnylam as well as U.S. Patent No. 8,314,227 related to unlocked nucleic acids (UNA). The ‘227 patent was assigned by Marina Biotech to Arcturus Therapeutics, Inc. but remains part of the MDRNA License. The RNAi Licenses also include rights from INEX/Tekmira relating to lipid-nucleic acid particles, and oligonucleotide modifications to improve pharmacokinetic activity including resistance to degradation, increased stability, and more specific targeting of cells from Alnylam and ISIS Pharmaceuticals, Inc.</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techniques for the double-stranded oligonucleotide molecules or chemical modifications</w:t>
      </w:r>
    </w:p>
    <w:p>
      <w:pPr>
        <w:spacing w:after="0" w:line="117" w:lineRule="exact"/>
        <w:rPr>
          <w:sz w:val="20"/>
          <w:szCs w:val="20"/>
          <w:color w:val="auto"/>
        </w:rPr>
      </w:pPr>
    </w:p>
    <w:p>
      <w:pPr>
        <w:ind w:right="360" w:firstLine="518"/>
        <w:spacing w:after="0" w:line="293" w:lineRule="auto"/>
        <w:rPr>
          <w:sz w:val="20"/>
          <w:szCs w:val="20"/>
          <w:color w:val="auto"/>
        </w:rPr>
      </w:pPr>
      <w:r>
        <w:rPr>
          <w:rFonts w:ascii="Arial" w:cs="Arial" w:eastAsia="Arial" w:hAnsi="Arial"/>
          <w:sz w:val="16"/>
          <w:szCs w:val="16"/>
          <w:color w:val="auto"/>
        </w:rPr>
        <w:t>The RNAi Licenses also include patents relating to the synthesis and manufacture of double-stranded oligonucleotide molecules for use in RNA interference, as well as chemical modifications of such molecules, as described above. These include methods of synthesizing the double-stranded oligonucleotide molecules such as in the core “Tuschl I” allowed U.S. Application No. 12/897,749, the core “Tuschl II” U.S. Patent Nos. 7,056,704; 7,078,196; and 8,445,327; and Alnylam’s U.S. Patent Nos. 8,168,776, as well as methods of making chemical modifications of the double-stranded oligonucleotides such as described in Alnylam’s U.S. Patent No. 7,723,509 and INEX’s U.S. Patent Nos. 5,976,567; 6,858,224; and 8,484,282. Patent applications are currently pending that further cover manufacturing techniques for double-stranded oligonucleotide molecules or chemical modifications.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49"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Uses and Applications of Double-Stranded Oligonucleotide Molecules or Chemical modifications</w:t>
      </w:r>
    </w:p>
    <w:p>
      <w:pPr>
        <w:spacing w:after="0" w:line="11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RNAi Licenses also include patents related to uses of the double-stranded oligonucleotides that function through the mechanism of RNA interference. These include for example, the core “Tuschl I” U.S. Patent No. 8,394,628 and “Tuschl II” U.S. Patent No. 8,329,463; Alnylam’s U.S. Patent Nos. 7,763,590; 8,101,594, and 8,119,608, and City of Hope‘s U.S. Patent No. 8,084,599. Other more specific uses have been acquired and patent applications are currently pending that cover additional end uses and applications of double-stranded oligonucleotides functioning through RNA interference.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from Alnylam</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 January 2012, we obtained a license from Alnylam under its rights in certain RNAi intellectual property to develop and commercialize RNAi-based products targeting RNAs encoded by the genome of the human hepatitis B virus (“HBV”).</w:t>
      </w:r>
    </w:p>
    <w:p>
      <w:pPr>
        <w:spacing w:after="0" w:line="170"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Alnylam granted us a worldwide non-exclusive sublicensable royalty bearing license under Alnylam’s general RNAi intellectual property estate to research, develop and commercialize RNAi-based products targeting HBV RNAs in combination with DPC technology. Alnylam further granted us a worldwide sublicensable exclusive royalty bearing license under its target-specific RNAi patent rights to research, develop and commercialize RNAi-based products targeting HBV RNAs in combination with DPC technology. Alnylam further agreed to forego the development of any RNAi-based products targeting HBV RNAs in combination with DPC technology.</w:t>
      </w:r>
    </w:p>
    <w:p>
      <w:pPr>
        <w:spacing w:after="0" w:line="18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Under the license from Alnylam, we may be obligated to pay development and sales milestone payments of up to the low double digit millions of dollars for each licensed product that progresses through clinical trials, receives marketing approval and is the subject of a first commercial sale. Additionally, we may be obligated to pay low single digit percentage royalties on sales of such products.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to Alnylam</w:t>
      </w:r>
    </w:p>
    <w:p>
      <w:pPr>
        <w:spacing w:after="0" w:line="11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 consideration for the licenses from Alnylam, in January 2012 we granted Alnylam a worldwide non-exclusive sublicensable royalty bearing license under our broad and target-specific DPC intellectual property rights to research, develop and commercialize RNAi-based products against a single undisclosed target in combination with DPC technology. Under the license to Alnylam, Alnylam may be obligated to pay us development and sales milestone payments of up to the low double digit millions of dollars for each licensed product that progresses through clinical trials, receives marketing approval and is the subject of a first commercial sale. Additionally, Alnylam may be obligated to pay us low single digit percentage royalties on sales of such products.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of Texas MD Anderson Cancer Center License</w:t>
      </w:r>
    </w:p>
    <w:p>
      <w:pPr>
        <w:spacing w:after="0" w:line="121"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In December 2010, we obtained an exclusive worldwide license from the University of Texas MD Anderson Cancer Center in Houston, Texas (“UTMDACC”) related to Adipotide technology (the “UTMDACC License”). The UTMDACC License granted us a royalty-bearing, exclusive right (with the right to sublicense) under certain UTMDACC patents to develop and commercialize certain products in the fields of: 1) therapeutics, diagnostics and research services that both (i) incorporate peptides that specifically target adipose tissue, and (ii) are used to treat, diagnose or research solely either (a) obesity, overweight and/or (b) metabolic conditions related to, caused by and/or associated with obesity and overweight, e.g., diabetes; and 2) cancer therapies, diagnostics and research products associated with a specific targeting moiety. We also have rights to certain improvements to the technology.</w:t>
      </w:r>
    </w:p>
    <w:p>
      <w:pPr>
        <w:spacing w:after="0" w:line="16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In consideration for the license, we paid UTMDACC an upfront fee of $2 million and are obligated to pay annual fees initially equal to $50,000 increasing up to a maximum of $100,000, with such annual fees creditable against milestone payments.</w:t>
      </w:r>
    </w:p>
    <w:p>
      <w:pPr>
        <w:spacing w:after="0" w:line="170"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We may be obligated to pay development milestone payments of up to $8.3 million for each UTMDCC licensed product that progresses through clinical trials and receives U.S. marketing approval. Additional EU and Japanese approval milestone payments are in the low single digit million dollar range. If a commercial drug is developed and approved, royalty payments on net sales of UTMDACC licensed products are in the low single digit range. If we sublicense or partner a UTMDACC licensed product, UTMDACC would receive partnering fee percentages in the range of single digits to the twenties, depending on the stage of development of the partnered UTMDACC licensed product.</w:t>
      </w:r>
    </w:p>
    <w:p>
      <w:pPr>
        <w:spacing w:after="0" w:line="17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term of the UTMDACC License is linked to the last to expire patents licensed therein or 15 years if a licensed product contains only licensed know-how. We are obligated to actively and effectively attempt to commercialize the UTMDACC Technology and submit to UTMDACC a Phase 2 clinical trial protocol within two years of obtaining an approved IND. We are also obligated to commence a Phase 2 clinical trial within four years and a Phase 3 clinical trial within seven years of approval of an IND. However, we may obtain yearly extensions of time upon the payment of an increasing fee in the range of tens of thousands of dollars up to several hundred thousand dollars. We also have diligence obligations with respect to any UTMDACC Improvements later added to the license.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49"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Research and Development Facility</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Arrowhead operates a research and development facility in Madison, Wisconsin. This facility was built and equipped by Roche and was part of our acquisition of Roche’s RNA therapeutics business. Since the acquisition in 2011, we have integrated all research and development operations into that facility. Substantially all of the Company’s assets are located either in this facility and in the corporate headquarters in Pasadena. A summary of the facility is provided below:</w:t>
      </w:r>
    </w:p>
    <w:p>
      <w:pPr>
        <w:spacing w:after="0" w:line="79" w:lineRule="exact"/>
        <w:rPr>
          <w:sz w:val="20"/>
          <w:szCs w:val="20"/>
          <w:color w:val="auto"/>
        </w:rPr>
      </w:pPr>
    </w:p>
    <w:p>
      <w:pPr>
        <w:ind w:left="1020" w:hanging="35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66 scientists;</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State-of-the-art laboratories: 27,000 total sq. ft. (16,000 sq. ft. lab, 11,000 sq. ft. office);</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Complete small animal facility;</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Primate colony housed at the Wisconsin National Primate Research Center, an affiliate of the University of Wisconsin;</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In-house histopathology capabilities;</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Animals models for metabolic, viral, and oncologic diseases;</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Animal efficacy and safety assessment;</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Polymer, peptide, oligonucleotide and small molecule synthesis and analytics capabilities (HPLC, NMR, MS, etc.);</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Polymer, peptide and oligonucleotide PK, biodistribution, clearance methodologies; and</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Conventional and confocal microscopy, flow cytometry, Luminex platform, qRT-PCR, clinical chemistry analytics.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Research and development (R&amp;D) expenses consist of costs incurred in discovering, developing and testing our clinical candidates and platform technologies. R&amp;D expenses also include costs related to clinical trials, including costs of Contract Research Organizations to recruit patients and manage clinical trials. Other costs associated with clinical trials include manufacturing of clinical supplies, as well as GLP toxicology studies necessary to support clinical trials, both of which are outsourced to cGMP-compliant manufacturers and GLP-compliant laboratories. Total research and development expense for fiscal 2014 was $23.1 million, an increase from $8.7 million in 2013, and $5.4 million in 2012.</w:t>
      </w:r>
    </w:p>
    <w:p>
      <w:pPr>
        <w:spacing w:after="0" w:line="17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employ approximately 66 employees in an R&amp;D function, primarily working from our facility in Madison, Wisconsin. These employees are engaged in various areas of research on Arrowhead candidate and platform development including synthesis and analytics, PK/biodistribution, formulation, CMC and analytics, tumor and extra-hepatic targeting, bioassays, live animal research, toxicology/histopathology, clinical and regulatory operations, and other areas. Salaries and payroll-related expenses for our R&amp;D activities were $7.8 million in fiscal 2014, $4.1 million in fiscal 2013, and $3.3 million in fiscal 2012. Laboratory supplies including animal-related costs for in-vivo studies were $2.3 million, $1.3 million, and $1.1 million in fiscal 2014, 2013, and 2012, respectively.</w:t>
      </w:r>
    </w:p>
    <w:p>
      <w:pPr>
        <w:spacing w:after="0" w:line="193"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Costs related to manufacture of clinical supplies, GLP toxicology studies and other outsourced lab studies, as well as clinical trial costs were $18.8 million, $6.1 million, and $3.0 million in fiscal 2014, 2013, and 2012 respectively.</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Facility-related costs, primarily rental costs for our leased laboratory in Madison, Wisconsin were $0.9 million, $0.7 million, and $0.8 million in fiscal 2014, 2013, and 2012, respectively. Other research and development expenses were $1.2 million, $0.6 million, and $0.5 million in fiscal 2014, 2013 and 2012, respectively. These expenses are primarily related to consulting fees and technology license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levels, and in other countries and jurisdictions, including the European Union, extensively regulate, among other things, the research, development, testing, product approval, manufacture, quality control, manufacturing changes, packaging, storage, recordkeeping, labeling, promotion, advertising, sales, distribution, marketing, and import and export of drugs and biologic products. All of our foreseeable product candidates are expected to be regulated as drugs. The processes for obtaining regulatory approval in the U.S. and in foreign countries and jurisdictions, along with compliance with applicable statutes and regulations and other regulatory authorities both pre- and post-commercialization, are a significant factor in the production and marketing of our products and our R&amp;D activities and require the expenditure of substantial time and financial resources.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49" w:right="25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b w:val="1"/>
          <w:bCs w:val="1"/>
          <w:color w:val="auto"/>
        </w:rPr>
        <w:t>Review and Approval of Drugs in the United States</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the U.S., the Food and Drug Administration (FDA) and other government entities regulate drugs under the Federal Food, Drug, and Cosmetic Act (the “FDCA”), the Public Health Service Act, and the regulations promulgated under those statutes, as well as other federal and state statutes and regulations. Failure to comply with applicable legal and regulatory requirements in the U.S. at any time during the product development process, approval process, or after approval, may subject us to a variety of administrative or judicial sanctions, such as a delay in approving or refusal by the FDA to approve pending applications, withdrawal of approvals, delay or suspension of clinical trials, issuance of warning letters and other types of regulatory letters, product recalls, product seizures, total or partial suspension of production or distribution, injunctions, fines, civil monetary penalties, refusals of or debarment from government contracts, exclusion from the federal healthcare programs, restitution, disgorgement of profits, civil or criminal investigations by the FDA, U.S. Department of Justice, State Attorneys General, and/or other agencies, False Claims Act suits and/or other litigation, and/or criminal prosecutions.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applicant seeking approval to market and distribute a new drug in the U.S. must typically undertake the following:</w:t>
      </w:r>
    </w:p>
    <w:p>
      <w:pPr>
        <w:spacing w:after="0" w:line="225" w:lineRule="exact"/>
        <w:rPr>
          <w:sz w:val="20"/>
          <w:szCs w:val="20"/>
          <w:color w:val="auto"/>
        </w:rPr>
      </w:pPr>
    </w:p>
    <w:p>
      <w:pPr>
        <w:ind w:right="60" w:firstLine="526"/>
        <w:spacing w:after="0" w:line="277" w:lineRule="auto"/>
        <w:tabs>
          <w:tab w:leader="none" w:pos="7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170" w:lineRule="exact"/>
        <w:rPr>
          <w:rFonts w:ascii="Arial" w:cs="Arial" w:eastAsia="Arial" w:hAnsi="Arial"/>
          <w:sz w:val="18"/>
          <w:szCs w:val="18"/>
          <w:color w:val="auto"/>
        </w:rPr>
      </w:pPr>
    </w:p>
    <w:p>
      <w:pPr>
        <w:ind w:right="20" w:firstLine="526"/>
        <w:spacing w:after="0" w:line="277" w:lineRule="auto"/>
        <w:tabs>
          <w:tab w:leader="none" w:pos="7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without FDA objection before human clinical trials may begin;</w:t>
      </w:r>
    </w:p>
    <w:p>
      <w:pPr>
        <w:spacing w:after="0" w:line="170" w:lineRule="exact"/>
        <w:rPr>
          <w:rFonts w:ascii="Arial" w:cs="Arial" w:eastAsia="Arial" w:hAnsi="Arial"/>
          <w:sz w:val="18"/>
          <w:szCs w:val="18"/>
          <w:color w:val="auto"/>
        </w:rPr>
      </w:pPr>
    </w:p>
    <w:p>
      <w:pPr>
        <w:ind w:left="780" w:hanging="254"/>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representing each clinical site before each clinical trial may be initiated;</w:t>
      </w:r>
    </w:p>
    <w:p>
      <w:pPr>
        <w:spacing w:after="0" w:line="225" w:lineRule="exact"/>
        <w:rPr>
          <w:rFonts w:ascii="Arial" w:cs="Arial" w:eastAsia="Arial" w:hAnsi="Arial"/>
          <w:sz w:val="18"/>
          <w:szCs w:val="18"/>
          <w:color w:val="auto"/>
        </w:rPr>
      </w:pPr>
    </w:p>
    <w:p>
      <w:pPr>
        <w:ind w:right="800" w:firstLine="526"/>
        <w:spacing w:after="0" w:line="308" w:lineRule="auto"/>
        <w:tabs>
          <w:tab w:leader="none" w:pos="773"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the FDA’s current good clinical practice (“cGCP”) regulations, to establish the safety and effectiveness of the proposed drug product for each indication for which approval is sought;</w:t>
      </w:r>
    </w:p>
    <w:p>
      <w:pPr>
        <w:spacing w:after="0" w:line="146" w:lineRule="exact"/>
        <w:rPr>
          <w:rFonts w:ascii="Arial" w:cs="Arial" w:eastAsia="Arial" w:hAnsi="Arial"/>
          <w:sz w:val="17"/>
          <w:szCs w:val="17"/>
          <w:color w:val="auto"/>
        </w:rPr>
      </w:pPr>
    </w:p>
    <w:p>
      <w:pPr>
        <w:ind w:left="780" w:hanging="254"/>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(“NDA”);</w:t>
      </w:r>
    </w:p>
    <w:p>
      <w:pPr>
        <w:spacing w:after="0" w:line="225" w:lineRule="exact"/>
        <w:rPr>
          <w:rFonts w:ascii="Arial" w:cs="Arial" w:eastAsia="Arial" w:hAnsi="Arial"/>
          <w:sz w:val="18"/>
          <w:szCs w:val="18"/>
          <w:color w:val="auto"/>
        </w:rPr>
      </w:pPr>
    </w:p>
    <w:p>
      <w:pPr>
        <w:ind w:left="780" w:hanging="254"/>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review of the NDA by an FDA advisory committee, where appropriate or if applicable,</w:t>
      </w:r>
    </w:p>
    <w:p>
      <w:pPr>
        <w:spacing w:after="0" w:line="225" w:lineRule="exact"/>
        <w:rPr>
          <w:rFonts w:ascii="Arial" w:cs="Arial" w:eastAsia="Arial" w:hAnsi="Arial"/>
          <w:sz w:val="18"/>
          <w:szCs w:val="18"/>
          <w:color w:val="auto"/>
        </w:rPr>
      </w:pPr>
    </w:p>
    <w:p>
      <w:pPr>
        <w:ind w:right="160" w:firstLine="526"/>
        <w:spacing w:after="0" w:line="286" w:lineRule="auto"/>
        <w:tabs>
          <w:tab w:leader="none" w:pos="773" w:val="left"/>
        </w:tabs>
        <w:numPr>
          <w:ilvl w:val="0"/>
          <w:numId w:val="11"/>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at which the drug product, and the active pharmaceutical ingredient or ingredients thereof, are produced to assess compliance with current good manufacturing practice (“cGMP”) regulations and to assure that the facilities, methods, and controls are adequate to ensure the product’s identity, strength, quality, and purity;</w:t>
      </w:r>
    </w:p>
    <w:p>
      <w:pPr>
        <w:spacing w:after="0" w:line="165" w:lineRule="exact"/>
        <w:rPr>
          <w:rFonts w:ascii="Arial" w:cs="Arial" w:eastAsia="Arial" w:hAnsi="Arial"/>
          <w:sz w:val="17"/>
          <w:szCs w:val="17"/>
          <w:color w:val="auto"/>
        </w:rPr>
      </w:pPr>
    </w:p>
    <w:p>
      <w:pPr>
        <w:ind w:left="780" w:hanging="254"/>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and</w:t>
      </w:r>
    </w:p>
    <w:p>
      <w:pPr>
        <w:spacing w:after="0" w:line="225" w:lineRule="exact"/>
        <w:rPr>
          <w:rFonts w:ascii="Arial" w:cs="Arial" w:eastAsia="Arial" w:hAnsi="Arial"/>
          <w:sz w:val="18"/>
          <w:szCs w:val="18"/>
          <w:color w:val="auto"/>
        </w:rPr>
      </w:pPr>
    </w:p>
    <w:p>
      <w:pPr>
        <w:ind w:right="540" w:firstLine="526"/>
        <w:spacing w:after="0" w:line="277" w:lineRule="auto"/>
        <w:tabs>
          <w:tab w:leader="none" w:pos="7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any post-approval requirements, such as any Risk Evaluation and Mitigation Strategies (“REMS”) or post-approval studies required by the FDA.</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 Studies and an IND</w:t>
      </w:r>
    </w:p>
    <w:p>
      <w:pPr>
        <w:spacing w:after="0" w:line="117"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 xml:space="preserve">Preclinical studies can include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potential for adverse events and, in some cases, to establish a rationale for therapeutic use. The conduct of preclinical studies is subject to federal regulations and requirements, including GLP regulations. Other studies include laboratory evaluation of the purity, stability and physical form of the manufactured drug substance or active pharmaceutical ingredient and the physical properties, stability and reproducibility of the formulated drug or drug product. An IND sponsor must submit the results of the preclinical tests, together with manufacturing information, analytical data, any available clinical data or literature and plans for clinical studies, among other things, to the FDA as part of an IND. Some preclinical testing, such as longer-term toxicity testing, animal tests of reproductive adverse events and carcinogenicity, may continue after the IND is submitted.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5" w:right="239" w:bottom="1440" w:gutter="0" w:footer="0" w:header="0"/>
        </w:sectPr>
      </w:pPr>
    </w:p>
    <w:bookmarkStart w:id="25" w:name="page26"/>
    <w:bookmarkEnd w:id="25"/>
    <w:p>
      <w:pPr>
        <w:ind w:right="60" w:firstLine="518"/>
        <w:spacing w:after="0" w:line="272" w:lineRule="auto"/>
        <w:rPr>
          <w:sz w:val="20"/>
          <w:szCs w:val="20"/>
          <w:color w:val="auto"/>
        </w:rPr>
      </w:pPr>
      <w:r>
        <w:rPr>
          <w:rFonts w:ascii="Arial" w:cs="Arial" w:eastAsia="Arial" w:hAnsi="Arial"/>
          <w:sz w:val="17"/>
          <w:szCs w:val="17"/>
          <w:color w:val="auto"/>
        </w:rPr>
        <w:t>Following commencement of a clinical trial under an IND, the FDA may place a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Human Clinical Studies in Support of an NDA</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cGCP requirements, which include, among other things, the requirement that all research subjects provide their informed consent in writing before their participation in any clinical trial. Clinical trials are conducted under written study protocols detailing, among other things, the objectives of the study, the parameters to be used in monitoring safety and the effectiveness criteria to be evaluated. A protocol for each clinical trial and any subsequent protocol amendments must be submitted to the FDA as part of the IND. In addition,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Information about certain clinical trials must be submitted within specific timeframes to the NIH for public dissemination on their ClinicalTrials.gov website.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25"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4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81"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in late-stage clinical trials to assure compliance with cGCP and the integrity of the clinical data submitted.</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Submission of an NDA to the FDA</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Assuming successful completion of required clinical testing and other requirements, the results of the preclinical and clinical studies,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an application user fee, currently exceeding $2.3 million for fiscal year 2015, and the sponsor of an approved NDA is also subject to annual product and establishment user fees, currently exceeding $110,000 per product and $569,000 per establishment for fiscal year 2015. These fees are typically increased annually.</w:t>
      </w:r>
    </w:p>
    <w:p>
      <w:pPr>
        <w:spacing w:after="0" w:line="193"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Under certain circumstances, the FDA will waive the application fee for the first human drug application that a small business, defined as a company with less than 500 employees, or its affiliate, submits for review. An affiliate is defined as a business entity that has a relationship with a second business entity if one business entity controls, or has the power to control, the other business entity, or a third party controls, or has the power to control, both entities. In addition, an application to market a prescription drug product that has received orphan designation is not subject to a prescription drug user fee unless the application includes an indication for other than the rare disease or condition for which the drug was designated.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6" w:name="page27"/>
    <w:bookmarkEnd w:id="26"/>
    <w:p>
      <w:pPr>
        <w:ind w:firstLine="518"/>
        <w:spacing w:after="0" w:line="271" w:lineRule="auto"/>
        <w:rPr>
          <w:sz w:val="20"/>
          <w:szCs w:val="20"/>
          <w:color w:val="auto"/>
        </w:rPr>
      </w:pPr>
      <w:r>
        <w:rPr>
          <w:rFonts w:ascii="Arial" w:cs="Arial" w:eastAsia="Arial" w:hAnsi="Arial"/>
          <w:sz w:val="17"/>
          <w:szCs w:val="17"/>
          <w:color w:val="auto"/>
        </w:rPr>
        <w:t>The FDA conducts a preliminary review of an NDA within 60 days of its receipt and informs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7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cGCP.</w:t>
      </w:r>
    </w:p>
    <w:p>
      <w:pPr>
        <w:spacing w:after="0" w:line="18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FDA also may require submission of a risk evaluation and mitigation strategy, or REMS, plan to mitigate any identified or suspected serious risks. The REMS plan could include medication guides, physician communication plans, assessment plans, and elements to assure safe use, such as restricted distribution methods, patient registries, or other risk minimization tools.</w:t>
      </w:r>
    </w:p>
    <w:p>
      <w:pPr>
        <w:spacing w:after="0" w:line="1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Section 505(b)(2) NDAs</w:t>
      </w:r>
    </w:p>
    <w:p>
      <w:pPr>
        <w:spacing w:after="0" w:line="11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NDAs for most new drug products are based on two adequate and well-controlled clinical trials which must contain substantial evidence of the safety and efficacy of the proposed new product.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for a similar product, or published literature. Specifically, Section 505(b)(2) applies to NDAs for a drug for which the applicant relies, as part of its application, on investigations made to show whether or not the drug is safe and effective for use “that were not conducted by or for the applicant and for which the applicant has not obtained a right of reference or use from the person by or for whom the investigations were conducted.”</w:t>
      </w:r>
    </w:p>
    <w:p>
      <w:pPr>
        <w:spacing w:after="0" w:line="165"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Thus, Section 505(b)(2) authorizes the FDA to approve an NDA based on safety and effectiveness data that were not developed by the applicant. NDAs filed under Section 505(b)(2) may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The FDA’s Decision on an NDA</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7" w:name="page28"/>
    <w:bookmarkEnd w:id="27"/>
    <w:p>
      <w:pPr>
        <w:ind w:right="60" w:firstLine="518"/>
        <w:spacing w:after="0" w:line="255" w:lineRule="auto"/>
        <w:rPr>
          <w:sz w:val="20"/>
          <w:szCs w:val="20"/>
          <w:color w:val="auto"/>
        </w:rPr>
      </w:pPr>
      <w:r>
        <w:rPr>
          <w:rFonts w:ascii="Arial" w:cs="Arial" w:eastAsia="Arial" w:hAnsi="Arial"/>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9"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The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and effectiveness of drug products.</w:t>
      </w:r>
    </w:p>
    <w:p>
      <w:pPr>
        <w:spacing w:after="0" w:line="18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Under the Orphan Drug Act, the FDA may grant orphan drug designation to a drug intended to treat a rare disease or condition, which is generally a disease or condition that affects fewer than 200,000 individuals in the United States, or more than 200,000 individuals in the U.S. and for which there is no reasonable expectation that the cost of developing and making available in the U.S. a drug for this type of disease or condition will be recovered from sales in the U.S. for that drug. Orphan drug designation must be requested before submitting an NDA, and both the drug and the disease or condition must meet certain criteria specified in the Orphan Drug Act and FDA’s implementing regulations at 21 C.F.R. Part 316. The granting of an orphan drug designation does not alter the standard regulatory requirements and process for obtaining marketing approval. Safety and effectiveness of a drug must be established through adequate and well-controlled studies.</w:t>
      </w:r>
    </w:p>
    <w:p>
      <w:pPr>
        <w:spacing w:after="0" w:line="18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After the FDA grants orphan drug designation, the identity of the therapeutic agent and its potential orphan use are disclosed publicly by the FDA. If a product that has orphan drug designation subsequently receives the first FDA approval for the disease for which it has such designation, the product is entitled to orphan product exclusivity, which means that the FDA may not approve any other application to market the same drug for the same indication, except in very limited circumstances, for seven years.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or problems with manufacturing processes of unanticipated severity or frequency,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4" w:lineRule="exact"/>
        <w:rPr>
          <w:sz w:val="20"/>
          <w:szCs w:val="20"/>
          <w:color w:val="auto"/>
        </w:rPr>
      </w:pPr>
    </w:p>
    <w:p>
      <w:pPr>
        <w:ind w:left="1020" w:hanging="358"/>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20" w:hanging="35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fines , warning letters or holds on post-approval clinical trials;</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revocation of product license approvals;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8" w:name="page29"/>
    <w:bookmarkEnd w:id="28"/>
    <w:p>
      <w:pPr>
        <w:ind w:left="1020" w:hanging="35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4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In 1984, with passage of the Hatch-Waxman Amendments to the FDCA, Congress authorized the FDA to approve generic drugs that are the same as drugs previously approved by the FDA under the NDA provisions of the statute. To obtain approval of a generic drug, an applicant must submit an abbreviated new drug application, or ANDA, to the agency. In support of such applications, a generic manufacturer may rely on the preclinical and clinical testing previously conducted for a drug product previously approved under an NDA, known as the reference listed drug, or RLD. To reference that information, however, the ANDA applicant must demonstrate, and the FDA must conclude, that the generic drug does, in fact, perform in the same way as the RLD it purports to copy. Specifically, in order for an ANDA to be approved, the FDA must find that the generic version is identical to the RLD with respect to the active ingredients, the route of administration, the dosage form, and the strength of the drug.</w:t>
      </w:r>
    </w:p>
    <w:p>
      <w:pPr>
        <w:spacing w:after="0" w:line="17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At the same time, the FDA must also determine that the generic drug is “bioequivalent” to the innovator drug. Under the statute, a generic drug is bioequivalent to a RLD if “the rate and extent of absorption of the generic drug do not show a significant difference from the rate and extent of absorption of the RLD.” Upon approval of an ANDA, the FDA indicates that the generic product is “therapeutically equivalent” to the RLD and it assigns a therapeutic equivalence rating to the approved generic drug in its publication “Approved Drug Products with Therapeutic Equivalence Evaluations,” also referred to as the “Orange Book.” Physicians and pharmacists consider the therapeutic equivalence rating to mean that a generic drug is fully substitutable for the RLD. In addition, by operation of certain state laws and numerous health insurance programs, the FDA’s designation of a therapeutic equivalence rating often results in substitution of the generic drug without the knowledge or consent of either the prescribing physician or patient.</w:t>
      </w:r>
    </w:p>
    <w:p>
      <w:pPr>
        <w:spacing w:after="0" w:line="167"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Under the Hatch Waxman Amendments, the FDA may not approve an ANDA until any applicable period of nonpatent exclusivity for the RLD has expired. The FDCA provides a period of five years of data exclusivity for new drug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Hatch-Waxman Patent Certification and the 30 Month Stay</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117" w:lineRule="exact"/>
        <w:rPr>
          <w:sz w:val="20"/>
          <w:szCs w:val="20"/>
          <w:color w:val="auto"/>
        </w:rPr>
      </w:pPr>
    </w:p>
    <w:p>
      <w:pPr>
        <w:ind w:left="1020" w:hanging="35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ind w:right="20" w:firstLine="518"/>
        <w:spacing w:after="0" w:line="271"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claiming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79"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To the extent that a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Administration Safety and Innovation Act, or FDASIA, in 2012,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7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accept or approve another application.</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1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A patent claiming a new drug product may be eligible for a limited patent term extension under the Drug Price Competition and Patent Term Restoration Act of 1984 (commonly referred to as the Hatch-Waxman Amendments). Those Amendments permit a patent restoration of up to five years for patent term lost during product development and the FDA regulatory review. The restoration period granted is typically one-half the time between the effective date of an IND and the submission date of a NDA, plus the time between the submission date of a NDA and ultimate approval.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The U.S. Patent and Trademark Office reviews and approves the application for any patent term extension or restoration in consultation with the FDA.</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341" w:right="27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b w:val="1"/>
          <w:bCs w:val="1"/>
          <w:color w:val="auto"/>
        </w:rPr>
        <w:t>Review and Approval of Drug Products in the European Union</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our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9"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Pursuant to the European Clinical Trials Directive, a system for the approval of clinical trials in the European Union has been implemented through national legislation of the member states. Under this system, an applicant must obtain approval from the competent national authority of a European Union member state in which the clinical trial is to be conducted. Furthermore, the applicant may only start a clinical trial after a competent ethics committee has issued a favorable opinion. Clinical trial applications must be accompanied by an investigational medicinal product dossier with supporting information prescribed by the European Clinical Trials Directive and corresponding national laws of the member states and further detailed in applicable guidance documents.</w:t>
      </w:r>
    </w:p>
    <w:p>
      <w:pPr>
        <w:spacing w:after="0" w:line="193"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To obtain marketing approval of a drug under European Union regulatory systems, an applicant must submit a marketing authorization application, or MAA, either under a centralized or decentralized procedure.</w:t>
      </w:r>
    </w:p>
    <w:p>
      <w:pPr>
        <w:spacing w:after="0" w:line="170"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The centralized procedure provides for the grant of a single marketing authorization by the European Commission that is valid for all European Union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Under the centralized procedure, the Committee for Medicinal Products for Human Use, or the CHMP, established at the EMA is responsible for conducting the initial assessment of a drug.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spacing w:after="0" w:line="189"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decentralized procedure is available to applicants who wish to market a product in various European Union member states where such product has not received marketing approval in any European Union member states before. The decentralized procedure provides for approval by one or more other, or concerned, member states of an assessment of an application performed by one member state designated by the applicant, known as the reference member state. Under this procedure, an applicant submits an application based on identical dossiers and related materials, including a draft summary of product characteristics, and draft labeling and package leaflet, to the reference member state and concerned member states. The reference member state prepares a draft assessment report and drafts of the related materials within 120 days after receipt of a valid application. Within 90 days of receiving the reference member state’s assessment report and related materials, each concerned member state must decide whether to approve the assessment report and related materials.</w:t>
      </w:r>
    </w:p>
    <w:p>
      <w:pPr>
        <w:spacing w:after="0" w:line="192"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45" w:right="25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i w:val="1"/>
          <w:iCs w:val="1"/>
          <w:color w:val="auto"/>
        </w:rPr>
        <w:t>Data and Market Exclusivity in the European Union</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the European Union, new chemical entities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sponsor is able to gain the prescribed period of data exclusivity, another company nevertheless could also market another version of the drug if such company can complete a full MAA with a complete database of pharmaceutical test, preclinical tests and clinical trials and obtain marketing approval of its product.</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Significant uncertainty exists as to the coverage and reimbursement status of products approved by the FDA and other government authorities. Sales of products will depend, in part, on the extent to which the costs of the products will be covered by third-party payors, including government health programs in the United States such as Medicare and Medicaid, commercial health insurers and managed 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w:t>
      </w:r>
    </w:p>
    <w:p>
      <w:pPr>
        <w:spacing w:after="0" w:line="19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drug product does not imply that an adequate reimbursement rate will be approved. Third-party reimbursement may not be sufficient to maintain price levels high enough to realize an appropriate return on our investment in product development.</w:t>
      </w:r>
    </w:p>
    <w:p>
      <w:pPr>
        <w:spacing w:after="0" w:line="18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a product to be cost effective compared to other available therapies, they may not cover the product after approval as a benefit under their plans or, if they do, the level of payment may not be sufficient to allow a company to sell its products at a profit. 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As a result, the marketability of any product which receives regulatory approval for commercial sale may suffer if the government and third-party payors fail to provide adequate coverage and reimbursement.</w:t>
      </w:r>
    </w:p>
    <w:p>
      <w:pPr>
        <w:spacing w:after="0" w:line="178"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In addition, an increasing emphasis on managed care in the United States has increased and will continue to increase the pressure on drug pricing. Coverage policies, third-party reimbursement rates and drug pricing regulation may change at any time. In particular, the Patient Protection and Affordable Care Act, as amended by the Health Care and Education Affordability Reconciliation Act,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Even if favorable coverage and reimbursement status is attained for one or more products that receive regulatory approval, less favorable coverage policies and reimbursement rates may be implemented in the future.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32" w:name="page33"/>
    <w:bookmarkEnd w:id="32"/>
    <w:p>
      <w:pPr>
        <w:ind w:firstLine="518"/>
        <w:spacing w:after="0" w:line="270" w:lineRule="auto"/>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 for any of our products.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Healthcare Laws and Regulation</w:t>
      </w:r>
    </w:p>
    <w:p>
      <w:pPr>
        <w:spacing w:after="0" w:line="121"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Healthcare providers, physicians and third-party payors will play a primary role in the recommendation and prescription of drug products that are granted marketing approval. Arrangements with third-party payors and customers are subject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46" w:lineRule="exact"/>
        <w:rPr>
          <w:sz w:val="20"/>
          <w:szCs w:val="20"/>
          <w:color w:val="auto"/>
        </w:rPr>
      </w:pPr>
    </w:p>
    <w:p>
      <w:pPr>
        <w:ind w:left="1020" w:right="40" w:hanging="358"/>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78" w:lineRule="exact"/>
        <w:rPr>
          <w:rFonts w:ascii="Arial" w:cs="Arial" w:eastAsia="Arial" w:hAnsi="Arial"/>
          <w:sz w:val="18"/>
          <w:szCs w:val="18"/>
          <w:color w:val="auto"/>
        </w:rPr>
      </w:pPr>
    </w:p>
    <w:p>
      <w:pPr>
        <w:ind w:left="1020" w:right="140" w:hanging="358"/>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making a false statement material to a false or fraudulent claim, or improperly avoiding, decreasing, or concealing an obligation to pay money to the federal government;</w:t>
      </w:r>
    </w:p>
    <w:p>
      <w:pPr>
        <w:spacing w:after="0" w:line="78" w:lineRule="exact"/>
        <w:rPr>
          <w:rFonts w:ascii="Arial" w:cs="Arial" w:eastAsia="Arial" w:hAnsi="Arial"/>
          <w:sz w:val="18"/>
          <w:szCs w:val="18"/>
          <w:color w:val="auto"/>
        </w:rPr>
      </w:pPr>
    </w:p>
    <w:p>
      <w:pPr>
        <w:ind w:left="1020" w:right="80" w:hanging="358"/>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1020" w:right="80" w:hanging="358"/>
        <w:spacing w:after="0" w:line="26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1020" w:right="580" w:hanging="358"/>
        <w:spacing w:after="0" w:line="308"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jc w:val="both"/>
        <w:ind w:left="1020" w:right="120" w:hanging="358"/>
        <w:spacing w:after="0" w:line="26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Physician Payment Sunshine Act requires manufacturers of drugs, devices, biologics and medical supplies to report to the Department of Health and Human Services information related to payments and other transfers of value to physicians and teaching hospitals and physician ownership and investment interests; and</w:t>
      </w:r>
    </w:p>
    <w:p>
      <w:pPr>
        <w:spacing w:after="0" w:line="73" w:lineRule="exact"/>
        <w:rPr>
          <w:rFonts w:ascii="Arial" w:cs="Arial" w:eastAsia="Arial" w:hAnsi="Arial"/>
          <w:sz w:val="18"/>
          <w:szCs w:val="18"/>
          <w:color w:val="auto"/>
        </w:rPr>
      </w:pPr>
    </w:p>
    <w:p>
      <w:pPr>
        <w:ind w:left="1020" w:right="120" w:hanging="358"/>
        <w:spacing w:after="0" w:line="342"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341"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Ablaris Therapeutics, Inc. (“Ablaris”), and Tego Biosciences Corporation (“Tego”), as well as our former subsidiary Calando Pharmaceuticals, Inc. (“Calando”), which was deconsolidated during 2014,</w:t>
      </w:r>
    </w:p>
    <w:p>
      <w:pPr>
        <w:spacing w:after="0" w:line="2" w:lineRule="exact"/>
        <w:rPr>
          <w:sz w:val="20"/>
          <w:szCs w:val="20"/>
          <w:color w:val="auto"/>
        </w:rPr>
      </w:pPr>
    </w:p>
    <w:p>
      <w:pPr>
        <w:ind w:right="480" w:firstLine="8"/>
        <w:spacing w:after="0" w:line="261" w:lineRule="auto"/>
        <w:tabs>
          <w:tab w:leader="none" w:pos="25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term “Common Stock” refers to Arrowhead’s Common Stock, (5) the term “Preferred Stock” refers to Arrowhead’s Preferred Stock and the term “Stockholder(s)” refers to the holders of Arrowhead Common Stock.</w:t>
      </w:r>
    </w:p>
    <w:p>
      <w:pPr>
        <w:spacing w:after="0" w:line="184" w:lineRule="exact"/>
        <w:rPr>
          <w:sz w:val="20"/>
          <w:szCs w:val="20"/>
          <w:color w:val="auto"/>
        </w:rPr>
      </w:pPr>
    </w:p>
    <w:p>
      <w:pPr>
        <w:ind w:right="320" w:firstLine="518"/>
        <w:spacing w:after="0" w:line="286" w:lineRule="auto"/>
        <w:rPr>
          <w:sz w:val="20"/>
          <w:szCs w:val="20"/>
          <w:color w:val="auto"/>
        </w:rPr>
      </w:pPr>
      <w:r>
        <w:rPr>
          <w:rFonts w:ascii="Arial" w:cs="Arial" w:eastAsia="Arial" w:hAnsi="Arial"/>
          <w:sz w:val="17"/>
          <w:szCs w:val="17"/>
          <w:color w:val="auto"/>
        </w:rPr>
        <w:t>Arrowhead was originally incorporated in South Dakota in 1989, and was reincorporated in Delaware in 2000. The Company’s principal executive offices are located at 225 South Lake Avenue, Suite 1050, Pasadena, California 91101, and its telephone number is (626) 304-3400. We also operate a research and development facility in Madison, Wisconsin. As of September 30, 2014, Arrowhead had 81 full-time employees.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Information</w:t>
      </w:r>
    </w:p>
    <w:p>
      <w:pPr>
        <w:spacing w:after="0" w:line="117"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Our internet website address is http://www.arrowheadresearch.com. Our reports filed or furnished pursuant to Section 13(a) or 15(d) of the Securities Exchange Act of 1934, as amended, including our annual reports on Form 10-K, our quarterly reports on Form 10-Q and our current reports on Form 8-K, and amendments to those reports, are accessible through our website, free of charge, as soon as reasonably practicable after these reports are filed electronically with, or otherwise furnished to, the SEC. These SEC reports can be accessed through the “Investors” section of our website.</w:t>
      </w:r>
    </w:p>
    <w:p>
      <w:pPr>
        <w:spacing w:after="0" w:line="154"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 xml:space="preserve">You may read and copy any materials we file with the SEC at the SEC’s Public Reference Room at 100 F Street, NE, Washington, DC 20549. You may obtain information on the operation of the Public Reference Room by calling the SEC at 1-800-SEC-0330. The SEC also maintains an Internet website that contains reports, proxy and information statements, and other information regarding Arrowhead and other issuers that file electronically with the SEC. The SEC’s Internet website address is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4" w:name="page35"/>
    <w:bookmarkEnd w:id="34"/>
    <w:p>
      <w:pPr>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i w:val="1"/>
          <w:iCs w:val="1"/>
          <w:color w:val="auto"/>
        </w:rPr>
        <w:t>You should carefully consider the risks discussed below and all of the other information contained in this report in evaluating us and an investment in our securities. If any of the following risks and uncertainties should occur, they could have a material adverse effect on our business, financial condition or results of operations. In that case, the trading price of our Common Stock could decline. Additionally, we note that we have accrued net losses annually since inception given the stage of our drug development. We urge you to consider our likelihood of success and prospects in light of the risks, expenses and difficulties frequently encountered by entities at similar stages of development.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is time consuming, expensive and risky.</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are focused on technology related to new and improved pharmaceutical candidates. Product candidates that appear promising in the early phases of development, such as in animal and early human clinical trials, often fail to reach the market for a number of reasons, such as: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Clinical trial results may be unacceptable, even though preclinical trial results were promising;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Inefficacy and/or harmful side effects in humans or animals;</w:t>
      </w:r>
    </w:p>
    <w:p>
      <w:pPr>
        <w:spacing w:after="0" w:line="130" w:lineRule="exact"/>
        <w:rPr>
          <w:sz w:val="20"/>
          <w:szCs w:val="20"/>
          <w:color w:val="auto"/>
        </w:rPr>
      </w:pPr>
    </w:p>
    <w:p>
      <w:pPr>
        <w:ind w:left="400" w:right="140" w:hanging="392"/>
        <w:spacing w:after="0" w:line="277" w:lineRule="auto"/>
        <w:rPr>
          <w:sz w:val="20"/>
          <w:szCs w:val="20"/>
          <w:color w:val="auto"/>
        </w:rPr>
      </w:pPr>
      <w:r>
        <w:rPr>
          <w:rFonts w:ascii="Arial" w:cs="Arial" w:eastAsia="Arial" w:hAnsi="Arial"/>
          <w:sz w:val="18"/>
          <w:szCs w:val="18"/>
          <w:color w:val="auto"/>
        </w:rPr>
        <w:t>— The necessary regulatory bodies, such as the U.S. Food and Drug Administration, may not approve our potential product for the intended use, or at all; and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Manufacturing and distribution may be uneconomical.</w:t>
      </w:r>
    </w:p>
    <w:p>
      <w:pPr>
        <w:spacing w:after="0" w:line="225"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For example, the positive pre-clinical results for ARC-520 and ARC-AAT in animals may not be replicated in human clinical studies or it may be found to be unsafe in humans, particularly at higher doses needed to achieve the desired levels of efficacy. Also, the positive early safety results for ARC-520 from single dose human clinical studies may not be replicated in multiple dose studies. Clinical trial results are frequently susceptible to varying interpretations by scientists, medical personnel, regulatory personnel, statisticians and others, which often delays, limits, or prevents further clinical development or regulatory approvals of potential products. Clinical trials can take many years to complete, including the process of study design, clinical site selection and the recruitment of patients. As a result, we can experience significant delays in completing clinical studies, which can increase the cost of developing a drug candidate and shorten the time that an approved product may be protected by patents. If our drug candidates are not successful in human clinical trials, we may be forced to curtail or abandon certain development programs. If we experience significant delays in commencing or completing our clinical studies, we could suffer from significant cost overruns, which could negatively affect our capital resources and our ability to complete these studies.</w:t>
      </w:r>
    </w:p>
    <w:p>
      <w:pPr>
        <w:spacing w:after="0" w:line="2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new drugs, and, as a result, we may not be able to successfully develop products for commercial use.</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Our research and development efforts involve therapeutics based on RNA interference and our DPC delivery system, which are largely unproven technologies. Our scientists and engineers are working on developing technology in the early stages. However, such technology’s commercial feasibility and acceptance are unknown. Scientific research and development requires significant amounts of capital and takes a long time to reach commercial viability, if it can be achieved at all. To date, our research and development projects have not produced commercially viable drugs, and may never do so. During the research and development process, we may experience technological barriers that we may be unable to overcome. Further, certain underlying premises in our development programs, including ARC-520, are not fully proven. More specifically, the theory that knockdown of S-antigen in chronic hepatitis B patients will result in a functional cure is unproven. Thus, even if ARC-520 is successful at reducing S-antigen levels in patients, it may not be a commercially viable drug if there is not a corresponding medical benefit related to the underlying Hepatitis B infection. Because of these uncertainties, it is possible that no commercial products will be successfully developed. If we are unable to successfully develop commercial products, we will be unable to generate revenue or build a sustainable or profitable business.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b w:val="1"/>
          <w:bCs w:val="1"/>
          <w:i w:val="1"/>
          <w:iCs w:val="1"/>
          <w:color w:val="auto"/>
        </w:rPr>
        <w:t>Our drug candidates are in the early stages of development and because we have a short development history with both RNA interference and DPCs, there is a limited amount of information about us upon which you can evaluate our business and prospects.</w:t>
      </w:r>
    </w:p>
    <w:p>
      <w:pPr>
        <w:spacing w:after="0" w:line="62" w:lineRule="exact"/>
        <w:rPr>
          <w:sz w:val="20"/>
          <w:szCs w:val="20"/>
          <w:color w:val="auto"/>
        </w:rPr>
      </w:pPr>
    </w:p>
    <w:p>
      <w:pPr>
        <w:ind w:right="360" w:firstLine="518"/>
        <w:spacing w:after="0" w:line="257" w:lineRule="auto"/>
        <w:rPr>
          <w:sz w:val="20"/>
          <w:szCs w:val="20"/>
          <w:color w:val="auto"/>
        </w:rPr>
      </w:pPr>
      <w:r>
        <w:rPr>
          <w:rFonts w:ascii="Arial" w:cs="Arial" w:eastAsia="Arial" w:hAnsi="Arial"/>
          <w:sz w:val="18"/>
          <w:szCs w:val="18"/>
          <w:color w:val="auto"/>
        </w:rPr>
        <w:t>We have no approved drugs and thus have not begun to market or generate revenues from the commercialization of any products. We have only a limited history upon which one can evaluate our targeted RNAi therapeutic business and prospects as our drug candidates are still at an early stage of development.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Execute product development activities using unproven technologies;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Build, maintain and protect a strong intellectual property portfolio;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Demonstrate safety and efficacy of our drug candidates in multiple human clinical studies;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Receive FDA approval and gain market acceptance for the development and commercialization of any drugs we develop;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Develop and maintain successful strategic relationships with suppliers, distributors, and potentially commercial licensing partners; and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Manage our spending and cash requirements as our expenses are expected to increase in the near term due to preclinical and clinical trials.</w:t>
      </w:r>
    </w:p>
    <w:p>
      <w:pPr>
        <w:spacing w:after="0" w:line="23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develop products, raise capital, expand our business or continue our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attract revenue-generating collaborations with other pharmaceutical and biotech companies to advance our drug candidates.</w:t>
      </w:r>
    </w:p>
    <w:p>
      <w:pPr>
        <w:spacing w:after="0" w:line="140"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Our business strategy includes obtaining collaborations with other pharmaceutical and biotech companies to support the development of our therapeutic siRNA and other drug candidates. We may not be able to attract such partners, and even if we are able to enter into such partnerships, the terms may be less favorable than anticipated. Further, entering into partnership agreements may limit our commercialization options and/or require us to share revenues and profits with our partners. If we are unable to enter into any of these agreements on commercially attractive terms, we may be unable to develop certain programs due to a limited availability of resources, and we may need to raise additional capital, which could be dilutive to our existing investors.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achieve commercial acceptance of our drug candidates to generate revenues and achieve profitability.</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Even if our research and development efforts yield technologically feasible applications, we may not successfully develop commercial products. Drug development takes years of study in human clinical trials prior to regulatory approval, and, even if we are successful, we may not be so on a timely basis. During our drug development period, superior competitive technologies may be introduced which could diminish or extinguish the potential commercial uses for our drug candidates. Additionally, the degree to which the medical community and consumers will adopt any product we develop is uncertain. The rate and degree of market acceptance of our products will depend on a number of factors, including the establishment and demonstration in the medical community of the clinical efficacy and safety of our products, their potential advantage over alternative treatments, and the costs to patients and third-party payors, including insurance companies and Medicare. Recent efforts in the United States and abroad to reduce overall healthcare spending has put significant pressure on the price of prescription drugs and certain companies have been publicly criticized for the relatively high cost of their therapies. These pressures may force us to sell any approved drugs at a lower price than we or analysts may anticipate, or may result in lower levels of reimbursement and coverage from third parties.</w:t>
      </w:r>
    </w:p>
    <w:p>
      <w:pPr>
        <w:spacing w:after="0" w:line="178"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We cannot predict whether significant commercial market acceptance for our products, if approved, will ever develop, and we cannot reliably estimate the projected size of any such potential market. Our revenue growth and achievement of profitability will depend substantially on our ability to introduce products that will be accepted by the medical community. If we are unable to cost-effectively achieve acceptance of our technology among the medical establishment and patients, or if the associated products do not achieve wide market acceptance, our business will be materially and adversely affected.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we expect to continue to incur net losses and may not achieve or maintain profitability.</w:t>
      </w:r>
    </w:p>
    <w:p>
      <w:pPr>
        <w:spacing w:after="0" w:line="11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We have incurred net losses since our inception, including net losses of $58.7 million for the year ended September 30, 2014. We expect that our operating losses will continue for the foreseeable future as we continue our drug development and discovery efforts. To achieve profitability, we must, either directly or through licensing and/or partnering relationships, successfully develop and obtain regulatory approval for one or more drug candidates and effectively manufacture, market and sell any drugs we successfully develop. Even if we successfully commercialize drug candidates that receive regulatory approval, we may not be able to realize revenues at a level that would allow us to achieve or sustain profitability.</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Accordingly, we may never generate significant revenue and, even if we do generate significant revenue, we may never achieve profitability.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funds to complete our research and development activities.</w:t>
      </w:r>
    </w:p>
    <w:p>
      <w:pPr>
        <w:spacing w:after="0" w:line="11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Our business currently does not generate the cash that is necessary to finance our operations. Subject to the success of the research and development programs of our company and our partners, and potential licensing or partnering transactions, we will likely need to raise additional capital to:</w:t>
      </w:r>
    </w:p>
    <w:p>
      <w:pPr>
        <w:spacing w:after="0" w:line="16" w:lineRule="exact"/>
        <w:rPr>
          <w:sz w:val="20"/>
          <w:szCs w:val="20"/>
          <w:color w:val="auto"/>
        </w:rPr>
      </w:pPr>
    </w:p>
    <w:p>
      <w:pPr>
        <w:ind w:left="400" w:right="100" w:hanging="392"/>
        <w:spacing w:after="0" w:line="277" w:lineRule="auto"/>
        <w:rPr>
          <w:sz w:val="20"/>
          <w:szCs w:val="20"/>
          <w:color w:val="auto"/>
        </w:rPr>
      </w:pPr>
      <w:r>
        <w:rPr>
          <w:rFonts w:ascii="Arial" w:cs="Arial" w:eastAsia="Arial" w:hAnsi="Arial"/>
          <w:sz w:val="18"/>
          <w:szCs w:val="18"/>
          <w:color w:val="auto"/>
        </w:rPr>
        <w:t>— Fund research and development infrastructure and activities relating to the development of our drug candidates, including pre-clinical and clinical trials and manufacturing to support these efforts;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Fund our general and administrative infrastructure and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Pursue business development opportunities for our technologies;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Add to and protect our intellectual property;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Retain our management and technical staff.</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needs depend on many factors, including:</w:t>
      </w:r>
    </w:p>
    <w:p>
      <w:pPr>
        <w:spacing w:after="0" w:line="117"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duration and expenditures associated with our research and development;</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requirements for our clinical trials;</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our R&amp;D and clinical efforts are successful;</w:t>
      </w:r>
    </w:p>
    <w:p>
      <w:pPr>
        <w:spacing w:after="0" w:line="117" w:lineRule="exact"/>
        <w:rPr>
          <w:rFonts w:ascii="Arial" w:cs="Arial" w:eastAsia="Arial" w:hAnsi="Arial"/>
          <w:sz w:val="18"/>
          <w:szCs w:val="18"/>
          <w:color w:val="auto"/>
        </w:rPr>
      </w:pPr>
    </w:p>
    <w:p>
      <w:pPr>
        <w:ind w:left="400" w:hanging="392"/>
        <w:spacing w:after="0" w:line="277" w:lineRule="auto"/>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outcome of potential partnering or licensing transactions, if any, and the extent to which our business development efforts result in the acquisition of new programs or technologies;</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Competing technological developments;</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proprietary patent position, if any, in our products; and</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regulatory approval process for our drug candidates.</w:t>
      </w:r>
    </w:p>
    <w:p>
      <w:pPr>
        <w:spacing w:after="0" w:line="225" w:lineRule="exact"/>
        <w:rPr>
          <w:sz w:val="20"/>
          <w:szCs w:val="20"/>
          <w:color w:val="auto"/>
        </w:rPr>
      </w:pPr>
    </w:p>
    <w:p>
      <w:pPr>
        <w:ind w:right="100" w:firstLine="518"/>
        <w:spacing w:after="0" w:line="288" w:lineRule="auto"/>
        <w:rPr>
          <w:sz w:val="20"/>
          <w:szCs w:val="20"/>
          <w:color w:val="auto"/>
        </w:rPr>
      </w:pPr>
      <w:r>
        <w:rPr>
          <w:rFonts w:ascii="Arial" w:cs="Arial" w:eastAsia="Arial" w:hAnsi="Arial"/>
          <w:sz w:val="16"/>
          <w:szCs w:val="16"/>
          <w:color w:val="auto"/>
        </w:rPr>
        <w:t>We will need to raise additional funds through public or private equity offerings, debt financings or additional strategic alliances and licensing arrangements in the future to continue our operations. We may not be able to obtain additional financing on terms favorable to us, if at all. General market conditions may make it very difficult for us to seek financing from the capital markets, and the terms of any financing may adversely affect the holdings or the rights of our stockholders. For example, if we raise additional funds by issuing equity securities, further dilution to our stockholders will result, which may substantially dilute the value of your investment. In addition, as a condition to providing additional funds to us, future investors may demand, and may be granted, rights superior to those of existing stockholders. Debt financing, if available, may involve restrictive covenants that could limit our flexibility in conducting future business activities and, in the event of insolvency, would be paid before holders of equity securities received any distribution of corporate assets. We may be required to relinquish rights to our technologies or drug candidates, or grant licenses on terms that are not favorable to us, in order to raise additional funds through alliance, joint venture or licensing arrangements. If adequate funds are not available, we may have to further delay, reduce or eliminate one or more of our planned activities. These actions would likely reduce the market price of our common stock.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45" w:right="259" w:bottom="1440" w:gutter="0" w:footer="0" w:header="0"/>
        </w:sectPr>
      </w:pPr>
    </w:p>
    <w:bookmarkStart w:id="37" w:name="page38"/>
    <w:bookmarkEnd w:id="37"/>
    <w:p>
      <w:pPr>
        <w:ind w:right="30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consolidated financial statements prove inaccurate, our actual results may vary from those reflected in our projections and accruals.</w:t>
      </w:r>
    </w:p>
    <w:p>
      <w:pPr>
        <w:spacing w:after="0" w:line="62"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Our consolidated financial statements have been prepared in accordance with accounting principles generally accepted in the United States of America, or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you, however, that our estimates, or the assumptions underlying them, will be correct.</w:t>
      </w: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investment of our cash, cash equivalents and fixed income marketable securities is subject to risks which may cause losses and affect the liquidity of these investments.</w:t>
      </w:r>
    </w:p>
    <w:p>
      <w:pPr>
        <w:spacing w:after="0" w:line="6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At September 30, 2014, we had $44.7 million in fixed income marketable securities. These investments are in corporate bonds nearing maturity, but our investments may also include commercial paper, securities issued by the U.S. government obligations, certificates of deposit and money market funds meeting the criteria of our investment policy, which is focused on the preservation of our capital. These investments are subject to general credit, liquidity, and market and interest rate risks, particularly in the current economic environment. We may realize losses in the fair value of these investments or a complete loss of these investments, which would have a negative effect on our consolidated financial statements. In addition, should our investments cease paying or reduce the amount of interest paid to us, our interest income would suffer. The market risks associated with our investment portfolio may have an adverse effect on our results of operations, liquidity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secure first-tier technologies when competing against other companies or investors.</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Our future success may require that we acquire patent rights and know-how to new or complimentary technologies. However, we compete with a substantial number of other companies that may also compete for technologies we desire. In addition, many venture capital firms and other institutional investors, as well as other pharmaceutical and biotech companies, invest in companies seeking to commercialize various types of emerging technologies. Many of these companies have greater financial, scientific and commercial resources than us. Therefore, we may not be able to secure the technologies we desire. Furthermore, should any commercial undertaking by us prove to be successful, there can be no assurance competitors with greater financial resources will not offer competitive products and/or technologies.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Reliance on Third Parties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need to establish additional relationships with strategic and development partners to fully develop our drug candidates and market any approved products.</w:t>
      </w:r>
    </w:p>
    <w:p>
      <w:pPr>
        <w:spacing w:after="0" w:line="62"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We do not possess all of the financial and development resources necessary to develop and commercialize products that may result from our technologies. Unless we expand our product development capacity and enhance our internal marketing capability, we will need to make appropriate arrangements with strategic partners to develop and commercialize any drug candidates that may be approved. If we do not find appropriate partners, or if our existing arrangements or future agreements are not successful, our ability to develop and commercialize products could be adversely affected. Even if we are able to find collaborative partners, the overall success of the development and commercialization of product candidates in those programs will depend largely on the efforts of other parties and will be beyond our control. In addition, in the event we pursue our commercialization strategy through collaboration or licenses to third parties, there are a variety of technical, business and legal risks, including:</w:t>
      </w:r>
    </w:p>
    <w:p>
      <w:pPr>
        <w:spacing w:after="0" w:line="110" w:lineRule="exact"/>
        <w:rPr>
          <w:sz w:val="20"/>
          <w:szCs w:val="20"/>
          <w:color w:val="auto"/>
        </w:rPr>
      </w:pPr>
    </w:p>
    <w:p>
      <w:pPr>
        <w:ind w:left="400" w:right="680" w:hanging="392"/>
        <w:spacing w:after="0" w:line="277" w:lineRule="auto"/>
        <w:rPr>
          <w:sz w:val="20"/>
          <w:szCs w:val="20"/>
          <w:color w:val="auto"/>
        </w:rPr>
      </w:pPr>
      <w:r>
        <w:rPr>
          <w:rFonts w:ascii="Arial" w:cs="Arial" w:eastAsia="Arial" w:hAnsi="Arial"/>
          <w:sz w:val="18"/>
          <w:szCs w:val="18"/>
          <w:color w:val="auto"/>
        </w:rPr>
        <w:t>— We may not be able to control the amount and timing of resources that our collaborators may be willing or able to devote to the development or commercialization of our drug candidates or to their marketing and distribution; and</w:t>
      </w:r>
    </w:p>
    <w:p>
      <w:pPr>
        <w:spacing w:after="0" w:line="62" w:lineRule="exact"/>
        <w:rPr>
          <w:sz w:val="20"/>
          <w:szCs w:val="20"/>
          <w:color w:val="auto"/>
        </w:rPr>
      </w:pPr>
    </w:p>
    <w:p>
      <w:pPr>
        <w:ind w:left="400" w:right="320" w:hanging="392"/>
        <w:spacing w:after="0" w:line="277" w:lineRule="auto"/>
        <w:rPr>
          <w:sz w:val="20"/>
          <w:szCs w:val="20"/>
          <w:color w:val="auto"/>
        </w:rPr>
      </w:pPr>
      <w:r>
        <w:rPr>
          <w:rFonts w:ascii="Arial" w:cs="Arial" w:eastAsia="Arial" w:hAnsi="Arial"/>
          <w:sz w:val="18"/>
          <w:szCs w:val="18"/>
          <w:color w:val="auto"/>
        </w:rPr>
        <w:t>— Disputes may arise between us and our collaborators that result in the delay or termination of the research, development or commercialization of our drug candidates or that result in costly litigation or arbitration that diverts our management’s resources.</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occurrence of any of the above events or other related events could impair our ability to generate revenues and harm our business and financial condition.</w:t>
      </w:r>
    </w:p>
    <w:p>
      <w:pPr>
        <w:spacing w:after="0" w:line="279"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b w:val="1"/>
          <w:bCs w:val="1"/>
          <w:i w:val="1"/>
          <w:iCs w:val="1"/>
          <w:color w:val="auto"/>
        </w:rPr>
        <w:t>We may lose a considerable amount of control over our intellectual property and may not receive anticipated revenues in strategic transactions, particularly where the consideration is contingent on the achievement of development or sales milestones.</w:t>
      </w:r>
    </w:p>
    <w:p>
      <w:pPr>
        <w:spacing w:after="0" w:line="3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business model has been to develop new technologies and to utilize the intellectual property created through the research and development process to develop commercially successful products. If the acquirers of our technologies fail to achieve performance milestones, we may not receive a significant portion of the total value of any sale, license or other strategic transaction.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We rely on outside sources for various components and processes for our products.</w:t>
      </w:r>
    </w:p>
    <w:p>
      <w:pPr>
        <w:spacing w:after="0" w:line="11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rely on third parties for various components and processes for our product candidates. We may not be able to achieve multiple sourcing because there may be no acceptable second source, other companies may choose not to work with us, or the component or process sought may be so new that a second source does not exist, or does not exist on acceptable terms. There may be a disruption or delay in the performance of our third-party contractors, suppliers or collaborators which is beyond our control. If such third parties are unable to satisfy their commitments to us, the development of our products would be adversely affected. Therefore, it is possible that our development plans will have to be slowed down or stopped completely at times due to our inability to obtain required raw materials, components and outsourced processes at an acceptable cost, if at all, or to get a timely response from vendors.</w:t>
      </w:r>
    </w:p>
    <w:p>
      <w:pPr>
        <w:spacing w:after="0" w:line="354"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have limited manufacturing capability and must rely on third-party manufacturers to manufacture our clinical supplies and commercial products, if and when approved, and if they fail to meet their obligations, the development and commercialization of our products could be adversely affected.</w:t>
      </w:r>
    </w:p>
    <w:p>
      <w:pPr>
        <w:spacing w:after="0" w:line="16"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 xml:space="preserve">We have limited manufacturing capabilities and experience. ARC-520 and our other drug candidates are composed of multiple components and require specialized formulations for which scale-up and manufacturing could be difficult. We have limited experience in such scale-up and manufacturing requiring us to depend on a limited number of third parties, who may not be able to deliver in a timely manner, or at all. In order to develop products, apply for regulatory approvals and commercialize our products, we will need to develop, contract for, or otherwise arrange for the necessary manufacturing capabilities. Our internal manufacturing capabilities are limited to small-scale production of material for use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experiments that is not required to be produced under current good manufacturing practice, or cGMP, standards. There are a limited number of manufacturers that supply synthetic siRNAs. There are risks inherent in pharmaceutical manufacturing that could affect the ability of our contract manufacturers to meet our delivery time requirements or provide adequate amounts of material to meet our needs. Included in these risks are synthesis and purification failures and contamination during the manufacturing process, which could result in unusable product and cause delays in our development process, as well as additional expense to us.</w:t>
      </w:r>
    </w:p>
    <w:p>
      <w:pPr>
        <w:spacing w:after="0" w:line="16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Additionally, our product candidates have not yet been manufactured for commercial use. If any of our product candidates become approved for commercial sale, we will need to establish third-party manufacturing capacity. A third-party manufacturing partner may require us to fund capital improvements to support the scale-up of manufacturing and related activities. The third-party manufacturer may not be able to establish scaled manufacturing capacity for an approved product in a timely or economic manner, if at all. If a manufacturer is unable to provide commercial quantities of such an approved product, we will have to successfully transfer manufacturing technology to a different manufacturer. Engaging a new manufacturer for such an approved product could require us to conduct comparative studies or utilize other means to determine bioequivalence of the new and prior manufacturers’ products, which could delay or prevent our ability to commercialize such an approved product. If any of these manufacturers is unable or unwilling to increase its manufacturing capacity or if we are unable to establish alternative arrangements on a timely basis or on acceptable terms, the development and commercialization of such an approved product may be delayed or there may be a shortage in supply. Any inability to manufacture our product candidates or future approved drugs in sufficient quantities when needed would seriously harm our business.</w:t>
      </w:r>
    </w:p>
    <w:p>
      <w:pPr>
        <w:spacing w:after="0" w:line="178"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Manufacturers of our approved products, if any, must comply with current good manufacturing practices (cGMP) requirements enforced by the U.S. Food and Drug Administration and foreign health authorities through facilities inspection programs. These requirements include quality control, quality assurance, and the maintenance of records and documentation. Manufacturers of our approved products, if any, may be unable to comply with these cGMP requirements and with other FDA, state, and foreign regulatory requirements. We have little control over our manufacturers’ compliance with these regulations and standards. A failure to comply with these requirements may result in fines and civil penalties, suspension of production, suspension or delay in product approval, product seizure or recall, or withdrawal of product approval. If the safety of any quantities supplied is compromised due to our manufacturer’s failure to adhere to applicable laws or for other reasons, we may not be able to obtain regulatory approval for or successfully commercialize our products, which would seriously harm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third parties to conduct our clinical trials, and if they fail to fulfill their obligations, our development plans may be adversely affected.</w:t>
      </w:r>
    </w:p>
    <w:p>
      <w:pPr>
        <w:spacing w:after="0" w:line="140"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We rely on independent clinical investigators, contract research organizations and other third-party service providers to assist us in managing, monitoring and otherwise carrying out our clinical trials. We have contracted, and we plan to continue to contract with certain third-parties to provide certain services, including site selection, enrollment, monitoring and data management services. Although we depend heavily on these parties, we do not control them and therefore, we cannot be assured that these third-parties will adequately perform all of their contractual obligations to us. If our third-party service providers cannot adequately and timely fulfill their obligations to us, or if the quality and accuracy of our clinical trial data is compromised due to failure by such third-parties to adhere to our protocols or regulatory requirements or if such third-parties otherwise fail to meet deadlines, our development plans may be delayed or terminated. Further, if clinical study results are compromised, then we may need to repeat the affected studies, which could result in significant additional costs to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4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managing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attraction and retention of senior management and scientists with relevant expertise.</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Our future success depends to a significant extent on the continued services of our key employees, including Dr. Christopher Anzalone, our President and Chief Executive Officer, Dr. Bruce Given, our Chief Operating Officer, Dr. David Lewis, our Chief Scientific Officer, and Kenneth Myszkowski, our Chief Financial Officer. We do not maintain key man life insurance for any of our executives. Our ability to execute our strategy also will depend on our ability to continue to attract and retain qualified scientists and management. If we are unable to find, hire and retain qualified individuals, we could have difficulty implementing our business plan in a timely manner, or at all.</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have difficulty expanding our operations successfully as we evolve from a company primarily involved in discovery and pre-clinical testing into one that develops and commercializes drugs.</w:t>
      </w:r>
    </w:p>
    <w:p>
      <w:pPr>
        <w:spacing w:after="0" w:line="6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expect that as we increase the number of product candidates we are developing we will also need to expand our operations. This expected growth may place a strain on our administrative and operational infrastructure. As product candidates we develop enter and advance through clinical trials, we will need to expand our development, regulatory, manufacturing, marketing and sales capabilities or contract with other organizations to provide these capabilities for us. As our operations expand due to our development progress, we expect that we will need to manage additional relationships with various collaborators,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information technology system failures.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contractors and consultants are vulnerable to damage from computer viruses, unauthorized access, natural disasters, terrorism, war, and telecommunication and electrical failures. Such events could cause interruption of our operations.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development, regulatory approval, and marketing of our product candidates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manufacture and sale of human therapeutic products are governed by a variety of statutes and regulations. There can be no assurance that our product candidates will obtain regulatory approval.</w:t>
      </w:r>
    </w:p>
    <w:p>
      <w:pPr>
        <w:spacing w:after="0" w:line="62"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sale of human therapeutic products in the U.S. and foreign jurisdictions is subject to extensive and time consuming regulatory approval which requires:</w:t>
      </w:r>
    </w:p>
    <w:p>
      <w:pPr>
        <w:spacing w:after="0" w:line="62"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controlled research and human clinical testing;</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establishment of the safety and efficacy of the product for each use sought;</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government review and approval of a submission containing manufacturing, pre-clinical and clinical data;</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adherence to Good Manufacturing Practice Regulations during production and storage; and</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 of marketing activities, including advertising and labeling.</w:t>
      </w:r>
    </w:p>
    <w:p>
      <w:pPr>
        <w:spacing w:after="0" w:line="225"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 product candidates we currently have under development will require significant development, pre-clinical and clinical testing and investment of significant funds before their commercialization. Some of our product candidates, if approved, will require the completion of post-market studies. There can be no assurance that such products will be developed and approved. The process of completing clinical testing and obtaining required approvals is likely to take a number of years and require the use of substantial resources. If we fail to obtain regulatory approvals, our operations will be adversely affected. Further, there can be no assurance that product candidates employing a new technology will be shown to be safe and effective in clinical trials or receive applicable regulatory approvals.</w:t>
      </w:r>
    </w:p>
    <w:p>
      <w:pPr>
        <w:spacing w:after="0" w:line="220"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Investors should be aware of the risks, problems, delays, expenses and difficulties which we may encounter in view of the extensive regulatory environment which affects our business in any jurisdiction where we develop product candidates.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45" w:right="25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If testing of a particular product candidate does not yield successful results, then we will be unable to commercialize that product candidate.</w:t>
      </w:r>
    </w:p>
    <w:p>
      <w:pPr>
        <w:spacing w:after="0" w:line="129"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must demonstrate our product candidates’ safety and efficacy in humans through extensive clinical testing. Our research and development programs are at an early stage of development. We may experience numerous unforeseen events during, or as a result of, the testing process that could delay or prevent commercialization of any products, including the following:</w:t>
      </w:r>
    </w:p>
    <w:p>
      <w:pPr>
        <w:spacing w:after="0" w:line="73" w:lineRule="exact"/>
        <w:rPr>
          <w:sz w:val="20"/>
          <w:szCs w:val="20"/>
          <w:color w:val="auto"/>
        </w:rPr>
      </w:pPr>
    </w:p>
    <w:p>
      <w:pPr>
        <w:ind w:left="400" w:hanging="386"/>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pre-clinical studies may be inconclusive, or they may not be indicative of results that will be obtained in human clinical trials;</w:t>
      </w:r>
    </w:p>
    <w:p>
      <w:pPr>
        <w:spacing w:after="0" w:line="117" w:lineRule="exact"/>
        <w:rPr>
          <w:rFonts w:ascii="Arial" w:cs="Arial" w:eastAsia="Arial" w:hAnsi="Arial"/>
          <w:sz w:val="18"/>
          <w:szCs w:val="18"/>
          <w:color w:val="auto"/>
        </w:rPr>
      </w:pPr>
    </w:p>
    <w:p>
      <w:pPr>
        <w:ind w:left="400" w:hanging="386"/>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safety and efficacy results attained in early human clinical trials may not be indicative of results that are obtained in later clinical trials;</w:t>
      </w:r>
    </w:p>
    <w:p>
      <w:pPr>
        <w:spacing w:after="0" w:line="117" w:lineRule="exact"/>
        <w:rPr>
          <w:rFonts w:ascii="Arial" w:cs="Arial" w:eastAsia="Arial" w:hAnsi="Arial"/>
          <w:sz w:val="18"/>
          <w:szCs w:val="18"/>
          <w:color w:val="auto"/>
        </w:rPr>
      </w:pPr>
    </w:p>
    <w:p>
      <w:pPr>
        <w:ind w:left="400" w:hanging="386"/>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reviewing test results, we may abandon projects that we might previously have believed to be promising;</w:t>
      </w:r>
    </w:p>
    <w:p>
      <w:pPr>
        <w:spacing w:after="0" w:line="117" w:lineRule="exact"/>
        <w:rPr>
          <w:rFonts w:ascii="Arial" w:cs="Arial" w:eastAsia="Arial" w:hAnsi="Arial"/>
          <w:sz w:val="18"/>
          <w:szCs w:val="18"/>
          <w:color w:val="auto"/>
        </w:rPr>
      </w:pPr>
    </w:p>
    <w:p>
      <w:pPr>
        <w:ind w:left="400" w:right="380" w:hanging="386"/>
        <w:spacing w:after="0" w:line="277" w:lineRule="auto"/>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regulators, may suspend or terminate clinical trials because the participating subjects or patients are being exposed to unacceptable health risks; and</w:t>
      </w:r>
    </w:p>
    <w:p>
      <w:pPr>
        <w:spacing w:after="0" w:line="62" w:lineRule="exact"/>
        <w:rPr>
          <w:rFonts w:ascii="Arial" w:cs="Arial" w:eastAsia="Arial" w:hAnsi="Arial"/>
          <w:sz w:val="18"/>
          <w:szCs w:val="18"/>
          <w:color w:val="auto"/>
        </w:rPr>
      </w:pPr>
    </w:p>
    <w:p>
      <w:pPr>
        <w:ind w:left="400" w:right="40" w:hanging="386"/>
        <w:spacing w:after="0" w:line="277" w:lineRule="auto"/>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 candidates may not have the desired effects or may include undesirable side effects or other characteristics that preclude regulatory approval or limit their commercial use if approved.</w:t>
      </w:r>
    </w:p>
    <w:p>
      <w:pPr>
        <w:spacing w:after="0" w:line="170"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Clinical testing is very expensive, can take many years, and the outcome is uncertain. The data collected from our clinical trials may not be sufficient to support approval of our product candidates by the regulatory authorities. The clinical trials of our product candidates may not be completed on schedule, and the regulatory authorities may not ultimately approve any of our product candidates for commercial sale. If we fail to adequately demonstrate the safety and efficacy of a product candidate, this would delay or prevent regulatory approval of the product candidate, which could prevent us from achieving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take us longer than we are currently projecting to complete our clinical trials, and we may not be able to complete them at all.</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Although for planning purposes, we project the commencement, continuation and completion of our clinical trials, a number of factors, including scheduling conflicts with participating clinicians and clinical institutions, and difficulties in identifying or enrolling patients who meet trial eligibility criteria, may cause significant delays. We may not commence or complete clinical trials involving any of our product candidates as projected or may not conduct them successfully.</w:t>
      </w:r>
    </w:p>
    <w:p>
      <w:pPr>
        <w:spacing w:after="0" w:line="29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Even if our clinical studies are successful and we achieve regulatory approval, the approved product label may be more limited than we or analysts anticipate, which could limit the commercial opportunity for our drug candidates.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At the time drugs are approved for commercialization, they are given a “product label” from the FDA or other regulatory body. This label sets forth the approved indication for marketing, and identifies potential safety concerns for prescribing physicians and patients. While we may seek as broad a product label as possible for our successful drug candidates, we may receive a narrower label than expected, either by us or by third parties, such as stockholders and securities analysts. For example, any approved products may only be indicated to treat refractory patients (i.e., those who have failed some other first-line therapy). Similarly, it is possible that only a specific sub-set of patients safely responds to our drug candidates. As a result, our drug candidates, even if successful in clinical trials, could be approved only for patients with a particular phenotype or subset of the underlying disease. Additionally, safety considerations may result in contraindications that could further limit the scope of an approved product label. Any of these or other safety and efficacy considerations could limit the commercial opportunity for our drug candidates.</w:t>
      </w:r>
    </w:p>
    <w:p>
      <w:pPr>
        <w:spacing w:after="0" w:line="2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Even if our drug candidates are approved for commercialization, future regulatory reviews or inspections may result in the suspension or withdrawal of one or more of our products, closure of a facility or enforcement of substantial fines.</w:t>
      </w:r>
    </w:p>
    <w:p>
      <w:pPr>
        <w:spacing w:after="0" w:line="62"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If regulatory approval to sell any of our product candidates is received, regulatory agencies will subject any marketed product(s), as well as the manufacturing facilities, to continual review and periodic inspection. If previously unknown problems with a product or manufacturing and laboratory facility are discovered, or we fail to comply with applicable regulatory approval requirements, a regulatory agency may impose restrictions on that product or on us. The agency may require the withdrawal of the product from the market, closure of the facility or enforcement of substantial fines.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41" w:name="page42"/>
    <w:bookmarkEnd w:id="41"/>
    <w:p>
      <w:pPr>
        <w:ind w:right="260"/>
        <w:spacing w:after="0" w:line="277" w:lineRule="auto"/>
        <w:rPr>
          <w:sz w:val="20"/>
          <w:szCs w:val="20"/>
          <w:color w:val="auto"/>
        </w:rPr>
      </w:pPr>
      <w:r>
        <w:rPr>
          <w:rFonts w:ascii="Arial" w:cs="Arial" w:eastAsia="Arial" w:hAnsi="Arial"/>
          <w:sz w:val="18"/>
          <w:szCs w:val="18"/>
          <w:b w:val="1"/>
          <w:bCs w:val="1"/>
          <w:i w:val="1"/>
          <w:iCs w:val="1"/>
          <w:color w:val="auto"/>
        </w:rPr>
        <w:t>We face potential product liability exposure, and if successful claims are brought against us, we may incur substantial liability for a product candidate and may have to limit its commercialization.</w:t>
      </w:r>
    </w:p>
    <w:p>
      <w:pPr>
        <w:spacing w:after="0" w:line="6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 us to the risk of product liability claims. Product liability claims might be brought against us by clinical trial participants, consumers, health-care providers, pharmaceutical companies, or others selling our products. If we cannot successfully defend ourselves against these claims, we may incur substantial liabilities. Regardless of merit or eventual outcome, product liability claims may result in:</w:t>
      </w:r>
    </w:p>
    <w:p>
      <w:pPr>
        <w:spacing w:after="0" w:line="79" w:lineRule="exact"/>
        <w:rPr>
          <w:sz w:val="20"/>
          <w:szCs w:val="20"/>
          <w:color w:val="auto"/>
        </w:rPr>
      </w:pPr>
    </w:p>
    <w:p>
      <w:pPr>
        <w:ind w:left="400" w:hanging="386"/>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17" w:lineRule="exact"/>
        <w:rPr>
          <w:rFonts w:ascii="Arial" w:cs="Arial" w:eastAsia="Arial" w:hAnsi="Arial"/>
          <w:sz w:val="18"/>
          <w:szCs w:val="18"/>
          <w:color w:val="auto"/>
        </w:rPr>
      </w:pPr>
    </w:p>
    <w:p>
      <w:pPr>
        <w:ind w:left="400" w:hanging="386"/>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17" w:lineRule="exact"/>
        <w:rPr>
          <w:rFonts w:ascii="Arial" w:cs="Arial" w:eastAsia="Arial" w:hAnsi="Arial"/>
          <w:sz w:val="18"/>
          <w:szCs w:val="18"/>
          <w:color w:val="auto"/>
        </w:rPr>
      </w:pPr>
    </w:p>
    <w:p>
      <w:pPr>
        <w:ind w:left="400" w:hanging="386"/>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400" w:hanging="386"/>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17" w:lineRule="exact"/>
        <w:rPr>
          <w:rFonts w:ascii="Arial" w:cs="Arial" w:eastAsia="Arial" w:hAnsi="Arial"/>
          <w:sz w:val="18"/>
          <w:szCs w:val="18"/>
          <w:color w:val="auto"/>
        </w:rPr>
      </w:pPr>
    </w:p>
    <w:p>
      <w:pPr>
        <w:ind w:left="400" w:hanging="386"/>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400" w:hanging="386"/>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117" w:lineRule="exact"/>
        <w:rPr>
          <w:rFonts w:ascii="Arial" w:cs="Arial" w:eastAsia="Arial" w:hAnsi="Arial"/>
          <w:sz w:val="18"/>
          <w:szCs w:val="18"/>
          <w:color w:val="auto"/>
        </w:rPr>
      </w:pPr>
    </w:p>
    <w:p>
      <w:pPr>
        <w:ind w:left="400" w:hanging="386"/>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Although we currently have liability insurance for our clinical trials, our insurance coverage may not be sufficient to reimburse us for all expenses or losses we may suffer. Moreover, insurance coverage is becoming increasingly expensive and, in the future, we may not be able to maintain insurance coverage at a reasonable cost or in sufficient amounts to protect us against losses.</w:t>
      </w:r>
    </w:p>
    <w:p>
      <w:pPr>
        <w:spacing w:after="0" w:line="3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a natural or man-made disaster strikes our research and development facility or otherwise affects our business, it could delay our progress developing our drugs.</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conduct research and development in a facility in Madison, Wisconsin. The facilities and the equipment we use would be costly to replace and could require substantial lead time to repair or replace. Our facilities may be harmed by natural or man-made disasters, including, without limitation, earthquakes, floods, fires and acts of terrorism; and if our facilities are affected by a disaster, our development efforts would be delayed. Although we possess insurance for damage to our property and the disruption of our business from casualties, this insurance may not be sufficient to cover all of our potential losses and may not continue to be available to us on acceptable terms, or at all. In addition, our development activities could be harmed or delayed by a shutdown of the U.S. government, including the FDA.</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if approved, will depend in part on the extent to which government authorities and health insurers establish adequate reimbursement levels and pricing policies.</w:t>
      </w:r>
    </w:p>
    <w:p>
      <w:pPr>
        <w:spacing w:after="0" w:line="62"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Sales of any approved drug candidate will depend in part on the availability of coverage and reimbursement from third-party payers such as government insurance programs, including Medicare and Medicaid, private health insurers, health maintenance organizations and other health care related organizations, who are increasingly challenging the price of medical products and services. Accordingly, coverage and reimbursement may be uncertain. Adoption of any drug candidate by the medical community may be limited if third-party payers will not offer coverage. Additionally, significant uncertainty exists as to the reimbursement status of newly approved drugs. Cost control initiatives may decrease coverage and payment levels for any new drug and, in turn, the price that we will be able to charge. We are unable to predict all changes to the coverage or reimbursement methodologies that will be applied by private or government payers. Any denial of private or government payer coverage or inadequate reimbursement could harm our business and reduce our revenue. When we partner with third parties with respect to our drug candidates, we will typically be relying on that partner to obtain cost reimbursement from third parties for the drug, if approved.</w:t>
      </w:r>
    </w:p>
    <w:p>
      <w:pPr>
        <w:spacing w:after="0" w:line="182"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In addition, both the federal and state governments in the United States and foreign governments continue to propose and pass new legislation affecting coverage and reimbursement policies, which are designed to contain or reduce the cost of health care, as well as hold public hearings on these matters, which has resulted in certain private companies dropping the prices of their drugs. Further federal and state proposals and healthcare reforms are likely, which could limit the prices that can be charged for the product candidates that we develop and may further limit our commercial opportunity. There may be future changes that result in reductions in potential coverage and reimbursement levels for our product candidates, if approved and commercialized, and we cannot predict the scope of any future changes or the impact that those changes would have on our operations.</w:t>
      </w:r>
    </w:p>
    <w:p>
      <w:pPr>
        <w:spacing w:after="0" w:line="16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If future reimbursement for approved product candidates, if any, is substantially less than we project, or rebate obligations associated with them are substantially increased, our business and commercial opportunities could be materially and adversely impacted.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49"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protect our patents and other proprietary rights is uncertain, exposing us to the possible loss of competitive advantage.</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licensed rights to pending patents and have filed and expect to continue to file patent applications. Researchers sponsored by us may also file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patent applications that we may need to license. Such patent applications may not be available for licensing or may not be economically feasible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license. Certain of our patents may not be granted or may not contain claims of the necessary breadth because of, for example, the existence of prior art. If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particular patent is not granted, the value of the invention described in the patent would be diminished. Further, even if these patents are granted, they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difficult to enforce. Even if successful, efforts to enforce our patent rights could be expensive, distracting for management, cause our patents to be invalidated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held unenforceable, and thus frustrate commercialization of products. Additionally, even if patents are issued and are enforceable, others may develop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similar, superior or parallel technologies to any technology developed by us and not infringe on our patents. Alternatively, our technology may prove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infringe upon patents or rights owned by others. Finally, patent prosecution and maintenance is expensive, and we may be forced to curtail prosecution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maintenance if our cash resources are limited. Thus, the patents held by or licensed to us may not afford us any meaningful competitive advantage. If we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unable to derive value from our licensed or owned intellectual property, the value of your investment may decline.</w:t>
      </w:r>
    </w:p>
    <w:p>
      <w:pPr>
        <w:spacing w:after="0" w:line="31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Subsidiaries are party to technology license agreements with third parties that require us to satisfy obligations to keep them effective and, if these agreements are terminated, our technology and our business would be seriously and adversely affected.</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Through our Subsidiaries, we are party to license agreements with Alnylam Pharmaceuticals, Inc., City of Hope, and other entities to incorporate their proprietary technologies into our drug products under development. These license agreements require us to pay royalties and satisfy other conditions, including conditions in some cases related to the commercialization of the licensed technology. We may not be able to successfully incorporate these technologies into marketable products or, if we do, sales may not be sufficient to recover the amounts that we are obligated to pay to the licensors. If we fail to satisfy our obligations under these agreements, the terms of the licenses may be materially modified, such as by rendering currently exclusive licenses non-exclusive, or it may give our licensors the right to terminate their respective agreement with us, which would limit our ability to implement our current business plan and harm our business and financial condition.</w:t>
      </w:r>
    </w:p>
    <w:p>
      <w:pPr>
        <w:spacing w:after="0" w:line="2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patent infringement claims, which could result in substantial costs and liability and prevent us from commercializing our potential products.</w:t>
      </w:r>
    </w:p>
    <w:p>
      <w:pPr>
        <w:spacing w:after="0" w:line="6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Because the intellectual property landscape in the fields in which we participate is rapidly evolving and interdisciplinary, it is difficult to conclusively assess our freedom to operate without infringing on third party rights. However, we are currently aware of certain patent rights held by third parties that, if found to be valid and enforceable, could be alleged to render one or more of our business lines infringing. If a claim should be brought and is successful, we may be required to pay substantial damages, be forced to abandon any affected business lines and/or seek a license from the patent holder. In addition, any patent infringement claims brought against us, whether or not successful, may cause us to incur significant expenses and divert the attention of our management and key personnel from other business concerns. These could negatively affect our results of operations and prospects. We cannot be certain that patents owned or licensed by us or our Subsidiaries will not be challenged by others.</w:t>
      </w:r>
    </w:p>
    <w:p>
      <w:pPr>
        <w:spacing w:after="0" w:line="178"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In addition, if our potential products infringe the intellectual property rights of third parties, these third parties may assert infringement claims against our customers, and we may be required to indemnify our customers for any damages they suffer as a result of these claims. The claims may require us to initiate or defend protracted and costly litigation on behalf of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we may be unable to continue selling such products.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license patent rights from third-party owners and we rely on such owners to obtain, maintain and enforce the patents underlying such licenses.</w:t>
      </w:r>
    </w:p>
    <w:p>
      <w:pPr>
        <w:spacing w:after="0" w:line="140"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are a party to a number of licenses that give us rights to third-party intellectual property that is necessary or useful for our business. In particular, we have obtained licenses from, among others, Alnylam Pharmaceuticals, Inc. We also expect to enter into additional licenses to third-party intellectual property in the future.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45" w:right="279" w:bottom="1440" w:gutter="0" w:footer="0" w:header="0"/>
        </w:sectPr>
      </w:pPr>
    </w:p>
    <w:bookmarkStart w:id="43" w:name="page44"/>
    <w:bookmarkEnd w:id="43"/>
    <w:p>
      <w:pPr>
        <w:ind w:firstLine="518"/>
        <w:spacing w:after="0" w:line="255" w:lineRule="auto"/>
        <w:rPr>
          <w:sz w:val="20"/>
          <w:szCs w:val="20"/>
          <w:color w:val="auto"/>
        </w:rPr>
      </w:pPr>
      <w:r>
        <w:rPr>
          <w:rFonts w:ascii="Arial" w:cs="Arial" w:eastAsia="Arial" w:hAnsi="Arial"/>
          <w:sz w:val="18"/>
          <w:szCs w:val="18"/>
          <w:color w:val="auto"/>
        </w:rPr>
        <w:t>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licensed from various third parties may be subject to retained rights.</w:t>
      </w:r>
    </w:p>
    <w:p>
      <w:pPr>
        <w:spacing w:after="0" w:line="117" w:lineRule="exact"/>
        <w:rPr>
          <w:sz w:val="20"/>
          <w:szCs w:val="20"/>
          <w:color w:val="auto"/>
        </w:rPr>
      </w:pPr>
    </w:p>
    <w:p>
      <w:pPr>
        <w:ind w:right="340" w:firstLine="518"/>
        <w:spacing w:after="0" w:line="279" w:lineRule="auto"/>
        <w:rPr>
          <w:sz w:val="20"/>
          <w:szCs w:val="20"/>
          <w:color w:val="auto"/>
        </w:rPr>
      </w:pPr>
      <w:r>
        <w:rPr>
          <w:rFonts w:ascii="Arial" w:cs="Arial" w:eastAsia="Arial" w:hAnsi="Arial"/>
          <w:sz w:val="17"/>
          <w:szCs w:val="17"/>
          <w:color w:val="auto"/>
        </w:rPr>
        <w:t>Our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other proprietary information.</w:t>
      </w:r>
    </w:p>
    <w:p>
      <w:pPr>
        <w:spacing w:after="0" w:line="14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In addition, others may independently discover trade secrets and proprietary information, and in such cases we could not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equity interest may be substantially diluted in any additional financing.</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Our certificate of incorporation authorizes the issuance of 145,000,000 shares of Common Stock and 5,000,000 shares of Preferred Stock, on such terms and at such prices as our Board of Directors may determine. During the fiscal year ended September 30, 2014, we issued and sold 9,396,672 and 46,000 shares of Common Stock and Preferred Stock, respectively, through two equity financings in October 2013 and February 2014. As of September 30, 2014, we had 54,656,936 shares of Common Stock issued and outstanding. The issuance of additional securities in financing transactions by us or through the exercise of options or warrants will dilute the equity interests of our existing stockholders, perhaps substantially, and could result in dilution in the tangible net book value of a share of our Common Stock, depending upon the price and other terms on which the additional shares are issued.</w:t>
      </w:r>
    </w:p>
    <w:p>
      <w:pPr>
        <w:spacing w:after="0" w:line="2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Common Stock price has fluctuated significantly over the last several years and may continue to do so in the future, without regard to our results of operations and prospects.</w:t>
      </w:r>
    </w:p>
    <w:p>
      <w:pPr>
        <w:spacing w:after="0" w:line="6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Because we are early in the stage of our drug development, there are few objective metrics by which our progress may be measured. Consequently, we expect that the market price of our Common Stock will likely continue to fluctuate significantly. We may not generate substantial revenue from the license or sale of our technology for several years, if at all. In the absence of product revenue as a measure of our operating performance, we anticipate that investors and market analysts will assess our performance by considering factors such as: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Announcements of developments related to our business;</w:t>
      </w:r>
    </w:p>
    <w:p>
      <w:pPr>
        <w:spacing w:after="0" w:line="117" w:lineRule="exact"/>
        <w:rPr>
          <w:sz w:val="20"/>
          <w:szCs w:val="20"/>
          <w:color w:val="auto"/>
        </w:rPr>
      </w:pPr>
    </w:p>
    <w:p>
      <w:pPr>
        <w:ind w:left="400" w:right="380" w:hanging="392"/>
        <w:spacing w:after="0" w:line="277" w:lineRule="auto"/>
        <w:rPr>
          <w:sz w:val="20"/>
          <w:szCs w:val="20"/>
          <w:color w:val="auto"/>
        </w:rPr>
      </w:pPr>
      <w:r>
        <w:rPr>
          <w:rFonts w:ascii="Arial" w:cs="Arial" w:eastAsia="Arial" w:hAnsi="Arial"/>
          <w:sz w:val="18"/>
          <w:szCs w:val="18"/>
          <w:color w:val="auto"/>
        </w:rPr>
        <w:t>— Our ability to enter into or extend investigation phase, development phase, commercialization phase and other agreements with new and/or existing partners;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Announcements regarding the status of any or all of our collaborations or products, including clinical trial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Market perception and/or investor sentiment regarding our technology;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Announcements of actions taken by regulatory authorities; such as the U.S. Food and Drug Administration;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Announcements regarding developments in the RNA interference or biotechnology fields in 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Announcements regarding clinical trial results with our products or competitors’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Market perception and/or announcements regarding other companies developing products in the field of RNA interference;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341"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  The issuance of competitive patents or disallowance or loss of our patent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The addition or departure of key executives;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Variations in our operating results.</w:t>
      </w:r>
    </w:p>
    <w:p>
      <w:pPr>
        <w:spacing w:after="0" w:line="225"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We will not have control over many of these factors but expect that they may influence our stock price. As a result, our stock price may be volatile and such volatility could result in the loss of all or part of your investment.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claims may result in financial losses or harm our reputation and may divert management resources.</w:t>
      </w:r>
    </w:p>
    <w:p>
      <w:pPr>
        <w:spacing w:after="0" w:line="117"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When the market price of a stock is volatile, holders of that stock have often initiated securities class action litigation against the company that issued the stock. Certain of our stockholders have recently brought such lawsuits against us, pursuant to which we could incur substantial costs. We cannot predict with certainty the eventual outcome of this or any other litigation, arbitration or third-party inquiry. We may not be successful in defending ourselves or asserting our rights in current or future lawsuits, investigations, or claims that have been or may be brought against us and, as a result, our business could be materially harmed. These lawsuits, arbitrations, investigations or claims may result in large judgments or settlements against us, any of which could have a negative effect on our financial performance and business. Additionally, lawsuits, arbitrations and investigations can be expensive to defend, whether or not the lawsuit, arbitration or investigation has merit, and the defense of these actions may divert the attention of our management and other resources that would otherwise be engaged in running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purchases and sales of our Common Stock may be limited, and the sale of a limited number of shares could cause the price to fall sharply.</w:t>
      </w:r>
    </w:p>
    <w:p>
      <w:pPr>
        <w:spacing w:after="0" w:line="15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Although our Common Stock is listed for trading on the NASDAQ Global Select Market, at various times our securities have been relatively thinly traded. Investor trading patterns could serve to exacerbate the volatility of the price of our stock. For example, mandatory sales of our Common Stock by institutional holders could be triggered if an investment in our Common Stock no longer satisfies their investment standards and guidelines. It may be difficult to sell shares of our Common Stock quickly without significantly depressing the value of the stock. Unless we are successful in developing continued investor interest in our stock, sales of our stock could result in major fluctuations in the price of the stock.</w:t>
      </w:r>
    </w:p>
    <w:p>
      <w:pPr>
        <w:spacing w:after="0" w:line="2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make adverse recommendations regarding an investment in our stock, our stock price and trading volume may decline.</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trading market for our Common Stock can be influenced by the research and reports that industry or securities analysts publish about our business. Currently, coverage of our Company by industry and securities analysts is limited. Investors have many investment opportunities and may limit their investments to companies that receive greater coverage from analysts. If additional industry or securities analysts do not commence coverage of the Company, the trading price of our stock could be negatively impacted. If one or more of the analysts downgrade our stock or comment negatively on our prospects, our stock price may decline. If one or more of these analysts cease to cover our industry or us or fail to publish reports about the Company regularly, our Common Stock could lose visibility in the financial markets, which could also cause our stock price or trading volume to decline. Further, incorrect judgments, estimates or assumptions made by research analysts may adversely affect our stock price, particularly if subsequent performance falls below the levels that were projected by the research analyst(s), even if we did not set or endorse such expectations. Any of these events could cause further volatility in our stock price and could result in substantial declines in the value of our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declare cash dividends on our Common Stock.</w:t>
      </w:r>
    </w:p>
    <w:p>
      <w:pPr>
        <w:spacing w:after="0" w:line="117" w:lineRule="exact"/>
        <w:rPr>
          <w:sz w:val="20"/>
          <w:szCs w:val="20"/>
          <w:color w:val="auto"/>
        </w:rPr>
      </w:pPr>
    </w:p>
    <w:p>
      <w:pPr>
        <w:ind w:right="580" w:firstLine="518"/>
        <w:spacing w:after="0" w:line="342" w:lineRule="auto"/>
        <w:rPr>
          <w:sz w:val="20"/>
          <w:szCs w:val="20"/>
          <w:color w:val="auto"/>
        </w:rPr>
      </w:pPr>
      <w:r>
        <w:rPr>
          <w:rFonts w:ascii="Arial" w:cs="Arial" w:eastAsia="Arial" w:hAnsi="Arial"/>
          <w:sz w:val="16"/>
          <w:szCs w:val="16"/>
          <w:color w:val="auto"/>
        </w:rPr>
        <w:t>We will not distribute cash to our stockholders unless and until we can develop sufficient funds from operations to meet our ongoing needs and implement our business plan. The time frame for that is unpredictable and investors should not expect dividends in the near future, if at all.</w:t>
      </w:r>
    </w:p>
    <w:p>
      <w:pPr>
        <w:spacing w:after="0" w:line="2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Board of Directors has the authority to issue shares of “blank check” preferred stock, which may make an acquisition of the Company by another company more difficult.</w:t>
      </w:r>
    </w:p>
    <w:p>
      <w:pPr>
        <w:spacing w:after="0" w:line="62"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We have adopted and may in the future adopt certain measures that may have the effect of delaying, deferring or preventing a takeover or other change in control of the Company that a holder of our Common Stock might consider in its best interest. Specifically,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tabs>
          <w:tab w:leader="none" w:pos="11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During the year ended September 30, 2014, we expanded our leases for our corporate headquarters, located in Pasadena, California, and our research facility in Madison, Wisconsin, to accommodate our increased headcount. The Company does not own any real property. The following table summarizes the company’s leased facilities as of September 30, 2014:</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Office</w:t>
            </w:r>
          </w:p>
        </w:tc>
        <w:tc>
          <w:tcPr>
            <w:tcW w:w="20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Monthly</w:t>
            </w: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Lease</w:t>
            </w: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Lease Term</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Space</w:t>
            </w:r>
          </w:p>
        </w:tc>
        <w:tc>
          <w:tcPr>
            <w:tcW w:w="2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Rent</w:t>
            </w:r>
          </w:p>
        </w:tc>
        <w:tc>
          <w:tcPr>
            <w:tcW w:w="16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Commencement</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Pasadena, California</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8,500 sq. ft.</w:t>
            </w: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23,000</w:t>
            </w:r>
          </w:p>
        </w:tc>
        <w:tc>
          <w:tcPr>
            <w:tcW w:w="20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August 16, 2012</w:t>
            </w:r>
          </w:p>
        </w:tc>
        <w:tc>
          <w:tcPr>
            <w:tcW w:w="2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years</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Madison, Wisconsin</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27,000 sq. ft.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75,000</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February 16, 2009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bl>
    <w:p>
      <w:pPr>
        <w:spacing w:after="0" w:line="37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3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 xml:space="preserve">Legal Proceedings are set forth in our financial statement schedules in Part IV, Item 15 of this Annual Report and are incorporated herein by reference. See Note 8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of Part IV, Item 15. </w:t>
      </w:r>
      <w:r>
        <w:rPr>
          <w:rFonts w:ascii="Arial" w:cs="Arial" w:eastAsia="Arial" w:hAnsi="Arial"/>
          <w:sz w:val="18"/>
          <w:szCs w:val="18"/>
          <w:i w:val="1"/>
          <w:iCs w:val="1"/>
          <w:color w:val="auto"/>
        </w:rPr>
        <w:t>Exhibits and Financial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Schedules</w:t>
      </w:r>
      <w:r>
        <w:rPr>
          <w:rFonts w:ascii="Arial" w:cs="Arial" w:eastAsia="Arial" w:hAnsi="Arial"/>
          <w:sz w:val="18"/>
          <w:szCs w:val="18"/>
          <w:color w:val="auto"/>
        </w:rPr>
        <w:t>.</w:t>
      </w:r>
    </w:p>
    <w:p>
      <w:pPr>
        <w:spacing w:after="0" w:line="36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040" w:right="180" w:hanging="1039"/>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Price Range of Common Stock</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“ARWR”. The following table sets forth the high and low sales prices for a share of the Company’s Common Stock during each period indicated.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Fiscal Year Ended September 30,</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65"/>
              <w:spacing w:after="0" w:line="142" w:lineRule="exact"/>
              <w:rPr>
                <w:sz w:val="20"/>
                <w:szCs w:val="20"/>
                <w:color w:val="auto"/>
              </w:rPr>
            </w:pPr>
            <w:r>
              <w:rPr>
                <w:rFonts w:ascii="Arial" w:cs="Arial" w:eastAsia="Arial" w:hAnsi="Arial"/>
                <w:sz w:val="14"/>
                <w:szCs w:val="14"/>
                <w:b w:val="1"/>
                <w:bCs w:val="1"/>
                <w:color w:val="auto"/>
              </w:rPr>
              <w:t>2014</w:t>
            </w:r>
          </w:p>
        </w:tc>
        <w:tc>
          <w:tcPr>
            <w:tcW w:w="10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860"/>
              <w:spacing w:after="0" w:line="142" w:lineRule="exact"/>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2"/>
                <w:szCs w:val="12"/>
                <w:color w:val="auto"/>
              </w:rPr>
            </w:pPr>
          </w:p>
        </w:tc>
        <w:tc>
          <w:tcPr>
            <w:tcW w:w="1000" w:type="dxa"/>
            <w:vAlign w:val="bottom"/>
          </w:tcPr>
          <w:p>
            <w:pPr>
              <w:jc w:val="right"/>
              <w:ind w:right="376"/>
              <w:spacing w:after="0" w:line="142" w:lineRule="exact"/>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2"/>
                <w:szCs w:val="12"/>
                <w:color w:val="auto"/>
              </w:rPr>
            </w:pPr>
          </w:p>
        </w:tc>
        <w:tc>
          <w:tcPr>
            <w:tcW w:w="86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1st Quarter</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79"/>
              </w:rPr>
              <w:t>2.63</w:t>
            </w: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2nd Quarter</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26.57</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9.92</w:t>
            </w:r>
          </w:p>
        </w:tc>
        <w:tc>
          <w:tcPr>
            <w:tcW w:w="26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3rd Quarter</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18.28</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9.79</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1.69</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4th Quarter</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16.96</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10.72</w:t>
            </w:r>
          </w:p>
        </w:tc>
        <w:tc>
          <w:tcPr>
            <w:tcW w:w="260" w:type="dxa"/>
            <w:vAlign w:val="bottom"/>
          </w:tcPr>
          <w:p>
            <w:pPr>
              <w:spacing w:after="0"/>
              <w:rPr>
                <w:sz w:val="20"/>
                <w:szCs w:val="20"/>
                <w:color w:val="auto"/>
              </w:rPr>
            </w:pP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6.05</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bl>
    <w:p>
      <w:pPr>
        <w:spacing w:after="0" w:line="32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Shares Outstanding</w:t>
      </w:r>
    </w:p>
    <w:p>
      <w:pPr>
        <w:spacing w:after="0" w:line="11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At November 24, 2014, 54,682,636 shares of the Company’s Common Stock were issued and outstanding, and were owned by 122 stockholders of record, based on information provided by the Company’s transfer agent.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never paid dividends on its Common Stock and does not anticipate that it will do so in the foreseeable future.</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Authorized for Issuance Under the Equity Compensation Plans</w:t>
      </w:r>
    </w:p>
    <w:p>
      <w:pPr>
        <w:spacing w:after="0" w:line="11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disclosure required under this item related to equity compensation plans is incorporated by reference from Item 12 of Part III of this Annual Report on Form 10-K.</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Sales of Unregistered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information under this Item has been previously reported on our Current Reports on Form 8-K.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1" w:right="259" w:bottom="1440" w:gutter="0" w:footer="0" w:header="0"/>
        </w:sectPr>
      </w:pPr>
    </w:p>
    <w:bookmarkStart w:id="46" w:name="page47"/>
    <w:bookmarkEnd w:id="46"/>
    <w:p>
      <w:pPr>
        <w:ind w:left="260"/>
        <w:spacing w:after="0"/>
        <w:rPr>
          <w:sz w:val="20"/>
          <w:szCs w:val="20"/>
          <w:color w:val="auto"/>
        </w:rPr>
      </w:pPr>
      <w:r>
        <w:rPr>
          <w:rFonts w:ascii="Arial" w:cs="Arial" w:eastAsia="Arial" w:hAnsi="Arial"/>
          <w:sz w:val="18"/>
          <w:szCs w:val="18"/>
          <w:i w:val="1"/>
          <w:iCs w:val="1"/>
          <w:color w:val="auto"/>
        </w:rPr>
        <w:t>Repurchases of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repurchase any shares of our Common Stock during the years ended September 30, 2014, 2013 or 2012.</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Performance Graph</w:t>
      </w:r>
    </w:p>
    <w:p>
      <w:pPr>
        <w:spacing w:after="0" w:line="13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following performance graph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 The graph compares the cumulative 5-year total return to shareholders on our Common Stock relative to the cumulative total returns of the NASDAQ Composite Index and the NASDAQ Biotechnology Index. We selected the NASDAQ Biotechnology Index because we believe the index reflects the market conditions within the industry in which we primarily operate. The comparison of total return on investment, defined as the change in year-end stock price plus reinvested dividends, for each of the periods assumes that $100 was invested on September 30, 2009, in each of our Common Stock, the NASDAQ Composite Index and the NASDAQ Biotechnology Index, with investment weighted on the basis of market capitalization.</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comparisons in the following graph are based on historical data and are not intended to forecast the possible future performance of our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142875</wp:posOffset>
            </wp:positionV>
            <wp:extent cx="5351145" cy="3258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5114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49" w:right="279" w:bottom="1440" w:gutter="0" w:footer="0" w:header="0"/>
        </w:sectPr>
      </w:pPr>
    </w:p>
    <w:bookmarkStart w:id="47" w:name="page48"/>
    <w:bookmarkEnd w:id="47"/>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35" w:lineRule="exact"/>
        <w:rPr>
          <w:sz w:val="20"/>
          <w:szCs w:val="20"/>
          <w:color w:val="auto"/>
        </w:rPr>
      </w:pPr>
    </w:p>
    <w:p>
      <w:pPr>
        <w:jc w:val="both"/>
        <w:ind w:left="120" w:right="1780" w:firstLine="397"/>
        <w:spacing w:after="0" w:line="288" w:lineRule="auto"/>
        <w:rPr>
          <w:sz w:val="20"/>
          <w:szCs w:val="20"/>
          <w:color w:val="auto"/>
        </w:rPr>
      </w:pPr>
      <w:r>
        <w:rPr>
          <w:rFonts w:ascii="Arial" w:cs="Arial" w:eastAsia="Arial" w:hAnsi="Arial"/>
          <w:sz w:val="16"/>
          <w:szCs w:val="16"/>
          <w:color w:val="auto"/>
        </w:rPr>
        <w:t>The following selected financial data has been derived from our audited consolidated financial statements and should be read in conjunction with the consolidated financial statements, the related notes thereto and the independent auditors’ report thereon, and “Management’s Discussion and Analysis of Financial Condition and Results of Operations,” which are included elsewhere in this</w:t>
      </w:r>
    </w:p>
    <w:p>
      <w:pPr>
        <w:spacing w:after="0"/>
        <w:rPr>
          <w:sz w:val="20"/>
          <w:szCs w:val="20"/>
          <w:color w:val="auto"/>
        </w:rPr>
      </w:pPr>
      <w:r>
        <w:rPr>
          <w:rFonts w:ascii="Arial" w:cs="Arial" w:eastAsia="Arial" w:hAnsi="Arial"/>
          <w:sz w:val="18"/>
          <w:szCs w:val="18"/>
          <w:color w:val="auto"/>
        </w:rPr>
        <w:t>Form 10-K and in previously filed annual reports on Form 10-K of Arrowhead Research Corporation.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September</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72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6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OPERATING SUMMARY</w:t>
            </w:r>
          </w:p>
        </w:tc>
        <w:tc>
          <w:tcPr>
            <w:tcW w:w="3500" w:type="dxa"/>
            <w:vAlign w:val="bottom"/>
            <w:tcBorders>
              <w:bottom w:val="single" w:sz="8" w:color="CFF0FC"/>
            </w:tcBorders>
            <w:gridSpan w:val="2"/>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6"/>
                <w:szCs w:val="16"/>
                <w:b w:val="1"/>
                <w:bCs w:val="1"/>
                <w:color w:val="auto"/>
              </w:rPr>
              <w:t>REVENUE</w:t>
            </w:r>
          </w:p>
        </w:tc>
        <w:tc>
          <w:tcPr>
            <w:tcW w:w="6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175,000</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290,266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146,875</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296,139</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OPERATING EXPENSES</w:t>
            </w: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3"/>
          </w:tcPr>
          <w:p>
            <w:pPr>
              <w:ind w:left="240"/>
              <w:spacing w:after="0"/>
              <w:rPr>
                <w:sz w:val="20"/>
                <w:szCs w:val="20"/>
                <w:color w:val="auto"/>
              </w:rPr>
            </w:pPr>
            <w:r>
              <w:rPr>
                <w:rFonts w:ascii="Arial" w:cs="Arial" w:eastAsia="Arial" w:hAnsi="Arial"/>
                <w:sz w:val="16"/>
                <w:szCs w:val="16"/>
                <w:color w:val="auto"/>
              </w:rPr>
              <w:t>Research and development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23,138,050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8,705,627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5,391,463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3,277,760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529,601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Salaries and payroll-related costs</w:t>
            </w: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12,829,355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6,667,669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6,414,921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1,408,366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1,146,394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3"/>
          </w:tcPr>
          <w:p>
            <w:pPr>
              <w:ind w:left="240"/>
              <w:spacing w:after="0"/>
              <w:rPr>
                <w:sz w:val="20"/>
                <w:szCs w:val="20"/>
                <w:color w:val="auto"/>
              </w:rPr>
            </w:pPr>
            <w:r>
              <w:rPr>
                <w:rFonts w:ascii="Arial" w:cs="Arial" w:eastAsia="Arial" w:hAnsi="Arial"/>
                <w:sz w:val="16"/>
                <w:szCs w:val="16"/>
                <w:color w:val="auto"/>
              </w:rPr>
              <w:t>General and administrative expenses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5,894,008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3,488,864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6,439,323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3,821,550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2,490,725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Stock-based compensation</w:t>
            </w: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5,696,173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1,536,271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1,241,404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1,376,921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1,424,293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3"/>
          </w:tcPr>
          <w:p>
            <w:pPr>
              <w:ind w:left="240"/>
              <w:spacing w:after="0"/>
              <w:rPr>
                <w:sz w:val="20"/>
                <w:szCs w:val="20"/>
                <w:color w:val="auto"/>
              </w:rPr>
            </w:pPr>
            <w:r>
              <w:rPr>
                <w:rFonts w:ascii="Arial" w:cs="Arial" w:eastAsia="Arial" w:hAnsi="Arial"/>
                <w:sz w:val="16"/>
                <w:szCs w:val="16"/>
                <w:color w:val="auto"/>
              </w:rPr>
              <w:t>Depreciation and amortization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1,345,655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1,751,412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1,748,975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241,808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241,808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Impairment expense</w:t>
            </w: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2,172,387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1,308,047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tcBorders>
              <w:bottom w:val="single" w:sz="8" w:color="CFF0FC"/>
            </w:tcBorders>
            <w:gridSpan w:val="3"/>
          </w:tcPr>
          <w:p>
            <w:pPr>
              <w:ind w:left="240"/>
              <w:spacing w:after="0"/>
              <w:rPr>
                <w:sz w:val="20"/>
                <w:szCs w:val="20"/>
                <w:color w:val="auto"/>
              </w:rPr>
            </w:pPr>
            <w:r>
              <w:rPr>
                <w:rFonts w:ascii="Arial" w:cs="Arial" w:eastAsia="Arial" w:hAnsi="Arial"/>
                <w:sz w:val="16"/>
                <w:szCs w:val="16"/>
                <w:color w:val="auto"/>
              </w:rPr>
              <w:t>Contingent consideration - fair value adjustments</w:t>
            </w:r>
          </w:p>
        </w:tc>
        <w:tc>
          <w:tcPr>
            <w:tcW w:w="5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2,375,658</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1,421,652</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3"/>
            <w:shd w:val="clear" w:color="auto" w:fill="CFF0FC"/>
          </w:tcPr>
          <w:p>
            <w:pPr>
              <w:ind w:left="480"/>
              <w:spacing w:after="0"/>
              <w:rPr>
                <w:sz w:val="20"/>
                <w:szCs w:val="20"/>
                <w:color w:val="auto"/>
              </w:rPr>
            </w:pPr>
            <w:r>
              <w:rPr>
                <w:rFonts w:ascii="Arial" w:cs="Arial" w:eastAsia="Arial" w:hAnsi="Arial"/>
                <w:sz w:val="16"/>
                <w:szCs w:val="16"/>
                <w:color w:val="auto"/>
              </w:rPr>
              <w:t>TOTAL OPERATING EXPENSES (a)</w:t>
            </w:r>
          </w:p>
        </w:tc>
        <w:tc>
          <w:tcPr>
            <w:tcW w:w="5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53,451,286</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24,879,542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21,236,086</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10,126,405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5,832,821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80" w:type="dxa"/>
            <w:vAlign w:val="bottom"/>
            <w:gridSpan w:val="4"/>
          </w:tcPr>
          <w:p>
            <w:pPr>
              <w:spacing w:after="0"/>
              <w:rPr>
                <w:sz w:val="20"/>
                <w:szCs w:val="20"/>
                <w:color w:val="auto"/>
              </w:rPr>
            </w:pPr>
            <w:r>
              <w:rPr>
                <w:rFonts w:ascii="Arial" w:cs="Arial" w:eastAsia="Arial" w:hAnsi="Arial"/>
                <w:sz w:val="16"/>
                <w:szCs w:val="16"/>
                <w:b w:val="1"/>
                <w:bCs w:val="1"/>
                <w:color w:val="auto"/>
              </w:rPr>
              <w:t>OPERATING LOSS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w w:val="90"/>
              </w:rPr>
              <w:t>(53,276,286)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1"/>
              </w:rPr>
              <w:t>(24,589,276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1"/>
              </w:rPr>
              <w:t>(21,089,211</w:t>
            </w:r>
          </w:p>
        </w:tc>
        <w:tc>
          <w:tcPr>
            <w:tcW w:w="200" w:type="dxa"/>
            <w:vAlign w:val="bottom"/>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0"/>
              </w:rPr>
              <w:t>(9,830,266)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0"/>
              </w:rPr>
              <w:t>(5,832,821)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6"/>
                <w:szCs w:val="16"/>
                <w:b w:val="1"/>
                <w:bCs w:val="1"/>
                <w:color w:val="auto"/>
              </w:rPr>
              <w:t>LOSS FROM CONTINUING OPERATIONS</w:t>
            </w:r>
          </w:p>
        </w:tc>
        <w:tc>
          <w:tcPr>
            <w:tcW w:w="5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0"/>
              </w:rPr>
              <w:t>(58,725,412)</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8"/>
              </w:rPr>
              <w:t>(31,703,079)</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8"/>
              </w:rPr>
              <w:t>(22,110,643)</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0"/>
              </w:rPr>
              <w:t>(8,785,008)</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0"/>
              </w:rPr>
              <w:t>(4,311,987)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3"/>
          </w:tcPr>
          <w:p>
            <w:pPr>
              <w:ind w:left="240"/>
              <w:spacing w:after="0"/>
              <w:rPr>
                <w:sz w:val="20"/>
                <w:szCs w:val="20"/>
                <w:color w:val="auto"/>
              </w:rPr>
            </w:pPr>
            <w:r>
              <w:rPr>
                <w:rFonts w:ascii="Arial" w:cs="Arial" w:eastAsia="Arial" w:hAnsi="Arial"/>
                <w:sz w:val="16"/>
                <w:szCs w:val="16"/>
                <w:color w:val="auto"/>
              </w:rPr>
              <w:t>Income (loss) from discontinued operations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59"/>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1,373,396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7"/>
              </w:rPr>
              <w:t>(2,645,031)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Gain on disposal of discontined operations</w:t>
            </w:r>
          </w:p>
        </w:tc>
        <w:tc>
          <w:tcPr>
            <w:tcW w:w="5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3,919,213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80" w:type="dxa"/>
            <w:vAlign w:val="bottom"/>
            <w:gridSpan w:val="4"/>
          </w:tcPr>
          <w:p>
            <w:pPr>
              <w:spacing w:after="0"/>
              <w:rPr>
                <w:sz w:val="20"/>
                <w:szCs w:val="20"/>
                <w:color w:val="auto"/>
              </w:rPr>
            </w:pPr>
            <w:r>
              <w:rPr>
                <w:rFonts w:ascii="Arial" w:cs="Arial" w:eastAsia="Arial" w:hAnsi="Arial"/>
                <w:sz w:val="16"/>
                <w:szCs w:val="16"/>
                <w:b w:val="1"/>
                <w:bCs w:val="1"/>
                <w:color w:val="auto"/>
              </w:rPr>
              <w:t>NET LOSS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w w:val="90"/>
              </w:rPr>
              <w:t>(58,725,412)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88"/>
              </w:rPr>
              <w:t>(31,703,433)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88"/>
              </w:rPr>
              <w:t>(22,110,723)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0"/>
              </w:rPr>
              <w:t>(3,492,399)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0"/>
              </w:rPr>
              <w:t>(6,957,018)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Net (gain) loss attributable to non-controlling interests</w:t>
            </w:r>
          </w:p>
        </w:tc>
        <w:tc>
          <w:tcPr>
            <w:tcW w:w="5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95,222</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560,144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984,795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363,514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1,182,990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80" w:type="dxa"/>
            <w:vAlign w:val="bottom"/>
            <w:gridSpan w:val="4"/>
          </w:tcPr>
          <w:p>
            <w:pPr>
              <w:spacing w:after="0"/>
              <w:rPr>
                <w:sz w:val="20"/>
                <w:szCs w:val="20"/>
                <w:color w:val="auto"/>
              </w:rPr>
            </w:pPr>
            <w:r>
              <w:rPr>
                <w:rFonts w:ascii="Arial" w:cs="Arial" w:eastAsia="Arial" w:hAnsi="Arial"/>
                <w:sz w:val="16"/>
                <w:szCs w:val="16"/>
                <w:b w:val="1"/>
                <w:bCs w:val="1"/>
                <w:color w:val="auto"/>
              </w:rPr>
              <w:t>NET LOSS ATTRIBUTABLE TO ARROWHEAD</w:t>
            </w:r>
          </w:p>
        </w:tc>
        <w:tc>
          <w:tcPr>
            <w:tcW w:w="5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w w:val="93"/>
              </w:rPr>
              <w:t>(58,630,190</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1"/>
              </w:rPr>
              <w:t>(31,143,289</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1"/>
              </w:rPr>
              <w:t>(21,125,928</w:t>
            </w:r>
          </w:p>
        </w:tc>
        <w:tc>
          <w:tcPr>
            <w:tcW w:w="200" w:type="dxa"/>
            <w:vAlign w:val="bottom"/>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4"/>
              </w:rPr>
              <w:t>(3,128,885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4"/>
              </w:rPr>
              <w:t>(5,774,028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6"/>
                <w:szCs w:val="16"/>
                <w:b w:val="1"/>
                <w:bCs w:val="1"/>
                <w:color w:val="auto"/>
              </w:rPr>
              <w:t>EARNINGS PER SHARE (BASIC):</w:t>
            </w:r>
          </w:p>
        </w:tc>
        <w:tc>
          <w:tcPr>
            <w:tcW w:w="5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60" w:type="dxa"/>
            <w:vAlign w:val="bottom"/>
            <w:gridSpan w:val="3"/>
          </w:tcPr>
          <w:p>
            <w:pPr>
              <w:ind w:left="240"/>
              <w:spacing w:after="0"/>
              <w:rPr>
                <w:sz w:val="20"/>
                <w:szCs w:val="20"/>
                <w:color w:val="auto"/>
              </w:rPr>
            </w:pPr>
            <w:r>
              <w:rPr>
                <w:rFonts w:ascii="Arial" w:cs="Arial" w:eastAsia="Arial" w:hAnsi="Arial"/>
                <w:sz w:val="16"/>
                <w:szCs w:val="16"/>
                <w:color w:val="auto"/>
              </w:rPr>
              <w:t>Income (loss) from continuing operations attributable to Arrowhead</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vMerge w:val="restart"/>
          </w:tcPr>
          <w:p>
            <w:pPr>
              <w:jc w:val="right"/>
              <w:ind w:right="139"/>
              <w:spacing w:after="0"/>
              <w:rPr>
                <w:sz w:val="20"/>
                <w:szCs w:val="20"/>
                <w:color w:val="auto"/>
              </w:rPr>
            </w:pPr>
            <w:r>
              <w:rPr>
                <w:rFonts w:ascii="Arial" w:cs="Arial" w:eastAsia="Arial" w:hAnsi="Arial"/>
                <w:sz w:val="16"/>
                <w:szCs w:val="16"/>
                <w:b w:val="1"/>
                <w:bCs w:val="1"/>
                <w:color w:val="auto"/>
              </w:rPr>
              <w:t>(1.25)</w:t>
            </w: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(1.30)</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(1.90)</w:t>
            </w:r>
          </w:p>
        </w:tc>
        <w:tc>
          <w:tcPr>
            <w:tcW w:w="1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(1.18)</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(0.49)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gridSpan w:val="3"/>
          </w:tcPr>
          <w:p>
            <w:pPr>
              <w:ind w:left="360"/>
              <w:spacing w:after="0"/>
              <w:rPr>
                <w:sz w:val="20"/>
                <w:szCs w:val="20"/>
                <w:color w:val="auto"/>
              </w:rPr>
            </w:pPr>
            <w:r>
              <w:rPr>
                <w:rFonts w:ascii="Arial" w:cs="Arial" w:eastAsia="Arial" w:hAnsi="Arial"/>
                <w:sz w:val="16"/>
                <w:szCs w:val="16"/>
                <w:color w:val="auto"/>
              </w:rPr>
              <w:t>common shareholders</w:t>
            </w:r>
          </w:p>
        </w:tc>
        <w:tc>
          <w:tcPr>
            <w:tcW w:w="6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Income (loss) from discontinued operations attributable to Arrowhead</w:t>
            </w:r>
          </w:p>
        </w:tc>
        <w:tc>
          <w:tcPr>
            <w:tcW w:w="6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8"/>
                <w:szCs w:val="18"/>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8"/>
                <w:szCs w:val="18"/>
                <w:color w:val="auto"/>
              </w:rPr>
            </w:pPr>
          </w:p>
        </w:tc>
        <w:tc>
          <w:tcPr>
            <w:tcW w:w="2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8"/>
                <w:szCs w:val="18"/>
                <w:color w:val="auto"/>
              </w:rPr>
            </w:pPr>
          </w:p>
        </w:tc>
        <w:tc>
          <w:tcPr>
            <w:tcW w:w="1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0.74</w:t>
            </w:r>
          </w:p>
        </w:tc>
        <w:tc>
          <w:tcPr>
            <w:tcW w:w="140" w:type="dxa"/>
            <w:vAlign w:val="bottom"/>
            <w:shd w:val="clear" w:color="auto" w:fill="CFF0FC"/>
          </w:tcPr>
          <w:p>
            <w:pPr>
              <w:spacing w:after="0"/>
              <w:rPr>
                <w:sz w:val="18"/>
                <w:szCs w:val="18"/>
                <w:color w:val="auto"/>
              </w:rPr>
            </w:pP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(0.41)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gridSpan w:val="3"/>
            <w:shd w:val="clear" w:color="auto" w:fill="CFF0FC"/>
          </w:tcPr>
          <w:p>
            <w:pPr>
              <w:ind w:left="360"/>
              <w:spacing w:after="0"/>
              <w:rPr>
                <w:sz w:val="20"/>
                <w:szCs w:val="20"/>
                <w:color w:val="auto"/>
              </w:rPr>
            </w:pPr>
            <w:r>
              <w:rPr>
                <w:rFonts w:ascii="Arial" w:cs="Arial" w:eastAsia="Arial" w:hAnsi="Arial"/>
                <w:sz w:val="16"/>
                <w:szCs w:val="16"/>
                <w:color w:val="auto"/>
              </w:rPr>
              <w:t>common shareholders</w:t>
            </w:r>
          </w:p>
        </w:tc>
        <w:tc>
          <w:tcPr>
            <w:tcW w:w="680" w:type="dxa"/>
            <w:vAlign w:val="bottom"/>
            <w:gridSpan w:val="2"/>
            <w:vMerge w:val="continue"/>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gridSpan w:val="2"/>
            <w:vMerge w:val="continue"/>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gridSpan w:val="2"/>
            <w:vMerge w:val="continue"/>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gridSpan w:val="2"/>
            <w:vMerge w:val="continue"/>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3"/>
          </w:tcPr>
          <w:p>
            <w:pPr>
              <w:ind w:left="240"/>
              <w:spacing w:after="0"/>
              <w:rPr>
                <w:sz w:val="20"/>
                <w:szCs w:val="20"/>
                <w:color w:val="auto"/>
              </w:rPr>
            </w:pPr>
            <w:r>
              <w:rPr>
                <w:rFonts w:ascii="Arial" w:cs="Arial" w:eastAsia="Arial" w:hAnsi="Arial"/>
                <w:sz w:val="16"/>
                <w:szCs w:val="16"/>
                <w:color w:val="auto"/>
              </w:rPr>
              <w:t>Net Income (Loss) attributable to Arrowhead common shareholders</w:t>
            </w:r>
          </w:p>
        </w:tc>
        <w:tc>
          <w:tcPr>
            <w:tcW w:w="6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(1.25)</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(1.30)</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(1.90)</w:t>
            </w:r>
          </w:p>
        </w:tc>
        <w:tc>
          <w:tcPr>
            <w:tcW w:w="12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(0.44)</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(0.90)</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7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6"/>
                <w:szCs w:val="16"/>
                <w:b w:val="1"/>
                <w:bCs w:val="1"/>
                <w:color w:val="auto"/>
              </w:rPr>
              <w:t>EARNINGS PER SHARE (DILUTED):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Income (loss) from continuing operations attributable to Arrowhead</w:t>
            </w:r>
          </w:p>
        </w:tc>
        <w:tc>
          <w:tcPr>
            <w:tcW w:w="6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(1.25)</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(1.30)</w:t>
            </w:r>
          </w:p>
        </w:tc>
        <w:tc>
          <w:tcPr>
            <w:tcW w:w="2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vMerge w:val="restart"/>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(1.90)</w:t>
            </w:r>
          </w:p>
        </w:tc>
        <w:tc>
          <w:tcPr>
            <w:tcW w:w="1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(1.08)</w:t>
            </w: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(0.49)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gridSpan w:val="3"/>
            <w:shd w:val="clear" w:color="auto" w:fill="CFF0FC"/>
          </w:tcPr>
          <w:p>
            <w:pPr>
              <w:ind w:left="360"/>
              <w:spacing w:after="0"/>
              <w:rPr>
                <w:sz w:val="20"/>
                <w:szCs w:val="20"/>
                <w:color w:val="auto"/>
              </w:rPr>
            </w:pPr>
            <w:r>
              <w:rPr>
                <w:rFonts w:ascii="Arial" w:cs="Arial" w:eastAsia="Arial" w:hAnsi="Arial"/>
                <w:sz w:val="16"/>
                <w:szCs w:val="16"/>
                <w:color w:val="auto"/>
              </w:rPr>
              <w:t>common shareholders</w:t>
            </w:r>
          </w:p>
        </w:tc>
        <w:tc>
          <w:tcPr>
            <w:tcW w:w="680" w:type="dxa"/>
            <w:vAlign w:val="bottom"/>
            <w:gridSpan w:val="2"/>
            <w:vMerge w:val="continue"/>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200" w:type="dxa"/>
            <w:vAlign w:val="bottom"/>
            <w:gridSpan w:val="2"/>
            <w:vMerge w:val="continue"/>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120" w:type="dxa"/>
            <w:vAlign w:val="bottom"/>
            <w:gridSpan w:val="2"/>
            <w:vMerge w:val="continue"/>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80" w:type="dxa"/>
            <w:vAlign w:val="bottom"/>
            <w:gridSpan w:val="2"/>
            <w:vMerge w:val="continue"/>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60" w:type="dxa"/>
            <w:vAlign w:val="bottom"/>
            <w:gridSpan w:val="3"/>
          </w:tcPr>
          <w:p>
            <w:pPr>
              <w:ind w:left="240"/>
              <w:spacing w:after="0"/>
              <w:rPr>
                <w:sz w:val="20"/>
                <w:szCs w:val="20"/>
                <w:color w:val="auto"/>
              </w:rPr>
            </w:pPr>
            <w:r>
              <w:rPr>
                <w:rFonts w:ascii="Arial" w:cs="Arial" w:eastAsia="Arial" w:hAnsi="Arial"/>
                <w:sz w:val="16"/>
                <w:szCs w:val="16"/>
                <w:color w:val="auto"/>
              </w:rPr>
              <w:t>Income (loss) from discontinued operations attributable to Arrowhead</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0.68</w:t>
            </w:r>
          </w:p>
        </w:tc>
        <w:tc>
          <w:tcPr>
            <w:tcW w:w="14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(0.41)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gridSpan w:val="3"/>
          </w:tcPr>
          <w:p>
            <w:pPr>
              <w:ind w:left="360"/>
              <w:spacing w:after="0"/>
              <w:rPr>
                <w:sz w:val="20"/>
                <w:szCs w:val="20"/>
                <w:color w:val="auto"/>
              </w:rPr>
            </w:pPr>
            <w:r>
              <w:rPr>
                <w:rFonts w:ascii="Arial" w:cs="Arial" w:eastAsia="Arial" w:hAnsi="Arial"/>
                <w:sz w:val="16"/>
                <w:szCs w:val="16"/>
                <w:color w:val="auto"/>
              </w:rPr>
              <w:t>common shareholders</w:t>
            </w:r>
          </w:p>
        </w:tc>
        <w:tc>
          <w:tcPr>
            <w:tcW w:w="6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Net Income (Loss) attributable to Arrowhead common shareholders</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b w:val="1"/>
                <w:bCs w:val="1"/>
                <w:color w:val="auto"/>
              </w:rPr>
              <w:t>(1.25)</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(1.30)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(1.90)</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(0.40)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(0.90)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Weighted average shares outstanding - basic</w:t>
            </w: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46,933,030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24,002,224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11,129,766</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7,181,121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6,434,245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3"/>
          </w:tcPr>
          <w:p>
            <w:pPr>
              <w:ind w:left="240"/>
              <w:spacing w:after="0"/>
              <w:rPr>
                <w:sz w:val="20"/>
                <w:szCs w:val="20"/>
                <w:color w:val="auto"/>
              </w:rPr>
            </w:pPr>
            <w:r>
              <w:rPr>
                <w:rFonts w:ascii="Arial" w:cs="Arial" w:eastAsia="Arial" w:hAnsi="Arial"/>
                <w:sz w:val="16"/>
                <w:szCs w:val="16"/>
                <w:color w:val="auto"/>
              </w:rPr>
              <w:t>Weighted average shares outstanding - diluted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46,933,030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24,002,224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11,129,766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7,830,407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6,434,245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2"/>
                <w:szCs w:val="12"/>
                <w:color w:val="auto"/>
              </w:rPr>
            </w:pPr>
          </w:p>
        </w:tc>
        <w:tc>
          <w:tcPr>
            <w:tcW w:w="18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7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6"/>
                <w:szCs w:val="16"/>
                <w:b w:val="1"/>
                <w:bCs w:val="1"/>
                <w:color w:val="auto"/>
              </w:rPr>
              <w:t>CASH DIVDEND PAID PER COMMON SHARE</w:t>
            </w:r>
          </w:p>
        </w:tc>
        <w:tc>
          <w:tcPr>
            <w:tcW w:w="6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w w:val="96"/>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272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40" w:type="dxa"/>
            <w:vAlign w:val="bottom"/>
            <w:tcBorders>
              <w:bottom w:val="single" w:sz="8" w:color="auto"/>
            </w:tcBorders>
            <w:gridSpan w:val="2"/>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FINANCIAL POSITION SUMMARY</w:t>
            </w:r>
          </w:p>
        </w:tc>
        <w:tc>
          <w:tcPr>
            <w:tcW w:w="272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6"/>
                <w:szCs w:val="16"/>
                <w:b w:val="1"/>
                <w:bCs w:val="1"/>
                <w:color w:val="auto"/>
              </w:rPr>
              <w:t>CASH AND CASH EQUIVALENTS (b)</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w w:val="89"/>
              </w:rPr>
              <w:t>132,510,610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7"/>
              </w:rPr>
              <w:t>19,114,444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3,377,288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7,507,389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6,847,162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SHORT AND LONG-TERM INVESTMENTS (b)</w:t>
            </w: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44,741,378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10,732,414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106,500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634,585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6"/>
                <w:szCs w:val="16"/>
                <w:b w:val="1"/>
                <w:bCs w:val="1"/>
                <w:color w:val="auto"/>
              </w:rPr>
              <w:t>TOTAL ASSETS (b)</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w w:val="89"/>
              </w:rPr>
              <w:t>182,816,756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7"/>
              </w:rPr>
              <w:t>37,329,631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7"/>
              </w:rPr>
              <w:t>16,527,818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89"/>
              </w:rPr>
              <w:t>15,888,563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89"/>
              </w:rPr>
              <w:t>12,354,542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CAPITAL LEASE OBLIGATIONS</w:t>
            </w: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972,331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1,282,458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1,497,259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6"/>
                <w:szCs w:val="16"/>
                <w:b w:val="1"/>
                <w:bCs w:val="1"/>
                <w:color w:val="auto"/>
              </w:rPr>
              <w:t>OTHER LONG-TERM OBLIGATIONS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4,226,137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1,808,709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1,108,563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742,446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760" w:right="280" w:hanging="372"/>
        <w:spacing w:after="0" w:line="269"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increase in our Operating Expenses during the year ended September 30, 2014 is primarily due to the progress achieved on our lead clinical candidate for HBV, ARC-520. The primary costs incurred during Fiscal 2014 related to manufacturing of clinical supplies for its clinical trials, toxicology studies, and the cost associated with the administration of clinical trials. In addition, the company is incurring costs, primarily manufacturing costs, as we prepare for a phase 2b clinical trial anticipated to begin in the first quarter of 2015.</w:t>
      </w:r>
    </w:p>
    <w:p>
      <w:pPr>
        <w:spacing w:after="0" w:line="2" w:lineRule="exact"/>
        <w:rPr>
          <w:rFonts w:ascii="Arial" w:cs="Arial" w:eastAsia="Arial" w:hAnsi="Arial"/>
          <w:sz w:val="17"/>
          <w:szCs w:val="17"/>
          <w:color w:val="auto"/>
        </w:rPr>
      </w:pPr>
    </w:p>
    <w:p>
      <w:pPr>
        <w:ind w:left="760" w:right="40" w:hanging="372"/>
        <w:spacing w:after="0" w:line="255"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increase in Cash and Cash Equivalents, Investments, and Total Assets as of September 30, 2014 as compared to September 30, 2013, primarily relates to two securities offerings completed in October 2013 and February 2014 which generated approximately $172.6 million of cash proceeds for the Company.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1" w:right="239" w:bottom="1440" w:gutter="0" w:footer="0" w:header="0"/>
          <w:type w:val="continuous"/>
        </w:sectPr>
      </w:pPr>
    </w:p>
    <w:bookmarkStart w:id="48" w:name="page49"/>
    <w:bookmarkEnd w:id="48"/>
    <w:p>
      <w:pPr>
        <w:ind w:right="106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Description of Business</w:t>
      </w:r>
    </w:p>
    <w:p>
      <w:pPr>
        <w:ind w:firstLine="518"/>
        <w:spacing w:after="0" w:line="255" w:lineRule="auto"/>
        <w:rPr>
          <w:sz w:val="20"/>
          <w:szCs w:val="20"/>
          <w:color w:val="auto"/>
        </w:rPr>
      </w:pPr>
      <w:r>
        <w:rPr>
          <w:rFonts w:ascii="Arial" w:cs="Arial" w:eastAsia="Arial" w:hAnsi="Arial"/>
          <w:sz w:val="18"/>
          <w:szCs w:val="18"/>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and Ablaris Therapeutics, Inc. (“Ablaris”), as well as our former subsidiary Calando Pharmaceuticals, Inc. (“Calando”), which was deconsolidated during 2014, (4) the term “Common Stock” refers to Arrowhead’s Common Stock, (5) the term “Preferred Stock” refers to Arrowhead’s Preferred Stock and the term “Stockholder(s)” refers to the holders of Arrowhead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Arrowhead Research develops novel drugs to treat intractable diseases by silencing the genes that cause them. Using the broadest portfolio of RNA chemistries and efficient modes of delivery, Arrowhead therapies trigger the RNA interference mechanism to induce rapid, deep and durable knockdown of target genes. Arrowhead’s most advanced drug candidate in clinical development is ARC-520, which is designed to treat chronic hepatitis B infection by inhibiting the production of all HBV gene products. The goal is to reverse the immune suppression that prevents the body from controlling the virus and clearing the disease. Arrowhead’s second clinical candidate is ARC-AAT, a treatment for a rare liver disease associated with a genetic disorder that causes alpha-1 antitrypsin deficiency.</w:t>
      </w:r>
    </w:p>
    <w:p>
      <w:pPr>
        <w:spacing w:after="0" w:line="193"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During 2014, the Company made substantial progress with its lead clinical candidate, ARC-520, for the treatment of chronic hepatitis B. In July 2013, the Company began a Phase 1 clinical trial in Australia in healthy volunteers to characterize the safety profile of ARC-520. The Company evalulated four dose levels, and no dose-limiting toxicities or serious adverse events have been observed. The Company began a Phase 2a pilot efficacy study in Hong Kong for chronically infected HBV patients in March 2014. The study is ongoing.</w:t>
      </w:r>
    </w:p>
    <w:p>
      <w:pPr>
        <w:spacing w:after="0" w:line="18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In June 2014, the Company announced its next clinical candidate, ARC-AAT, an RNAi therapeutic designed to treat liver disease associated with Alpha-1 antitrypsin deficiency (AATD). The Company expects to begin a Phase 1 clinical trial in the first quarter of 2015.</w:t>
      </w:r>
    </w:p>
    <w:p>
      <w:pPr>
        <w:spacing w:after="0" w:line="170" w:lineRule="exact"/>
        <w:rPr>
          <w:sz w:val="20"/>
          <w:szCs w:val="20"/>
          <w:color w:val="auto"/>
        </w:rPr>
      </w:pPr>
    </w:p>
    <w:p>
      <w:pPr>
        <w:ind w:right="280" w:firstLine="518"/>
        <w:spacing w:after="0" w:line="272" w:lineRule="auto"/>
        <w:rPr>
          <w:sz w:val="20"/>
          <w:szCs w:val="20"/>
          <w:color w:val="auto"/>
        </w:rPr>
      </w:pPr>
      <w:r>
        <w:rPr>
          <w:rFonts w:ascii="Arial" w:cs="Arial" w:eastAsia="Arial" w:hAnsi="Arial"/>
          <w:sz w:val="17"/>
          <w:szCs w:val="17"/>
          <w:color w:val="auto"/>
        </w:rPr>
        <w:t>The Company continues to develop other clinical candidates for future clinical trials, focusing on intravenously-administered therapeutics targeting gene knockdown in the liver, as well as formulations for administering RNAi-based therapeutics by subcutaneous administration. Clinical candidates are tested through GLP toxicology studies at outside laboratories, and drug materials for such studies, and for clinical trials, are contracted to third-party manufactures when cGMP production is required.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and if the clinical candidates progress through human testing, program costs will increase.</w:t>
      </w:r>
    </w:p>
    <w:p>
      <w:pPr>
        <w:spacing w:after="0" w:line="178" w:lineRule="exact"/>
        <w:rPr>
          <w:sz w:val="20"/>
          <w:szCs w:val="20"/>
          <w:color w:val="auto"/>
        </w:rPr>
      </w:pPr>
    </w:p>
    <w:p>
      <w:pPr>
        <w:ind w:right="420" w:firstLine="518"/>
        <w:spacing w:after="0" w:line="308" w:lineRule="auto"/>
        <w:rPr>
          <w:sz w:val="20"/>
          <w:szCs w:val="20"/>
          <w:color w:val="auto"/>
        </w:rPr>
      </w:pPr>
      <w:r>
        <w:rPr>
          <w:rFonts w:ascii="Arial" w:cs="Arial" w:eastAsia="Arial" w:hAnsi="Arial"/>
          <w:sz w:val="17"/>
          <w:szCs w:val="17"/>
          <w:color w:val="auto"/>
        </w:rPr>
        <w:t>Net losses were $58.7 million, $31.7 million and $22.1 million during the years ended September 30, 2014, 2013 and 2012, respectively. Diluted losses per share were $1.25, $1.30 and $1.90 during the years ended September 30, 2014, 2013 and 2012, respectively.</w:t>
      </w:r>
    </w:p>
    <w:p>
      <w:pPr>
        <w:spacing w:after="0" w:line="14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During 2014 the Company also substantially strengthened its liquidity and financial position through two securities offerings completed in October 2013 and February 2014 which generated approximately $172.6 million of cash proceeds for the Company. These cash proceeds secured the funding needed to advance both ARC-520 and ARC-AAT through future clinical trials and will also assist as the Company expands its pipeline of other clinical candidates. The Company had $132.5 million of Cash and Cash Equivalents and $182.8 million of Total Assets as of September 30, 2014 as compared to $19.1 million and $37.3 million as of September 30, 2013,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accounting principles generally accepted in the United States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are important to the portrayal of our Consolidated Financial Statements and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 Accounting Policies</w:t>
      </w:r>
      <w:r>
        <w:rPr>
          <w:rFonts w:ascii="Arial" w:cs="Arial" w:eastAsia="Arial" w:hAnsi="Arial"/>
          <w:sz w:val="16"/>
          <w:szCs w:val="16"/>
          <w:color w:val="auto"/>
        </w:rPr>
        <w:t>, to our Consolidated Financial Statements, which outlines our application of significant accounting policies and new accounting standards.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Revenue from product sales are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In October 2011, we acquired all of the outstanding common stock of Roche Madison, Inc. and certain related intellectual property assets in exchange for a $50,000 promissory note, 1,288,158 shares of Arrowhead Common Stock and certain contingent consideration, altogether an estimated value of $5.1 million on the date of the acquisition. We assigned the value of the consideration to the tangible assets and identifiable intangible assets and the liabilities assumed on the basis of their fair values on the date of acquisition. The excess of net assets over the consideration was recorded as a non-operating gain.</w:t>
      </w:r>
    </w:p>
    <w:p>
      <w:pPr>
        <w:spacing w:after="0" w:line="154" w:lineRule="exact"/>
        <w:rPr>
          <w:sz w:val="20"/>
          <w:szCs w:val="20"/>
          <w:color w:val="auto"/>
        </w:rPr>
      </w:pPr>
    </w:p>
    <w:p>
      <w:pPr>
        <w:jc w:val="both"/>
        <w:ind w:right="620" w:firstLine="518"/>
        <w:spacing w:after="0" w:line="264" w:lineRule="auto"/>
        <w:rPr>
          <w:sz w:val="20"/>
          <w:szCs w:val="20"/>
          <w:color w:val="auto"/>
        </w:rPr>
      </w:pPr>
      <w:r>
        <w:rPr>
          <w:rFonts w:ascii="Arial" w:cs="Arial" w:eastAsia="Arial" w:hAnsi="Arial"/>
          <w:sz w:val="18"/>
          <w:szCs w:val="18"/>
          <w:color w:val="auto"/>
        </w:rPr>
        <w:t>In April 2012, we acquired all of the outstanding common stock of Alvos Therapeutics, Inc. in exchange for the issuance of 315,457 shares of Arrowhead Common Stock, valued at $2.0 million at the time of acquisition. The consideration was assigned to its tangible and intangible assets, and liabilities based on estimated fair values at the time of acquisition.</w:t>
      </w:r>
    </w:p>
    <w:p>
      <w:pPr>
        <w:spacing w:after="0" w:line="18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allocation of value to certain items, including property and equipment, intangible assets and certain liabilities require management judgment, and is based upon the information available at the time of acquisition.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Intangible assets consist of in-process research and development and license agreements acquired in conjunction with a business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45" w:right="259" w:bottom="1440" w:gutter="0" w:footer="0" w:header="0"/>
        </w:sectPr>
      </w:pPr>
    </w:p>
    <w:bookmarkStart w:id="50" w:name="page51"/>
    <w:bookmarkEnd w:id="50"/>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recognize stock-based compensation expense for stock options based on the grant date fair value using the Black-Scholes options pricing model, which requires us to make assumptions regarding certain variables including the risk-free interest rate, expected stock price volatility, assumed forfeitures, and the expected life of the award. The grant date fair value of restricted stock units granted is based upon the quoted closing market price per share on the date of grant, adjusted for assumed forfeitures. Expense for stock options and restricted stock units is recognized over the requisite service period. The assumptions used in calculating stock-based compensation expense represent management’s best estimates, but these estimates involve inherent uncertainties, and if factors change or the Company used different assumptions, its stock-based compensation expense could be materially different in the future.</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Assets and Liabilities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The consideration for our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summarizes our results of operations for the following periods indicated:</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7"/>
              </w:rPr>
              <w:t>Year ended September 30,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3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352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13"/>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FF0FC"/>
            </w:tcBorders>
          </w:tcPr>
          <w:p>
            <w:pPr>
              <w:spacing w:after="0"/>
              <w:rPr>
                <w:sz w:val="13"/>
                <w:szCs w:val="13"/>
                <w:color w:val="auto"/>
              </w:rPr>
            </w:pPr>
          </w:p>
        </w:tc>
      </w:tr>
      <w:tr>
        <w:trPr>
          <w:trHeight w:val="223"/>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146,875</w:t>
            </w:r>
          </w:p>
        </w:tc>
        <w:tc>
          <w:tcPr>
            <w:tcW w:w="10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Operating Loss</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(53,276,286)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(24,589,276)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(21,089,211)</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(58,720,112)</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(31,703,079)</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(22,110,643)</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(58,725,412)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(31,703,433)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(22,110,723)</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(Basic and Diluted)</w:t>
            </w:r>
          </w:p>
        </w:tc>
        <w:tc>
          <w:tcPr>
            <w:tcW w:w="114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(1.25)</w:t>
            </w:r>
          </w:p>
        </w:tc>
        <w:tc>
          <w:tcPr>
            <w:tcW w:w="52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(1.30)</w:t>
            </w:r>
          </w:p>
        </w:tc>
        <w:tc>
          <w:tcPr>
            <w:tcW w:w="52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w:t>
            </w:r>
          </w:p>
        </w:tc>
      </w:tr>
    </w:tbl>
    <w:p>
      <w:pPr>
        <w:spacing w:after="0" w:line="215"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The increase in our Operating Expenses during the year ended September 30, 2014 is primarily due to the progress achieved on our lead clinical candidate for HBV, ARC-520. The primary costs incurred during fiscal 2014 related to manufacturing of clinical supplies for its clinical trials, toxicology studies, and the cost associated with the administration of clinical trials. In addition, the company is incurring costs, primarily manufacturing costs, as we prepare for a phase 2b clinical trial anticipated to begin in the first quarter of 2015.</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49"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Results of Operations Comparison for 2014 and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color w:val="auto"/>
        </w:rPr>
        <w:t>Total revenue was $175,000 for the year ended September 30, 2014 and $290,000 for the year ended September 30, 2013. Revenue is primarily related to licensed technology. In addition, the Company had collaboration revenue of $115,000 during the year ended September 30, 2013.</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Certain reclassifications have been made to prior period operating expense categories to conform to the current period presentation. For purposes of comparison, the amounts for the years ended September 30, 2014 and 2013 are shown in the tables below.</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R&amp;D expenses are related to the Company’s on-going research and development efforts, primarily related to program costs, composed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The following table provides details of research and development expense for the periods indicated: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color w:val="auto"/>
                <w:w w:val="94"/>
              </w:rPr>
              <w:t>Twelve</w:t>
            </w: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Twelve</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color w:val="auto"/>
                <w:w w:val="92"/>
              </w:rPr>
              <w:t>Months Ended</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 of Expense</w:t>
            </w: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Months Ended</w:t>
            </w: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 of Expense</w:t>
            </w:r>
          </w:p>
        </w:tc>
        <w:tc>
          <w:tcPr>
            <w:tcW w:w="64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color w:val="auto"/>
                <w:w w:val="91"/>
              </w:rPr>
              <w:t>Increase (Decrease)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89"/>
              </w:rPr>
              <w:t>September 30,</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September 30,</w:t>
            </w: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2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6"/>
              </w:rPr>
              <w:t>2014</w:t>
            </w:r>
          </w:p>
        </w:tc>
        <w:tc>
          <w:tcPr>
            <w:tcW w:w="12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28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color w:val="auto"/>
                <w:w w:val="89"/>
              </w:rPr>
              <w:t>2013</w:t>
            </w:r>
          </w:p>
        </w:tc>
        <w:tc>
          <w:tcPr>
            <w:tcW w:w="200" w:type="dxa"/>
            <w:vAlign w:val="bottom"/>
            <w:tcBorders>
              <w:bottom w:val="single" w:sz="8" w:color="B6EAFC"/>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300" w:type="dxa"/>
            <w:vAlign w:val="bottom"/>
            <w:tcBorders>
              <w:bottom w:val="single" w:sz="8" w:color="B6EAFC"/>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B6EA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2,071</w:t>
            </w:r>
          </w:p>
        </w:tc>
        <w:tc>
          <w:tcPr>
            <w:tcW w:w="12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4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1,058</w:t>
            </w:r>
          </w:p>
        </w:tc>
        <w:tc>
          <w:tcPr>
            <w:tcW w:w="200" w:type="dxa"/>
            <w:vAlign w:val="bottom"/>
            <w:shd w:val="clear" w:color="auto" w:fill="B6EAFC"/>
          </w:tcPr>
          <w:p>
            <w:pPr>
              <w:spacing w:after="0"/>
              <w:rPr>
                <w:sz w:val="19"/>
                <w:szCs w:val="19"/>
                <w:color w:val="auto"/>
              </w:rPr>
            </w:pPr>
          </w:p>
        </w:tc>
        <w:tc>
          <w:tcPr>
            <w:tcW w:w="146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12%</w:t>
            </w:r>
          </w:p>
        </w:tc>
        <w:tc>
          <w:tcPr>
            <w:tcW w:w="640" w:type="dxa"/>
            <w:vAlign w:val="bottom"/>
            <w:shd w:val="clear" w:color="auto" w:fill="B6EAFC"/>
          </w:tcPr>
          <w:p>
            <w:pPr>
              <w:jc w:val="right"/>
              <w:ind w:right="4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1,013</w:t>
            </w:r>
          </w:p>
        </w:tc>
        <w:tc>
          <w:tcPr>
            <w:tcW w:w="220" w:type="dxa"/>
            <w:vAlign w:val="bottom"/>
            <w:shd w:val="clear" w:color="auto" w:fill="B6EAFC"/>
          </w:tcPr>
          <w:p>
            <w:pPr>
              <w:spacing w:after="0"/>
              <w:rPr>
                <w:sz w:val="19"/>
                <w:szCs w:val="19"/>
                <w:color w:val="auto"/>
              </w:rPr>
            </w:pPr>
          </w:p>
        </w:tc>
        <w:tc>
          <w:tcPr>
            <w:tcW w:w="500" w:type="dxa"/>
            <w:vAlign w:val="bottom"/>
            <w:shd w:val="clear" w:color="auto" w:fill="B6EAFC"/>
          </w:tcPr>
          <w:p>
            <w:pPr>
              <w:spacing w:after="0"/>
              <w:rPr>
                <w:sz w:val="19"/>
                <w:szCs w:val="19"/>
                <w:color w:val="auto"/>
              </w:rPr>
            </w:pPr>
          </w:p>
        </w:tc>
        <w:tc>
          <w:tcPr>
            <w:tcW w:w="8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In vivo studies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02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12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4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B6EAFC"/>
          </w:tcPr>
          <w:p>
            <w:pPr>
              <w:spacing w:after="0"/>
              <w:rPr>
                <w:sz w:val="19"/>
                <w:szCs w:val="19"/>
                <w:color w:val="auto"/>
              </w:rPr>
            </w:pPr>
          </w:p>
        </w:tc>
        <w:tc>
          <w:tcPr>
            <w:tcW w:w="10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533</w:t>
            </w:r>
          </w:p>
        </w:tc>
        <w:tc>
          <w:tcPr>
            <w:tcW w:w="200" w:type="dxa"/>
            <w:vAlign w:val="bottom"/>
            <w:shd w:val="clear" w:color="auto" w:fill="B6EAFC"/>
          </w:tcPr>
          <w:p>
            <w:pPr>
              <w:spacing w:after="0"/>
              <w:rPr>
                <w:sz w:val="19"/>
                <w:szCs w:val="19"/>
                <w:color w:val="auto"/>
              </w:rPr>
            </w:pPr>
          </w:p>
        </w:tc>
        <w:tc>
          <w:tcPr>
            <w:tcW w:w="146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6%</w:t>
            </w:r>
          </w:p>
        </w:tc>
        <w:tc>
          <w:tcPr>
            <w:tcW w:w="640" w:type="dxa"/>
            <w:vAlign w:val="bottom"/>
            <w:shd w:val="clear" w:color="auto" w:fill="B6EAFC"/>
          </w:tcPr>
          <w:p>
            <w:pPr>
              <w:spacing w:after="0"/>
              <w:rPr>
                <w:sz w:val="19"/>
                <w:szCs w:val="19"/>
                <w:color w:val="auto"/>
              </w:rPr>
            </w:pPr>
          </w:p>
        </w:tc>
        <w:tc>
          <w:tcPr>
            <w:tcW w:w="5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B6EAFC"/>
          </w:tcPr>
          <w:p>
            <w:pPr>
              <w:spacing w:after="0"/>
              <w:rPr>
                <w:sz w:val="19"/>
                <w:szCs w:val="19"/>
                <w:color w:val="auto"/>
              </w:rPr>
            </w:pPr>
          </w:p>
        </w:tc>
        <w:tc>
          <w:tcPr>
            <w:tcW w:w="500" w:type="dxa"/>
            <w:vAlign w:val="bottom"/>
            <w:shd w:val="clear" w:color="auto" w:fill="B6EAFC"/>
          </w:tcPr>
          <w:p>
            <w:pPr>
              <w:spacing w:after="0"/>
              <w:rPr>
                <w:sz w:val="19"/>
                <w:szCs w:val="19"/>
                <w:color w:val="auto"/>
              </w:rPr>
            </w:pPr>
          </w:p>
        </w:tc>
        <w:tc>
          <w:tcPr>
            <w:tcW w:w="8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1,658</w:t>
            </w: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4,648</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302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12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9,142</w:t>
            </w:r>
          </w:p>
        </w:tc>
        <w:tc>
          <w:tcPr>
            <w:tcW w:w="12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4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B6EAFC"/>
          </w:tcPr>
          <w:p>
            <w:pPr>
              <w:spacing w:after="0"/>
              <w:rPr>
                <w:sz w:val="19"/>
                <w:szCs w:val="19"/>
                <w:color w:val="auto"/>
              </w:rPr>
            </w:pPr>
          </w:p>
        </w:tc>
        <w:tc>
          <w:tcPr>
            <w:tcW w:w="10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2,625</w:t>
            </w:r>
          </w:p>
        </w:tc>
        <w:tc>
          <w:tcPr>
            <w:tcW w:w="200" w:type="dxa"/>
            <w:vAlign w:val="bottom"/>
            <w:shd w:val="clear" w:color="auto" w:fill="B6EAFC"/>
          </w:tcPr>
          <w:p>
            <w:pPr>
              <w:spacing w:after="0"/>
              <w:rPr>
                <w:sz w:val="19"/>
                <w:szCs w:val="19"/>
                <w:color w:val="auto"/>
              </w:rPr>
            </w:pPr>
          </w:p>
        </w:tc>
        <w:tc>
          <w:tcPr>
            <w:tcW w:w="146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30%</w:t>
            </w:r>
          </w:p>
        </w:tc>
        <w:tc>
          <w:tcPr>
            <w:tcW w:w="640" w:type="dxa"/>
            <w:vAlign w:val="bottom"/>
            <w:shd w:val="clear" w:color="auto" w:fill="B6EAFC"/>
          </w:tcPr>
          <w:p>
            <w:pPr>
              <w:spacing w:after="0"/>
              <w:rPr>
                <w:sz w:val="19"/>
                <w:szCs w:val="19"/>
                <w:color w:val="auto"/>
              </w:rPr>
            </w:pPr>
          </w:p>
        </w:tc>
        <w:tc>
          <w:tcPr>
            <w:tcW w:w="5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6,517</w:t>
            </w:r>
          </w:p>
        </w:tc>
        <w:tc>
          <w:tcPr>
            <w:tcW w:w="220" w:type="dxa"/>
            <w:vAlign w:val="bottom"/>
            <w:shd w:val="clear" w:color="auto" w:fill="B6EAFC"/>
          </w:tcPr>
          <w:p>
            <w:pPr>
              <w:spacing w:after="0"/>
              <w:rPr>
                <w:sz w:val="19"/>
                <w:szCs w:val="19"/>
                <w:color w:val="auto"/>
              </w:rPr>
            </w:pPr>
          </w:p>
        </w:tc>
        <w:tc>
          <w:tcPr>
            <w:tcW w:w="500" w:type="dxa"/>
            <w:vAlign w:val="bottom"/>
            <w:shd w:val="clear" w:color="auto" w:fill="B6EAFC"/>
          </w:tcPr>
          <w:p>
            <w:pPr>
              <w:spacing w:after="0"/>
              <w:rPr>
                <w:sz w:val="19"/>
                <w:szCs w:val="19"/>
                <w:color w:val="auto"/>
              </w:rPr>
            </w:pPr>
          </w:p>
        </w:tc>
        <w:tc>
          <w:tcPr>
            <w:tcW w:w="8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Clinical trials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1,093</w:t>
            </w: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1,459</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3020" w:type="dxa"/>
            <w:vAlign w:val="bottom"/>
            <w:shd w:val="clear" w:color="auto" w:fill="B6EAFC"/>
          </w:tcPr>
          <w:p>
            <w:pPr>
              <w:spacing w:after="0"/>
              <w:rPr>
                <w:sz w:val="20"/>
                <w:szCs w:val="20"/>
                <w:color w:val="auto"/>
              </w:rPr>
            </w:pPr>
            <w:r>
              <w:rPr>
                <w:rFonts w:ascii="Arial" w:cs="Arial" w:eastAsia="Arial" w:hAnsi="Arial"/>
                <w:sz w:val="18"/>
                <w:szCs w:val="18"/>
                <w:color w:val="auto"/>
              </w:rPr>
              <w:t>Consulting</w:t>
            </w:r>
          </w:p>
        </w:tc>
        <w:tc>
          <w:tcPr>
            <w:tcW w:w="12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4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B6EAFC"/>
          </w:tcPr>
          <w:p>
            <w:pPr>
              <w:spacing w:after="0"/>
              <w:rPr>
                <w:sz w:val="19"/>
                <w:szCs w:val="19"/>
                <w:color w:val="auto"/>
              </w:rPr>
            </w:pPr>
          </w:p>
        </w:tc>
        <w:tc>
          <w:tcPr>
            <w:tcW w:w="10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B6EAFC"/>
          </w:tcPr>
          <w:p>
            <w:pPr>
              <w:spacing w:after="0"/>
              <w:rPr>
                <w:sz w:val="19"/>
                <w:szCs w:val="19"/>
                <w:color w:val="auto"/>
              </w:rPr>
            </w:pPr>
          </w:p>
        </w:tc>
        <w:tc>
          <w:tcPr>
            <w:tcW w:w="146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2%</w:t>
            </w:r>
          </w:p>
        </w:tc>
        <w:tc>
          <w:tcPr>
            <w:tcW w:w="64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(138)</w:t>
            </w:r>
          </w:p>
        </w:tc>
        <w:tc>
          <w:tcPr>
            <w:tcW w:w="500" w:type="dxa"/>
            <w:vAlign w:val="bottom"/>
            <w:shd w:val="clear" w:color="auto" w:fill="B6EAFC"/>
          </w:tcPr>
          <w:p>
            <w:pPr>
              <w:spacing w:after="0"/>
              <w:rPr>
                <w:sz w:val="19"/>
                <w:szCs w:val="19"/>
                <w:color w:val="auto"/>
              </w:rPr>
            </w:pPr>
          </w:p>
        </w:tc>
        <w:tc>
          <w:tcPr>
            <w:tcW w:w="8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License, royalty &amp; milestones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302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12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4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B6EAFC"/>
          </w:tcPr>
          <w:p>
            <w:pPr>
              <w:spacing w:after="0"/>
              <w:rPr>
                <w:sz w:val="19"/>
                <w:szCs w:val="19"/>
                <w:color w:val="auto"/>
              </w:rPr>
            </w:pPr>
          </w:p>
        </w:tc>
        <w:tc>
          <w:tcPr>
            <w:tcW w:w="10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732</w:t>
            </w:r>
          </w:p>
        </w:tc>
        <w:tc>
          <w:tcPr>
            <w:tcW w:w="200" w:type="dxa"/>
            <w:vAlign w:val="bottom"/>
            <w:shd w:val="clear" w:color="auto" w:fill="B6EAFC"/>
          </w:tcPr>
          <w:p>
            <w:pPr>
              <w:spacing w:after="0"/>
              <w:rPr>
                <w:sz w:val="19"/>
                <w:szCs w:val="19"/>
                <w:color w:val="auto"/>
              </w:rPr>
            </w:pPr>
          </w:p>
        </w:tc>
        <w:tc>
          <w:tcPr>
            <w:tcW w:w="146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8%</w:t>
            </w:r>
          </w:p>
        </w:tc>
        <w:tc>
          <w:tcPr>
            <w:tcW w:w="640" w:type="dxa"/>
            <w:vAlign w:val="bottom"/>
            <w:shd w:val="clear" w:color="auto" w:fill="B6EAFC"/>
          </w:tcPr>
          <w:p>
            <w:pPr>
              <w:spacing w:after="0"/>
              <w:rPr>
                <w:sz w:val="19"/>
                <w:szCs w:val="19"/>
                <w:color w:val="auto"/>
              </w:rPr>
            </w:pPr>
          </w:p>
        </w:tc>
        <w:tc>
          <w:tcPr>
            <w:tcW w:w="5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B6EAFC"/>
          </w:tcPr>
          <w:p>
            <w:pPr>
              <w:spacing w:after="0"/>
              <w:rPr>
                <w:sz w:val="19"/>
                <w:szCs w:val="19"/>
                <w:color w:val="auto"/>
              </w:rPr>
            </w:pPr>
          </w:p>
        </w:tc>
        <w:tc>
          <w:tcPr>
            <w:tcW w:w="500" w:type="dxa"/>
            <w:vAlign w:val="bottom"/>
            <w:shd w:val="clear" w:color="auto" w:fill="B6EAFC"/>
          </w:tcPr>
          <w:p>
            <w:pPr>
              <w:spacing w:after="0"/>
              <w:rPr>
                <w:sz w:val="19"/>
                <w:szCs w:val="19"/>
                <w:color w:val="auto"/>
              </w:rPr>
            </w:pPr>
          </w:p>
        </w:tc>
        <w:tc>
          <w:tcPr>
            <w:tcW w:w="8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Other research expenses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5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B6EAFC"/>
          </w:tcPr>
          <w:p>
            <w:pPr>
              <w:spacing w:after="0" w:line="20" w:lineRule="exact"/>
              <w:rPr>
                <w:sz w:val="1"/>
                <w:szCs w:val="1"/>
                <w:color w:val="auto"/>
              </w:rPr>
            </w:pPr>
          </w:p>
        </w:tc>
        <w:tc>
          <w:tcPr>
            <w:tcW w:w="100" w:type="dxa"/>
            <w:vAlign w:val="bottom"/>
            <w:shd w:val="clear" w:color="auto" w:fill="B6EA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23,138</w:t>
            </w:r>
          </w:p>
        </w:tc>
        <w:tc>
          <w:tcPr>
            <w:tcW w:w="120" w:type="dxa"/>
            <w:vAlign w:val="bottom"/>
            <w:shd w:val="clear" w:color="auto" w:fill="B6EAFC"/>
          </w:tcPr>
          <w:p>
            <w:pPr>
              <w:spacing w:after="0"/>
              <w:rPr>
                <w:sz w:val="19"/>
                <w:szCs w:val="19"/>
                <w:color w:val="auto"/>
              </w:rPr>
            </w:pPr>
          </w:p>
        </w:tc>
        <w:tc>
          <w:tcPr>
            <w:tcW w:w="100" w:type="dxa"/>
            <w:vAlign w:val="bottom"/>
            <w:shd w:val="clear" w:color="auto" w:fill="B6EAFC"/>
          </w:tcPr>
          <w:p>
            <w:pPr>
              <w:spacing w:after="0"/>
              <w:rPr>
                <w:sz w:val="19"/>
                <w:szCs w:val="19"/>
                <w:color w:val="auto"/>
              </w:rPr>
            </w:pPr>
          </w:p>
        </w:tc>
        <w:tc>
          <w:tcPr>
            <w:tcW w:w="14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8,706</w:t>
            </w:r>
          </w:p>
        </w:tc>
        <w:tc>
          <w:tcPr>
            <w:tcW w:w="200" w:type="dxa"/>
            <w:vAlign w:val="bottom"/>
            <w:shd w:val="clear" w:color="auto" w:fill="B6EAFC"/>
          </w:tcPr>
          <w:p>
            <w:pPr>
              <w:spacing w:after="0"/>
              <w:rPr>
                <w:sz w:val="19"/>
                <w:szCs w:val="19"/>
                <w:color w:val="auto"/>
              </w:rPr>
            </w:pPr>
          </w:p>
        </w:tc>
        <w:tc>
          <w:tcPr>
            <w:tcW w:w="146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B6EAFC"/>
          </w:tcPr>
          <w:p>
            <w:pPr>
              <w:jc w:val="right"/>
              <w:ind w:right="4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90"/>
              </w:rPr>
              <w:t>14,432</w:t>
            </w:r>
          </w:p>
        </w:tc>
        <w:tc>
          <w:tcPr>
            <w:tcW w:w="220" w:type="dxa"/>
            <w:vAlign w:val="bottom"/>
            <w:shd w:val="clear" w:color="auto" w:fill="B6EAFC"/>
          </w:tcPr>
          <w:p>
            <w:pPr>
              <w:spacing w:after="0"/>
              <w:rPr>
                <w:sz w:val="19"/>
                <w:szCs w:val="19"/>
                <w:color w:val="auto"/>
              </w:rPr>
            </w:pPr>
          </w:p>
        </w:tc>
        <w:tc>
          <w:tcPr>
            <w:tcW w:w="500" w:type="dxa"/>
            <w:vAlign w:val="bottom"/>
            <w:shd w:val="clear" w:color="auto" w:fill="B6EAFC"/>
          </w:tcPr>
          <w:p>
            <w:pPr>
              <w:spacing w:after="0"/>
              <w:rPr>
                <w:sz w:val="19"/>
                <w:szCs w:val="19"/>
                <w:color w:val="auto"/>
              </w:rPr>
            </w:pPr>
          </w:p>
        </w:tc>
        <w:tc>
          <w:tcPr>
            <w:tcW w:w="8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Laboratory supplies and services expense increased $1,013,000 from $1,058,000 during the year ended September 30, 2013 to $2,071,000 during the current period. The Company expanded its laboratory facility and increased its R&amp;D headcount during 2014. The increase in laboratory supplies and services is a result of additional supplies necessary to support increased efforts in pre-clinical research as the Company supports ongoing clinical efforts and accelerates efforts to identify new clinical candidates.</w:t>
      </w:r>
    </w:p>
    <w:p>
      <w:pPr>
        <w:spacing w:after="0" w:line="187" w:lineRule="exact"/>
        <w:rPr>
          <w:sz w:val="20"/>
          <w:szCs w:val="20"/>
          <w:color w:val="auto"/>
        </w:rPr>
      </w:pPr>
    </w:p>
    <w:p>
      <w:pPr>
        <w:jc w:val="both"/>
        <w:ind w:right="320" w:firstLine="518"/>
        <w:spacing w:after="0" w:line="312" w:lineRule="auto"/>
        <w:rPr>
          <w:sz w:val="20"/>
          <w:szCs w:val="20"/>
          <w:color w:val="auto"/>
        </w:rPr>
      </w:pPr>
      <w:r>
        <w:rPr>
          <w:rFonts w:ascii="Arial" w:cs="Arial" w:eastAsia="Arial" w:hAnsi="Arial"/>
          <w:sz w:val="16"/>
          <w:szCs w:val="16"/>
          <w:color w:val="auto"/>
        </w:rPr>
        <w:t>In vivo studies expense decreased $8,000 from $232,000 during the year ended September 30, 2013 to $224,000 during the current period. In vivo expense can vary depending on the stage of preclinical candidates, the nature and amount of testing required and based on the varying costs of different in vivo testing models. The expense in both periods relates to studies related to development of new clinical candidates, including ARC-AAT.</w:t>
      </w:r>
    </w:p>
    <w:p>
      <w:pPr>
        <w:spacing w:after="0" w:line="147"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Outside labs and contract services expense increased $158,000 from $533,000 during the year ended September 30, 2013 to $691,000 during the current period. The increase was primarily related to oligonucleotide synthesis related to development of new clinical candidates.</w:t>
      </w:r>
    </w:p>
    <w:p>
      <w:pPr>
        <w:spacing w:after="0" w:line="14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Toxicity/efficacy studies expense increased $4,648,000 from $1,658,000 during the year ended September 30, 2013 to $6,306,000 during the current period. This category includes IND-enabling toxicology studies as well as post-clinical toxicology studies, such as long-term toxicology studies, and other efficacy studies. The current period expense primarily relates to toxicology studies related to ARC-520, our clinical candidate for HBV, specifically toxicology studies to support our anticipated phase 2b clinical trial. Additionally, during 2014 we began incurring costs related to IND-enabling toxicology studies related to ARC-AAT.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2" w:name="page53"/>
    <w:bookmarkEnd w:id="52"/>
    <w:p>
      <w:pPr>
        <w:ind w:right="220" w:firstLine="518"/>
        <w:spacing w:after="0" w:line="279" w:lineRule="auto"/>
        <w:rPr>
          <w:sz w:val="20"/>
          <w:szCs w:val="20"/>
          <w:color w:val="auto"/>
        </w:rPr>
      </w:pPr>
      <w:r>
        <w:rPr>
          <w:rFonts w:ascii="Arial" w:cs="Arial" w:eastAsia="Arial" w:hAnsi="Arial"/>
          <w:sz w:val="17"/>
          <w:szCs w:val="17"/>
          <w:color w:val="auto"/>
        </w:rPr>
        <w:t>Drug manufacturing expense increased $6,517,000 from $2,625,000 during the year ended September 30, 2013 to $9,142,000 during the current period. The current period expense relates to drug manufacturing to supply toxicology studies for our HBV Phase 2b clinical trial, clinical supplies for the HBV Phase 2b clinical trial, as well as clinical supplies for our clinical trial for ARC-AAT. The Phase 2b clinical trial for HBV will be a much larger study than previous clinical trials, and as such, the Company anticipates increased drug manufacturing expenses in future periods.</w:t>
      </w:r>
    </w:p>
    <w:p>
      <w:pPr>
        <w:spacing w:after="0" w:line="171" w:lineRule="exact"/>
        <w:rPr>
          <w:sz w:val="20"/>
          <w:szCs w:val="20"/>
          <w:color w:val="auto"/>
        </w:rPr>
      </w:pPr>
    </w:p>
    <w:p>
      <w:pPr>
        <w:ind w:right="1000" w:firstLine="518"/>
        <w:spacing w:after="0" w:line="342" w:lineRule="auto"/>
        <w:rPr>
          <w:sz w:val="20"/>
          <w:szCs w:val="20"/>
          <w:color w:val="auto"/>
        </w:rPr>
      </w:pPr>
      <w:r>
        <w:rPr>
          <w:rFonts w:ascii="Arial" w:cs="Arial" w:eastAsia="Arial" w:hAnsi="Arial"/>
          <w:sz w:val="16"/>
          <w:szCs w:val="16"/>
          <w:color w:val="auto"/>
        </w:rPr>
        <w:t>Clinical trials expense increased $1,459,000 from $1,093,000 during the year ended September 30, 2013 to $2,552,000 during the current period. Clinical trial expenses increased as the Company advanced ARC-520 into its Phase 1 and Phase 2a clinical trial during 2014.</w:t>
      </w:r>
    </w:p>
    <w:p>
      <w:pPr>
        <w:spacing w:after="0" w:line="124"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Consulting expense decreased $138,000 from $213,000 during the year ended September 30, 2013 to $75,000 during the current period. The decrease is primarily due to 2013 consulting expenses related to targeting technologies which are no longer being pursued.</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License, royalty and milestones expense increased $774,000 from $322,000 during year ended September 30, 2013 to $1,096,000 during the current period. The current year increase relates to a $1 million milestone payment due pursuant to a license agreement based upon a milestone reached on one of its clinical candidates. Milestone payments can vary from period to period depending on the nature of our various license agreements, and the timing of reaching various development milestones requiring payment.</w:t>
      </w:r>
    </w:p>
    <w:p>
      <w:pPr>
        <w:spacing w:after="0" w:line="18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Facilities expense increased $149,000 from $732,000 during the year ended September 30, 2013 to $881,000 during the current period. Facilities expenses were higher in the current period primarily due to repairs and maintenance costs on lab equipment.</w:t>
      </w:r>
    </w:p>
    <w:p>
      <w:pPr>
        <w:spacing w:after="0" w:line="170"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Other research expense decreased $140,000 from $240,000 during the year ended September 30, 2013 to $100,000 during the current period. Other research expense in the prior period relates to work at the University of Cincinnati related to our obesity program, which studies have been completed, and no further studies are planned. The current period expenses primarily relate to medical and hazardous waste removal costs.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Salary and Payroll-Related Expenses</w:t>
      </w:r>
    </w:p>
    <w:p>
      <w:pPr>
        <w:spacing w:after="0" w:line="117" w:lineRule="exact"/>
        <w:rPr>
          <w:sz w:val="20"/>
          <w:szCs w:val="20"/>
          <w:color w:val="auto"/>
        </w:rPr>
      </w:pPr>
    </w:p>
    <w:p>
      <w:pPr>
        <w:ind w:right="600" w:firstLine="518"/>
        <w:spacing w:after="0" w:line="279" w:lineRule="auto"/>
        <w:rPr>
          <w:sz w:val="20"/>
          <w:szCs w:val="20"/>
          <w:color w:val="auto"/>
        </w:rPr>
      </w:pPr>
      <w:r>
        <w:rPr>
          <w:rFonts w:ascii="Arial" w:cs="Arial" w:eastAsia="Arial" w:hAnsi="Arial"/>
          <w:sz w:val="17"/>
          <w:szCs w:val="17"/>
          <w:color w:val="auto"/>
        </w:rPr>
        <w:t>The Company employs scientific, technical and administrative staff at its corporate offices and its research facility. Salaries and payroll-related expense consists of salary, bonuses, payroll taxes and related benefits. Salary and payroll-related expenses include two major categories: general and administrative (G&amp;A) compensation expense, and research and development (R&amp;D) compensation expense, based on the primary activities of each employee. The following table provides detail of salary and payroll-related expenses for the periods indicated: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Twelve months</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w w:val="99"/>
              </w:rPr>
              <w:t>% of</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Twelve months</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 of</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Ended</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w w:val="88"/>
              </w:rPr>
              <w:t>Expense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w w:val="88"/>
              </w:rPr>
              <w:t>Ended</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Expense</w:t>
            </w:r>
          </w:p>
        </w:tc>
        <w:tc>
          <w:tcPr>
            <w:tcW w:w="300" w:type="dxa"/>
            <w:vAlign w:val="bottom"/>
          </w:tcPr>
          <w:p>
            <w:pPr>
              <w:spacing w:after="0"/>
              <w:rPr>
                <w:sz w:val="18"/>
                <w:szCs w:val="18"/>
                <w:color w:val="auto"/>
              </w:rPr>
            </w:pPr>
          </w:p>
        </w:tc>
        <w:tc>
          <w:tcPr>
            <w:tcW w:w="1520" w:type="dxa"/>
            <w:vAlign w:val="bottom"/>
            <w:gridSpan w:val="3"/>
          </w:tcPr>
          <w:p>
            <w:pPr>
              <w:ind w:left="360"/>
              <w:spacing w:after="0"/>
              <w:rPr>
                <w:sz w:val="20"/>
                <w:szCs w:val="20"/>
                <w:color w:val="auto"/>
              </w:rPr>
            </w:pPr>
            <w:r>
              <w:rPr>
                <w:rFonts w:ascii="Arial" w:cs="Arial" w:eastAsia="Arial" w:hAnsi="Arial"/>
                <w:sz w:val="14"/>
                <w:szCs w:val="14"/>
                <w:color w:val="auto"/>
                <w:w w:val="89"/>
              </w:rPr>
              <w:t>Increase (Decrease)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20" w:type="dxa"/>
            <w:vAlign w:val="bottom"/>
            <w:tcBorders>
              <w:bottom w:val="single" w:sz="8" w:color="B6EAFC"/>
            </w:tcBorders>
          </w:tcPr>
          <w:p>
            <w:pPr>
              <w:spacing w:after="0"/>
              <w:rPr>
                <w:sz w:val="17"/>
                <w:szCs w:val="17"/>
                <w:color w:val="auto"/>
              </w:rPr>
            </w:pPr>
          </w:p>
        </w:tc>
        <w:tc>
          <w:tcPr>
            <w:tcW w:w="620" w:type="dxa"/>
            <w:vAlign w:val="bottom"/>
            <w:tcBorders>
              <w:bottom w:val="single" w:sz="8" w:color="B6EAFC"/>
            </w:tcBorders>
          </w:tcPr>
          <w:p>
            <w:pPr>
              <w:spacing w:after="0"/>
              <w:rPr>
                <w:sz w:val="17"/>
                <w:szCs w:val="17"/>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9"/>
              </w:rPr>
              <w:t>September 30, 2014</w:t>
            </w:r>
          </w:p>
        </w:tc>
        <w:tc>
          <w:tcPr>
            <w:tcW w:w="220" w:type="dxa"/>
            <w:vAlign w:val="bottom"/>
            <w:tcBorders>
              <w:bottom w:val="single" w:sz="8" w:color="B6EAFC"/>
            </w:tcBorders>
          </w:tcPr>
          <w:p>
            <w:pPr>
              <w:spacing w:after="0"/>
              <w:rPr>
                <w:sz w:val="17"/>
                <w:szCs w:val="17"/>
                <w:color w:val="auto"/>
              </w:rPr>
            </w:pPr>
          </w:p>
        </w:tc>
        <w:tc>
          <w:tcPr>
            <w:tcW w:w="84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color w:val="auto"/>
                <w:w w:val="91"/>
              </w:rPr>
              <w:t>Category</w:t>
            </w: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B6EAFC"/>
            </w:tcBorders>
          </w:tcPr>
          <w:p>
            <w:pPr>
              <w:spacing w:after="0"/>
              <w:rPr>
                <w:sz w:val="17"/>
                <w:szCs w:val="17"/>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September 30, 2013</w:t>
            </w:r>
          </w:p>
        </w:tc>
        <w:tc>
          <w:tcPr>
            <w:tcW w:w="200" w:type="dxa"/>
            <w:vAlign w:val="bottom"/>
            <w:tcBorders>
              <w:bottom w:val="single" w:sz="8" w:color="B6EAFC"/>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Category</w:t>
            </w:r>
          </w:p>
        </w:tc>
        <w:tc>
          <w:tcPr>
            <w:tcW w:w="260" w:type="dxa"/>
            <w:vAlign w:val="bottom"/>
            <w:tcBorders>
              <w:bottom w:val="single" w:sz="8" w:color="B6EA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6EA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w w:val="96"/>
              </w:rPr>
              <w:t>%</w:t>
            </w:r>
          </w:p>
        </w:tc>
        <w:tc>
          <w:tcPr>
            <w:tcW w:w="260" w:type="dxa"/>
            <w:vAlign w:val="bottom"/>
            <w:tcBorders>
              <w:bottom w:val="single" w:sz="8" w:color="B6EA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B6EAFC"/>
          </w:tcPr>
          <w:p>
            <w:pPr>
              <w:spacing w:after="0"/>
              <w:rPr>
                <w:sz w:val="20"/>
                <w:szCs w:val="20"/>
                <w:color w:val="auto"/>
              </w:rPr>
            </w:pPr>
            <w:r>
              <w:rPr>
                <w:rFonts w:ascii="Arial" w:cs="Arial" w:eastAsia="Arial" w:hAnsi="Arial"/>
                <w:sz w:val="16"/>
                <w:szCs w:val="16"/>
                <w:color w:val="auto"/>
              </w:rPr>
              <w:t>R&amp;D - compensation-related</w:t>
            </w:r>
          </w:p>
        </w:tc>
        <w:tc>
          <w:tcPr>
            <w:tcW w:w="720" w:type="dxa"/>
            <w:vAlign w:val="bottom"/>
            <w:gridSpan w:val="2"/>
            <w:shd w:val="clear" w:color="auto" w:fill="B6EAFC"/>
          </w:tcPr>
          <w:p>
            <w:pPr>
              <w:ind w:left="62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7,828</w:t>
            </w:r>
          </w:p>
        </w:tc>
        <w:tc>
          <w:tcPr>
            <w:tcW w:w="220" w:type="dxa"/>
            <w:vAlign w:val="bottom"/>
            <w:shd w:val="clear" w:color="auto" w:fill="B6EAFC"/>
          </w:tcPr>
          <w:p>
            <w:pPr>
              <w:spacing w:after="0"/>
              <w:rPr>
                <w:sz w:val="18"/>
                <w:szCs w:val="18"/>
                <w:color w:val="auto"/>
              </w:rPr>
            </w:pPr>
          </w:p>
        </w:tc>
        <w:tc>
          <w:tcPr>
            <w:tcW w:w="840" w:type="dxa"/>
            <w:vAlign w:val="bottom"/>
            <w:shd w:val="clear" w:color="auto" w:fill="B6EAFC"/>
          </w:tcPr>
          <w:p>
            <w:pPr>
              <w:spacing w:after="0"/>
              <w:rPr>
                <w:sz w:val="18"/>
                <w:szCs w:val="18"/>
                <w:color w:val="auto"/>
              </w:rPr>
            </w:pPr>
          </w:p>
        </w:tc>
        <w:tc>
          <w:tcPr>
            <w:tcW w:w="54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61%</w:t>
            </w:r>
          </w:p>
        </w:tc>
        <w:tc>
          <w:tcPr>
            <w:tcW w:w="120" w:type="dxa"/>
            <w:vAlign w:val="bottom"/>
            <w:shd w:val="clear" w:color="auto" w:fill="B6EAFC"/>
          </w:tcPr>
          <w:p>
            <w:pPr>
              <w:spacing w:after="0"/>
              <w:rPr>
                <w:sz w:val="20"/>
                <w:szCs w:val="20"/>
                <w:color w:val="auto"/>
              </w:rPr>
            </w:pPr>
            <w:r>
              <w:rPr>
                <w:rFonts w:ascii="Arial" w:cs="Arial" w:eastAsia="Arial" w:hAnsi="Arial"/>
                <w:sz w:val="16"/>
                <w:szCs w:val="16"/>
                <w:color w:val="auto"/>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4,127</w:t>
            </w:r>
          </w:p>
        </w:tc>
        <w:tc>
          <w:tcPr>
            <w:tcW w:w="200" w:type="dxa"/>
            <w:vAlign w:val="bottom"/>
            <w:shd w:val="clear" w:color="auto" w:fill="B6EAFC"/>
          </w:tcPr>
          <w:p>
            <w:pPr>
              <w:spacing w:after="0"/>
              <w:rPr>
                <w:sz w:val="18"/>
                <w:szCs w:val="18"/>
                <w:color w:val="auto"/>
              </w:rPr>
            </w:pPr>
          </w:p>
        </w:tc>
        <w:tc>
          <w:tcPr>
            <w:tcW w:w="140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62%</w:t>
            </w:r>
          </w:p>
        </w:tc>
        <w:tc>
          <w:tcPr>
            <w:tcW w:w="300" w:type="dxa"/>
            <w:vAlign w:val="bottom"/>
            <w:shd w:val="clear" w:color="auto" w:fill="B6EAFC"/>
          </w:tcPr>
          <w:p>
            <w:pPr>
              <w:jc w:val="right"/>
              <w:ind w:right="1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6"/>
                <w:szCs w:val="16"/>
                <w:color w:val="auto"/>
              </w:rPr>
              <w:t>3,701</w:t>
            </w:r>
          </w:p>
        </w:tc>
        <w:tc>
          <w:tcPr>
            <w:tcW w:w="200" w:type="dxa"/>
            <w:vAlign w:val="bottom"/>
            <w:shd w:val="clear" w:color="auto" w:fill="B6EAFC"/>
          </w:tcPr>
          <w:p>
            <w:pPr>
              <w:spacing w:after="0"/>
              <w:rPr>
                <w:sz w:val="18"/>
                <w:szCs w:val="18"/>
                <w:color w:val="auto"/>
              </w:rPr>
            </w:pPr>
          </w:p>
        </w:tc>
        <w:tc>
          <w:tcPr>
            <w:tcW w:w="480" w:type="dxa"/>
            <w:vAlign w:val="bottom"/>
            <w:shd w:val="clear" w:color="auto" w:fill="B6EAFC"/>
          </w:tcPr>
          <w:p>
            <w:pPr>
              <w:spacing w:after="0"/>
              <w:rPr>
                <w:sz w:val="18"/>
                <w:szCs w:val="18"/>
                <w:color w:val="auto"/>
              </w:rPr>
            </w:pPr>
          </w:p>
        </w:tc>
        <w:tc>
          <w:tcPr>
            <w:tcW w:w="92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color w:val="auto"/>
              </w:rPr>
              <w:t>G&amp;A - compensation-related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2,541</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252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620" w:type="dxa"/>
            <w:vAlign w:val="bottom"/>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B6EAFC"/>
            </w:tcBorders>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vMerge w:val="continue"/>
            <w:shd w:val="clear" w:color="auto" w:fill="B6EAFC"/>
          </w:tcPr>
          <w:p>
            <w:pPr>
              <w:spacing w:after="0"/>
              <w:rPr>
                <w:sz w:val="18"/>
                <w:szCs w:val="18"/>
                <w:color w:val="auto"/>
              </w:rPr>
            </w:pPr>
          </w:p>
        </w:tc>
        <w:tc>
          <w:tcPr>
            <w:tcW w:w="620" w:type="dxa"/>
            <w:vAlign w:val="bottom"/>
            <w:shd w:val="clear" w:color="auto" w:fill="B6EAFC"/>
          </w:tcPr>
          <w:p>
            <w:pPr>
              <w:spacing w:after="0"/>
              <w:rPr>
                <w:sz w:val="18"/>
                <w:szCs w:val="18"/>
                <w:color w:val="auto"/>
              </w:rPr>
            </w:pPr>
          </w:p>
        </w:tc>
        <w:tc>
          <w:tcPr>
            <w:tcW w:w="100" w:type="dxa"/>
            <w:vAlign w:val="bottom"/>
            <w:shd w:val="clear" w:color="auto" w:fill="B6EAFC"/>
          </w:tcPr>
          <w:p>
            <w:pPr>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12,829</w:t>
            </w:r>
          </w:p>
        </w:tc>
        <w:tc>
          <w:tcPr>
            <w:tcW w:w="220" w:type="dxa"/>
            <w:vAlign w:val="bottom"/>
            <w:shd w:val="clear" w:color="auto" w:fill="B6EAFC"/>
          </w:tcPr>
          <w:p>
            <w:pPr>
              <w:spacing w:after="0"/>
              <w:rPr>
                <w:sz w:val="18"/>
                <w:szCs w:val="18"/>
                <w:color w:val="auto"/>
              </w:rPr>
            </w:pPr>
          </w:p>
        </w:tc>
        <w:tc>
          <w:tcPr>
            <w:tcW w:w="840" w:type="dxa"/>
            <w:vAlign w:val="bottom"/>
            <w:shd w:val="clear" w:color="auto" w:fill="B6EAFC"/>
          </w:tcPr>
          <w:p>
            <w:pPr>
              <w:spacing w:after="0"/>
              <w:rPr>
                <w:sz w:val="18"/>
                <w:szCs w:val="18"/>
                <w:color w:val="auto"/>
              </w:rPr>
            </w:pPr>
          </w:p>
        </w:tc>
        <w:tc>
          <w:tcPr>
            <w:tcW w:w="54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6"/>
                <w:szCs w:val="16"/>
                <w:color w:val="auto"/>
                <w:w w:val="97"/>
              </w:rPr>
              <w:t>100%</w:t>
            </w:r>
          </w:p>
        </w:tc>
        <w:tc>
          <w:tcPr>
            <w:tcW w:w="120" w:type="dxa"/>
            <w:vAlign w:val="bottom"/>
            <w:shd w:val="clear" w:color="auto" w:fill="B6EAFC"/>
          </w:tcPr>
          <w:p>
            <w:pPr>
              <w:spacing w:after="0"/>
              <w:rPr>
                <w:sz w:val="20"/>
                <w:szCs w:val="20"/>
                <w:color w:val="auto"/>
              </w:rPr>
            </w:pPr>
            <w:r>
              <w:rPr>
                <w:rFonts w:ascii="Arial" w:cs="Arial" w:eastAsia="Arial" w:hAnsi="Arial"/>
                <w:sz w:val="16"/>
                <w:szCs w:val="16"/>
                <w:color w:val="auto"/>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6,668</w:t>
            </w:r>
          </w:p>
        </w:tc>
        <w:tc>
          <w:tcPr>
            <w:tcW w:w="200" w:type="dxa"/>
            <w:vAlign w:val="bottom"/>
            <w:shd w:val="clear" w:color="auto" w:fill="B6EAFC"/>
          </w:tcPr>
          <w:p>
            <w:pPr>
              <w:spacing w:after="0"/>
              <w:rPr>
                <w:sz w:val="18"/>
                <w:szCs w:val="18"/>
                <w:color w:val="auto"/>
              </w:rPr>
            </w:pPr>
          </w:p>
        </w:tc>
        <w:tc>
          <w:tcPr>
            <w:tcW w:w="140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B6EAFC"/>
          </w:tcPr>
          <w:p>
            <w:pPr>
              <w:jc w:val="right"/>
              <w:ind w:right="1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6"/>
                <w:szCs w:val="16"/>
                <w:color w:val="auto"/>
              </w:rPr>
              <w:t>6,161</w:t>
            </w:r>
          </w:p>
        </w:tc>
        <w:tc>
          <w:tcPr>
            <w:tcW w:w="200" w:type="dxa"/>
            <w:vAlign w:val="bottom"/>
            <w:shd w:val="clear" w:color="auto" w:fill="B6EAFC"/>
          </w:tcPr>
          <w:p>
            <w:pPr>
              <w:spacing w:after="0"/>
              <w:rPr>
                <w:sz w:val="18"/>
                <w:szCs w:val="18"/>
                <w:color w:val="auto"/>
              </w:rPr>
            </w:pPr>
          </w:p>
        </w:tc>
        <w:tc>
          <w:tcPr>
            <w:tcW w:w="480" w:type="dxa"/>
            <w:vAlign w:val="bottom"/>
            <w:shd w:val="clear" w:color="auto" w:fill="B6EAFC"/>
          </w:tcPr>
          <w:p>
            <w:pPr>
              <w:spacing w:after="0"/>
              <w:rPr>
                <w:sz w:val="18"/>
                <w:szCs w:val="18"/>
                <w:color w:val="auto"/>
              </w:rPr>
            </w:pPr>
          </w:p>
        </w:tc>
        <w:tc>
          <w:tcPr>
            <w:tcW w:w="92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R&amp;D compensation expense increased $3,701,000 from $4,127,000 during the year ended September 30, 2013 to $7,828,000 during the current period. Increased headcount and salary increases accounted for the majority of the change in compensation-related expense. Additionally, expenses related to annual performance bonuses were accrued during the year ended September 30, 2014 totaling $1,602,000 in expense; no performance bonuses were paid in the prior period.</w:t>
      </w:r>
    </w:p>
    <w:p>
      <w:pPr>
        <w:spacing w:after="0" w:line="18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G&amp;A compensation expense increased $2,460,000 from $2,541,000 during the year ended September 30, 2013 to $5,001,000 during the current period. The majority of this change relates to expense recorded for annual performance bonuses in the current period. Additionally, a portion of the increase is due to salary increases. G&amp;A headcount remained fairly consistent during the past twelve months.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41" w:right="239" w:bottom="1440" w:gutter="0" w:footer="0" w:header="0"/>
        </w:sectPr>
      </w:pPr>
    </w:p>
    <w:bookmarkStart w:id="53" w:name="page54"/>
    <w:bookmarkEnd w:id="53"/>
    <w:p>
      <w:pPr>
        <w:ind w:left="520"/>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Twelve</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Twelve</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Months Ended</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 of Expense</w:t>
            </w: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Months Ended</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 of Expense</w:t>
            </w:r>
          </w:p>
        </w:tc>
        <w:tc>
          <w:tcPr>
            <w:tcW w:w="62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color w:val="auto"/>
                <w:w w:val="89"/>
              </w:rPr>
              <w:t>Increase (Decrease)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September 30,</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September 30,</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0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89"/>
              </w:rPr>
              <w:t>2014</w:t>
            </w:r>
          </w:p>
        </w:tc>
        <w:tc>
          <w:tcPr>
            <w:tcW w:w="220" w:type="dxa"/>
            <w:vAlign w:val="bottom"/>
            <w:tcBorders>
              <w:bottom w:val="single" w:sz="8" w:color="B6EA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28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89"/>
              </w:rPr>
              <w:t>2013</w:t>
            </w:r>
          </w:p>
        </w:tc>
        <w:tc>
          <w:tcPr>
            <w:tcW w:w="220" w:type="dxa"/>
            <w:vAlign w:val="bottom"/>
            <w:tcBorders>
              <w:bottom w:val="single" w:sz="8" w:color="B6EA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280" w:type="dxa"/>
            <w:vAlign w:val="bottom"/>
            <w:tcBorders>
              <w:bottom w:val="single" w:sz="8" w:color="B6EAFC"/>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B6EA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2,466</w:t>
            </w:r>
          </w:p>
        </w:tc>
        <w:tc>
          <w:tcPr>
            <w:tcW w:w="22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1,319</w:t>
            </w:r>
          </w:p>
        </w:tc>
        <w:tc>
          <w:tcPr>
            <w:tcW w:w="22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38%</w:t>
            </w:r>
          </w:p>
        </w:tc>
        <w:tc>
          <w:tcPr>
            <w:tcW w:w="620" w:type="dxa"/>
            <w:vAlign w:val="bottom"/>
            <w:shd w:val="clear" w:color="auto" w:fill="B6EAFC"/>
          </w:tcPr>
          <w:p>
            <w:pPr>
              <w:jc w:val="right"/>
              <w:ind w:right="4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1,147</w:t>
            </w:r>
          </w:p>
        </w:tc>
        <w:tc>
          <w:tcPr>
            <w:tcW w:w="220" w:type="dxa"/>
            <w:vAlign w:val="bottom"/>
            <w:shd w:val="clear" w:color="auto" w:fill="B6EAFC"/>
          </w:tcPr>
          <w:p>
            <w:pPr>
              <w:spacing w:after="0"/>
              <w:rPr>
                <w:sz w:val="19"/>
                <w:szCs w:val="19"/>
                <w:color w:val="auto"/>
              </w:rPr>
            </w:pPr>
          </w:p>
        </w:tc>
        <w:tc>
          <w:tcPr>
            <w:tcW w:w="480" w:type="dxa"/>
            <w:vAlign w:val="bottom"/>
            <w:shd w:val="clear" w:color="auto" w:fill="B6EAFC"/>
          </w:tcPr>
          <w:p>
            <w:pPr>
              <w:spacing w:after="0"/>
              <w:rPr>
                <w:sz w:val="19"/>
                <w:szCs w:val="19"/>
                <w:color w:val="auto"/>
              </w:rPr>
            </w:pPr>
          </w:p>
        </w:tc>
        <w:tc>
          <w:tcPr>
            <w:tcW w:w="8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Patent expense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w:t>
            </w: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941</w:t>
            </w: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(309)</w:t>
            </w:r>
          </w:p>
        </w:tc>
        <w:tc>
          <w:tcPr>
            <w:tcW w:w="4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12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5%</w:t>
            </w:r>
          </w:p>
        </w:tc>
        <w:tc>
          <w:tcPr>
            <w:tcW w:w="62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B6EAFC"/>
          </w:tcPr>
          <w:p>
            <w:pPr>
              <w:spacing w:after="0"/>
              <w:rPr>
                <w:sz w:val="19"/>
                <w:szCs w:val="19"/>
                <w:color w:val="auto"/>
              </w:rPr>
            </w:pPr>
          </w:p>
        </w:tc>
        <w:tc>
          <w:tcPr>
            <w:tcW w:w="480" w:type="dxa"/>
            <w:vAlign w:val="bottom"/>
            <w:shd w:val="clear" w:color="auto" w:fill="B6EAFC"/>
          </w:tcPr>
          <w:p>
            <w:pPr>
              <w:spacing w:after="0"/>
              <w:rPr>
                <w:sz w:val="19"/>
                <w:szCs w:val="19"/>
                <w:color w:val="auto"/>
              </w:rPr>
            </w:pPr>
          </w:p>
        </w:tc>
        <w:tc>
          <w:tcPr>
            <w:tcW w:w="8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Travel</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654</w:t>
            </w: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12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6%</w:t>
            </w:r>
          </w:p>
        </w:tc>
        <w:tc>
          <w:tcPr>
            <w:tcW w:w="62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B6EAFC"/>
          </w:tcPr>
          <w:p>
            <w:pPr>
              <w:spacing w:after="0"/>
              <w:rPr>
                <w:sz w:val="19"/>
                <w:szCs w:val="19"/>
                <w:color w:val="auto"/>
              </w:rPr>
            </w:pPr>
          </w:p>
        </w:tc>
        <w:tc>
          <w:tcPr>
            <w:tcW w:w="480" w:type="dxa"/>
            <w:vAlign w:val="bottom"/>
            <w:shd w:val="clear" w:color="auto" w:fill="B6EAFC"/>
          </w:tcPr>
          <w:p>
            <w:pPr>
              <w:spacing w:after="0"/>
              <w:rPr>
                <w:sz w:val="19"/>
                <w:szCs w:val="19"/>
                <w:color w:val="auto"/>
              </w:rPr>
            </w:pPr>
          </w:p>
        </w:tc>
        <w:tc>
          <w:tcPr>
            <w:tcW w:w="8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330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12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B6EAFC"/>
          </w:tcPr>
          <w:p>
            <w:pPr>
              <w:spacing w:after="0"/>
              <w:rPr>
                <w:sz w:val="19"/>
                <w:szCs w:val="19"/>
                <w:color w:val="auto"/>
              </w:rPr>
            </w:pP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3%</w:t>
            </w:r>
          </w:p>
        </w:tc>
        <w:tc>
          <w:tcPr>
            <w:tcW w:w="62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B6EAFC"/>
          </w:tcPr>
          <w:p>
            <w:pPr>
              <w:spacing w:after="0"/>
              <w:rPr>
                <w:sz w:val="19"/>
                <w:szCs w:val="19"/>
                <w:color w:val="auto"/>
              </w:rPr>
            </w:pPr>
          </w:p>
        </w:tc>
        <w:tc>
          <w:tcPr>
            <w:tcW w:w="480" w:type="dxa"/>
            <w:vAlign w:val="bottom"/>
            <w:shd w:val="clear" w:color="auto" w:fill="B6EAFC"/>
          </w:tcPr>
          <w:p>
            <w:pPr>
              <w:spacing w:after="0"/>
              <w:rPr>
                <w:sz w:val="19"/>
                <w:szCs w:val="19"/>
                <w:color w:val="auto"/>
              </w:rPr>
            </w:pPr>
          </w:p>
        </w:tc>
        <w:tc>
          <w:tcPr>
            <w:tcW w:w="8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Borders>
              <w:right w:val="single" w:sz="8" w:color="B6EAFC"/>
            </w:tcBorders>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Borders>
              <w:right w:val="single" w:sz="8" w:color="B6EAFC"/>
            </w:tcBorders>
            <w:shd w:val="clear" w:color="auto" w:fill="B6EA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5,895</w:t>
            </w:r>
          </w:p>
        </w:tc>
        <w:tc>
          <w:tcPr>
            <w:tcW w:w="22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3,489</w:t>
            </w:r>
          </w:p>
        </w:tc>
        <w:tc>
          <w:tcPr>
            <w:tcW w:w="220" w:type="dxa"/>
            <w:vAlign w:val="bottom"/>
            <w:shd w:val="clear" w:color="auto" w:fill="B6EAFC"/>
          </w:tcPr>
          <w:p>
            <w:pPr>
              <w:spacing w:after="0"/>
              <w:rPr>
                <w:sz w:val="19"/>
                <w:szCs w:val="19"/>
                <w:color w:val="auto"/>
              </w:rPr>
            </w:pPr>
          </w:p>
        </w:tc>
        <w:tc>
          <w:tcPr>
            <w:tcW w:w="140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B6EAFC"/>
          </w:tcPr>
          <w:p>
            <w:pPr>
              <w:jc w:val="right"/>
              <w:ind w:right="4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2,406</w:t>
            </w:r>
          </w:p>
        </w:tc>
        <w:tc>
          <w:tcPr>
            <w:tcW w:w="220" w:type="dxa"/>
            <w:vAlign w:val="bottom"/>
            <w:shd w:val="clear" w:color="auto" w:fill="B6EAFC"/>
          </w:tcPr>
          <w:p>
            <w:pPr>
              <w:spacing w:after="0"/>
              <w:rPr>
                <w:sz w:val="19"/>
                <w:szCs w:val="19"/>
                <w:color w:val="auto"/>
              </w:rPr>
            </w:pPr>
          </w:p>
        </w:tc>
        <w:tc>
          <w:tcPr>
            <w:tcW w:w="480" w:type="dxa"/>
            <w:vAlign w:val="bottom"/>
            <w:shd w:val="clear" w:color="auto" w:fill="B6EAFC"/>
          </w:tcPr>
          <w:p>
            <w:pPr>
              <w:spacing w:after="0"/>
              <w:rPr>
                <w:sz w:val="19"/>
                <w:szCs w:val="19"/>
                <w:color w:val="auto"/>
              </w:rPr>
            </w:pPr>
          </w:p>
        </w:tc>
        <w:tc>
          <w:tcPr>
            <w:tcW w:w="82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Professional/outside services include legal, accounting, consulting and other outside services retained by the Company. All periods include normally recurring legal and audit expenses related to SEC compliance and other corporate matters. Professional/outside services expense increased $1,147,000 from $1,319,000 during the year ended September 30, 2013 to $2,466,000 during the current period. The increase in professional fees primarily related to professional recruiting fees for the hiring of additional R&amp;D personnel to support and expand its clinical pipeline. Additionally, the Company incurred higher SEC filing fees associated with financing in February 2014 and higher NASDAQ fees based on a higher number of shares outstanding.</w:t>
      </w:r>
    </w:p>
    <w:p>
      <w:pPr>
        <w:spacing w:after="0" w:line="158"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Patent expense decreased $309,000 from $941,000 during the year ended September 30, 2013 to $632,000 during the current period. Patent expenses related to Calando declined by $215,000 in the current period as Calando terminated its license agreement with Caltech in August 2013, which had obligated Calando to pay certain related patent costs, and by curtailing prosecution of other non-strategic patents. During the year ended September 30, 2014, Arrowhead deconsolidated Calando, thus no further Calando patent expense will be incurred. The Company continues to invest in patent protection for its DPC technology, related product candidates and other RNAi technology through patent filings in multiple countries. The Company expects to extend and maintain protection for its current portfolios, as appropriate, and file new patent applications as technologies are developed and improved.</w:t>
      </w:r>
    </w:p>
    <w:p>
      <w:pPr>
        <w:spacing w:after="0" w:line="165"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Facilities-related expense increased $23,000 from $170,000 during the year ended September 30, 2013 to $193,000 in the current period. Facilities expense increased due to the expansion of our corporate headquarters in Pasadena as well as routine increases in ancillary lease charges.</w:t>
      </w:r>
    </w:p>
    <w:p>
      <w:pPr>
        <w:spacing w:after="0" w:line="124"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Travel expense increased $214,000 from $440,000 during the year ended September 30, 2013 to $654,000 during the current period. Travel expense increased due to travel in support of our R&amp;D function, primarily our GMP manufacturing campaign and our clinical trials.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Business insurance expense increased $86,000 from $216,000 during the year ended September 30, 2013 to $302,000 during the current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 insurance costs increased primarily related to added coverage related to the Company’s clinical trials.</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Communication and technology expense increased $204,000 from $184,000 during the year ended September 30, 2013 to $388,000 during the current period. The increase was related to equipment purchases to replace outdated equipment and to cost associated with new equipment related to new employees.</w:t>
      </w:r>
    </w:p>
    <w:p>
      <w:pPr>
        <w:spacing w:after="0" w:line="18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Office expense increased $270,000 from $110,000 during the year ended September 30, 2013 to $380,000 during the current period. The increase was related to conferences/training, office supplies, miscellaneous administrative expenses, and expenses related to an office expansions at our R&amp;D facility in Madison and our corporate headquarters in Pasadena.</w:t>
      </w:r>
    </w:p>
    <w:p>
      <w:pPr>
        <w:spacing w:after="0" w:line="18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Other expense increased $771,000 from $109,000 during the year ended September 30, 2013 to $880,000 during the current period. The increase was related to an increase in estimated franchise taxes accrued as well as an allowance recorded for certain other receivables.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4" w:name="page55"/>
    <w:bookmarkEnd w:id="54"/>
    <w:p>
      <w:pPr>
        <w:ind w:left="2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Stock-based compensation expense, a noncash expense, increased $4,160,000 from $1,536,000 during the year ended September 30, 2013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$5,696,000 during the current period. Stock-based compensation expense is based upon the valuation of stock options and restricted stock units granted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directors, and certain consultants. Many variables affect the amount expensed, including the Company’s stock price on the date of the grant,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well as other assumptions. Based on the additional options and restricted stock units granted to new and existing employees in fiscal 2014,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has increased from the prior year.</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and amortization expense, a noncash expense, decreased $405,000 from $1,751,000 during the year ended September 30, 2013,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$1,346,000 during the current period. The majority of depreciation and amortization expense relates to depreciation on lab equipment obtained as part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Roche Madison in 2011. In addition, the Company records depreciation on leasehold improvements at its Madison research</w:t>
      </w:r>
    </w:p>
    <w:p>
      <w:pPr>
        <w:spacing w:after="0" w:line="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facility. Amortization expense decreased in 2014 as compared to 2013 as capitalized patents related to Calando were fully written off in 2013, accordingly there was no expense recorded in 2014.</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expense</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Impairment expense, a noncash expense, increased $864,000 from $1,308,000 during the year ended September 30, 2013 to $2,172,000 during the current period. During the year ended September 30, 2014, the Company determined that the carrying value of the Alvos IPR&amp;D may not be recoverable and should be fully impaired. The Company recorded an impairment charge of $2.2 million. During the year ended September 30, 2013, management determined that the value of the Calando patents was impaired, and the Company recorded a $1.3 million impairment charge.</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Contingent Consideration – Fair Value Adjustments</w:t>
      </w:r>
    </w:p>
    <w:p>
      <w:pPr>
        <w:spacing w:after="0" w:line="117"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Contingent Consideration – Fair Value Adjustments increased $954,000 from $1,422,000 during the year ended September 30, 2013 to $2,376,000 during the current period. Contingent consideration resulting from the acquisition of Roche Madison is calculated by modeling research and development activities for clinical candidates, forecasting timelines to market, and using “peak sales” estimate modeling, cash flows and potential milestone and royalty payments. The modeling assumes certain success rates, and discount factors related to riskiness of projects and the time value of money to calculate a net present value of future consideration payments to Roche. Each reporting period, the Company re-evaluates its contingent consideration, and if material, makes adjustments to the recorded liability. The Company increased this liability by $2.5 million and $1.4 million during the years ended September 30, 2014 and 2013, respectively, for a total liability of $4.0 million, which is recorded on the Company’s Consolidated Balance Sheets.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Other income / expense decreased $1,670,000 from expense of $7,114,000 during the year ended September 30, 2013 to expense of $5,444,000 during the current period. The decrease in expense is primarily due to a $1.0 million write down of a note receivable related to the sale of our former subsidiary, Unidym, in 2013, which was not repeated in the current year. Additionally, the Company received increased interest income during 2014 as it has invested its excess cash balances in short and long-term corporate bonds. The largest component of this line item is related to the change in the value of derivative liabilities related to certain warrants with a price adjustment feature, which requires derivative accounting. The change in value of derivative liabilities was approximately $6.0 million in 2014 and $5.3 million in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Comparison for 2013 and 2012</w:t>
      </w:r>
    </w:p>
    <w:p>
      <w:pPr>
        <w:spacing w:after="0" w:line="12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Company had a net loss of $31.7 million for the year ended September 30, 2013, compared to a net loss of $22.1 million for the year ended September 30, 2012, an increase of $9.6 million.</w:t>
      </w:r>
    </w:p>
    <w:p>
      <w:pPr>
        <w:spacing w:after="0" w:line="170"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increase in the net loss was the result of a number of factors. From an operating standpoint, the main factor was higher R&amp;D expenses of $3.3 million for preclinical GLP toxicology studies and cGMP drug manufacturing in preparation of the clinical trial for ARC-520, as well as costs for the Phase 1 clinical trial of ARC-520. General and administrative expenses were lower in 2013 by $2.9 million. This change was primarily due to the prior year write down of certain receivables from minority interest companies. Salaries and payroll related expenses increased nominally in 2013, primarily due to headcount increases and general salary adjustments. In 2013, the Company recorded a noncash impairment expense of $1.3 million to write off certain patents as a result of a termination of a license agreement. Other expense was higher in 2013 by $6.1 million primarily due to noncash losses from the change in value of derivatives, as well as the write down of a note receivable obtained as part of our disposition of Unidym in 2011. Details of the results of operations are presented below.</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49"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Total revenue was $290,000 for the year ended September 30, 2013 and $147,000 for the year ended September 30, 2012. Revenue is primarily composed of amortization of up-front patent license fee payments. In addition, the Company had collaboration revenue of $115,000 during the year ended September 30,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Certain reclassifications have been made to prior period operating expense categories to conform to the current period presentation. For purposes of comparison, the amounts for the years ended September 30, 2013 and 2012 are shown in the tables below.</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R&amp;D expenses are related to the Company’s on-going research and development efforts, primarily related to its laboratory research facility in Madison, Wisconsin, and also include outsourced R&amp;D services. The following table provides details of research and development expense for the periods indicated below:</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Twelve Months</w:t>
            </w: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Twelve Months</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Expense</w:t>
            </w:r>
          </w:p>
        </w:tc>
        <w:tc>
          <w:tcPr>
            <w:tcW w:w="300" w:type="dxa"/>
            <w:vAlign w:val="bottom"/>
          </w:tcPr>
          <w:p>
            <w:pPr>
              <w:spacing w:after="0"/>
              <w:rPr>
                <w:sz w:val="14"/>
                <w:szCs w:val="14"/>
                <w:color w:val="auto"/>
              </w:rPr>
            </w:pPr>
          </w:p>
        </w:tc>
        <w:tc>
          <w:tcPr>
            <w:tcW w:w="22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B6EAFC"/>
            </w:tcBorders>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September 30, 2013</w:t>
            </w:r>
          </w:p>
        </w:tc>
        <w:tc>
          <w:tcPr>
            <w:tcW w:w="22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tcBorders>
              <w:bottom w:val="single" w:sz="8" w:color="B6EAFC"/>
            </w:tcBorders>
          </w:tcPr>
          <w:p>
            <w:pPr>
              <w:spacing w:after="0"/>
              <w:rPr>
                <w:sz w:val="14"/>
                <w:szCs w:val="1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September 30, 2012</w:t>
            </w:r>
          </w:p>
        </w:tc>
        <w:tc>
          <w:tcPr>
            <w:tcW w:w="220" w:type="dxa"/>
            <w:vAlign w:val="bottom"/>
            <w:tcBorders>
              <w:bottom w:val="single" w:sz="8" w:color="B6EA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80" w:type="dxa"/>
            <w:vAlign w:val="bottom"/>
            <w:tcBorders>
              <w:bottom w:val="single" w:sz="8" w:color="B6EA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2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1,058</w:t>
            </w:r>
          </w:p>
        </w:tc>
        <w:tc>
          <w:tcPr>
            <w:tcW w:w="22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B6EAFC"/>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794</w:t>
            </w:r>
          </w:p>
        </w:tc>
        <w:tc>
          <w:tcPr>
            <w:tcW w:w="22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B6EAFC"/>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In vivo studies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22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533</w:t>
            </w:r>
          </w:p>
        </w:tc>
        <w:tc>
          <w:tcPr>
            <w:tcW w:w="22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9%</w:t>
            </w:r>
          </w:p>
        </w:tc>
        <w:tc>
          <w:tcPr>
            <w:tcW w:w="300" w:type="dxa"/>
            <w:vAlign w:val="bottom"/>
            <w:shd w:val="clear" w:color="auto" w:fill="B6EAFC"/>
          </w:tcPr>
          <w:p>
            <w:pPr>
              <w:spacing w:after="0"/>
              <w:rPr>
                <w:sz w:val="19"/>
                <w:szCs w:val="19"/>
                <w:color w:val="auto"/>
              </w:rPr>
            </w:pP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1,658</w:t>
            </w: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1,615</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22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2,625</w:t>
            </w:r>
          </w:p>
        </w:tc>
        <w:tc>
          <w:tcPr>
            <w:tcW w:w="22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1,574</w:t>
            </w:r>
          </w:p>
        </w:tc>
        <w:tc>
          <w:tcPr>
            <w:tcW w:w="22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B6EAFC"/>
          </w:tcPr>
          <w:p>
            <w:pPr>
              <w:spacing w:after="0"/>
              <w:rPr>
                <w:sz w:val="19"/>
                <w:szCs w:val="19"/>
                <w:color w:val="auto"/>
              </w:rPr>
            </w:pP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1,051</w:t>
            </w:r>
          </w:p>
        </w:tc>
        <w:tc>
          <w:tcPr>
            <w:tcW w:w="22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Clinical trials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1,093</w:t>
            </w: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599</w:t>
            </w:r>
          </w:p>
        </w:tc>
        <w:tc>
          <w:tcPr>
            <w:tcW w:w="2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3220" w:type="dxa"/>
            <w:vAlign w:val="bottom"/>
            <w:shd w:val="clear" w:color="auto" w:fill="B6EAFC"/>
          </w:tcPr>
          <w:p>
            <w:pPr>
              <w:spacing w:after="0"/>
              <w:rPr>
                <w:sz w:val="20"/>
                <w:szCs w:val="20"/>
                <w:color w:val="auto"/>
              </w:rPr>
            </w:pPr>
            <w:r>
              <w:rPr>
                <w:rFonts w:ascii="Arial" w:cs="Arial" w:eastAsia="Arial" w:hAnsi="Arial"/>
                <w:sz w:val="18"/>
                <w:szCs w:val="18"/>
                <w:color w:val="auto"/>
              </w:rPr>
              <w:t>Consulting</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6%</w:t>
            </w:r>
          </w:p>
        </w:tc>
        <w:tc>
          <w:tcPr>
            <w:tcW w:w="30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(92)</w:t>
            </w:r>
          </w:p>
        </w:tc>
        <w:tc>
          <w:tcPr>
            <w:tcW w:w="12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License, royalty &amp; milestones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22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12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732</w:t>
            </w:r>
          </w:p>
        </w:tc>
        <w:tc>
          <w:tcPr>
            <w:tcW w:w="22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B6EAFC"/>
          </w:tcPr>
          <w:p>
            <w:pPr>
              <w:spacing w:after="0"/>
              <w:rPr>
                <w:sz w:val="19"/>
                <w:szCs w:val="19"/>
                <w:color w:val="auto"/>
              </w:rPr>
            </w:pP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787</w:t>
            </w:r>
          </w:p>
        </w:tc>
        <w:tc>
          <w:tcPr>
            <w:tcW w:w="22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B6EAFC"/>
          </w:tcPr>
          <w:p>
            <w:pPr>
              <w:spacing w:after="0"/>
              <w:rPr>
                <w:sz w:val="19"/>
                <w:szCs w:val="19"/>
                <w:color w:val="auto"/>
              </w:rPr>
            </w:pPr>
          </w:p>
        </w:tc>
        <w:tc>
          <w:tcPr>
            <w:tcW w:w="10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(55)</w:t>
            </w:r>
          </w:p>
        </w:tc>
        <w:tc>
          <w:tcPr>
            <w:tcW w:w="12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Other research expenses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2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2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8,706</w:t>
            </w:r>
          </w:p>
        </w:tc>
        <w:tc>
          <w:tcPr>
            <w:tcW w:w="22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B6EAFC"/>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5,391</w:t>
            </w:r>
          </w:p>
        </w:tc>
        <w:tc>
          <w:tcPr>
            <w:tcW w:w="22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B6EAFC"/>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3,315</w:t>
            </w:r>
          </w:p>
        </w:tc>
        <w:tc>
          <w:tcPr>
            <w:tcW w:w="22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Laboratory supplies and services expense was $1,058,000 during the year ended September 30, 2013, compared to $794,000 in the comparable prior period. This increase in expense is associated with research and development efforts related to pre-clinical programs including siRNA synthesis for the identification and screening of new liver and extra-hepatic targets, subcutaneous formulations to be utilized in therapeutic areas where chronic dosing may be required and assessing the interaction of ARC-520 with other hepatitis therapeutics.</w:t>
      </w:r>
    </w:p>
    <w:p>
      <w:pPr>
        <w:spacing w:after="0" w:line="18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In vivo studies expense was $303,000 during the year ended September 30, 2013, compared to 232,000 in the comparable prior period. The current period expense relates to preclinical animal studies at our Madison research facility, as the Company tests formulations of new potential clinical candidates.</w:t>
      </w:r>
    </w:p>
    <w:p>
      <w:pPr>
        <w:spacing w:after="0" w:line="124"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Outside lab and contract services expense was $533,000 during the year ended September 30, 2013, compared to $496,000 in the comparable prior period. The increase was primarily related to oligonucleotide synthesis related to development of new clinical candidates. As ARC-520 and other clinical candidates progress through clinical trials, outside lab and contract service expense is expected to increase.</w:t>
      </w:r>
    </w:p>
    <w:p>
      <w:pPr>
        <w:spacing w:after="0" w:line="181" w:lineRule="exact"/>
        <w:rPr>
          <w:sz w:val="20"/>
          <w:szCs w:val="20"/>
          <w:color w:val="auto"/>
        </w:rPr>
      </w:pPr>
    </w:p>
    <w:p>
      <w:pPr>
        <w:ind w:right="260" w:firstLine="518"/>
        <w:spacing w:after="0" w:line="302" w:lineRule="auto"/>
        <w:rPr>
          <w:sz w:val="20"/>
          <w:szCs w:val="20"/>
          <w:color w:val="auto"/>
        </w:rPr>
      </w:pPr>
      <w:r>
        <w:rPr>
          <w:rFonts w:ascii="Arial" w:cs="Arial" w:eastAsia="Arial" w:hAnsi="Arial"/>
          <w:sz w:val="16"/>
          <w:szCs w:val="16"/>
          <w:color w:val="auto"/>
        </w:rPr>
        <w:t>Toxicology and efficacy studies expense was $1,588,000 during the year ended September 30, 2013, compared to $43,000 in the comparable prior period. The increase is primarily due to GLP toxicology studies related to ARC-520, our hepatitis B clinical candidate in preparation for a Phase 1 clinical trial. Additionally, we initiated long-term toxicology studies to support a Phase 2b, multi-dose clinical study for ARC-520. Outside toxicology work fluctuates depending on the number of clinical candidates the Company is developing and on the specific needs of each development candidate.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45" w:right="239" w:bottom="1440" w:gutter="0" w:footer="0" w:header="0"/>
        </w:sectPr>
      </w:pPr>
    </w:p>
    <w:bookmarkStart w:id="56" w:name="page57"/>
    <w:bookmarkEnd w:id="56"/>
    <w:p>
      <w:pPr>
        <w:ind w:right="260" w:firstLine="518"/>
        <w:spacing w:after="0" w:line="257" w:lineRule="auto"/>
        <w:rPr>
          <w:sz w:val="20"/>
          <w:szCs w:val="20"/>
          <w:color w:val="auto"/>
        </w:rPr>
      </w:pPr>
      <w:r>
        <w:rPr>
          <w:rFonts w:ascii="Arial" w:cs="Arial" w:eastAsia="Arial" w:hAnsi="Arial"/>
          <w:sz w:val="18"/>
          <w:szCs w:val="18"/>
          <w:color w:val="auto"/>
        </w:rPr>
        <w:t>Drug manufacturing expense was $2.6 million during the year ended September 30, 2013, compared to $1.6 million in the comparable prior period. Drug manufacturing expense for fiscal 2013 was related to the manufacturing campaign to produce materials for the ARC-520 GLP toxicology studies and the Phase 1 clinical trial. The Company utilized outside manufactures to produce these components. In the prior year, approximately half of the drug manufacturing expense was related to the production of polymer components for RONDEL. Further development of RONDEL and CALAA-01 was suspended as the Company focused on its DPC delivery platform.</w:t>
      </w:r>
    </w:p>
    <w:p>
      <w:pPr>
        <w:spacing w:after="0" w:line="188"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Clinical trial expense was $1,093,000 during the year ended September 30, 2013, compared to $599,000 in the comparable prior period. Expenses relating to clinical trials increased as the Company advanced ARC-520. In fiscal 2013, the Company began a Phase 1 clinical trial for ARC-520 in healthy volunteers which completed enrollment in October 2013.</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Consulting expense was $213,000 during the year ended September 30, 2013, compared to $305,000 in the comparable prior period. During fiscal 2012, the Company retained the services of a former Alvos employee to consult in the transition and this contract was not renewed in 2013. Additionally, the Company scaled back its strategic advisory board, replacing it with a clinical advisory board, to address the Company’s needs with respect to ARC-520. The timing of such consulting expenses resulted in less costs in 2013.</w:t>
      </w:r>
    </w:p>
    <w:p>
      <w:pPr>
        <w:spacing w:after="0" w:line="18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License, royalty &amp; milestone expense was $322,000 during the year ended September 30, 2013, compared to $274,000 in the comparable prior period. The licensing fees, royalty and milestones expenses in fiscal 2013 was related to a one-time $100,000 milestone payment due at the start of the ARC-520 clinical trial, and a one-time payment to gain access to certain targeting technology from our acquisition of Alvos. The 2012 expense was primarily related to a one-time milestone payment made related to the Ablaris clinical trial.</w:t>
      </w:r>
    </w:p>
    <w:p>
      <w:pPr>
        <w:spacing w:after="0" w:line="187" w:lineRule="exact"/>
        <w:rPr>
          <w:sz w:val="20"/>
          <w:szCs w:val="20"/>
          <w:color w:val="auto"/>
        </w:rPr>
      </w:pPr>
    </w:p>
    <w:p>
      <w:pPr>
        <w:jc w:val="both"/>
        <w:ind w:right="120" w:firstLine="518"/>
        <w:spacing w:after="0" w:line="312" w:lineRule="auto"/>
        <w:rPr>
          <w:sz w:val="20"/>
          <w:szCs w:val="20"/>
          <w:color w:val="auto"/>
        </w:rPr>
      </w:pPr>
      <w:r>
        <w:rPr>
          <w:rFonts w:ascii="Arial" w:cs="Arial" w:eastAsia="Arial" w:hAnsi="Arial"/>
          <w:sz w:val="16"/>
          <w:szCs w:val="16"/>
          <w:color w:val="auto"/>
        </w:rPr>
        <w:t>R&amp;D facilities expense was $732,000 during the year ended September 30, 2013, compared to $787,000 in the comparable prior period and relates to rent for a research building, but also includes related property tax, utilities, and repairs and maintenance. Facilities expenses were fairly constant during the year and as compared to the prior period, with minor fluctuations in repairs and maintenance, electricity, property taxes and common area maintenance.</w:t>
      </w:r>
    </w:p>
    <w:p>
      <w:pPr>
        <w:spacing w:after="0" w:line="147" w:lineRule="exact"/>
        <w:rPr>
          <w:sz w:val="20"/>
          <w:szCs w:val="20"/>
          <w:color w:val="auto"/>
        </w:rPr>
      </w:pPr>
    </w:p>
    <w:p>
      <w:pPr>
        <w:jc w:val="both"/>
        <w:ind w:right="140" w:firstLine="518"/>
        <w:spacing w:after="0" w:line="277" w:lineRule="auto"/>
        <w:rPr>
          <w:sz w:val="20"/>
          <w:szCs w:val="20"/>
          <w:color w:val="auto"/>
        </w:rPr>
      </w:pPr>
      <w:r>
        <w:rPr>
          <w:rFonts w:ascii="Arial" w:cs="Arial" w:eastAsia="Arial" w:hAnsi="Arial"/>
          <w:sz w:val="18"/>
          <w:szCs w:val="18"/>
          <w:color w:val="auto"/>
        </w:rPr>
        <w:t>Other research expense was $239,000 during the year ended September 30, 2013, compared to $217,000 in the comparable prior period. The expense in both periods relates primarily to research conducted at the University of Cincinnati for our obesity program.</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Salary and Payroll-Related Expenses</w:t>
      </w:r>
    </w:p>
    <w:p>
      <w:pPr>
        <w:spacing w:after="0" w:line="11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Company employs scientific, technical and administrative staff at its corporate offices and its research facility. Salaries and payroll-related expense consists of salary, bonuses and payroll taxes. Salary and payroll-related expenses include two major categories: general and administrative (G&amp;A) compensation expense, and research and development (R&amp;D) compensation expense, based on the primary activities of each employee. The following table provides detail of salary and payroll-related expenses for the periods indicated below:</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Twelve months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Twelve months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3"/>
            <w:vMerge w:val="restart"/>
          </w:tcPr>
          <w:p>
            <w:pPr>
              <w:jc w:val="right"/>
              <w:ind w:right="614"/>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77"/>
        </w:trPr>
        <w:tc>
          <w:tcPr>
            <w:tcW w:w="3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3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Expense</w:t>
            </w:r>
          </w:p>
        </w:tc>
        <w:tc>
          <w:tcPr>
            <w:tcW w:w="100" w:type="dxa"/>
            <w:vAlign w:val="bottom"/>
          </w:tcPr>
          <w:p>
            <w:pPr>
              <w:spacing w:after="0"/>
              <w:rPr>
                <w:sz w:val="6"/>
                <w:szCs w:val="6"/>
                <w:color w:val="auto"/>
              </w:rPr>
            </w:pPr>
          </w:p>
        </w:tc>
        <w:tc>
          <w:tcPr>
            <w:tcW w:w="13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2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Expense</w:t>
            </w: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4"/>
                <w:szCs w:val="4"/>
                <w:color w:val="auto"/>
              </w:rPr>
            </w:pPr>
          </w:p>
        </w:tc>
        <w:tc>
          <w:tcPr>
            <w:tcW w:w="12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September 30, 2013</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Category</w:t>
            </w:r>
          </w:p>
        </w:tc>
        <w:tc>
          <w:tcPr>
            <w:tcW w:w="14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September 30, 2012</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R&amp;D—compensation-related</w:t>
            </w: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4,127</w:t>
            </w:r>
          </w:p>
        </w:tc>
        <w:tc>
          <w:tcPr>
            <w:tcW w:w="20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20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2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G&amp;A—compensation-related</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2,541</w:t>
            </w: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3,107</w:t>
            </w:r>
          </w:p>
        </w:tc>
        <w:tc>
          <w:tcPr>
            <w:tcW w:w="126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(566)</w:t>
            </w: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During the year ended September 30, 2013, G&amp;A compensation expense decreased $566,000, a decline of 18%. During the year ended September 30, 2013, R&amp;D compensation expense increased $819,000. Compensation expense for R&amp;D employees is primarily composed of the personnel costs at our R&amp;D facility in Madison, Wisconsin. During 2013, the Company hired two additional employees.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41" w:right="239" w:bottom="1440" w:gutter="0" w:footer="0" w:header="0"/>
        </w:sectPr>
      </w:pPr>
    </w:p>
    <w:bookmarkStart w:id="57" w:name="page58"/>
    <w:bookmarkEnd w:id="57"/>
    <w:p>
      <w:pPr>
        <w:ind w:left="520"/>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 below.</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Twelve months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Twelve months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3"/>
            <w:vMerge w:val="restart"/>
          </w:tcPr>
          <w:p>
            <w:pPr>
              <w:jc w:val="right"/>
              <w:ind w:right="552"/>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77"/>
        </w:trPr>
        <w:tc>
          <w:tcPr>
            <w:tcW w:w="3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Expense</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gridSpan w:val="2"/>
            <w:vMerge w:val="restart"/>
          </w:tcPr>
          <w:p>
            <w:pPr>
              <w:jc w:val="right"/>
              <w:ind w:right="620"/>
              <w:spacing w:after="0" w:line="149" w:lineRule="exact"/>
              <w:rPr>
                <w:sz w:val="20"/>
                <w:szCs w:val="20"/>
                <w:color w:val="auto"/>
              </w:rPr>
            </w:pPr>
            <w:r>
              <w:rPr>
                <w:rFonts w:ascii="Arial" w:cs="Arial" w:eastAsia="Arial" w:hAnsi="Arial"/>
                <w:sz w:val="14"/>
                <w:szCs w:val="14"/>
                <w:b w:val="1"/>
                <w:bCs w:val="1"/>
                <w:color w:val="auto"/>
              </w:rPr>
              <w:t>Ended</w:t>
            </w: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Expense</w:t>
            </w: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4"/>
                <w:szCs w:val="4"/>
                <w:color w:val="auto"/>
              </w:rPr>
            </w:pPr>
          </w:p>
        </w:tc>
        <w:tc>
          <w:tcPr>
            <w:tcW w:w="12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September 30, 2013</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1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Professional/outside services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2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2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Patent expense</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941</w:t>
            </w: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1,023</w:t>
            </w: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Facilities and related</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170</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120</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Travel</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Business insurance</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216</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202</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Office expenses</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110</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2,636</w:t>
            </w: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(2,527)</w:t>
            </w:r>
          </w:p>
        </w:tc>
        <w:tc>
          <w:tcPr>
            <w:tcW w:w="12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3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Professional/outside services include legal, accounting and other outside services retained by the Company. All periods include normally occurring legal and accounting expenses related to SEC compliance and other corporate matters. Professional/outside services expense was $1.3 million during the year ended September 30, 2013, compared to $1.8 million in the comparable prior period. The decrease in professional services relate to lower legal and consulting costs at Arrowhead, as well as a decline in those costs as they relate to our subsidiary, Calando, which ramped down activities in 2013.</w:t>
      </w:r>
    </w:p>
    <w:p>
      <w:pPr>
        <w:spacing w:after="0" w:line="154" w:lineRule="exact"/>
        <w:rPr>
          <w:sz w:val="20"/>
          <w:szCs w:val="20"/>
          <w:color w:val="auto"/>
        </w:rPr>
      </w:pPr>
    </w:p>
    <w:p>
      <w:pPr>
        <w:jc w:val="both"/>
        <w:ind w:right="480" w:firstLine="518"/>
        <w:spacing w:after="0" w:line="264" w:lineRule="auto"/>
        <w:rPr>
          <w:sz w:val="20"/>
          <w:szCs w:val="20"/>
          <w:color w:val="auto"/>
        </w:rPr>
      </w:pPr>
      <w:r>
        <w:rPr>
          <w:rFonts w:ascii="Arial" w:cs="Arial" w:eastAsia="Arial" w:hAnsi="Arial"/>
          <w:sz w:val="18"/>
          <w:szCs w:val="18"/>
          <w:color w:val="auto"/>
        </w:rPr>
        <w:t>Patent expense was $941,000 during the year ended September 30, 2013, compared to $1,023,000 in the comparable prior period. During 2013, Calando reduced its patent expense cost by curtailing patent prosecution costs for non-strategic patents. In August 2013, Calando terminated its license agreement with Caltech, and its rights and obligations thereto.</w:t>
      </w:r>
    </w:p>
    <w:p>
      <w:pPr>
        <w:spacing w:after="0" w:line="18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Facilities and related expense was $170,000 during the year ended September 30, 2013, compared to $120,000 in the comparable prior period. Facilities and related expense within general and administrative expenses primarily relate to rental costs associated with the Company’s headquarters in Pasadena, California. Facilities expense increased as the Company moved into a new corporate headquarters in August 2012, which costs are higher than the smaller temporary office space that was occupied in fiscal 2012.</w:t>
      </w:r>
    </w:p>
    <w:p>
      <w:pPr>
        <w:spacing w:after="0" w:line="187" w:lineRule="exact"/>
        <w:rPr>
          <w:sz w:val="20"/>
          <w:szCs w:val="20"/>
          <w:color w:val="auto"/>
        </w:rPr>
      </w:pPr>
    </w:p>
    <w:p>
      <w:pPr>
        <w:ind w:right="440" w:firstLine="518"/>
        <w:spacing w:after="0" w:line="257" w:lineRule="auto"/>
        <w:rPr>
          <w:sz w:val="20"/>
          <w:szCs w:val="20"/>
          <w:color w:val="auto"/>
        </w:rPr>
      </w:pPr>
      <w:r>
        <w:rPr>
          <w:rFonts w:ascii="Arial" w:cs="Arial" w:eastAsia="Arial" w:hAnsi="Arial"/>
          <w:sz w:val="18"/>
          <w:szCs w:val="18"/>
          <w:color w:val="auto"/>
        </w:rPr>
        <w:t>Travel expense was $440,000 during the year ended September 30, 2013, compared to $369,000 in the comparable prior period. Travel expense increased due to general increased level of activities, particularly increased drug manufacturing, and clinical trial activities, as well as travel between the corporate office in Pasadena and our R&amp;D facility in Madison. Travel expense includes costs related to travel by Company personnel for operational business meetings at other company locations, business initiatives and collaborations throughout the world with other companies, marketing, investor relations, fund raising and public relations purposes.</w:t>
      </w:r>
    </w:p>
    <w:p>
      <w:pPr>
        <w:spacing w:after="0" w:line="188"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Business insurance expense was $216,000 during the year ended September 30, 2013, compared to $202,000 in the comparable prior period. The company experienced rate decreases in its Directors and Officers insurance coverage, which was offset by additional insurance costs primarily related to specific insurance purchased to cover insurance requirements of our clinical trials for ARC-520.</w:t>
      </w:r>
    </w:p>
    <w:p>
      <w:pPr>
        <w:spacing w:after="0" w:line="1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Communication and technology expense was $184,000 during the year ended September 30, 2013, compared to $196,000 in the comparable prior period. The decrease was primarily due to lower information technology consulting costs, which include normally recurring support for the Company’s network and other systems. No major system-related upgrades were undertaken in fiscal 2013. IT consulting fees can fluctuate depending on issues that arise with software and/or other on-going software projects.</w:t>
      </w:r>
    </w:p>
    <w:p>
      <w:pPr>
        <w:spacing w:after="0" w:line="187"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Office expenses are administrative costs to facilitate the operations of the Company’s office facilities in Pasadena and include office supplies, copier/printing costs, postage/delivery, professional dues/memberships, books/subscriptions, staff amenities, and professional training. Office expenses were $110,000 during the year ended September 30, 2013, compared to $91,000 in the comparable prior period. The increase in office expenses was due to non-capitalized office furniture, research journals/articles and other miscellaneous administrative expenses.</w:t>
      </w:r>
    </w:p>
    <w:p>
      <w:pPr>
        <w:spacing w:after="0" w:line="171"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Other expense was $109,000 during the year ended September 30, 2013 compared to $2.6 million in the comparable prior period. During the year ended September 30, 2012, the Company recorded reserves against receivable from its unconsolidated affiliates, Nanotope and Leonardo in the amount of $2.5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49" w:right="239" w:bottom="1440" w:gutter="0" w:footer="0" w:header="0"/>
        </w:sectPr>
      </w:pPr>
    </w:p>
    <w:bookmarkStart w:id="58" w:name="page59"/>
    <w:bookmarkEnd w:id="58"/>
    <w:p>
      <w:pPr>
        <w:ind w:left="2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Stock-based compensation expense, a noncash expense, was $1,536,000 during the year ended September 30, 2013, compared to $1,241,000 during the comparable prior period. Stock-based compensation expense is based upon the valuation of stock options granted to employees, directors, and certain consultants. Many variables affect the amount expensed, including the Company’s stock price on the date of the grant, as well as other assumptions. Based on the additional options granted to new and existing employees in fiscal 2013, compensation expense increased in 2013.</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Depreciation and amortization expense, a noncash expense, was $1,751,000 during the year ended September 30, 2013, compared to $1,749,000 during the comparable prior period. The majority of depreciation and amortization expense relates to depreciation on lab equipment obtained as part of the acquisition of Roche Madison. In addition, the Company records depreciation on leasehold improvements at its Madison research facility. Depreciation and amortization expense is essentially unchanged from the prior year. Calando patents were written down during the year and recorded as impairment expense, thus amortization of those patents has been completed. This decrease was mostly offset by increased depreciation expense from newly acquired lab equipment capitalized in fiscal 2013.</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Other income / expense increased from expense of $1.0 million in fiscal 2012 to $7.1 million in fiscal 2013. The increase in other expense during fiscal 2013 was primarily due to a noncash expense of $5.3 million for the change in value of derivatives. The change in value of derivatives is impacted by the fair value calculation, based upon various inputs, but principally susceptible to a change in the Company’s stock price, which was the factor that drove the change in expense, primarily during the fourth quarter of fiscal 2013. Additionally, the Company recorded expense of $1.0 million related to the write down of a note receivable related to the sale of our former subsidiary, Unidym. Finally, the Company recorded a loss of $641,000 related to expenses at its minority equity investments, Leonardo and Nanotope. During fiscal 2012, the Company recorded several nonrecurring items: impairment of its investment in its unconsolidated affiliate, Nanotope, of $1.4 million, a loss on the disposal of fixed assets of $1.1 million, a gain recorded upon the acquisition of Roche Madison of $1.6 million, and an impairment of its investment in Leonardo of $0.2 million. An additional component of other income/expense in fiscal 2012 was the change in value of derivatives, which was a gain of $387,000.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Resources</w:t>
      </w:r>
    </w:p>
    <w:p>
      <w:pPr>
        <w:spacing w:after="0" w:line="12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Arrowhead has historically financed its operations through the sale of securities of Arrowhead and its Subsidiaries. Research and development activities have required significant capital investment since the Company’s inception, and are expected to continue to require significant cash investment in fiscal 2015, and beyond.</w:t>
      </w:r>
    </w:p>
    <w:p>
      <w:pPr>
        <w:spacing w:after="0" w:line="18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At September 30, 2014, the Company had cash on hand of approximately $132.5 million as compared to $19.1 million at September 30, 2013. Excess cash invested in fixed income securities was $44.7 million at September 30, 2014, compared to $10.7 million at September 30, 2013. The Company believes its current financial resources are sufficient to fund its operations through at least the next twelve months.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years ended September 30, 2014, 2013, and 2012 is as follows: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Year ended September 30,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74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FF0FC"/>
            </w:tcBorders>
          </w:tcPr>
          <w:p>
            <w:pPr>
              <w:spacing w:after="0"/>
              <w:rPr>
                <w:sz w:val="14"/>
                <w:szCs w:val="14"/>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Continuing Operations:</w:t>
            </w: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Operating Activities</w:t>
            </w:r>
          </w:p>
        </w:tc>
        <w:tc>
          <w:tcPr>
            <w:tcW w:w="10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(35,416,373)</w:t>
            </w: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(19,032,826)</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(15,340,090)</w:t>
            </w: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(36,481,770)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(9,520,867)</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440,644</w:t>
            </w:r>
          </w:p>
        </w:tc>
        <w:tc>
          <w:tcPr>
            <w:tcW w:w="120" w:type="dxa"/>
            <w:vAlign w:val="bottom"/>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Financing Activities</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185,294,309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44,291,203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10,769,625</w:t>
            </w:r>
          </w:p>
        </w:tc>
        <w:tc>
          <w:tcPr>
            <w:tcW w:w="12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Discontinued Operations:</w:t>
            </w: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Operating Activities</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6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113,396,166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15,737,156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(4,130,101)</w:t>
            </w:r>
          </w:p>
        </w:tc>
        <w:tc>
          <w:tcPr>
            <w:tcW w:w="120" w:type="dxa"/>
            <w:vAlign w:val="bottom"/>
            <w:shd w:val="clear" w:color="auto" w:fill="CFF0FC"/>
          </w:tcPr>
          <w:p>
            <w:pPr>
              <w:spacing w:after="0"/>
              <w:rPr>
                <w:sz w:val="19"/>
                <w:szCs w:val="19"/>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6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19,114,444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3,377,288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7,507,389</w:t>
            </w:r>
          </w:p>
        </w:tc>
        <w:tc>
          <w:tcPr>
            <w:tcW w:w="120" w:type="dxa"/>
            <w:vAlign w:val="bottom"/>
            <w:tcBorders>
              <w:bottom w:val="single" w:sz="8" w:color="CFF0FC"/>
            </w:tcBorders>
          </w:tcPr>
          <w:p>
            <w:pPr>
              <w:spacing w:after="0"/>
              <w:rPr>
                <w:sz w:val="19"/>
                <w:szCs w:val="19"/>
                <w:color w:val="auto"/>
              </w:rPr>
            </w:pPr>
          </w:p>
        </w:tc>
      </w:tr>
      <w:tr>
        <w:trPr>
          <w:trHeight w:val="223"/>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6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132,510,610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19,114,444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3,377,288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6"/>
        </w:trPr>
        <w:tc>
          <w:tcPr>
            <w:tcW w:w="3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ind w:right="832"/>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49" w:right="259" w:bottom="1440" w:gutter="0" w:footer="0" w:header="0"/>
        </w:sectPr>
      </w:pPr>
    </w:p>
    <w:bookmarkStart w:id="59" w:name="page60"/>
    <w:bookmarkEnd w:id="59"/>
    <w:p>
      <w:pPr>
        <w:ind w:right="80" w:firstLine="518"/>
        <w:spacing w:after="0" w:line="273" w:lineRule="auto"/>
        <w:rPr>
          <w:sz w:val="20"/>
          <w:szCs w:val="20"/>
          <w:color w:val="auto"/>
        </w:rPr>
      </w:pPr>
      <w:r>
        <w:rPr>
          <w:rFonts w:ascii="Arial" w:cs="Arial" w:eastAsia="Arial" w:hAnsi="Arial"/>
          <w:sz w:val="17"/>
          <w:szCs w:val="17"/>
          <w:color w:val="auto"/>
        </w:rPr>
        <w:t>During 2014, the Company used $35.4 million in cash from operating activities, which represents the on-going expenses of its research and development programs and corporate overhead. Cash outlays were primarily composed of the following: research and development costs were $21.7 million, salary and payroll-related expenses were $9.1 million, and general and administrative costs were $4.6 million. Cash used by investing activities was $36.5 million, primarily related to net cash investments in fixed income securities of $34.8 million. Capital expenditures were $1.7 million. Cash provided by financing activities of $185.3 million includes $172.6 million of cash received from equity financings by the Company in October 2013 and February 2014. The exercise of warrants and stock options during fiscal 2014 resulted in additional cash inflow of $12.9 million.</w:t>
      </w:r>
    </w:p>
    <w:p>
      <w:pPr>
        <w:spacing w:after="0" w:line="178"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During 2013, the Company used $19.0 million in cash from operating activities, which represents the on-going expenses of its research and development programs and corporate overhead. Cash outlays were primarily composed of the following: research and development costs were $8.7 million, salary and payroll-related expenses were $6.7 million, and general and administrative costs were $3.5 million. Cash used by investing activities was $9.5 million, primarily related to net cash investments in fixed income securities of $9.3 million. Capital expenditures were $0.3 million. Cash provided by financing activities of $44.3 million includes $42.4 million of cash received from equity financings by the Company during 2013. The exercise of warrants and stock options during fiscal 2013 resulted in additional cash inflow of $2.1 million.</w:t>
      </w:r>
    </w:p>
    <w:p>
      <w:pPr>
        <w:spacing w:after="0" w:line="17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During 2012, the Company used $15.3 million in cash from operating activities, which represents the on-going expenses of its research and development programs and corporate overhead. Cash outlays were primarily composed of the following: research and development costs were $5.0 million, salary and payroll-related expenses were $6.5 million, and general and administrative costs were $4.0 million. Cash provided by investing activities was $0.4 million, primarily related to the sale of certain marketable securities. Capital expenditures were $0.5 million. Cash provided by financing activities of $10.8 million includes $10.9 million of cash received from equity financings by the Company during 2012. The exercise of warrants and stock options during fiscal 2012 resulted in additional cash inflow of $0.1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In the table below, we set forth our enforceable and legally binding obligations and future commitments at September 30, 2014, for the categories shown, as well as obligations related to contracts in such categories that we are likely to continue. Some of the figures that we include in this table are based on management’s estimates and assumptions about these obligations, including their duration, the possibility of renewal, anticipated actions by third parties and other factors. Because these estimates and assumptions are necessarily subjective, the obligations we will actually pay in future periods may vary from those reflected in the table. The following table does not include any future obligations that may be owed under existing license agreements, as the certainty of achieving the relevant milestones that would trigger these payments is currently unknown.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60" w:type="dxa"/>
            <w:vAlign w:val="bottom"/>
            <w:gridSpan w:val="4"/>
          </w:tcPr>
          <w:p>
            <w:pPr>
              <w:spacing w:after="0"/>
              <w:rPr>
                <w:sz w:val="20"/>
                <w:szCs w:val="20"/>
                <w:color w:val="auto"/>
              </w:rPr>
            </w:pPr>
            <w:r>
              <w:rPr>
                <w:rFonts w:ascii="Arial" w:cs="Arial" w:eastAsia="Arial" w:hAnsi="Arial"/>
                <w:sz w:val="14"/>
                <w:szCs w:val="14"/>
                <w:b w:val="1"/>
                <w:bCs w:val="1"/>
                <w:color w:val="auto"/>
                <w:w w:val="94"/>
              </w:rPr>
              <w:t>Payments due by Period</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24"/>
        </w:trPr>
        <w:tc>
          <w:tcPr>
            <w:tcW w:w="3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Less than 1 Year</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0"/>
                <w:szCs w:val="10"/>
                <w:color w:val="auto"/>
              </w:rPr>
            </w:pPr>
          </w:p>
        </w:tc>
        <w:tc>
          <w:tcPr>
            <w:tcW w:w="9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3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66"/>
        </w:trPr>
        <w:tc>
          <w:tcPr>
            <w:tcW w:w="3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w:t>
            </w:r>
          </w:p>
        </w:tc>
        <w:tc>
          <w:tcPr>
            <w:tcW w:w="13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Capital Leases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972,321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213,991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438,714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319,616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2,888,357</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580,306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1,210,521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1,097,530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Purchase Obligations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21,400,000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19,500,000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4,226,137</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329,424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   29,536,815</w:t>
            </w:r>
          </w:p>
        </w:tc>
        <w:tc>
          <w:tcPr>
            <w:tcW w:w="26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   20,344,297</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3,449,235</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1,846,570</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3,896,713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2014, we did not have any off-balance sheet arrangements, as defined in Item 303(a)(4)(ii) of SEC Regulation S-K.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See Note 1 to our Consolidated Financial Statements of this annual report on Form 10-K for a description of recent accounting pronouncements applicable to our business.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60" w:name="page61"/>
    <w:bookmarkEnd w:id="60"/>
    <w:p>
      <w:pPr>
        <w:spacing w:after="0"/>
        <w:tabs>
          <w:tab w:leader="none" w:pos="102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3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are exposed to market risk related to changes in interest rates, which could adversely affect the value of our interest rate sensitive assets and liabilities. We do not hold any instruments for trading purposes and investment criteria are governed by the Company’s Investment Policy. As of September 30, 2014 and 2013, we had cash and cash equivalents of $132.5 million and $19.1 million respectively. We invest our cash reserves in corporate bonds typically with maturities of less than 2 years, and we classify these investments as held-to-maturity. Due to the relatively short-term nature of the investments that we hold, we do not believe that the results of operations or cash flows would be affected to any significant degree by a sudden change in market interest rates relative to our investment portfolio. Our liability instrument sensitive to changes in interest rates is our derivative liability with its fair value determined using an option pricing model, which uses interest rate as an input. However, any change associated with this valuation would result in a noncash expense and would not significantly impact our operations.</w:t>
      </w:r>
    </w:p>
    <w:p>
      <w:pPr>
        <w:spacing w:after="0" w:line="3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included in Item 15 of this Annual Report Form 10-K.</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Securities Exchange Act of 1934 (the “Exchange Act”) Rules 13a-15(e) and 15d-15(e)) as of the end of the period covered by this Annual Report on Form 10-K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17"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66"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internal control over financial reporting to future periods are subject to risk that the internal control may become inadequate because of changes in conditions, or that the degree of compliance with policies or procedures may deteriorate.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Assessment of the Effectiveness of our Internal Control over Financial Reporting</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the criteria set forth in Internal Control – Integrated Framework issued by the Committee of Sponsoring Organizations of the Treadway Commission (1992 framework). Based on the Company’s assessment, management has concluded that its internal control over financial reporting was effective as of September 30, 2014 to provide reasonable assurance regarding the reliability of financial reporting and the preparation of financial statements in accordance with GAAP. The Company’s independent registered public accounting firm, Rose, Snyder and Jacobs LLP, has issued an audit report on the Company’s internal control over financial reporting, which appears in Item 15 of this Form 10-K.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the year ended September 30, 2014, that has materially affected, or is reasonably likely to materially affect, our internal control over financial reporting.</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2015 Annual Meeting of Stockholders, which proxy statement will be filed no later than January 28, 2015.</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2015 Annual Meeting of Stockholders, which proxy statement will be filed no later than January 28, 2015.</w:t>
      </w:r>
    </w:p>
    <w:p>
      <w:pPr>
        <w:spacing w:after="0" w:line="315" w:lineRule="exact"/>
        <w:rPr>
          <w:sz w:val="20"/>
          <w:szCs w:val="20"/>
          <w:color w:val="auto"/>
        </w:rPr>
      </w:pPr>
    </w:p>
    <w:p>
      <w:pPr>
        <w:ind w:left="1040" w:right="420" w:hanging="1039"/>
        <w:spacing w:after="0" w:line="282" w:lineRule="auto"/>
        <w:tabs>
          <w:tab w:leader="none" w:pos="10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2015 Annual Meeting of Stockholders, which proxy statement will be filed no later than January 28, 2015.</w:t>
      </w:r>
    </w:p>
    <w:p>
      <w:pPr>
        <w:spacing w:after="0" w:line="3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2015 Annual Meeting of Stockholders, which proxy statement will be filed no later than January 28, 2015.</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2015 Annual Meeting of Stockholders, which proxy statement will be filed no later than January 28, 2015.</w:t>
      </w:r>
    </w:p>
    <w:p>
      <w:pPr>
        <w:spacing w:after="0" w:line="31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113" w:lineRule="exact"/>
        <w:rPr>
          <w:sz w:val="20"/>
          <w:szCs w:val="20"/>
          <w:color w:val="auto"/>
        </w:rPr>
      </w:pPr>
    </w:p>
    <w:p>
      <w:pPr>
        <w:ind w:left="1020" w:hanging="494"/>
        <w:spacing w:after="0"/>
        <w:tabs>
          <w:tab w:leader="none" w:pos="10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21"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color w:val="auto"/>
        </w:rPr>
        <w:t>See Index to Financial Statements and Schedule on page F-1.</w:t>
      </w:r>
    </w:p>
    <w:p>
      <w:pPr>
        <w:spacing w:after="0" w:line="113" w:lineRule="exact"/>
        <w:rPr>
          <w:rFonts w:ascii="Arial" w:cs="Arial" w:eastAsia="Arial" w:hAnsi="Arial"/>
          <w:sz w:val="18"/>
          <w:szCs w:val="18"/>
          <w:b w:val="1"/>
          <w:bCs w:val="1"/>
          <w:color w:val="auto"/>
        </w:rPr>
      </w:pPr>
    </w:p>
    <w:p>
      <w:pPr>
        <w:ind w:left="1020" w:hanging="494"/>
        <w:spacing w:after="0"/>
        <w:tabs>
          <w:tab w:leader="none" w:pos="10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ind w:left="520" w:firstLine="495"/>
        <w:spacing w:after="0" w:line="264" w:lineRule="auto"/>
        <w:rPr>
          <w:sz w:val="20"/>
          <w:szCs w:val="20"/>
          <w:color w:val="auto"/>
        </w:rPr>
      </w:pPr>
      <w:r>
        <w:rPr>
          <w:rFonts w:ascii="Arial" w:cs="Arial" w:eastAsia="Arial" w:hAnsi="Arial"/>
          <w:sz w:val="18"/>
          <w:szCs w:val="18"/>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45" w:right="299" w:bottom="1440" w:gutter="0" w:footer="0" w:header="0"/>
        </w:sectPr>
      </w:pPr>
    </w:p>
    <w:bookmarkStart w:id="62" w:name="page63"/>
    <w:bookmarkEnd w:id="62"/>
    <w:p>
      <w:pPr>
        <w:ind w:left="1020" w:hanging="494"/>
        <w:spacing w:after="0"/>
        <w:tabs>
          <w:tab w:leader="none" w:pos="10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6"/>
          <w:szCs w:val="16"/>
          <w:color w:val="auto"/>
        </w:rPr>
        <w:t>The following exhibits are filed (or incorporated by reference herein) as part of this Annual Report on Form 10-K:</w:t>
      </w:r>
    </w:p>
    <w:p>
      <w:pPr>
        <w:sectPr>
          <w:pgSz w:w="11900" w:h="16838" w:orient="portrait"/>
          <w:cols w:equalWidth="0" w:num="1">
            <w:col w:w="11420"/>
          </w:cols>
          <w:pgMar w:left="240" w:top="121" w:right="239" w:bottom="1440" w:gutter="0" w:footer="0" w:header="0"/>
        </w:sect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62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Stock and Asset Purchase Agreement between Arrowhead Research Corporation and</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Roche entities, dated October 21, 2011†</w:t>
            </w:r>
          </w:p>
        </w:tc>
        <w:tc>
          <w:tcPr>
            <w:tcW w:w="0" w:type="dxa"/>
            <w:vAlign w:val="bottom"/>
          </w:tcPr>
          <w:p>
            <w:pPr>
              <w:spacing w:after="0"/>
              <w:rPr>
                <w:sz w:val="1"/>
                <w:szCs w:val="1"/>
                <w:color w:val="auto"/>
              </w:rPr>
            </w:pPr>
          </w:p>
        </w:tc>
      </w:tr>
      <w:tr>
        <w:trPr>
          <w:trHeight w:val="539"/>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5"/>
              </w:rPr>
              <w:t>Certificate of Incorporation of InterActive Group, Inc., a Delaware corporation, filed</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with the Secretary of State of the State of Delaware on February 13, 2001</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7"/>
              </w:rPr>
              <w:t>Certificate of Amendment to Certificate of Incorporation of InterActive Group, Inc.</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7"/>
              </w:rPr>
              <w:t>(effecting, among other things a change in the corporation’s name to “Arrowhead</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3"/>
              </w:rPr>
              <w:t>Research Corporation”), filed with the Secretary of State of the State of Delaware 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January 12, 2004</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8"/>
              </w:rPr>
              <w:t>Certificate of Amendment to Certificate of Incorporation of Arrowhead Research</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2"/>
              </w:rPr>
              <w:t>Corporation, filed with the Secretary of State of the State of Delaware on January 26,</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8"/>
              </w:rPr>
              <w:t>Certificate of Amendment to Certificate of Incorporation of Arrowhead Research</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9"/>
              </w:rPr>
              <w:t>Corporation, filed with the Secretary of State of the State of Delaware on dated</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October 14, 2009</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4"/>
              </w:rPr>
              <w:t>Series A Certificate of Designations, filed with the Secretary of State of the State of</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Delaware on October 25, 2011</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8"/>
              </w:rPr>
              <w:t>Certificate of Amendment to Certificate of Incorporation of Arrowhead Research</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4"/>
              </w:rPr>
              <w:t>Corporation, filed with the Secretary of State of the State of Delaware on November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15, 2011</w:t>
            </w:r>
          </w:p>
        </w:tc>
        <w:tc>
          <w:tcPr>
            <w:tcW w:w="0" w:type="dxa"/>
            <w:vAlign w:val="bottom"/>
          </w:tcPr>
          <w:p>
            <w:pPr>
              <w:spacing w:after="0"/>
              <w:rPr>
                <w:sz w:val="1"/>
                <w:szCs w:val="1"/>
                <w:color w:val="auto"/>
              </w:rPr>
            </w:pP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Bylaws</w:t>
            </w:r>
          </w:p>
        </w:tc>
        <w:tc>
          <w:tcPr>
            <w:tcW w:w="0" w:type="dxa"/>
            <w:vAlign w:val="bottom"/>
          </w:tcPr>
          <w:p>
            <w:pPr>
              <w:spacing w:after="0"/>
              <w:rPr>
                <w:sz w:val="1"/>
                <w:szCs w:val="1"/>
                <w:color w:val="auto"/>
              </w:rPr>
            </w:pPr>
          </w:p>
        </w:tc>
      </w:tr>
      <w:tr>
        <w:trPr>
          <w:trHeight w:val="554"/>
        </w:trPr>
        <w:tc>
          <w:tcPr>
            <w:tcW w:w="700" w:type="dxa"/>
            <w:vAlign w:val="bottom"/>
          </w:tcPr>
          <w:p>
            <w:pPr>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Amendment No. 1 to the Bylaws of Arrowhead Research Corporation</w:t>
            </w:r>
          </w:p>
        </w:tc>
        <w:tc>
          <w:tcPr>
            <w:tcW w:w="0" w:type="dxa"/>
            <w:vAlign w:val="bottom"/>
          </w:tcPr>
          <w:p>
            <w:pPr>
              <w:spacing w:after="0"/>
              <w:rPr>
                <w:sz w:val="1"/>
                <w:szCs w:val="1"/>
                <w:color w:val="auto"/>
              </w:rPr>
            </w:pPr>
          </w:p>
        </w:tc>
      </w:tr>
      <w:tr>
        <w:trPr>
          <w:trHeight w:val="539"/>
        </w:trPr>
        <w:tc>
          <w:tcPr>
            <w:tcW w:w="700" w:type="dxa"/>
            <w:vAlign w:val="bottom"/>
          </w:tcPr>
          <w:p>
            <w:pPr>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4"/>
              </w:rPr>
              <w:t>Series B Certificate of Designations, filed with the Secretary of State of the State of</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Delaware on May 1, 2013</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4"/>
              </w:rPr>
              <w:t>Series C Certificate of Designations, filed with the Secretary of State of the State of</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Delaware on October 10, 2013</w:t>
            </w:r>
          </w:p>
        </w:tc>
        <w:tc>
          <w:tcPr>
            <w:tcW w:w="0" w:type="dxa"/>
            <w:vAlign w:val="bottom"/>
          </w:tcPr>
          <w:p>
            <w:pPr>
              <w:spacing w:after="0"/>
              <w:rPr>
                <w:sz w:val="1"/>
                <w:szCs w:val="1"/>
                <w:color w:val="auto"/>
              </w:rPr>
            </w:pP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Form of Warrant to Purchase Capital Stock expiring June 2014</w:t>
            </w:r>
          </w:p>
        </w:tc>
        <w:tc>
          <w:tcPr>
            <w:tcW w:w="0" w:type="dxa"/>
            <w:vAlign w:val="bottom"/>
          </w:tcPr>
          <w:p>
            <w:pPr>
              <w:spacing w:after="0"/>
              <w:rPr>
                <w:sz w:val="1"/>
                <w:szCs w:val="1"/>
                <w:color w:val="auto"/>
              </w:rPr>
            </w:pPr>
          </w:p>
        </w:tc>
      </w:tr>
      <w:tr>
        <w:trPr>
          <w:trHeight w:val="554"/>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Form of Warrant to Purchase Capital Stock expiring December 2014</w:t>
            </w:r>
          </w:p>
        </w:tc>
        <w:tc>
          <w:tcPr>
            <w:tcW w:w="0" w:type="dxa"/>
            <w:vAlign w:val="bottom"/>
          </w:tcPr>
          <w:p>
            <w:pPr>
              <w:spacing w:after="0"/>
              <w:rPr>
                <w:sz w:val="1"/>
                <w:szCs w:val="1"/>
                <w:color w:val="auto"/>
              </w:rPr>
            </w:pPr>
          </w:p>
        </w:tc>
      </w:tr>
      <w:tr>
        <w:trPr>
          <w:trHeight w:val="770"/>
        </w:trPr>
        <w:tc>
          <w:tcPr>
            <w:tcW w:w="70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Form of Warrant to Purchase Common Stock expiring May 2017</w:t>
            </w:r>
          </w:p>
        </w:tc>
        <w:tc>
          <w:tcPr>
            <w:tcW w:w="0" w:type="dxa"/>
            <w:vAlign w:val="bottom"/>
          </w:tcPr>
          <w:p>
            <w:pPr>
              <w:spacing w:after="0"/>
              <w:rPr>
                <w:sz w:val="1"/>
                <w:szCs w:val="1"/>
                <w:color w:val="auto"/>
              </w:rPr>
            </w:pPr>
          </w:p>
        </w:tc>
      </w:tr>
      <w:tr>
        <w:trPr>
          <w:trHeight w:val="554"/>
        </w:trPr>
        <w:tc>
          <w:tcPr>
            <w:tcW w:w="700" w:type="dxa"/>
            <w:vAlign w:val="bottom"/>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Form of Warrant to Purchase Common Stock expiring December 2015</w:t>
            </w:r>
          </w:p>
        </w:tc>
        <w:tc>
          <w:tcPr>
            <w:tcW w:w="0" w:type="dxa"/>
            <w:vAlign w:val="bottom"/>
          </w:tcPr>
          <w:p>
            <w:pPr>
              <w:spacing w:after="0"/>
              <w:rPr>
                <w:sz w:val="1"/>
                <w:szCs w:val="1"/>
                <w:color w:val="auto"/>
              </w:rPr>
            </w:pPr>
          </w:p>
        </w:tc>
      </w:tr>
      <w:tr>
        <w:trPr>
          <w:trHeight w:val="539"/>
        </w:trPr>
        <w:tc>
          <w:tcPr>
            <w:tcW w:w="70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Form of Warrant to Purchase Shares of Capital Stock of Arrowhead Research</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Corporation expiring September 16, 2015</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tcPr>
          <w:p>
            <w:pPr>
              <w:ind w:left="48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Incorporated by Reference Herein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720" w:type="dxa"/>
            <w:vAlign w:val="bottom"/>
            <w:tcBorders>
              <w:top w:val="single" w:sz="8" w:color="auto"/>
              <w:bottom w:val="single" w:sz="8" w:color="auto"/>
            </w:tcBorders>
          </w:tcPr>
          <w:p>
            <w:pPr>
              <w:ind w:left="1200"/>
              <w:spacing w:after="0" w:line="142" w:lineRule="exact"/>
              <w:rPr>
                <w:sz w:val="20"/>
                <w:szCs w:val="20"/>
                <w:color w:val="auto"/>
              </w:rPr>
            </w:pPr>
            <w:r>
              <w:rPr>
                <w:rFonts w:ascii="Arial" w:cs="Arial" w:eastAsia="Arial" w:hAnsi="Arial"/>
                <w:sz w:val="14"/>
                <w:szCs w:val="14"/>
                <w:b w:val="1"/>
                <w:bCs w:val="1"/>
                <w:color w:val="auto"/>
              </w:rPr>
              <w:t>Form</w:t>
            </w: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Date</w:t>
            </w:r>
          </w:p>
        </w:tc>
      </w:tr>
      <w:tr>
        <w:trPr>
          <w:trHeight w:val="317"/>
        </w:trPr>
        <w:tc>
          <w:tcPr>
            <w:tcW w:w="2840" w:type="dxa"/>
            <w:vAlign w:val="bottom"/>
            <w:gridSpan w:val="2"/>
          </w:tcPr>
          <w:p>
            <w:pPr>
              <w:spacing w:after="0"/>
              <w:rPr>
                <w:sz w:val="20"/>
                <w:szCs w:val="20"/>
                <w:color w:val="auto"/>
              </w:rPr>
            </w:pPr>
            <w:r>
              <w:rPr>
                <w:rFonts w:ascii="Arial" w:cs="Arial" w:eastAsia="Arial" w:hAnsi="Arial"/>
                <w:sz w:val="18"/>
                <w:szCs w:val="18"/>
                <w:color w:val="auto"/>
                <w:w w:val="98"/>
              </w:rPr>
              <w:t>Annual Report on Form 10-K for the</w:t>
            </w:r>
          </w:p>
        </w:tc>
        <w:tc>
          <w:tcPr>
            <w:tcW w:w="1360" w:type="dxa"/>
            <w:vAlign w:val="bottom"/>
          </w:tcPr>
          <w:p>
            <w:pPr>
              <w:spacing w:after="0"/>
              <w:rPr>
                <w:sz w:val="20"/>
                <w:szCs w:val="20"/>
                <w:color w:val="auto"/>
              </w:rPr>
            </w:pPr>
            <w:r>
              <w:rPr>
                <w:rFonts w:ascii="Arial" w:cs="Arial" w:eastAsia="Arial" w:hAnsi="Arial"/>
                <w:sz w:val="18"/>
                <w:szCs w:val="18"/>
                <w:color w:val="auto"/>
              </w:rPr>
              <w:t>December 20,</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fiscal year ended September 30,</w:t>
            </w:r>
          </w:p>
        </w:tc>
        <w:tc>
          <w:tcPr>
            <w:tcW w:w="1360" w:type="dxa"/>
            <w:vAlign w:val="bottom"/>
          </w:tcPr>
          <w:p>
            <w:pPr>
              <w:spacing w:after="0"/>
              <w:rPr>
                <w:sz w:val="20"/>
                <w:szCs w:val="20"/>
                <w:color w:val="auto"/>
              </w:rPr>
            </w:pPr>
            <w:r>
              <w:rPr>
                <w:rFonts w:ascii="Arial" w:cs="Arial" w:eastAsia="Arial" w:hAnsi="Arial"/>
                <w:sz w:val="18"/>
                <w:szCs w:val="18"/>
                <w:color w:val="auto"/>
              </w:rPr>
              <w:t>2011</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2011, as Exhibit 2.1</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Schedule 14C, as Exhibit A</w:t>
            </w:r>
          </w:p>
        </w:tc>
        <w:tc>
          <w:tcPr>
            <w:tcW w:w="1360" w:type="dxa"/>
            <w:vAlign w:val="bottom"/>
          </w:tcPr>
          <w:p>
            <w:pPr>
              <w:spacing w:after="0"/>
              <w:rPr>
                <w:sz w:val="20"/>
                <w:szCs w:val="20"/>
                <w:color w:val="auto"/>
              </w:rPr>
            </w:pPr>
            <w:r>
              <w:rPr>
                <w:rFonts w:ascii="Arial" w:cs="Arial" w:eastAsia="Arial" w:hAnsi="Arial"/>
                <w:sz w:val="18"/>
                <w:szCs w:val="18"/>
                <w:color w:val="auto"/>
              </w:rPr>
              <w:t>December 22,</w:t>
            </w:r>
          </w:p>
        </w:tc>
      </w:tr>
      <w:tr>
        <w:trPr>
          <w:trHeight w:val="230"/>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2000</w:t>
            </w: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Schedule 14C, as Exhibit 1</w:t>
            </w:r>
          </w:p>
        </w:tc>
        <w:tc>
          <w:tcPr>
            <w:tcW w:w="1360" w:type="dxa"/>
            <w:vAlign w:val="bottom"/>
          </w:tcPr>
          <w:p>
            <w:pPr>
              <w:spacing w:after="0"/>
              <w:rPr>
                <w:sz w:val="20"/>
                <w:szCs w:val="20"/>
                <w:color w:val="auto"/>
              </w:rPr>
            </w:pPr>
            <w:r>
              <w:rPr>
                <w:rFonts w:ascii="Arial" w:cs="Arial" w:eastAsia="Arial" w:hAnsi="Arial"/>
                <w:sz w:val="18"/>
                <w:szCs w:val="18"/>
                <w:color w:val="auto"/>
              </w:rPr>
              <w:t>December 22,</w:t>
            </w:r>
          </w:p>
        </w:tc>
      </w:tr>
      <w:tr>
        <w:trPr>
          <w:trHeight w:val="230"/>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2003</w:t>
            </w:r>
          </w:p>
        </w:tc>
      </w:tr>
      <w:tr>
        <w:trPr>
          <w:trHeight w:val="755"/>
        </w:trPr>
        <w:tc>
          <w:tcPr>
            <w:tcW w:w="2840" w:type="dxa"/>
            <w:vAlign w:val="bottom"/>
            <w:gridSpan w:val="2"/>
          </w:tcPr>
          <w:p>
            <w:pPr>
              <w:spacing w:after="0"/>
              <w:rPr>
                <w:sz w:val="20"/>
                <w:szCs w:val="20"/>
                <w:color w:val="auto"/>
              </w:rPr>
            </w:pPr>
            <w:r>
              <w:rPr>
                <w:rFonts w:ascii="Arial" w:cs="Arial" w:eastAsia="Arial" w:hAnsi="Arial"/>
                <w:sz w:val="18"/>
                <w:szCs w:val="18"/>
                <w:color w:val="auto"/>
                <w:w w:val="99"/>
              </w:rPr>
              <w:t>Form 10-QSB for the quarter ended</w:t>
            </w:r>
          </w:p>
        </w:tc>
        <w:tc>
          <w:tcPr>
            <w:tcW w:w="1360" w:type="dxa"/>
            <w:vAlign w:val="bottom"/>
          </w:tcPr>
          <w:p>
            <w:pPr>
              <w:spacing w:after="0"/>
              <w:rPr>
                <w:sz w:val="20"/>
                <w:szCs w:val="20"/>
                <w:color w:val="auto"/>
              </w:rPr>
            </w:pPr>
            <w:r>
              <w:rPr>
                <w:rFonts w:ascii="Arial" w:cs="Arial" w:eastAsia="Arial" w:hAnsi="Arial"/>
                <w:sz w:val="18"/>
                <w:szCs w:val="18"/>
                <w:color w:val="auto"/>
                <w:w w:val="91"/>
              </w:rPr>
              <w:t>February 11, 2005</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December 31, 2004, as Exhibit 3.4</w:t>
            </w:r>
          </w:p>
        </w:tc>
        <w:tc>
          <w:tcPr>
            <w:tcW w:w="1360" w:type="dxa"/>
            <w:vAlign w:val="bottom"/>
          </w:tcPr>
          <w:p>
            <w:pPr>
              <w:spacing w:after="0"/>
              <w:rPr>
                <w:sz w:val="20"/>
                <w:szCs w:val="20"/>
                <w:color w:val="auto"/>
              </w:rPr>
            </w:pPr>
          </w:p>
        </w:tc>
      </w:tr>
      <w:tr>
        <w:trPr>
          <w:trHeight w:val="539"/>
        </w:trPr>
        <w:tc>
          <w:tcPr>
            <w:tcW w:w="2840" w:type="dxa"/>
            <w:vAlign w:val="bottom"/>
            <w:gridSpan w:val="2"/>
          </w:tcPr>
          <w:p>
            <w:pPr>
              <w:spacing w:after="0"/>
              <w:rPr>
                <w:sz w:val="20"/>
                <w:szCs w:val="20"/>
                <w:color w:val="auto"/>
              </w:rPr>
            </w:pPr>
            <w:r>
              <w:rPr>
                <w:rFonts w:ascii="Arial" w:cs="Arial" w:eastAsia="Arial" w:hAnsi="Arial"/>
                <w:sz w:val="18"/>
                <w:szCs w:val="18"/>
                <w:color w:val="auto"/>
                <w:w w:val="98"/>
              </w:rPr>
              <w:t>Annual Report on Form 10-K for the</w:t>
            </w:r>
          </w:p>
        </w:tc>
        <w:tc>
          <w:tcPr>
            <w:tcW w:w="1360" w:type="dxa"/>
            <w:vAlign w:val="bottom"/>
          </w:tcPr>
          <w:p>
            <w:pPr>
              <w:spacing w:after="0"/>
              <w:rPr>
                <w:sz w:val="20"/>
                <w:szCs w:val="20"/>
                <w:color w:val="auto"/>
              </w:rPr>
            </w:pPr>
            <w:r>
              <w:rPr>
                <w:rFonts w:ascii="Arial" w:cs="Arial" w:eastAsia="Arial" w:hAnsi="Arial"/>
                <w:sz w:val="18"/>
                <w:szCs w:val="18"/>
                <w:color w:val="auto"/>
              </w:rPr>
              <w:t>December 22,</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fiscal year ended September 30,</w:t>
            </w:r>
          </w:p>
        </w:tc>
        <w:tc>
          <w:tcPr>
            <w:tcW w:w="1360" w:type="dxa"/>
            <w:vAlign w:val="bottom"/>
          </w:tcPr>
          <w:p>
            <w:pPr>
              <w:spacing w:after="0"/>
              <w:rPr>
                <w:sz w:val="20"/>
                <w:szCs w:val="20"/>
                <w:color w:val="auto"/>
              </w:rPr>
            </w:pPr>
            <w:r>
              <w:rPr>
                <w:rFonts w:ascii="Arial" w:cs="Arial" w:eastAsia="Arial" w:hAnsi="Arial"/>
                <w:sz w:val="18"/>
                <w:szCs w:val="18"/>
                <w:color w:val="auto"/>
              </w:rPr>
              <w:t>2009</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2009, as Exhibit 3.4</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60" w:type="dxa"/>
            <w:vAlign w:val="bottom"/>
          </w:tcPr>
          <w:p>
            <w:pPr>
              <w:spacing w:after="0"/>
              <w:rPr>
                <w:sz w:val="20"/>
                <w:szCs w:val="20"/>
                <w:color w:val="auto"/>
              </w:rPr>
            </w:pPr>
            <w:r>
              <w:rPr>
                <w:rFonts w:ascii="Arial" w:cs="Arial" w:eastAsia="Arial" w:hAnsi="Arial"/>
                <w:sz w:val="18"/>
                <w:szCs w:val="18"/>
                <w:color w:val="auto"/>
                <w:w w:val="96"/>
              </w:rPr>
              <w:t>October 26, 2011</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60" w:type="dxa"/>
            <w:vAlign w:val="bottom"/>
          </w:tcPr>
          <w:p>
            <w:pPr>
              <w:spacing w:after="0"/>
              <w:rPr>
                <w:sz w:val="20"/>
                <w:szCs w:val="20"/>
                <w:color w:val="auto"/>
              </w:rPr>
            </w:pPr>
            <w:r>
              <w:rPr>
                <w:rFonts w:ascii="Arial" w:cs="Arial" w:eastAsia="Arial" w:hAnsi="Arial"/>
                <w:sz w:val="18"/>
                <w:szCs w:val="18"/>
                <w:color w:val="auto"/>
              </w:rPr>
              <w:t>November 17,</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1360" w:type="dxa"/>
            <w:vAlign w:val="bottom"/>
          </w:tcPr>
          <w:p>
            <w:pPr>
              <w:spacing w:after="0"/>
              <w:rPr>
                <w:sz w:val="20"/>
                <w:szCs w:val="20"/>
                <w:color w:val="auto"/>
              </w:rPr>
            </w:pPr>
            <w:r>
              <w:rPr>
                <w:rFonts w:ascii="Arial" w:cs="Arial" w:eastAsia="Arial" w:hAnsi="Arial"/>
                <w:sz w:val="18"/>
                <w:szCs w:val="18"/>
                <w:color w:val="auto"/>
              </w:rPr>
              <w:t>2011</w:t>
            </w:r>
          </w:p>
        </w:tc>
      </w:tr>
      <w:tr>
        <w:trPr>
          <w:trHeight w:val="539"/>
        </w:trPr>
        <w:tc>
          <w:tcPr>
            <w:tcW w:w="2840" w:type="dxa"/>
            <w:vAlign w:val="bottom"/>
            <w:gridSpan w:val="2"/>
          </w:tcPr>
          <w:p>
            <w:pPr>
              <w:spacing w:after="0"/>
              <w:rPr>
                <w:sz w:val="20"/>
                <w:szCs w:val="20"/>
                <w:color w:val="auto"/>
              </w:rPr>
            </w:pPr>
            <w:r>
              <w:rPr>
                <w:rFonts w:ascii="Arial" w:cs="Arial" w:eastAsia="Arial" w:hAnsi="Arial"/>
                <w:sz w:val="18"/>
                <w:szCs w:val="18"/>
                <w:color w:val="auto"/>
              </w:rPr>
              <w:t>Schedule 14C, as Exhibit B</w:t>
            </w:r>
          </w:p>
        </w:tc>
        <w:tc>
          <w:tcPr>
            <w:tcW w:w="1360" w:type="dxa"/>
            <w:vAlign w:val="bottom"/>
          </w:tcPr>
          <w:p>
            <w:pPr>
              <w:spacing w:after="0"/>
              <w:rPr>
                <w:sz w:val="20"/>
                <w:szCs w:val="20"/>
                <w:color w:val="auto"/>
              </w:rPr>
            </w:pPr>
            <w:r>
              <w:rPr>
                <w:rFonts w:ascii="Arial" w:cs="Arial" w:eastAsia="Arial" w:hAnsi="Arial"/>
                <w:sz w:val="18"/>
                <w:szCs w:val="18"/>
                <w:color w:val="auto"/>
              </w:rPr>
              <w:t>December 22,</w:t>
            </w:r>
          </w:p>
        </w:tc>
      </w:tr>
      <w:tr>
        <w:trPr>
          <w:trHeight w:val="230"/>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2000</w:t>
            </w: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60" w:type="dxa"/>
            <w:vAlign w:val="bottom"/>
          </w:tcPr>
          <w:p>
            <w:pPr>
              <w:spacing w:after="0"/>
              <w:rPr>
                <w:sz w:val="20"/>
                <w:szCs w:val="20"/>
                <w:color w:val="auto"/>
              </w:rPr>
            </w:pPr>
            <w:r>
              <w:rPr>
                <w:rFonts w:ascii="Arial" w:cs="Arial" w:eastAsia="Arial" w:hAnsi="Arial"/>
                <w:sz w:val="18"/>
                <w:szCs w:val="18"/>
                <w:color w:val="auto"/>
              </w:rPr>
              <w:t>April 27, 2010</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60" w:type="dxa"/>
            <w:vAlign w:val="bottom"/>
          </w:tcPr>
          <w:p>
            <w:pPr>
              <w:spacing w:after="0"/>
              <w:rPr>
                <w:sz w:val="20"/>
                <w:szCs w:val="20"/>
                <w:color w:val="auto"/>
              </w:rPr>
            </w:pPr>
            <w:r>
              <w:rPr>
                <w:rFonts w:ascii="Arial" w:cs="Arial" w:eastAsia="Arial" w:hAnsi="Arial"/>
                <w:sz w:val="18"/>
                <w:szCs w:val="18"/>
                <w:color w:val="auto"/>
              </w:rPr>
              <w:t>May 1, 2013</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60" w:type="dxa"/>
            <w:vAlign w:val="bottom"/>
          </w:tcPr>
          <w:p>
            <w:pPr>
              <w:spacing w:after="0"/>
              <w:rPr>
                <w:sz w:val="20"/>
                <w:szCs w:val="20"/>
                <w:color w:val="auto"/>
              </w:rPr>
            </w:pPr>
            <w:r>
              <w:rPr>
                <w:rFonts w:ascii="Arial" w:cs="Arial" w:eastAsia="Arial" w:hAnsi="Arial"/>
                <w:sz w:val="18"/>
                <w:szCs w:val="18"/>
                <w:color w:val="auto"/>
                <w:w w:val="96"/>
              </w:rPr>
              <w:t>October 10, 2013</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60" w:type="dxa"/>
            <w:vAlign w:val="bottom"/>
          </w:tcPr>
          <w:p>
            <w:pPr>
              <w:spacing w:after="0"/>
              <w:rPr>
                <w:sz w:val="20"/>
                <w:szCs w:val="20"/>
                <w:color w:val="auto"/>
              </w:rPr>
            </w:pPr>
            <w:r>
              <w:rPr>
                <w:rFonts w:ascii="Arial" w:cs="Arial" w:eastAsia="Arial" w:hAnsi="Arial"/>
                <w:sz w:val="18"/>
                <w:szCs w:val="18"/>
                <w:color w:val="auto"/>
              </w:rPr>
              <w:t>July 17, 2009</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Exhibit 4.1</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w w:val="98"/>
              </w:rPr>
              <w:t>Annual Report on Form 10-K for the</w:t>
            </w:r>
          </w:p>
        </w:tc>
        <w:tc>
          <w:tcPr>
            <w:tcW w:w="1360" w:type="dxa"/>
            <w:vAlign w:val="bottom"/>
          </w:tcPr>
          <w:p>
            <w:pPr>
              <w:spacing w:after="0"/>
              <w:rPr>
                <w:sz w:val="20"/>
                <w:szCs w:val="20"/>
                <w:color w:val="auto"/>
              </w:rPr>
            </w:pPr>
            <w:r>
              <w:rPr>
                <w:rFonts w:ascii="Arial" w:cs="Arial" w:eastAsia="Arial" w:hAnsi="Arial"/>
                <w:sz w:val="18"/>
                <w:szCs w:val="18"/>
                <w:color w:val="auto"/>
              </w:rPr>
              <w:t>December 22,</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fiscal year ended September 30,</w:t>
            </w:r>
          </w:p>
        </w:tc>
        <w:tc>
          <w:tcPr>
            <w:tcW w:w="1360" w:type="dxa"/>
            <w:vAlign w:val="bottom"/>
          </w:tcPr>
          <w:p>
            <w:pPr>
              <w:spacing w:after="0"/>
              <w:rPr>
                <w:sz w:val="20"/>
                <w:szCs w:val="20"/>
                <w:color w:val="auto"/>
              </w:rPr>
            </w:pPr>
            <w:r>
              <w:rPr>
                <w:rFonts w:ascii="Arial" w:cs="Arial" w:eastAsia="Arial" w:hAnsi="Arial"/>
                <w:sz w:val="18"/>
                <w:szCs w:val="18"/>
                <w:color w:val="auto"/>
              </w:rPr>
              <w:t>2009</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2009, as Exhibit 4.7</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60" w:type="dxa"/>
            <w:vAlign w:val="bottom"/>
          </w:tcPr>
          <w:p>
            <w:pPr>
              <w:spacing w:after="0"/>
              <w:rPr>
                <w:sz w:val="20"/>
                <w:szCs w:val="20"/>
                <w:color w:val="auto"/>
              </w:rPr>
            </w:pPr>
            <w:r>
              <w:rPr>
                <w:rFonts w:ascii="Arial" w:cs="Arial" w:eastAsia="Arial" w:hAnsi="Arial"/>
                <w:sz w:val="18"/>
                <w:szCs w:val="18"/>
                <w:color w:val="auto"/>
              </w:rPr>
              <w:t>May 30, 2007</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Exhibit 4.1</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60" w:type="dxa"/>
            <w:vAlign w:val="bottom"/>
          </w:tcPr>
          <w:p>
            <w:pPr>
              <w:spacing w:after="0"/>
              <w:rPr>
                <w:sz w:val="20"/>
                <w:szCs w:val="20"/>
                <w:color w:val="auto"/>
              </w:rPr>
            </w:pPr>
            <w:r>
              <w:rPr>
                <w:rFonts w:ascii="Arial" w:cs="Arial" w:eastAsia="Arial" w:hAnsi="Arial"/>
                <w:sz w:val="18"/>
                <w:szCs w:val="18"/>
                <w:color w:val="auto"/>
              </w:rPr>
              <w:t>June 18, 2010</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Exhibit 4.1</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60" w:type="dxa"/>
            <w:vAlign w:val="bottom"/>
          </w:tcPr>
          <w:p>
            <w:pPr>
              <w:spacing w:after="0"/>
              <w:rPr>
                <w:sz w:val="20"/>
                <w:szCs w:val="20"/>
                <w:color w:val="auto"/>
              </w:rPr>
            </w:pPr>
            <w:r>
              <w:rPr>
                <w:rFonts w:ascii="Arial" w:cs="Arial" w:eastAsia="Arial" w:hAnsi="Arial"/>
                <w:sz w:val="18"/>
                <w:szCs w:val="18"/>
                <w:color w:val="auto"/>
              </w:rPr>
              <w:t>September 22,</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Exhibit 4.1</w:t>
            </w:r>
          </w:p>
        </w:tc>
        <w:tc>
          <w:tcPr>
            <w:tcW w:w="1360" w:type="dxa"/>
            <w:vAlign w:val="bottom"/>
          </w:tcPr>
          <w:p>
            <w:pPr>
              <w:spacing w:after="0"/>
              <w:rPr>
                <w:sz w:val="20"/>
                <w:szCs w:val="20"/>
                <w:color w:val="auto"/>
              </w:rPr>
            </w:pPr>
            <w:r>
              <w:rPr>
                <w:rFonts w:ascii="Arial" w:cs="Arial" w:eastAsia="Arial" w:hAnsi="Arial"/>
                <w:sz w:val="18"/>
                <w:szCs w:val="18"/>
                <w:color w:val="auto"/>
              </w:rPr>
              <w:t>2010</w:t>
            </w:r>
          </w:p>
        </w:tc>
      </w:tr>
    </w:tbl>
    <w:p>
      <w:pPr>
        <w:sectPr>
          <w:pgSz w:w="11900" w:h="16838" w:orient="portrait"/>
          <w:cols w:equalWidth="0" w:num="2">
            <w:col w:w="7100" w:space="120"/>
            <w:col w:w="4200"/>
          </w:cols>
          <w:pgMar w:left="240" w:top="121" w:right="239" w:bottom="1440" w:gutter="0" w:footer="0" w:header="0"/>
          <w:type w:val="continuous"/>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62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Form of Warrant to Purchase Shares of Common Stock Expiring August 13, 2016</w:t>
            </w:r>
          </w:p>
        </w:tc>
        <w:tc>
          <w:tcPr>
            <w:tcW w:w="0" w:type="dxa"/>
            <w:vAlign w:val="bottom"/>
          </w:tcPr>
          <w:p>
            <w:pPr>
              <w:spacing w:after="0"/>
              <w:rPr>
                <w:sz w:val="1"/>
                <w:szCs w:val="1"/>
                <w:color w:val="auto"/>
              </w:rPr>
            </w:pPr>
          </w:p>
        </w:tc>
      </w:tr>
      <w:tr>
        <w:trPr>
          <w:trHeight w:val="554"/>
        </w:trPr>
        <w:tc>
          <w:tcPr>
            <w:tcW w:w="700" w:type="dxa"/>
            <w:vAlign w:val="bottom"/>
          </w:tcPr>
          <w:p>
            <w:pPr>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770"/>
        </w:trPr>
        <w:tc>
          <w:tcPr>
            <w:tcW w:w="700" w:type="dxa"/>
            <w:vAlign w:val="bottom"/>
          </w:tcPr>
          <w:p>
            <w:pPr>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Form of Series B Preferred Stock Certificate</w:t>
            </w:r>
          </w:p>
        </w:tc>
        <w:tc>
          <w:tcPr>
            <w:tcW w:w="0" w:type="dxa"/>
            <w:vAlign w:val="bottom"/>
          </w:tcPr>
          <w:p>
            <w:pPr>
              <w:spacing w:after="0"/>
              <w:rPr>
                <w:sz w:val="1"/>
                <w:szCs w:val="1"/>
                <w:color w:val="auto"/>
              </w:rPr>
            </w:pPr>
          </w:p>
        </w:tc>
      </w:tr>
      <w:tr>
        <w:trPr>
          <w:trHeight w:val="770"/>
        </w:trPr>
        <w:tc>
          <w:tcPr>
            <w:tcW w:w="700" w:type="dxa"/>
            <w:vAlign w:val="bottom"/>
          </w:tcPr>
          <w:p>
            <w:pPr>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6"/>
              </w:rPr>
              <w:t>Form of Warrant to Purchase Shares of Common Stock expiring August 17, 2016</w:t>
            </w:r>
          </w:p>
        </w:tc>
        <w:tc>
          <w:tcPr>
            <w:tcW w:w="0" w:type="dxa"/>
            <w:vAlign w:val="bottom"/>
          </w:tcPr>
          <w:p>
            <w:pPr>
              <w:spacing w:after="0"/>
              <w:rPr>
                <w:sz w:val="1"/>
                <w:szCs w:val="1"/>
                <w:color w:val="auto"/>
              </w:rPr>
            </w:pPr>
          </w:p>
        </w:tc>
      </w:tr>
      <w:tr>
        <w:trPr>
          <w:trHeight w:val="554"/>
        </w:trPr>
        <w:tc>
          <w:tcPr>
            <w:tcW w:w="700" w:type="dxa"/>
            <w:vAlign w:val="bottom"/>
          </w:tcPr>
          <w:p>
            <w:pPr>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2"/>
              </w:rPr>
              <w:t>Form of Warrant to Purchase Shares of Common Stock expiring December 12, 2017</w:t>
            </w:r>
          </w:p>
        </w:tc>
        <w:tc>
          <w:tcPr>
            <w:tcW w:w="0" w:type="dxa"/>
            <w:vAlign w:val="bottom"/>
          </w:tcPr>
          <w:p>
            <w:pPr>
              <w:spacing w:after="0"/>
              <w:rPr>
                <w:sz w:val="1"/>
                <w:szCs w:val="1"/>
                <w:color w:val="auto"/>
              </w:rPr>
            </w:pPr>
          </w:p>
        </w:tc>
      </w:tr>
      <w:tr>
        <w:trPr>
          <w:trHeight w:val="554"/>
        </w:trPr>
        <w:tc>
          <w:tcPr>
            <w:tcW w:w="700" w:type="dxa"/>
            <w:vAlign w:val="bottom"/>
          </w:tcPr>
          <w:p>
            <w:pPr>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5"/>
              </w:rPr>
              <w:t>Form of Warrant to Purchase Shares of Common Stock expiring January 30, 2018</w:t>
            </w:r>
          </w:p>
        </w:tc>
        <w:tc>
          <w:tcPr>
            <w:tcW w:w="0" w:type="dxa"/>
            <w:vAlign w:val="bottom"/>
          </w:tcPr>
          <w:p>
            <w:pPr>
              <w:spacing w:after="0"/>
              <w:rPr>
                <w:sz w:val="1"/>
                <w:szCs w:val="1"/>
                <w:color w:val="auto"/>
              </w:rPr>
            </w:pPr>
          </w:p>
        </w:tc>
      </w:tr>
      <w:tr>
        <w:trPr>
          <w:trHeight w:val="554"/>
        </w:trPr>
        <w:tc>
          <w:tcPr>
            <w:tcW w:w="700" w:type="dxa"/>
            <w:vAlign w:val="bottom"/>
          </w:tcPr>
          <w:p>
            <w:pPr>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Form of Series C Preferred Stock Certificate</w:t>
            </w:r>
          </w:p>
        </w:tc>
        <w:tc>
          <w:tcPr>
            <w:tcW w:w="0" w:type="dxa"/>
            <w:vAlign w:val="bottom"/>
          </w:tcPr>
          <w:p>
            <w:pPr>
              <w:spacing w:after="0"/>
              <w:rPr>
                <w:sz w:val="1"/>
                <w:szCs w:val="1"/>
                <w:color w:val="auto"/>
              </w:rPr>
            </w:pPr>
          </w:p>
        </w:tc>
      </w:tr>
      <w:tr>
        <w:trPr>
          <w:trHeight w:val="770"/>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9"/>
              </w:rPr>
              <w:t>Arrowhead Research Corporation (fka InterActive, Inc.) 2000 Stock Option Plan</w:t>
            </w:r>
          </w:p>
        </w:tc>
        <w:tc>
          <w:tcPr>
            <w:tcW w:w="0" w:type="dxa"/>
            <w:vAlign w:val="bottom"/>
          </w:tcPr>
          <w:p>
            <w:pPr>
              <w:spacing w:after="0"/>
              <w:rPr>
                <w:sz w:val="1"/>
                <w:szCs w:val="1"/>
                <w:color w:val="auto"/>
              </w:rPr>
            </w:pPr>
          </w:p>
        </w:tc>
      </w:tr>
      <w:tr>
        <w:trPr>
          <w:trHeight w:val="554"/>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Arrowhead Research Corporation 2004 Equity Incentive Plan, as amended</w:t>
            </w:r>
          </w:p>
        </w:tc>
        <w:tc>
          <w:tcPr>
            <w:tcW w:w="0" w:type="dxa"/>
            <w:vAlign w:val="bottom"/>
          </w:tcPr>
          <w:p>
            <w:pPr>
              <w:spacing w:after="0"/>
              <w:rPr>
                <w:sz w:val="1"/>
                <w:szCs w:val="1"/>
                <w:color w:val="auto"/>
              </w:rPr>
            </w:pP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Arrowhead Research Corporation 2013 Incentive Plan</w:t>
            </w:r>
          </w:p>
        </w:tc>
        <w:tc>
          <w:tcPr>
            <w:tcW w:w="0" w:type="dxa"/>
            <w:vAlign w:val="bottom"/>
          </w:tcPr>
          <w:p>
            <w:pPr>
              <w:spacing w:after="0"/>
              <w:rPr>
                <w:sz w:val="1"/>
                <w:szCs w:val="1"/>
                <w:color w:val="auto"/>
              </w:rPr>
            </w:pPr>
          </w:p>
        </w:tc>
      </w:tr>
      <w:tr>
        <w:trPr>
          <w:trHeight w:val="554"/>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Form of Stock Option Agreement for use with the 2013 Incentive Plan</w:t>
            </w:r>
          </w:p>
        </w:tc>
        <w:tc>
          <w:tcPr>
            <w:tcW w:w="0" w:type="dxa"/>
            <w:vAlign w:val="bottom"/>
          </w:tcPr>
          <w:p>
            <w:pPr>
              <w:spacing w:after="0"/>
              <w:rPr>
                <w:sz w:val="1"/>
                <w:szCs w:val="1"/>
                <w:color w:val="auto"/>
              </w:rPr>
            </w:pPr>
          </w:p>
        </w:tc>
      </w:tr>
      <w:tr>
        <w:trPr>
          <w:trHeight w:val="554"/>
        </w:trPr>
        <w:tc>
          <w:tcPr>
            <w:tcW w:w="70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Form of Restricted Stock Unit Agreement for use with the 2013 Incentive Plan</w:t>
            </w:r>
          </w:p>
        </w:tc>
        <w:tc>
          <w:tcPr>
            <w:tcW w:w="0" w:type="dxa"/>
            <w:vAlign w:val="bottom"/>
          </w:tcPr>
          <w:p>
            <w:pPr>
              <w:spacing w:after="0"/>
              <w:rPr>
                <w:sz w:val="1"/>
                <w:szCs w:val="1"/>
                <w:color w:val="auto"/>
              </w:rPr>
            </w:pPr>
          </w:p>
        </w:tc>
      </w:tr>
      <w:tr>
        <w:trPr>
          <w:trHeight w:val="554"/>
        </w:trPr>
        <w:tc>
          <w:tcPr>
            <w:tcW w:w="70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Incentive Plan, adopted December 12, 2006</w:t>
            </w:r>
          </w:p>
        </w:tc>
        <w:tc>
          <w:tcPr>
            <w:tcW w:w="0" w:type="dxa"/>
            <w:vAlign w:val="bottom"/>
          </w:tcPr>
          <w:p>
            <w:pPr>
              <w:spacing w:after="0"/>
              <w:rPr>
                <w:sz w:val="1"/>
                <w:szCs w:val="1"/>
                <w:color w:val="auto"/>
              </w:rPr>
            </w:pPr>
          </w:p>
        </w:tc>
      </w:tr>
      <w:tr>
        <w:trPr>
          <w:trHeight w:val="755"/>
        </w:trPr>
        <w:tc>
          <w:tcPr>
            <w:tcW w:w="70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5"/>
              </w:rPr>
              <w:t>Employment Agreement between Arrowhead and Dr. Christopher Anzalone, dated</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June 11, 2008</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7"/>
              </w:rPr>
              <w:t>Amendment to Employment Agreement between Arrowhead and Dr. Christopher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Anzalone, effective May 12, 2009</w:t>
            </w:r>
          </w:p>
        </w:tc>
        <w:tc>
          <w:tcPr>
            <w:tcW w:w="0" w:type="dxa"/>
            <w:vAlign w:val="bottom"/>
          </w:tcPr>
          <w:p>
            <w:pPr>
              <w:spacing w:after="0"/>
              <w:rPr>
                <w:sz w:val="1"/>
                <w:szCs w:val="1"/>
                <w:color w:val="auto"/>
              </w:rPr>
            </w:pPr>
          </w:p>
        </w:tc>
      </w:tr>
      <w:tr>
        <w:trPr>
          <w:trHeight w:val="539"/>
        </w:trPr>
        <w:tc>
          <w:tcPr>
            <w:tcW w:w="70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5"/>
              </w:rPr>
              <w:t>Non-Exclusive License Agreement between Arrowhead Research Corporation and</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Roche entities, dated October 21, 2011†</w:t>
            </w:r>
          </w:p>
        </w:tc>
        <w:tc>
          <w:tcPr>
            <w:tcW w:w="0" w:type="dxa"/>
            <w:vAlign w:val="bottom"/>
          </w:tcPr>
          <w:p>
            <w:pPr>
              <w:spacing w:after="0"/>
              <w:rPr>
                <w:sz w:val="1"/>
                <w:szCs w:val="1"/>
                <w:color w:val="auto"/>
              </w:rPr>
            </w:pPr>
          </w:p>
        </w:tc>
      </w:tr>
      <w:tr>
        <w:trPr>
          <w:trHeight w:val="554"/>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License and Collaboration Agreement, dated July 8, 2007 †</w:t>
            </w:r>
          </w:p>
        </w:tc>
        <w:tc>
          <w:tcPr>
            <w:tcW w:w="0" w:type="dxa"/>
            <w:vAlign w:val="bottom"/>
          </w:tcPr>
          <w:p>
            <w:pPr>
              <w:spacing w:after="0"/>
              <w:rPr>
                <w:sz w:val="1"/>
                <w:szCs w:val="1"/>
                <w:color w:val="auto"/>
              </w:rPr>
            </w:pPr>
          </w:p>
        </w:tc>
      </w:tr>
      <w:tr>
        <w:trPr>
          <w:trHeight w:val="864"/>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tcPr>
          <w:p>
            <w:pPr>
              <w:ind w:left="48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14"/>
          <w:szCs w:val="14"/>
          <w:b w:val="1"/>
          <w:bCs w:val="1"/>
          <w:color w:val="auto"/>
        </w:rPr>
        <w:t>Incorporated by Reference Herein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720" w:type="dxa"/>
            <w:vAlign w:val="bottom"/>
            <w:tcBorders>
              <w:top w:val="single" w:sz="8" w:color="auto"/>
              <w:bottom w:val="single" w:sz="8" w:color="auto"/>
            </w:tcBorders>
          </w:tcPr>
          <w:p>
            <w:pPr>
              <w:ind w:left="1200"/>
              <w:spacing w:after="0" w:line="142" w:lineRule="exact"/>
              <w:rPr>
                <w:sz w:val="20"/>
                <w:szCs w:val="20"/>
                <w:color w:val="auto"/>
              </w:rPr>
            </w:pPr>
            <w:r>
              <w:rPr>
                <w:rFonts w:ascii="Arial" w:cs="Arial" w:eastAsia="Arial" w:hAnsi="Arial"/>
                <w:sz w:val="14"/>
                <w:szCs w:val="14"/>
                <w:b w:val="1"/>
                <w:bCs w:val="1"/>
                <w:color w:val="auto"/>
              </w:rPr>
              <w:t>Form</w:t>
            </w: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Date</w:t>
            </w:r>
          </w:p>
        </w:tc>
      </w:tr>
      <w:tr>
        <w:trPr>
          <w:trHeight w:val="317"/>
        </w:trPr>
        <w:tc>
          <w:tcPr>
            <w:tcW w:w="284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60" w:type="dxa"/>
            <w:vAlign w:val="bottom"/>
          </w:tcPr>
          <w:p>
            <w:pPr>
              <w:spacing w:after="0"/>
              <w:rPr>
                <w:sz w:val="20"/>
                <w:szCs w:val="20"/>
                <w:color w:val="auto"/>
              </w:rPr>
            </w:pPr>
            <w:r>
              <w:rPr>
                <w:rFonts w:ascii="Arial" w:cs="Arial" w:eastAsia="Arial" w:hAnsi="Arial"/>
                <w:sz w:val="18"/>
                <w:szCs w:val="18"/>
                <w:color w:val="auto"/>
              </w:rPr>
              <w:t>August 13, 2012</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Exhibit 4.1</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Amendment No. 2 to Registration</w:t>
            </w:r>
          </w:p>
        </w:tc>
        <w:tc>
          <w:tcPr>
            <w:tcW w:w="1360" w:type="dxa"/>
            <w:vAlign w:val="bottom"/>
          </w:tcPr>
          <w:p>
            <w:pPr>
              <w:spacing w:after="0"/>
              <w:rPr>
                <w:sz w:val="20"/>
                <w:szCs w:val="20"/>
                <w:color w:val="auto"/>
              </w:rPr>
            </w:pPr>
            <w:r>
              <w:rPr>
                <w:rFonts w:ascii="Arial" w:cs="Arial" w:eastAsia="Arial" w:hAnsi="Arial"/>
                <w:sz w:val="18"/>
                <w:szCs w:val="18"/>
                <w:color w:val="auto"/>
              </w:rPr>
              <w:t>September 11,</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Statement on Form S-1, as Exhibit</w:t>
            </w:r>
          </w:p>
        </w:tc>
        <w:tc>
          <w:tcPr>
            <w:tcW w:w="1360" w:type="dxa"/>
            <w:vAlign w:val="bottom"/>
          </w:tcPr>
          <w:p>
            <w:pPr>
              <w:spacing w:after="0"/>
              <w:rPr>
                <w:sz w:val="20"/>
                <w:szCs w:val="20"/>
                <w:color w:val="auto"/>
              </w:rPr>
            </w:pPr>
            <w:r>
              <w:rPr>
                <w:rFonts w:ascii="Arial" w:cs="Arial" w:eastAsia="Arial" w:hAnsi="Arial"/>
                <w:sz w:val="18"/>
                <w:szCs w:val="18"/>
                <w:color w:val="auto"/>
              </w:rPr>
              <w:t>2009</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w w:val="98"/>
              </w:rPr>
              <w:t>Annual Report on Form 10-K for the</w:t>
            </w:r>
          </w:p>
        </w:tc>
        <w:tc>
          <w:tcPr>
            <w:tcW w:w="1360" w:type="dxa"/>
            <w:vAlign w:val="bottom"/>
          </w:tcPr>
          <w:p>
            <w:pPr>
              <w:spacing w:after="0"/>
              <w:rPr>
                <w:sz w:val="20"/>
                <w:szCs w:val="20"/>
                <w:color w:val="auto"/>
              </w:rPr>
            </w:pPr>
            <w:r>
              <w:rPr>
                <w:rFonts w:ascii="Arial" w:cs="Arial" w:eastAsia="Arial" w:hAnsi="Arial"/>
                <w:sz w:val="18"/>
                <w:szCs w:val="18"/>
                <w:color w:val="auto"/>
              </w:rPr>
              <w:t>December 18,</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fiscal year ended September 30,</w:t>
            </w:r>
          </w:p>
        </w:tc>
        <w:tc>
          <w:tcPr>
            <w:tcW w:w="1360" w:type="dxa"/>
            <w:vAlign w:val="bottom"/>
          </w:tcPr>
          <w:p>
            <w:pPr>
              <w:spacing w:after="0"/>
              <w:rPr>
                <w:sz w:val="20"/>
                <w:szCs w:val="20"/>
                <w:color w:val="auto"/>
              </w:rPr>
            </w:pPr>
            <w:r>
              <w:rPr>
                <w:rFonts w:ascii="Arial" w:cs="Arial" w:eastAsia="Arial" w:hAnsi="Arial"/>
                <w:sz w:val="18"/>
                <w:szCs w:val="18"/>
                <w:color w:val="auto"/>
              </w:rPr>
              <w:t>2013</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2013, as Exhibit 4.15</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60" w:type="dxa"/>
            <w:vAlign w:val="bottom"/>
          </w:tcPr>
          <w:p>
            <w:pPr>
              <w:spacing w:after="0"/>
              <w:rPr>
                <w:sz w:val="20"/>
                <w:szCs w:val="20"/>
                <w:color w:val="auto"/>
              </w:rPr>
            </w:pPr>
            <w:r>
              <w:rPr>
                <w:rFonts w:ascii="Arial" w:cs="Arial" w:eastAsia="Arial" w:hAnsi="Arial"/>
                <w:sz w:val="18"/>
                <w:szCs w:val="18"/>
                <w:color w:val="auto"/>
              </w:rPr>
              <w:t>August 13, 2012</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exhibit 4.2</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60" w:type="dxa"/>
            <w:vAlign w:val="bottom"/>
          </w:tcPr>
          <w:p>
            <w:pPr>
              <w:spacing w:after="0"/>
              <w:rPr>
                <w:sz w:val="20"/>
                <w:szCs w:val="20"/>
                <w:color w:val="auto"/>
              </w:rPr>
            </w:pPr>
            <w:r>
              <w:rPr>
                <w:rFonts w:ascii="Arial" w:cs="Arial" w:eastAsia="Arial" w:hAnsi="Arial"/>
                <w:sz w:val="18"/>
                <w:szCs w:val="18"/>
                <w:color w:val="auto"/>
              </w:rPr>
              <w:t>December 12,</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exhibit 4.2</w:t>
            </w:r>
          </w:p>
        </w:tc>
        <w:tc>
          <w:tcPr>
            <w:tcW w:w="1360" w:type="dxa"/>
            <w:vAlign w:val="bottom"/>
          </w:tcPr>
          <w:p>
            <w:pPr>
              <w:spacing w:after="0"/>
              <w:rPr>
                <w:sz w:val="20"/>
                <w:szCs w:val="20"/>
                <w:color w:val="auto"/>
              </w:rPr>
            </w:pPr>
            <w:r>
              <w:rPr>
                <w:rFonts w:ascii="Arial" w:cs="Arial" w:eastAsia="Arial" w:hAnsi="Arial"/>
                <w:sz w:val="18"/>
                <w:szCs w:val="18"/>
                <w:color w:val="auto"/>
              </w:rPr>
              <w:t>2012</w:t>
            </w: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60" w:type="dxa"/>
            <w:vAlign w:val="bottom"/>
          </w:tcPr>
          <w:p>
            <w:pPr>
              <w:spacing w:after="0"/>
              <w:rPr>
                <w:sz w:val="20"/>
                <w:szCs w:val="20"/>
                <w:color w:val="auto"/>
              </w:rPr>
            </w:pPr>
            <w:r>
              <w:rPr>
                <w:rFonts w:ascii="Arial" w:cs="Arial" w:eastAsia="Arial" w:hAnsi="Arial"/>
                <w:sz w:val="18"/>
                <w:szCs w:val="18"/>
                <w:color w:val="auto"/>
                <w:w w:val="96"/>
              </w:rPr>
              <w:t>January 30, 2013</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exhibit 4.2</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w w:val="98"/>
              </w:rPr>
              <w:t>Annual Report on Form 10-K for the</w:t>
            </w:r>
          </w:p>
        </w:tc>
        <w:tc>
          <w:tcPr>
            <w:tcW w:w="1360" w:type="dxa"/>
            <w:vAlign w:val="bottom"/>
          </w:tcPr>
          <w:p>
            <w:pPr>
              <w:spacing w:after="0"/>
              <w:rPr>
                <w:sz w:val="20"/>
                <w:szCs w:val="20"/>
                <w:color w:val="auto"/>
              </w:rPr>
            </w:pPr>
            <w:r>
              <w:rPr>
                <w:rFonts w:ascii="Arial" w:cs="Arial" w:eastAsia="Arial" w:hAnsi="Arial"/>
                <w:sz w:val="18"/>
                <w:szCs w:val="18"/>
                <w:color w:val="auto"/>
              </w:rPr>
              <w:t>December</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fiscal year ended September 30,</w:t>
            </w:r>
          </w:p>
        </w:tc>
        <w:tc>
          <w:tcPr>
            <w:tcW w:w="1360" w:type="dxa"/>
            <w:vAlign w:val="bottom"/>
          </w:tcPr>
          <w:p>
            <w:pPr>
              <w:spacing w:after="0"/>
              <w:rPr>
                <w:sz w:val="20"/>
                <w:szCs w:val="20"/>
                <w:color w:val="auto"/>
              </w:rPr>
            </w:pPr>
            <w:r>
              <w:rPr>
                <w:rFonts w:ascii="Arial" w:cs="Arial" w:eastAsia="Arial" w:hAnsi="Arial"/>
                <w:sz w:val="18"/>
                <w:szCs w:val="18"/>
                <w:color w:val="auto"/>
              </w:rPr>
              <w:t>18, 2013</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2013, as Exhibit 4.15</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Schedule 14C, as Exhibit D</w:t>
            </w:r>
          </w:p>
        </w:tc>
        <w:tc>
          <w:tcPr>
            <w:tcW w:w="1360" w:type="dxa"/>
            <w:vAlign w:val="bottom"/>
          </w:tcPr>
          <w:p>
            <w:pPr>
              <w:spacing w:after="0"/>
              <w:rPr>
                <w:sz w:val="20"/>
                <w:szCs w:val="20"/>
                <w:color w:val="auto"/>
              </w:rPr>
            </w:pPr>
            <w:r>
              <w:rPr>
                <w:rFonts w:ascii="Arial" w:cs="Arial" w:eastAsia="Arial" w:hAnsi="Arial"/>
                <w:sz w:val="18"/>
                <w:szCs w:val="18"/>
                <w:color w:val="auto"/>
              </w:rPr>
              <w:t>December 22,</w:t>
            </w:r>
          </w:p>
        </w:tc>
      </w:tr>
      <w:tr>
        <w:trPr>
          <w:trHeight w:val="230"/>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2000</w:t>
            </w:r>
          </w:p>
        </w:tc>
      </w:tr>
      <w:tr>
        <w:trPr>
          <w:trHeight w:val="338"/>
        </w:trPr>
        <w:tc>
          <w:tcPr>
            <w:tcW w:w="2840" w:type="dxa"/>
            <w:vAlign w:val="bottom"/>
            <w:gridSpan w:val="2"/>
          </w:tcPr>
          <w:p>
            <w:pPr>
              <w:spacing w:after="0"/>
              <w:rPr>
                <w:sz w:val="20"/>
                <w:szCs w:val="20"/>
                <w:color w:val="auto"/>
              </w:rPr>
            </w:pPr>
            <w:r>
              <w:rPr>
                <w:rFonts w:ascii="Arial" w:cs="Arial" w:eastAsia="Arial" w:hAnsi="Arial"/>
                <w:sz w:val="18"/>
                <w:szCs w:val="18"/>
                <w:color w:val="auto"/>
              </w:rPr>
              <w:t>Schedule 14C, as Annex A</w:t>
            </w:r>
          </w:p>
        </w:tc>
        <w:tc>
          <w:tcPr>
            <w:tcW w:w="1360" w:type="dxa"/>
            <w:vAlign w:val="bottom"/>
          </w:tcPr>
          <w:p>
            <w:pPr>
              <w:spacing w:after="0"/>
              <w:rPr>
                <w:sz w:val="20"/>
                <w:szCs w:val="20"/>
                <w:color w:val="auto"/>
              </w:rPr>
            </w:pPr>
            <w:r>
              <w:rPr>
                <w:rFonts w:ascii="Arial" w:cs="Arial" w:eastAsia="Arial" w:hAnsi="Arial"/>
                <w:sz w:val="18"/>
                <w:szCs w:val="18"/>
                <w:color w:val="auto"/>
                <w:w w:val="96"/>
              </w:rPr>
              <w:t>January 12, 2012</w:t>
            </w: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Schedule 14C, as Annex A</w:t>
            </w:r>
          </w:p>
        </w:tc>
        <w:tc>
          <w:tcPr>
            <w:tcW w:w="1360" w:type="dxa"/>
            <w:vAlign w:val="bottom"/>
          </w:tcPr>
          <w:p>
            <w:pPr>
              <w:spacing w:after="0"/>
              <w:rPr>
                <w:sz w:val="20"/>
                <w:szCs w:val="20"/>
                <w:color w:val="auto"/>
              </w:rPr>
            </w:pPr>
            <w:r>
              <w:rPr>
                <w:rFonts w:ascii="Arial" w:cs="Arial" w:eastAsia="Arial" w:hAnsi="Arial"/>
                <w:sz w:val="18"/>
                <w:szCs w:val="18"/>
                <w:color w:val="auto"/>
              </w:rPr>
              <w:t>December 20,</w:t>
            </w:r>
          </w:p>
        </w:tc>
      </w:tr>
      <w:tr>
        <w:trPr>
          <w:trHeight w:val="230"/>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2013</w:t>
            </w: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60" w:type="dxa"/>
            <w:vAlign w:val="bottom"/>
          </w:tcPr>
          <w:p>
            <w:pPr>
              <w:spacing w:after="0"/>
              <w:rPr>
                <w:sz w:val="20"/>
                <w:szCs w:val="20"/>
                <w:color w:val="auto"/>
              </w:rPr>
            </w:pPr>
            <w:r>
              <w:rPr>
                <w:rFonts w:ascii="Arial" w:cs="Arial" w:eastAsia="Arial" w:hAnsi="Arial"/>
                <w:sz w:val="18"/>
                <w:szCs w:val="18"/>
                <w:color w:val="auto"/>
                <w:w w:val="91"/>
              </w:rPr>
              <w:t>February 12, 2014</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60" w:type="dxa"/>
            <w:vAlign w:val="bottom"/>
          </w:tcPr>
          <w:p>
            <w:pPr>
              <w:spacing w:after="0"/>
              <w:rPr>
                <w:sz w:val="20"/>
                <w:szCs w:val="20"/>
                <w:color w:val="auto"/>
              </w:rPr>
            </w:pPr>
            <w:r>
              <w:rPr>
                <w:rFonts w:ascii="Arial" w:cs="Arial" w:eastAsia="Arial" w:hAnsi="Arial"/>
                <w:sz w:val="18"/>
                <w:szCs w:val="18"/>
                <w:color w:val="auto"/>
                <w:w w:val="91"/>
              </w:rPr>
              <w:t>February 12, 2014</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Exhibit 10.2</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w w:val="98"/>
              </w:rPr>
              <w:t>Annual Report on Form 10-K for the</w:t>
            </w:r>
          </w:p>
        </w:tc>
        <w:tc>
          <w:tcPr>
            <w:tcW w:w="1360" w:type="dxa"/>
            <w:vAlign w:val="bottom"/>
          </w:tcPr>
          <w:p>
            <w:pPr>
              <w:spacing w:after="0"/>
              <w:rPr>
                <w:sz w:val="20"/>
                <w:szCs w:val="20"/>
                <w:color w:val="auto"/>
              </w:rPr>
            </w:pPr>
            <w:r>
              <w:rPr>
                <w:rFonts w:ascii="Arial" w:cs="Arial" w:eastAsia="Arial" w:hAnsi="Arial"/>
                <w:sz w:val="18"/>
                <w:szCs w:val="18"/>
                <w:color w:val="auto"/>
              </w:rPr>
              <w:t>December 14,</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fiscal year ended September 30,</w:t>
            </w:r>
          </w:p>
        </w:tc>
        <w:tc>
          <w:tcPr>
            <w:tcW w:w="1360" w:type="dxa"/>
            <w:vAlign w:val="bottom"/>
          </w:tcPr>
          <w:p>
            <w:pPr>
              <w:spacing w:after="0"/>
              <w:rPr>
                <w:sz w:val="20"/>
                <w:szCs w:val="20"/>
                <w:color w:val="auto"/>
              </w:rPr>
            </w:pPr>
            <w:r>
              <w:rPr>
                <w:rFonts w:ascii="Arial" w:cs="Arial" w:eastAsia="Arial" w:hAnsi="Arial"/>
                <w:sz w:val="18"/>
                <w:szCs w:val="18"/>
                <w:color w:val="auto"/>
              </w:rPr>
              <w:t>2006</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2006, as Exhibit 10.11</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60" w:type="dxa"/>
            <w:vAlign w:val="bottom"/>
          </w:tcPr>
          <w:p>
            <w:pPr>
              <w:spacing w:after="0"/>
              <w:rPr>
                <w:sz w:val="20"/>
                <w:szCs w:val="20"/>
                <w:color w:val="auto"/>
              </w:rPr>
            </w:pPr>
            <w:r>
              <w:rPr>
                <w:rFonts w:ascii="Arial" w:cs="Arial" w:eastAsia="Arial" w:hAnsi="Arial"/>
                <w:sz w:val="18"/>
                <w:szCs w:val="18"/>
                <w:color w:val="auto"/>
              </w:rPr>
              <w:t>June 13, 2008</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w w:val="98"/>
              </w:rPr>
              <w:t>Annual Report on Form 10-K for the</w:t>
            </w:r>
          </w:p>
        </w:tc>
        <w:tc>
          <w:tcPr>
            <w:tcW w:w="1360" w:type="dxa"/>
            <w:vAlign w:val="bottom"/>
          </w:tcPr>
          <w:p>
            <w:pPr>
              <w:spacing w:after="0"/>
              <w:rPr>
                <w:sz w:val="20"/>
                <w:szCs w:val="20"/>
                <w:color w:val="auto"/>
              </w:rPr>
            </w:pPr>
            <w:r>
              <w:rPr>
                <w:rFonts w:ascii="Arial" w:cs="Arial" w:eastAsia="Arial" w:hAnsi="Arial"/>
                <w:sz w:val="18"/>
                <w:szCs w:val="18"/>
                <w:color w:val="auto"/>
              </w:rPr>
              <w:t>December 22,</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fiscal year ended September 30,</w:t>
            </w:r>
          </w:p>
        </w:tc>
        <w:tc>
          <w:tcPr>
            <w:tcW w:w="1360" w:type="dxa"/>
            <w:vAlign w:val="bottom"/>
          </w:tcPr>
          <w:p>
            <w:pPr>
              <w:spacing w:after="0"/>
              <w:rPr>
                <w:sz w:val="20"/>
                <w:szCs w:val="20"/>
                <w:color w:val="auto"/>
              </w:rPr>
            </w:pPr>
            <w:r>
              <w:rPr>
                <w:rFonts w:ascii="Arial" w:cs="Arial" w:eastAsia="Arial" w:hAnsi="Arial"/>
                <w:sz w:val="18"/>
                <w:szCs w:val="18"/>
                <w:color w:val="auto"/>
              </w:rPr>
              <w:t>2009</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2009, as Exhibit 10.8</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w w:val="98"/>
              </w:rPr>
              <w:t>Annual Report on Form 10-K for the</w:t>
            </w:r>
          </w:p>
        </w:tc>
        <w:tc>
          <w:tcPr>
            <w:tcW w:w="1360" w:type="dxa"/>
            <w:vAlign w:val="bottom"/>
          </w:tcPr>
          <w:p>
            <w:pPr>
              <w:spacing w:after="0"/>
              <w:rPr>
                <w:sz w:val="20"/>
                <w:szCs w:val="20"/>
                <w:color w:val="auto"/>
              </w:rPr>
            </w:pPr>
            <w:r>
              <w:rPr>
                <w:rFonts w:ascii="Arial" w:cs="Arial" w:eastAsia="Arial" w:hAnsi="Arial"/>
                <w:sz w:val="18"/>
                <w:szCs w:val="18"/>
                <w:color w:val="auto"/>
              </w:rPr>
              <w:t>December 20,</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fiscal year ended September 30,</w:t>
            </w:r>
          </w:p>
        </w:tc>
        <w:tc>
          <w:tcPr>
            <w:tcW w:w="1360" w:type="dxa"/>
            <w:vAlign w:val="bottom"/>
          </w:tcPr>
          <w:p>
            <w:pPr>
              <w:spacing w:after="0"/>
              <w:rPr>
                <w:sz w:val="20"/>
                <w:szCs w:val="20"/>
                <w:color w:val="auto"/>
              </w:rPr>
            </w:pPr>
            <w:r>
              <w:rPr>
                <w:rFonts w:ascii="Arial" w:cs="Arial" w:eastAsia="Arial" w:hAnsi="Arial"/>
                <w:sz w:val="18"/>
                <w:szCs w:val="18"/>
                <w:color w:val="auto"/>
              </w:rPr>
              <w:t>2011</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2011, as Exhibit 10.33</w:t>
            </w:r>
          </w:p>
        </w:tc>
        <w:tc>
          <w:tcPr>
            <w:tcW w:w="1360" w:type="dxa"/>
            <w:vAlign w:val="bottom"/>
          </w:tcPr>
          <w:p>
            <w:pPr>
              <w:spacing w:after="0"/>
              <w:rPr>
                <w:sz w:val="20"/>
                <w:szCs w:val="20"/>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w w:val="98"/>
              </w:rPr>
              <w:t>Annual Report on Form 10-K for the</w:t>
            </w:r>
          </w:p>
        </w:tc>
        <w:tc>
          <w:tcPr>
            <w:tcW w:w="1360" w:type="dxa"/>
            <w:vAlign w:val="bottom"/>
          </w:tcPr>
          <w:p>
            <w:pPr>
              <w:spacing w:after="0"/>
              <w:rPr>
                <w:sz w:val="20"/>
                <w:szCs w:val="20"/>
                <w:color w:val="auto"/>
              </w:rPr>
            </w:pPr>
            <w:r>
              <w:rPr>
                <w:rFonts w:ascii="Arial" w:cs="Arial" w:eastAsia="Arial" w:hAnsi="Arial"/>
                <w:sz w:val="18"/>
                <w:szCs w:val="18"/>
                <w:color w:val="auto"/>
              </w:rPr>
              <w:t>December 20,</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fiscal year ended September 30,</w:t>
            </w:r>
          </w:p>
        </w:tc>
        <w:tc>
          <w:tcPr>
            <w:tcW w:w="1360" w:type="dxa"/>
            <w:vAlign w:val="bottom"/>
          </w:tcPr>
          <w:p>
            <w:pPr>
              <w:spacing w:after="0"/>
              <w:rPr>
                <w:sz w:val="20"/>
                <w:szCs w:val="20"/>
                <w:color w:val="auto"/>
              </w:rPr>
            </w:pPr>
            <w:r>
              <w:rPr>
                <w:rFonts w:ascii="Arial" w:cs="Arial" w:eastAsia="Arial" w:hAnsi="Arial"/>
                <w:sz w:val="18"/>
                <w:szCs w:val="18"/>
                <w:color w:val="auto"/>
              </w:rPr>
              <w:t>2011</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2011, as Exhibit 10.35</w:t>
            </w:r>
          </w:p>
        </w:tc>
        <w:tc>
          <w:tcPr>
            <w:tcW w:w="1360" w:type="dxa"/>
            <w:vAlign w:val="bottom"/>
          </w:tcPr>
          <w:p>
            <w:pPr>
              <w:spacing w:after="0"/>
              <w:rPr>
                <w:sz w:val="20"/>
                <w:szCs w:val="20"/>
                <w:color w:val="auto"/>
              </w:rPr>
            </w:pPr>
          </w:p>
        </w:tc>
      </w:tr>
    </w:tbl>
    <w:p>
      <w:pPr>
        <w:sectPr>
          <w:pgSz w:w="11900" w:h="16838" w:orient="portrait"/>
          <w:cols w:equalWidth="0" w:num="2">
            <w:col w:w="7100" w:space="120"/>
            <w:col w:w="4200"/>
          </w:cols>
          <w:pgMar w:left="240" w:top="118" w:right="239" w:bottom="1440" w:gutter="0" w:footer="0" w:header="0"/>
        </w:sectPr>
      </w:pPr>
    </w:p>
    <w:bookmarkStart w:id="64" w:name="page65"/>
    <w:bookmarkEnd w:id="64"/>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5021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95" w:lineRule="exact"/>
        <w:rPr>
          <w:sz w:val="20"/>
          <w:szCs w:val="20"/>
          <w:color w:val="auto"/>
        </w:rPr>
      </w:pPr>
    </w:p>
    <w:p>
      <w:pPr>
        <w:ind w:left="820" w:hanging="809"/>
        <w:spacing w:after="0" w:line="342" w:lineRule="auto"/>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Collaboration Agreement by and among Alnylam Pharmaceuticals, Inc. and F. Hoffmann-La Roche Ltd and Hoffman-La Roche Inc., dated October 29, 2009 †</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14"/>
          <w:szCs w:val="14"/>
          <w:b w:val="1"/>
          <w:bCs w:val="1"/>
          <w:color w:val="auto"/>
        </w:rPr>
        <w:t>Incorporated by Reference Herein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720" w:type="dxa"/>
            <w:vAlign w:val="bottom"/>
            <w:tcBorders>
              <w:top w:val="single" w:sz="8" w:color="auto"/>
              <w:bottom w:val="single" w:sz="8" w:color="auto"/>
            </w:tcBorders>
          </w:tcPr>
          <w:p>
            <w:pPr>
              <w:ind w:left="1200"/>
              <w:spacing w:after="0" w:line="142" w:lineRule="exact"/>
              <w:rPr>
                <w:sz w:val="20"/>
                <w:szCs w:val="20"/>
                <w:color w:val="auto"/>
              </w:rPr>
            </w:pPr>
            <w:r>
              <w:rPr>
                <w:rFonts w:ascii="Arial" w:cs="Arial" w:eastAsia="Arial" w:hAnsi="Arial"/>
                <w:sz w:val="14"/>
                <w:szCs w:val="14"/>
                <w:b w:val="1"/>
                <w:bCs w:val="1"/>
                <w:color w:val="auto"/>
              </w:rPr>
              <w:t>Form</w:t>
            </w: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Date</w:t>
            </w:r>
          </w:p>
        </w:tc>
      </w:tr>
      <w:tr>
        <w:trPr>
          <w:trHeight w:val="317"/>
        </w:trPr>
        <w:tc>
          <w:tcPr>
            <w:tcW w:w="2840" w:type="dxa"/>
            <w:vAlign w:val="bottom"/>
            <w:gridSpan w:val="2"/>
          </w:tcPr>
          <w:p>
            <w:pPr>
              <w:spacing w:after="0"/>
              <w:rPr>
                <w:sz w:val="20"/>
                <w:szCs w:val="20"/>
                <w:color w:val="auto"/>
              </w:rPr>
            </w:pPr>
            <w:r>
              <w:rPr>
                <w:rFonts w:ascii="Arial" w:cs="Arial" w:eastAsia="Arial" w:hAnsi="Arial"/>
                <w:sz w:val="18"/>
                <w:szCs w:val="18"/>
                <w:color w:val="auto"/>
                <w:w w:val="98"/>
              </w:rPr>
              <w:t>Annual Report on Form 10-K for the</w:t>
            </w:r>
          </w:p>
        </w:tc>
        <w:tc>
          <w:tcPr>
            <w:tcW w:w="1360" w:type="dxa"/>
            <w:vAlign w:val="bottom"/>
          </w:tcPr>
          <w:p>
            <w:pPr>
              <w:spacing w:after="0"/>
              <w:rPr>
                <w:sz w:val="20"/>
                <w:szCs w:val="20"/>
                <w:color w:val="auto"/>
              </w:rPr>
            </w:pPr>
            <w:r>
              <w:rPr>
                <w:rFonts w:ascii="Arial" w:cs="Arial" w:eastAsia="Arial" w:hAnsi="Arial"/>
                <w:sz w:val="18"/>
                <w:szCs w:val="18"/>
                <w:color w:val="auto"/>
              </w:rPr>
              <w:t>December 20,</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fiscal year ended September 30,</w:t>
            </w:r>
          </w:p>
        </w:tc>
        <w:tc>
          <w:tcPr>
            <w:tcW w:w="1360" w:type="dxa"/>
            <w:vAlign w:val="bottom"/>
          </w:tcPr>
          <w:p>
            <w:pPr>
              <w:spacing w:after="0"/>
              <w:rPr>
                <w:sz w:val="20"/>
                <w:szCs w:val="20"/>
                <w:color w:val="auto"/>
              </w:rPr>
            </w:pPr>
            <w:r>
              <w:rPr>
                <w:rFonts w:ascii="Arial" w:cs="Arial" w:eastAsia="Arial" w:hAnsi="Arial"/>
                <w:sz w:val="18"/>
                <w:szCs w:val="18"/>
                <w:color w:val="auto"/>
              </w:rPr>
              <w:t>2011</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2011, as Exhibit 10.36</w:t>
            </w:r>
          </w:p>
        </w:tc>
        <w:tc>
          <w:tcPr>
            <w:tcW w:w="1360" w:type="dxa"/>
            <w:vAlign w:val="bottom"/>
          </w:tcPr>
          <w:p>
            <w:pPr>
              <w:spacing w:after="0"/>
              <w:rPr>
                <w:sz w:val="20"/>
                <w:szCs w:val="20"/>
                <w:color w:val="auto"/>
              </w:rPr>
            </w:pPr>
          </w:p>
        </w:tc>
      </w:tr>
    </w:tbl>
    <w:p>
      <w:pPr>
        <w:spacing w:after="0" w:line="107" w:lineRule="exact"/>
        <w:rPr>
          <w:sz w:val="20"/>
          <w:szCs w:val="20"/>
          <w:color w:val="auto"/>
        </w:rPr>
      </w:pPr>
    </w:p>
    <w:p>
      <w:pPr>
        <w:sectPr>
          <w:pgSz w:w="11900" w:h="16838" w:orient="portrait"/>
          <w:cols w:equalWidth="0" w:num="2">
            <w:col w:w="6580" w:space="640"/>
            <w:col w:w="4200"/>
          </w:cols>
          <w:pgMar w:left="240" w:top="118"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110"/>
              <w:spacing w:after="0"/>
              <w:rPr>
                <w:sz w:val="20"/>
                <w:szCs w:val="20"/>
                <w:color w:val="auto"/>
              </w:rPr>
            </w:pPr>
            <w:r>
              <w:rPr>
                <w:rFonts w:ascii="Arial" w:cs="Arial" w:eastAsia="Arial" w:hAnsi="Arial"/>
                <w:sz w:val="18"/>
                <w:szCs w:val="18"/>
                <w:color w:val="auto"/>
                <w:w w:val="88"/>
              </w:rPr>
              <w:t>10.12</w:t>
            </w:r>
          </w:p>
        </w:tc>
        <w:tc>
          <w:tcPr>
            <w:tcW w:w="4280" w:type="dxa"/>
            <w:vAlign w:val="bottom"/>
          </w:tcPr>
          <w:p>
            <w:pPr>
              <w:ind w:left="200"/>
              <w:spacing w:after="0"/>
              <w:rPr>
                <w:sz w:val="20"/>
                <w:szCs w:val="20"/>
                <w:color w:val="auto"/>
              </w:rPr>
            </w:pPr>
            <w:r>
              <w:rPr>
                <w:rFonts w:ascii="Arial" w:cs="Arial" w:eastAsia="Arial" w:hAnsi="Arial"/>
                <w:sz w:val="18"/>
                <w:szCs w:val="18"/>
                <w:color w:val="auto"/>
              </w:rPr>
              <w:t>Office Lease Agreement</w:t>
            </w:r>
          </w:p>
        </w:tc>
        <w:tc>
          <w:tcPr>
            <w:tcW w:w="5000" w:type="dxa"/>
            <w:vAlign w:val="bottom"/>
          </w:tcPr>
          <w:p>
            <w:pPr>
              <w:ind w:left="2320"/>
              <w:spacing w:after="0"/>
              <w:rPr>
                <w:sz w:val="20"/>
                <w:szCs w:val="20"/>
                <w:color w:val="auto"/>
              </w:rPr>
            </w:pPr>
            <w:r>
              <w:rPr>
                <w:rFonts w:ascii="Arial" w:cs="Arial" w:eastAsia="Arial" w:hAnsi="Arial"/>
                <w:sz w:val="18"/>
                <w:szCs w:val="18"/>
                <w:color w:val="auto"/>
                <w:w w:val="95"/>
              </w:rPr>
              <w:t>Quarterly Report on Form 10-Q, as</w:t>
            </w:r>
          </w:p>
        </w:tc>
        <w:tc>
          <w:tcPr>
            <w:tcW w:w="1080" w:type="dxa"/>
            <w:vAlign w:val="bottom"/>
          </w:tcPr>
          <w:p>
            <w:pPr>
              <w:ind w:left="160"/>
              <w:spacing w:after="0"/>
              <w:rPr>
                <w:sz w:val="20"/>
                <w:szCs w:val="20"/>
                <w:color w:val="auto"/>
              </w:rPr>
            </w:pPr>
            <w:r>
              <w:rPr>
                <w:rFonts w:ascii="Arial" w:cs="Arial" w:eastAsia="Arial" w:hAnsi="Arial"/>
                <w:sz w:val="18"/>
                <w:szCs w:val="18"/>
                <w:color w:val="auto"/>
                <w:w w:val="90"/>
              </w:rPr>
              <w:t>May 8, 2012</w:t>
            </w:r>
          </w:p>
        </w:tc>
      </w:tr>
      <w:tr>
        <w:trPr>
          <w:trHeight w:val="230"/>
        </w:trPr>
        <w:tc>
          <w:tcPr>
            <w:tcW w:w="6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5000" w:type="dxa"/>
            <w:vAlign w:val="bottom"/>
          </w:tcPr>
          <w:p>
            <w:pPr>
              <w:ind w:left="2320"/>
              <w:spacing w:after="0"/>
              <w:rPr>
                <w:sz w:val="20"/>
                <w:szCs w:val="20"/>
                <w:color w:val="auto"/>
              </w:rPr>
            </w:pPr>
            <w:r>
              <w:rPr>
                <w:rFonts w:ascii="Arial" w:cs="Arial" w:eastAsia="Arial" w:hAnsi="Arial"/>
                <w:sz w:val="18"/>
                <w:szCs w:val="18"/>
                <w:color w:val="auto"/>
              </w:rPr>
              <w:t>Exhibit 10.1</w:t>
            </w:r>
          </w:p>
        </w:tc>
        <w:tc>
          <w:tcPr>
            <w:tcW w:w="1080" w:type="dxa"/>
            <w:vAlign w:val="bottom"/>
          </w:tcPr>
          <w:p>
            <w:pPr>
              <w:spacing w:after="0"/>
              <w:rPr>
                <w:sz w:val="20"/>
                <w:szCs w:val="20"/>
                <w:color w:val="auto"/>
              </w:rPr>
            </w:pPr>
          </w:p>
        </w:tc>
      </w:tr>
    </w:tbl>
    <w:p>
      <w:pPr>
        <w:spacing w:after="0" w:line="107" w:lineRule="exact"/>
        <w:rPr>
          <w:sz w:val="20"/>
          <w:szCs w:val="20"/>
          <w:color w:val="auto"/>
        </w:rPr>
      </w:pPr>
    </w:p>
    <w:p>
      <w:pPr>
        <w:sectPr>
          <w:pgSz w:w="11900" w:h="16838" w:orient="portrait"/>
          <w:cols w:equalWidth="0" w:num="1">
            <w:col w:w="11420"/>
          </w:cols>
          <w:pgMar w:left="240" w:top="118" w:right="239" w:bottom="1440" w:gutter="0" w:footer="0" w:header="0"/>
          <w:type w:val="continuous"/>
        </w:sectPr>
      </w:pPr>
    </w:p>
    <w:p>
      <w:pPr>
        <w:ind w:left="820" w:right="480" w:hanging="809"/>
        <w:spacing w:after="0" w:line="277" w:lineRule="auto"/>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Subscription Agreement between Arrowhead Research Corporation and certain Investors</w:t>
      </w:r>
    </w:p>
    <w:p>
      <w:pPr>
        <w:spacing w:after="0" w:line="76" w:lineRule="exact"/>
        <w:rPr>
          <w:sz w:val="20"/>
          <w:szCs w:val="20"/>
          <w:color w:val="auto"/>
        </w:rPr>
      </w:pPr>
    </w:p>
    <w:p>
      <w:pPr>
        <w:ind w:left="820" w:right="480" w:hanging="809"/>
        <w:spacing w:after="0" w:line="277" w:lineRule="auto"/>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Subscription Agreement between Arrowhead Research Corporation and certain Investors</w:t>
      </w:r>
    </w:p>
    <w:p>
      <w:pPr>
        <w:spacing w:after="0" w:line="76" w:lineRule="exact"/>
        <w:rPr>
          <w:sz w:val="20"/>
          <w:szCs w:val="20"/>
          <w:color w:val="auto"/>
        </w:rPr>
      </w:pPr>
    </w:p>
    <w:p>
      <w:pPr>
        <w:ind w:left="820" w:right="280" w:hanging="809"/>
        <w:spacing w:after="0" w:line="277" w:lineRule="auto"/>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Securities Purchase Agreement between Arrowhead Research Corporation and certain Investors</w:t>
      </w:r>
    </w:p>
    <w:p>
      <w:pPr>
        <w:spacing w:after="0" w:line="76" w:lineRule="exact"/>
        <w:rPr>
          <w:sz w:val="20"/>
          <w:szCs w:val="20"/>
          <w:color w:val="auto"/>
        </w:rPr>
      </w:pPr>
    </w:p>
    <w:p>
      <w:pPr>
        <w:ind w:left="820" w:right="560" w:hanging="809"/>
        <w:spacing w:after="0" w:line="277" w:lineRule="auto"/>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Securities Purchase Agreement between the Company and the purchasers listed thereon.</w:t>
      </w:r>
    </w:p>
    <w:p>
      <w:pPr>
        <w:spacing w:after="0" w:line="76" w:lineRule="exact"/>
        <w:rPr>
          <w:sz w:val="20"/>
          <w:szCs w:val="20"/>
          <w:color w:val="auto"/>
        </w:rPr>
      </w:pPr>
    </w:p>
    <w:p>
      <w:pPr>
        <w:ind w:left="820" w:right="540" w:hanging="809"/>
        <w:spacing w:after="0" w:line="277" w:lineRule="auto"/>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License Agreement by and between Alnylam Pharmaceuticals, Inc., Arrowhead Research Corporation and Arrowhead Madison, Inc.†</w:t>
      </w:r>
    </w:p>
    <w:p>
      <w:pPr>
        <w:spacing w:after="0" w:line="7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Public Registered Accounting Firm*</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(contained on signature page)</w:t>
      </w:r>
    </w:p>
    <w:p>
      <w:pPr>
        <w:spacing w:after="0" w:line="131" w:lineRule="exact"/>
        <w:rPr>
          <w:sz w:val="20"/>
          <w:szCs w:val="20"/>
          <w:color w:val="auto"/>
        </w:rPr>
      </w:pPr>
    </w:p>
    <w:p>
      <w:pPr>
        <w:ind w:left="820" w:hanging="809"/>
        <w:spacing w:after="0" w:line="277" w:lineRule="auto"/>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Section 302 of the Sarbanes-Oxley Act of 2002*</w:t>
      </w:r>
    </w:p>
    <w:p>
      <w:pPr>
        <w:spacing w:after="0" w:line="76" w:lineRule="exact"/>
        <w:rPr>
          <w:sz w:val="20"/>
          <w:szCs w:val="20"/>
          <w:color w:val="auto"/>
        </w:rPr>
      </w:pPr>
    </w:p>
    <w:p>
      <w:pPr>
        <w:ind w:left="820" w:right="60" w:hanging="809"/>
        <w:spacing w:after="0" w:line="277" w:lineRule="auto"/>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Section 302 of the Sarbanes-Oxley Act of 2002*</w:t>
      </w:r>
    </w:p>
    <w:p>
      <w:pPr>
        <w:spacing w:after="0" w:line="76" w:lineRule="exact"/>
        <w:rPr>
          <w:sz w:val="20"/>
          <w:szCs w:val="20"/>
          <w:color w:val="auto"/>
        </w:rPr>
      </w:pPr>
    </w:p>
    <w:p>
      <w:pPr>
        <w:ind w:left="820" w:right="420" w:hanging="809"/>
        <w:spacing w:after="0" w:line="277" w:lineRule="auto"/>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Chief Executive Officer pursuant to Section 906 of the Sarbanes-Oxley Act of 2002***</w:t>
      </w:r>
    </w:p>
    <w:p>
      <w:pPr>
        <w:spacing w:after="0" w:line="76" w:lineRule="exact"/>
        <w:rPr>
          <w:sz w:val="20"/>
          <w:szCs w:val="20"/>
          <w:color w:val="auto"/>
        </w:rPr>
      </w:pPr>
    </w:p>
    <w:p>
      <w:pPr>
        <w:ind w:left="820" w:right="20" w:hanging="809"/>
        <w:spacing w:after="0" w:line="277" w:lineRule="auto"/>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by Chief Financial Officer pursuant to Section 906 of the Sarbanes-Oxley Act of 2002***</w:t>
      </w:r>
    </w:p>
    <w:p>
      <w:pPr>
        <w:spacing w:after="0" w:line="20" w:lineRule="exact"/>
        <w:rPr>
          <w:sz w:val="20"/>
          <w:szCs w:val="20"/>
          <w:color w:val="auto"/>
        </w:rPr>
      </w:pPr>
      <w:r>
        <w:rPr>
          <w:sz w:val="20"/>
          <w:szCs w:val="20"/>
          <w:color w:val="auto"/>
        </w:rPr>
        <w:br w:type="column"/>
      </w:r>
    </w:p>
    <w:p>
      <w:pPr>
        <w:spacing w:after="0"/>
        <w:tabs>
          <w:tab w:leader="none" w:pos="282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5"/>
          <w:szCs w:val="15"/>
          <w:color w:val="auto"/>
        </w:rPr>
        <w:t>December 12,</w:t>
      </w:r>
    </w:p>
    <w:p>
      <w:pPr>
        <w:spacing w:after="0" w:line="23"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2012</w:t>
      </w:r>
    </w:p>
    <w:p>
      <w:pPr>
        <w:spacing w:after="0" w:line="116"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6"/>
          <w:szCs w:val="16"/>
          <w:color w:val="auto"/>
        </w:rPr>
        <w:t>January 30,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99.1</w:t>
      </w:r>
    </w:p>
    <w:p>
      <w:pPr>
        <w:spacing w:after="0" w:line="116"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7"/>
          <w:szCs w:val="17"/>
          <w:color w:val="auto"/>
        </w:rPr>
        <w:t>April 30,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116"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color w:val="auto"/>
        </w:rPr>
        <w:t>Current Report on Form 8-K, as</w:t>
      </w:r>
      <w:r>
        <w:rPr>
          <w:sz w:val="20"/>
          <w:szCs w:val="20"/>
          <w:color w:val="auto"/>
        </w:rPr>
        <w:tab/>
      </w:r>
      <w:r>
        <w:rPr>
          <w:rFonts w:ascii="Arial" w:cs="Arial" w:eastAsia="Arial" w:hAnsi="Arial"/>
          <w:sz w:val="16"/>
          <w:szCs w:val="16"/>
          <w:color w:val="auto"/>
        </w:rPr>
        <w:t>October 10,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116"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color w:val="auto"/>
        </w:rPr>
        <w:t>Quarterly Report on Form 10-Q, as</w:t>
      </w:r>
      <w:r>
        <w:rPr>
          <w:sz w:val="20"/>
          <w:szCs w:val="20"/>
          <w:color w:val="auto"/>
        </w:rPr>
        <w:tab/>
      </w:r>
      <w:r>
        <w:rPr>
          <w:rFonts w:ascii="Arial" w:cs="Arial" w:eastAsia="Arial" w:hAnsi="Arial"/>
          <w:sz w:val="16"/>
          <w:szCs w:val="16"/>
          <w:color w:val="auto"/>
        </w:rPr>
        <w:t>August 12,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3344" w:lineRule="exact"/>
        <w:rPr>
          <w:sz w:val="20"/>
          <w:szCs w:val="20"/>
          <w:color w:val="auto"/>
        </w:rPr>
      </w:pPr>
    </w:p>
    <w:p>
      <w:pPr>
        <w:sectPr>
          <w:pgSz w:w="11900" w:h="16838" w:orient="portrait"/>
          <w:cols w:equalWidth="0" w:num="2">
            <w:col w:w="7100" w:space="120"/>
            <w:col w:w="420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101.INS</w:t>
            </w:r>
          </w:p>
        </w:tc>
        <w:tc>
          <w:tcPr>
            <w:tcW w:w="3060" w:type="dxa"/>
            <w:vAlign w:val="bottom"/>
          </w:tcPr>
          <w:p>
            <w:pPr>
              <w:ind w:left="60"/>
              <w:spacing w:after="0"/>
              <w:rPr>
                <w:sz w:val="20"/>
                <w:szCs w:val="20"/>
                <w:color w:val="auto"/>
              </w:rPr>
            </w:pPr>
            <w:r>
              <w:rPr>
                <w:rFonts w:ascii="Arial" w:cs="Arial" w:eastAsia="Arial" w:hAnsi="Arial"/>
                <w:sz w:val="18"/>
                <w:szCs w:val="18"/>
                <w:color w:val="auto"/>
              </w:rPr>
              <w:t>XBRL Instance Document*</w:t>
            </w: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3060" w:type="dxa"/>
            <w:vAlign w:val="bottom"/>
          </w:tcPr>
          <w:p>
            <w:pPr>
              <w:ind w:left="60"/>
              <w:spacing w:after="0"/>
              <w:rPr>
                <w:sz w:val="20"/>
                <w:szCs w:val="20"/>
                <w:color w:val="auto"/>
              </w:rPr>
            </w:pPr>
            <w:r>
              <w:rPr>
                <w:rFonts w:ascii="Arial" w:cs="Arial" w:eastAsia="Arial" w:hAnsi="Arial"/>
                <w:sz w:val="18"/>
                <w:szCs w:val="18"/>
                <w:color w:val="auto"/>
              </w:rPr>
              <w:t>XBRL Schema Document*</w:t>
            </w: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101.CAL</w:t>
            </w:r>
          </w:p>
        </w:tc>
        <w:tc>
          <w:tcPr>
            <w:tcW w:w="3060" w:type="dxa"/>
            <w:vAlign w:val="bottom"/>
          </w:tcPr>
          <w:p>
            <w:pPr>
              <w:ind w:left="60"/>
              <w:spacing w:after="0"/>
              <w:rPr>
                <w:sz w:val="20"/>
                <w:szCs w:val="20"/>
                <w:color w:val="auto"/>
              </w:rPr>
            </w:pPr>
            <w:r>
              <w:rPr>
                <w:rFonts w:ascii="Arial" w:cs="Arial" w:eastAsia="Arial" w:hAnsi="Arial"/>
                <w:sz w:val="18"/>
                <w:szCs w:val="18"/>
                <w:color w:val="auto"/>
                <w:w w:val="95"/>
              </w:rPr>
              <w:t>XBRL Calculation Linkbase Document*</w:t>
            </w: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3060" w:type="dxa"/>
            <w:vAlign w:val="bottom"/>
          </w:tcPr>
          <w:p>
            <w:pPr>
              <w:ind w:left="60"/>
              <w:spacing w:after="0"/>
              <w:rPr>
                <w:sz w:val="20"/>
                <w:szCs w:val="20"/>
                <w:color w:val="auto"/>
              </w:rPr>
            </w:pPr>
            <w:r>
              <w:rPr>
                <w:rFonts w:ascii="Arial" w:cs="Arial" w:eastAsia="Arial" w:hAnsi="Arial"/>
                <w:sz w:val="18"/>
                <w:szCs w:val="18"/>
                <w:color w:val="auto"/>
              </w:rPr>
              <w:t>XBRL Label Linkbase Document*</w:t>
            </w: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3060" w:type="dxa"/>
            <w:vAlign w:val="bottom"/>
          </w:tcPr>
          <w:p>
            <w:pPr>
              <w:ind w:left="60"/>
              <w:spacing w:after="0"/>
              <w:rPr>
                <w:sz w:val="20"/>
                <w:szCs w:val="20"/>
                <w:color w:val="auto"/>
              </w:rPr>
            </w:pPr>
            <w:r>
              <w:rPr>
                <w:rFonts w:ascii="Arial" w:cs="Arial" w:eastAsia="Arial" w:hAnsi="Arial"/>
                <w:sz w:val="18"/>
                <w:szCs w:val="18"/>
                <w:color w:val="auto"/>
                <w:w w:val="91"/>
              </w:rPr>
              <w:t>XBRL Presentation Linkbase Document*</w:t>
            </w: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3060" w:type="dxa"/>
            <w:vAlign w:val="bottom"/>
          </w:tcPr>
          <w:p>
            <w:pPr>
              <w:ind w:left="60"/>
              <w:spacing w:after="0"/>
              <w:rPr>
                <w:sz w:val="20"/>
                <w:szCs w:val="20"/>
                <w:color w:val="auto"/>
              </w:rPr>
            </w:pPr>
            <w:r>
              <w:rPr>
                <w:rFonts w:ascii="Arial" w:cs="Arial" w:eastAsia="Arial" w:hAnsi="Arial"/>
                <w:sz w:val="18"/>
                <w:szCs w:val="18"/>
                <w:color w:val="auto"/>
                <w:w w:val="99"/>
              </w:rPr>
              <w:t>XBRL Definition Linkbase Document*</w:t>
            </w:r>
          </w:p>
        </w:tc>
      </w:tr>
    </w:tbl>
    <w:p>
      <w:pPr>
        <w:spacing w:after="0" w:line="229"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compensation plan, contract or arrangement.</w:t>
      </w:r>
    </w:p>
    <w:p>
      <w:pPr>
        <w:spacing w:after="0" w:line="35" w:lineRule="exact"/>
        <w:rPr>
          <w:rFonts w:ascii="Arial" w:cs="Arial" w:eastAsia="Arial" w:hAnsi="Arial"/>
          <w:sz w:val="18"/>
          <w:szCs w:val="18"/>
          <w:color w:val="auto"/>
        </w:rPr>
      </w:pPr>
    </w:p>
    <w:p>
      <w:pPr>
        <w:ind w:left="400" w:hanging="392"/>
        <w:spacing w:after="0"/>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400" w:right="60" w:hanging="392"/>
        <w:spacing w:after="0" w:line="276" w:lineRule="auto"/>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8"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on Form 10-K to be signed on its behalf by the undersigned, thereunto duly authorized, on this 25th day of November 2014.</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ARROWHEAD RESEARCH CORPORATION</w:t>
      </w:r>
    </w:p>
    <w:p>
      <w:pPr>
        <w:spacing w:after="0" w:line="256"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r>
              <w:rPr>
                <w:rFonts w:ascii="Arial" w:cs="Arial" w:eastAsia="Arial" w:hAnsi="Arial"/>
                <w:sz w:val="13"/>
                <w:szCs w:val="13"/>
                <w:color w:val="auto"/>
              </w:rPr>
              <w:t>y</w:t>
            </w:r>
            <w:r>
              <w:rPr>
                <w:rFonts w:ascii="Arial" w:cs="Arial" w:eastAsia="Arial" w:hAnsi="Arial"/>
                <w:sz w:val="18"/>
                <w:szCs w:val="18"/>
                <w:color w:val="auto"/>
              </w:rPr>
              <w:t>:</w:t>
            </w: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Christopher Anzalone</w:t>
            </w:r>
          </w:p>
        </w:tc>
      </w:tr>
      <w:tr>
        <w:trPr>
          <w:trHeight w:val="191"/>
        </w:trPr>
        <w:tc>
          <w:tcPr>
            <w:tcW w:w="360" w:type="dxa"/>
            <w:vAlign w:val="bottom"/>
          </w:tcPr>
          <w:p>
            <w:pPr>
              <w:spacing w:after="0"/>
              <w:rPr>
                <w:sz w:val="16"/>
                <w:szCs w:val="16"/>
                <w:color w:val="auto"/>
              </w:rPr>
            </w:pPr>
          </w:p>
        </w:tc>
        <w:tc>
          <w:tcPr>
            <w:tcW w:w="42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Christopher Anzalone</w:t>
            </w:r>
          </w:p>
        </w:tc>
      </w:tr>
      <w:tr>
        <w:trPr>
          <w:trHeight w:val="234"/>
        </w:trPr>
        <w:tc>
          <w:tcPr>
            <w:tcW w:w="36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bl>
    <w:p>
      <w:pPr>
        <w:spacing w:after="0" w:line="202"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40" w:type="dxa"/>
            <w:vAlign w:val="bottom"/>
          </w:tcPr>
          <w:p>
            <w:pPr>
              <w:spacing w:after="0"/>
              <w:rPr>
                <w:sz w:val="14"/>
                <w:szCs w:val="14"/>
                <w:color w:val="auto"/>
              </w:rPr>
            </w:pPr>
          </w:p>
        </w:tc>
        <w:tc>
          <w:tcPr>
            <w:tcW w:w="536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4"/>
                <w:szCs w:val="1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31"/>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Christopher Anzalone</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Chief Executive Officer, President and</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November 25, 2014</w:t>
            </w: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0"/>
              </w:rPr>
              <w:t>Christopher Anzalone</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Director (Principal Executive Officer)</w:t>
            </w:r>
          </w:p>
        </w:tc>
        <w:tc>
          <w:tcPr>
            <w:tcW w:w="2400" w:type="dxa"/>
            <w:vAlign w:val="bottom"/>
          </w:tcPr>
          <w:p>
            <w:pPr>
              <w:spacing w:after="0"/>
              <w:rPr>
                <w:sz w:val="19"/>
                <w:szCs w:val="19"/>
                <w:color w:val="auto"/>
              </w:rPr>
            </w:pPr>
          </w:p>
        </w:tc>
      </w:tr>
      <w:tr>
        <w:trPr>
          <w:trHeight w:val="319"/>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Kenneth A. Myszkowski</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 (Principal</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November 25, 2014</w:t>
            </w: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1"/>
              </w:rPr>
              <w:t>Kenneth A. Myszkowski</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Financial and Accounting Officer)</w:t>
            </w:r>
          </w:p>
        </w:tc>
        <w:tc>
          <w:tcPr>
            <w:tcW w:w="2400" w:type="dxa"/>
            <w:vAlign w:val="bottom"/>
          </w:tcPr>
          <w:p>
            <w:pPr>
              <w:spacing w:after="0"/>
              <w:rPr>
                <w:sz w:val="19"/>
                <w:szCs w:val="19"/>
                <w:color w:val="auto"/>
              </w:rPr>
            </w:pPr>
          </w:p>
        </w:tc>
      </w:tr>
      <w:tr>
        <w:trPr>
          <w:trHeight w:val="319"/>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Douglass Given</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Director, Chairman of the Board of Directors</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November 25, 2014</w:t>
            </w: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6"/>
              </w:rPr>
              <w:t>Douglass Given</w:t>
            </w:r>
          </w:p>
        </w:tc>
        <w:tc>
          <w:tcPr>
            <w:tcW w:w="14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319"/>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Mauro Ferrari</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November 25, 2014</w:t>
            </w: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8"/>
              </w:rPr>
              <w:t>Mauro Ferrari</w:t>
            </w:r>
          </w:p>
        </w:tc>
        <w:tc>
          <w:tcPr>
            <w:tcW w:w="14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319"/>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Edward W. Frykman</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November 25, 2014</w:t>
            </w: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4"/>
              </w:rPr>
              <w:t>Edward W. Frykman</w:t>
            </w:r>
          </w:p>
        </w:tc>
        <w:tc>
          <w:tcPr>
            <w:tcW w:w="14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319"/>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Charles P. McKenney</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November 25, 2014</w:t>
            </w: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0"/>
              </w:rPr>
              <w:t>Charles P. McKenney</w:t>
            </w:r>
          </w:p>
        </w:tc>
        <w:tc>
          <w:tcPr>
            <w:tcW w:w="14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319"/>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S. Perry</w:t>
            </w:r>
          </w:p>
        </w:tc>
        <w:tc>
          <w:tcPr>
            <w:tcW w:w="56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November 25, 2014</w:t>
            </w: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3"/>
              </w:rPr>
              <w:t>Michael S. Perry</w:t>
            </w:r>
          </w:p>
        </w:tc>
        <w:tc>
          <w:tcPr>
            <w:tcW w:w="14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35"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10620" w:type="dxa"/>
            <w:vAlign w:val="bottom"/>
            <w:gridSpan w:val="7"/>
          </w:tcPr>
          <w:p>
            <w:pPr>
              <w:jc w:val="center"/>
              <w:ind w:left="710"/>
              <w:spacing w:after="0"/>
              <w:rPr>
                <w:sz w:val="20"/>
                <w:szCs w:val="20"/>
                <w:color w:val="auto"/>
              </w:rPr>
            </w:pPr>
            <w:r>
              <w:rPr>
                <w:rFonts w:ascii="Arial" w:cs="Arial" w:eastAsia="Arial" w:hAnsi="Arial"/>
                <w:sz w:val="18"/>
                <w:szCs w:val="18"/>
                <w:b w:val="1"/>
                <w:bCs w:val="1"/>
                <w:color w:val="auto"/>
              </w:rPr>
              <w:t>INDEX TO FINANCIAL STATEMENTS AND SCHEDULE</w:t>
            </w:r>
          </w:p>
        </w:tc>
        <w:tc>
          <w:tcPr>
            <w:tcW w:w="700" w:type="dxa"/>
            <w:vAlign w:val="bottom"/>
          </w:tcPr>
          <w:p>
            <w:pPr>
              <w:spacing w:after="0"/>
              <w:rPr>
                <w:sz w:val="20"/>
                <w:szCs w:val="20"/>
                <w:color w:val="auto"/>
              </w:rPr>
            </w:pPr>
          </w:p>
        </w:tc>
      </w:tr>
      <w:tr>
        <w:trPr>
          <w:trHeight w:val="419"/>
        </w:trPr>
        <w:tc>
          <w:tcPr>
            <w:tcW w:w="4300" w:type="dxa"/>
            <w:vAlign w:val="bottom"/>
            <w:tcBorders>
              <w:bottom w:val="single" w:sz="8" w:color="0000EE"/>
            </w:tcBorders>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Reports of Independent Registered Public Accounting Firm</w:t>
              </w:r>
            </w:hyperlink>
          </w:p>
        </w:tc>
        <w:tc>
          <w:tcPr>
            <w:tcW w:w="6320" w:type="dxa"/>
            <w:vAlign w:val="bottom"/>
            <w:gridSpan w:val="6"/>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196"/>
        </w:trPr>
        <w:tc>
          <w:tcPr>
            <w:tcW w:w="70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Balance Sheets of Arrowhead Research Corporation, September 30, 2014 and 2013</w:t>
              </w:r>
            </w:hyperlink>
          </w:p>
        </w:tc>
        <w:tc>
          <w:tcPr>
            <w:tcW w:w="3600" w:type="dxa"/>
            <w:vAlign w:val="bottom"/>
            <w:gridSpan w:val="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10620" w:type="dxa"/>
            <w:vAlign w:val="bottom"/>
            <w:gridSpan w:val="7"/>
          </w:tcPr>
          <w:p>
            <w:pPr>
              <w:spacing w:after="0" w:line="196" w:lineRule="exact"/>
              <w:rPr>
                <w:rFonts w:ascii="Arial" w:cs="Arial" w:eastAsia="Arial" w:hAnsi="Arial"/>
                <w:sz w:val="18"/>
                <w:szCs w:val="18"/>
                <w:color w:val="0000EE"/>
                <w:w w:val="99"/>
              </w:rPr>
            </w:pPr>
            <w:hyperlink w:anchor="page71">
              <w:r>
                <w:rPr>
                  <w:rFonts w:ascii="Arial" w:cs="Arial" w:eastAsia="Arial" w:hAnsi="Arial"/>
                  <w:sz w:val="18"/>
                  <w:szCs w:val="18"/>
                  <w:color w:val="0000EE"/>
                  <w:w w:val="99"/>
                </w:rPr>
                <w:t>Consolidated Statements of Operations of Arrowhead Research Corporation for the years ended September 30, 2014, 2013 and 2012</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0"/>
        </w:trPr>
        <w:tc>
          <w:tcPr>
            <w:tcW w:w="5820" w:type="dxa"/>
            <w:vAlign w:val="bottom"/>
            <w:gridSpan w:val="2"/>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2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Consolidated Statement of Stockholders’ Equity of Arrowhead Research Corporation for the years ended September 30, 2014, 2013, and 2012</w:t>
              </w:r>
            </w:hyperlink>
          </w:p>
        </w:tc>
        <w:tc>
          <w:tcPr>
            <w:tcW w:w="3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96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Cash Flows of Arrowhead Research Corporation for the years ended September 30, 2014, 2013 and 2012</w:t>
              </w:r>
            </w:hyperlink>
          </w:p>
        </w:tc>
        <w:tc>
          <w:tcPr>
            <w:tcW w:w="100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196"/>
        </w:trPr>
        <w:tc>
          <w:tcPr>
            <w:tcW w:w="10620" w:type="dxa"/>
            <w:vAlign w:val="bottom"/>
            <w:gridSpan w:val="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Notes to Consolidated Financial Statements of Arrowhead Research Corporation</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20"/>
        </w:trPr>
        <w:tc>
          <w:tcPr>
            <w:tcW w:w="43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885"/>
        </w:trPr>
        <w:tc>
          <w:tcPr>
            <w:tcW w:w="4300" w:type="dxa"/>
            <w:vAlign w:val="bottom"/>
          </w:tcPr>
          <w:p>
            <w:pPr>
              <w:spacing w:after="0"/>
              <w:rPr>
                <w:sz w:val="24"/>
                <w:szCs w:val="24"/>
                <w:color w:val="auto"/>
              </w:rPr>
            </w:pPr>
          </w:p>
        </w:tc>
        <w:tc>
          <w:tcPr>
            <w:tcW w:w="6320" w:type="dxa"/>
            <w:vAlign w:val="bottom"/>
            <w:gridSpan w:val="6"/>
          </w:tcPr>
          <w:p>
            <w:pPr>
              <w:jc w:val="center"/>
              <w:ind w:right="3500"/>
              <w:spacing w:after="0"/>
              <w:rPr>
                <w:sz w:val="20"/>
                <w:szCs w:val="20"/>
                <w:color w:val="auto"/>
              </w:rPr>
            </w:pPr>
            <w:r>
              <w:rPr>
                <w:rFonts w:ascii="Arial" w:cs="Arial" w:eastAsia="Arial" w:hAnsi="Arial"/>
                <w:sz w:val="18"/>
                <w:szCs w:val="18"/>
                <w:color w:val="auto"/>
                <w:w w:val="96"/>
              </w:rPr>
              <w:t>F-2</w:t>
            </w:r>
          </w:p>
        </w:tc>
        <w:tc>
          <w:tcPr>
            <w:tcW w:w="700" w:type="dxa"/>
            <w:vAlign w:val="bottom"/>
          </w:tcPr>
          <w:p>
            <w:pPr>
              <w:spacing w:after="0"/>
              <w:rPr>
                <w:sz w:val="24"/>
                <w:szCs w:val="24"/>
                <w:color w:val="auto"/>
              </w:rPr>
            </w:pPr>
          </w:p>
        </w:tc>
      </w:tr>
    </w:tbl>
    <w:p>
      <w:pPr>
        <w:sectPr>
          <w:pgSz w:w="11900" w:h="16838" w:orient="portrait"/>
          <w:cols w:equalWidth="0" w:num="1">
            <w:col w:w="11320"/>
          </w:cols>
          <w:pgMar w:left="240" w:top="135" w:right="339" w:bottom="1440" w:gutter="0" w:footer="0" w:header="0"/>
        </w:sectPr>
      </w:pPr>
    </w:p>
    <w:bookmarkStart w:id="67" w:name="page68"/>
    <w:bookmarkEnd w:id="6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Arrowhead Research Corporation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audited the accompanying consolidated balance sheets of Arrowhead Research Corporation and Subsidiaries (the “Company”) as of September 30, 2014 and 2013, and the related consolidated statements of operations, stockholders’ equity and cash flows for each of the three years in the period ended September 30, 2014.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Arrowhead Research Corporation and Subsidiaries at September 30, 2014 and 2013, and the consolidated results of their operations and their cash flows for each of the three years in the period ended September 30, 2014, in conformity with U.S. generally accepted accounting principles.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Arrowhead Research Corporation and Subsidiaries’ internal control over financial reporting as of September 30, 2014, based on criteria established in Internal Control – Integrated Framework issued by the Committee of Sponsoring Organizations of the Treadway Commission (1992 framework) and our report dated November 24, 2014 expressed an unqualified opinion thereon.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24,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35" w:right="239" w:bottom="1440" w:gutter="0" w:footer="0" w:header="0"/>
        </w:sectPr>
      </w:pPr>
    </w:p>
    <w:bookmarkStart w:id="68" w:name="page69"/>
    <w:bookmarkEnd w:id="68"/>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Arrowhead Research Corporation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Arrowhead Research Corporation and Subsidiaries’ (the “Company”) internal control over financial reporting as of September 30, 2014, based on criteria established in Internal Control – Integrated Framework issued by the Committee of Sponsoring Organizations of the Treadway Commission (1992 framework) (“the COSO criteria”). Arrowhead Research Corporation’s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93"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our opinion, Arrowhead Research Corporation and Subsidiaries maintained, in all material respects, effective internal control over financial reporting as of September 30, 2014, based on the COSO criteria.</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2014 consolidated financial statements of Arrowhead Research Corporation and Subsidiaries and our report dated November 24, 2014 expressed an unqualified opinion thereon.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24,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40" w:top="135" w:right="27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6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3"/>
              </w:rPr>
              <w:t>September 30, 2014</w:t>
            </w:r>
          </w:p>
        </w:tc>
        <w:tc>
          <w:tcPr>
            <w:tcW w:w="8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2"/>
              </w:rPr>
              <w:t>September 30, 2013</w:t>
            </w:r>
          </w:p>
        </w:tc>
        <w:tc>
          <w:tcPr>
            <w:tcW w:w="0" w:type="dxa"/>
            <w:vAlign w:val="bottom"/>
          </w:tcPr>
          <w:p>
            <w:pPr>
              <w:spacing w:after="0"/>
              <w:rPr>
                <w:sz w:val="1"/>
                <w:szCs w:val="1"/>
                <w:color w:val="auto"/>
              </w:rPr>
            </w:pPr>
          </w:p>
        </w:tc>
      </w:tr>
      <w:tr>
        <w:trPr>
          <w:trHeight w:val="196"/>
        </w:trPr>
        <w:tc>
          <w:tcPr>
            <w:tcW w:w="8120" w:type="dxa"/>
            <w:vAlign w:val="bottom"/>
          </w:tcPr>
          <w:p>
            <w:pPr>
              <w:jc w:val="center"/>
              <w:spacing w:after="0"/>
              <w:rPr>
                <w:sz w:val="20"/>
                <w:szCs w:val="20"/>
                <w:color w:val="auto"/>
              </w:rPr>
            </w:pPr>
            <w:r>
              <w:rPr>
                <w:rFonts w:ascii="Arial" w:cs="Arial" w:eastAsia="Arial" w:hAnsi="Arial"/>
                <w:sz w:val="16"/>
                <w:szCs w:val="16"/>
                <w:b w:val="1"/>
                <w:bCs w:val="1"/>
                <w:color w:val="auto"/>
                <w:w w:val="93"/>
              </w:rPr>
              <w:t>ASSETS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12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132,510,610</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19,114,444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20" w:type="dxa"/>
            <w:vAlign w:val="bottom"/>
          </w:tcPr>
          <w:p>
            <w:pPr>
              <w:ind w:left="500"/>
              <w:spacing w:after="0"/>
              <w:rPr>
                <w:sz w:val="20"/>
                <w:szCs w:val="20"/>
                <w:color w:val="auto"/>
              </w:rPr>
            </w:pPr>
            <w:r>
              <w:rPr>
                <w:rFonts w:ascii="Arial" w:cs="Arial" w:eastAsia="Arial" w:hAnsi="Arial"/>
                <w:sz w:val="16"/>
                <w:szCs w:val="16"/>
                <w:color w:val="auto"/>
              </w:rPr>
              <w:t>Trade receivable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expenses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588,626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532,354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20" w:type="dxa"/>
            <w:vAlign w:val="bottom"/>
          </w:tcPr>
          <w:p>
            <w:pPr>
              <w:ind w:left="500"/>
              <w:spacing w:after="0"/>
              <w:rPr>
                <w:sz w:val="20"/>
                <w:szCs w:val="20"/>
                <w:color w:val="auto"/>
              </w:rPr>
            </w:pPr>
            <w:r>
              <w:rPr>
                <w:rFonts w:ascii="Arial" w:cs="Arial" w:eastAsia="Arial" w:hAnsi="Arial"/>
                <w:sz w:val="16"/>
                <w:szCs w:val="16"/>
                <w:color w:val="auto"/>
              </w:rPr>
              <w:t>Other current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48,502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Short term investments</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21,653,032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9,030,261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20" w:type="dxa"/>
            <w:vAlign w:val="bottom"/>
          </w:tcPr>
          <w:p>
            <w:pPr>
              <w:ind w:left="74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154,800,770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28,843,719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Property and equipment, net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3,872,753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3,513,235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2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1,013,473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3,240,513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Investments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23,088,346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1,702,153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2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41,414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30,011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Borders>
              <w:bottom w:val="single" w:sz="8" w:color="CFF0FC"/>
            </w:tcBorders>
            <w:shd w:val="clear" w:color="auto" w:fill="CFF0FC"/>
          </w:tcPr>
          <w:p>
            <w:pPr>
              <w:ind w:left="1120"/>
              <w:spacing w:after="0"/>
              <w:rPr>
                <w:sz w:val="20"/>
                <w:szCs w:val="20"/>
                <w:color w:val="auto"/>
              </w:rPr>
            </w:pPr>
            <w:r>
              <w:rPr>
                <w:rFonts w:ascii="Arial" w:cs="Arial" w:eastAsia="Arial" w:hAnsi="Arial"/>
                <w:sz w:val="16"/>
                <w:szCs w:val="16"/>
                <w:b w:val="1"/>
                <w:bCs w:val="1"/>
                <w:color w:val="auto"/>
              </w:rPr>
              <w:t>TOTAL ASSETS</w:t>
            </w:r>
          </w:p>
        </w:tc>
        <w:tc>
          <w:tcPr>
            <w:tcW w:w="340" w:type="dxa"/>
            <w:vAlign w:val="bottom"/>
            <w:tcBorders>
              <w:bottom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182,816,756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37,329,631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2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2,579,478</w:t>
            </w:r>
          </w:p>
        </w:tc>
        <w:tc>
          <w:tcPr>
            <w:tcW w:w="140" w:type="dxa"/>
            <w:vAlign w:val="bottom"/>
          </w:tcPr>
          <w:p>
            <w:pPr>
              <w:spacing w:after="0"/>
              <w:rPr>
                <w:sz w:val="18"/>
                <w:szCs w:val="18"/>
                <w:color w:val="auto"/>
              </w:rPr>
            </w:pPr>
          </w:p>
        </w:tc>
        <w:tc>
          <w:tcPr>
            <w:tcW w:w="420" w:type="dxa"/>
            <w:vAlign w:val="bottom"/>
            <w:gridSpan w:val="2"/>
          </w:tcPr>
          <w:p>
            <w:pPr>
              <w:jc w:val="right"/>
              <w:ind w:right="182"/>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1,199,632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1,399,486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638,884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20" w:type="dxa"/>
            <w:vAlign w:val="bottom"/>
          </w:tcPr>
          <w:p>
            <w:pPr>
              <w:ind w:left="500"/>
              <w:spacing w:after="0"/>
              <w:rPr>
                <w:sz w:val="20"/>
                <w:szCs w:val="20"/>
                <w:color w:val="auto"/>
              </w:rPr>
            </w:pPr>
            <w:r>
              <w:rPr>
                <w:rFonts w:ascii="Arial" w:cs="Arial" w:eastAsia="Arial" w:hAnsi="Arial"/>
                <w:sz w:val="16"/>
                <w:szCs w:val="16"/>
                <w:color w:val="auto"/>
              </w:rPr>
              <w:t>Accrued payroll and benefits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3,268,506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905,771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revenue</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103,125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20" w:type="dxa"/>
            <w:vAlign w:val="bottom"/>
          </w:tcPr>
          <w:p>
            <w:pPr>
              <w:ind w:left="500"/>
              <w:spacing w:after="0"/>
              <w:rPr>
                <w:sz w:val="20"/>
                <w:szCs w:val="20"/>
                <w:color w:val="auto"/>
              </w:rPr>
            </w:pPr>
            <w:r>
              <w:rPr>
                <w:rFonts w:ascii="Arial" w:cs="Arial" w:eastAsia="Arial" w:hAnsi="Arial"/>
                <w:sz w:val="16"/>
                <w:szCs w:val="16"/>
                <w:color w:val="auto"/>
              </w:rPr>
              <w:t>Derivative liabilities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4,173,943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4,096,363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Capital lease obligation</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213,991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221,345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20" w:type="dxa"/>
            <w:vAlign w:val="bottom"/>
          </w:tcPr>
          <w:p>
            <w:pPr>
              <w:ind w:left="500"/>
              <w:spacing w:after="0"/>
              <w:rPr>
                <w:sz w:val="20"/>
                <w:szCs w:val="20"/>
                <w:color w:val="auto"/>
              </w:rPr>
            </w:pPr>
            <w:r>
              <w:rPr>
                <w:rFonts w:ascii="Arial" w:cs="Arial" w:eastAsia="Arial" w:hAnsi="Arial"/>
                <w:sz w:val="16"/>
                <w:szCs w:val="16"/>
                <w:color w:val="auto"/>
              </w:rPr>
              <w:t>Notes payable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971,557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58,495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588,343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20" w:type="dxa"/>
            <w:vAlign w:val="bottom"/>
          </w:tcPr>
          <w:p>
            <w:pPr>
              <w:ind w:left="74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11,847,024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8,725,020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LONG-TERM LIABILITIES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20" w:type="dxa"/>
            <w:vAlign w:val="bottom"/>
          </w:tcPr>
          <w:p>
            <w:pPr>
              <w:ind w:left="500"/>
              <w:spacing w:after="0"/>
              <w:rPr>
                <w:sz w:val="20"/>
                <w:szCs w:val="20"/>
                <w:color w:val="auto"/>
              </w:rPr>
            </w:pPr>
            <w:r>
              <w:rPr>
                <w:rFonts w:ascii="Arial" w:cs="Arial" w:eastAsia="Arial" w:hAnsi="Arial"/>
                <w:sz w:val="16"/>
                <w:szCs w:val="16"/>
                <w:color w:val="auto"/>
              </w:rPr>
              <w:t>Notes payable, net of current portion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Capital lease obligation, net of current portion</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758,340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1,061,113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20" w:type="dxa"/>
            <w:vAlign w:val="bottom"/>
          </w:tcPr>
          <w:p>
            <w:pPr>
              <w:ind w:left="500"/>
              <w:spacing w:after="0"/>
              <w:rPr>
                <w:sz w:val="20"/>
                <w:szCs w:val="20"/>
                <w:color w:val="auto"/>
              </w:rPr>
            </w:pPr>
            <w:r>
              <w:rPr>
                <w:rFonts w:ascii="Arial" w:cs="Arial" w:eastAsia="Arial" w:hAnsi="Arial"/>
                <w:sz w:val="16"/>
                <w:szCs w:val="16"/>
                <w:color w:val="auto"/>
              </w:rPr>
              <w:t>Contingent consideration obligations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3,970,931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1,595,273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255,206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163,436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20" w:type="dxa"/>
            <w:vAlign w:val="bottom"/>
          </w:tcPr>
          <w:p>
            <w:pPr>
              <w:ind w:left="740"/>
              <w:spacing w:after="0"/>
              <w:rPr>
                <w:sz w:val="20"/>
                <w:szCs w:val="20"/>
                <w:color w:val="auto"/>
              </w:rPr>
            </w:pPr>
            <w:r>
              <w:rPr>
                <w:rFonts w:ascii="Arial" w:cs="Arial" w:eastAsia="Arial" w:hAnsi="Arial"/>
                <w:sz w:val="16"/>
                <w:szCs w:val="16"/>
                <w:color w:val="auto"/>
              </w:rPr>
              <w:t>TOTAL LONG-TERM LIABILITIES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4,984,477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2,869,822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Commitments and contingencies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20" w:type="dxa"/>
            <w:vAlign w:val="bottom"/>
          </w:tcPr>
          <w:p>
            <w:pPr>
              <w:ind w:left="140"/>
              <w:spacing w:after="0"/>
              <w:rPr>
                <w:sz w:val="20"/>
                <w:szCs w:val="20"/>
                <w:color w:val="auto"/>
              </w:rPr>
            </w:pPr>
            <w:r>
              <w:rPr>
                <w:rFonts w:ascii="Arial" w:cs="Arial" w:eastAsia="Arial" w:hAnsi="Arial"/>
                <w:sz w:val="16"/>
                <w:szCs w:val="16"/>
                <w:color w:val="auto"/>
              </w:rPr>
              <w:t>STOCKHOLDERS’ EQUITY</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Arrowhead Research Corporation stockholders' equity:</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120" w:type="dxa"/>
            <w:vAlign w:val="bottom"/>
          </w:tcPr>
          <w:p>
            <w:pPr>
              <w:ind w:left="500"/>
              <w:spacing w:after="0"/>
              <w:rPr>
                <w:sz w:val="20"/>
                <w:szCs w:val="20"/>
                <w:color w:val="auto"/>
              </w:rPr>
            </w:pPr>
            <w:r>
              <w:rPr>
                <w:rFonts w:ascii="Arial" w:cs="Arial" w:eastAsia="Arial" w:hAnsi="Arial"/>
                <w:sz w:val="16"/>
                <w:szCs w:val="16"/>
                <w:color w:val="auto"/>
              </w:rPr>
              <w:t>Preferred stock, $0.001 par value; 5,000,000 shares authorized; 18,300 and 9,900 shares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20" w:type="dxa"/>
            <w:vAlign w:val="bottom"/>
          </w:tcPr>
          <w:p>
            <w:pPr>
              <w:ind w:left="620"/>
              <w:spacing w:after="0"/>
              <w:rPr>
                <w:sz w:val="20"/>
                <w:szCs w:val="20"/>
                <w:color w:val="auto"/>
              </w:rPr>
            </w:pPr>
            <w:r>
              <w:rPr>
                <w:rFonts w:ascii="Arial" w:cs="Arial" w:eastAsia="Arial" w:hAnsi="Arial"/>
                <w:sz w:val="16"/>
                <w:szCs w:val="16"/>
                <w:color w:val="auto"/>
              </w:rPr>
              <w:t>issued and outstanding as of September 30, 2014 and September 30, 2013, respectively</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stock, $0.001 par value; 145,000,000 shares authorized; 54,656,936 and</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32,489,444 shares issued and outstanding as of September 30, 2014 and</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1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September 30, 2013, respectively</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147,026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20" w:type="dxa"/>
            <w:vAlign w:val="bottom"/>
          </w:tcPr>
          <w:p>
            <w:pPr>
              <w:ind w:left="50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391,164,558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193,514,766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Accumulated deficit</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(224,771,159)</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(166,140,969)</w:t>
            </w:r>
          </w:p>
        </w:tc>
        <w:tc>
          <w:tcPr>
            <w:tcW w:w="0" w:type="dxa"/>
            <w:vAlign w:val="bottom"/>
          </w:tcPr>
          <w:p>
            <w:pPr>
              <w:spacing w:after="0"/>
              <w:rPr>
                <w:sz w:val="1"/>
                <w:szCs w:val="1"/>
                <w:color w:val="auto"/>
              </w:rPr>
            </w:pPr>
          </w:p>
        </w:tc>
      </w:tr>
      <w:tr>
        <w:trPr>
          <w:trHeight w:val="207"/>
        </w:trPr>
        <w:tc>
          <w:tcPr>
            <w:tcW w:w="8120" w:type="dxa"/>
            <w:vAlign w:val="bottom"/>
          </w:tcPr>
          <w:p>
            <w:pPr>
              <w:ind w:left="620"/>
              <w:spacing w:after="0"/>
              <w:rPr>
                <w:sz w:val="20"/>
                <w:szCs w:val="20"/>
                <w:color w:val="auto"/>
              </w:rPr>
            </w:pPr>
            <w:r>
              <w:rPr>
                <w:rFonts w:ascii="Arial" w:cs="Arial" w:eastAsia="Arial" w:hAnsi="Arial"/>
                <w:sz w:val="16"/>
                <w:szCs w:val="16"/>
                <w:color w:val="auto"/>
              </w:rPr>
              <w:t>Total Arrowhead Research Corporation stockholders' equity</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166,540,443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27,498,666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Non-controlling interest</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(555,188)</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(1,763,877)</w:t>
            </w:r>
          </w:p>
        </w:tc>
        <w:tc>
          <w:tcPr>
            <w:tcW w:w="0" w:type="dxa"/>
            <w:vAlign w:val="bottom"/>
          </w:tcPr>
          <w:p>
            <w:pPr>
              <w:spacing w:after="0"/>
              <w:rPr>
                <w:sz w:val="1"/>
                <w:szCs w:val="1"/>
                <w:color w:val="auto"/>
              </w:rPr>
            </w:pPr>
          </w:p>
        </w:tc>
      </w:tr>
      <w:tr>
        <w:trPr>
          <w:trHeight w:val="207"/>
        </w:trPr>
        <w:tc>
          <w:tcPr>
            <w:tcW w:w="81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165,985,255</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25,734,789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b w:val="1"/>
                <w:bCs w:val="1"/>
                <w:color w:val="auto"/>
              </w:rPr>
              <w:t>TOTAL LIABILITIES AND STOCKHOLDERS’ EQUITY</w:t>
            </w:r>
          </w:p>
        </w:tc>
        <w:tc>
          <w:tcPr>
            <w:tcW w:w="340" w:type="dxa"/>
            <w:vAlign w:val="bottom"/>
            <w:tcBorders>
              <w:bottom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182,816,756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37,329,631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35"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1"/>
              </w:rPr>
              <w:t>Year Ended September 30,</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REVENUE</w:t>
            </w:r>
          </w:p>
        </w:tc>
        <w:tc>
          <w:tcPr>
            <w:tcW w:w="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9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175,000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290,266</w:t>
            </w:r>
          </w:p>
        </w:tc>
        <w:tc>
          <w:tcPr>
            <w:tcW w:w="22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146,875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OPERATING EXPENSES</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500"/>
              <w:spacing w:after="0"/>
              <w:rPr>
                <w:sz w:val="20"/>
                <w:szCs w:val="20"/>
                <w:color w:val="auto"/>
              </w:rPr>
            </w:pPr>
            <w:r>
              <w:rPr>
                <w:rFonts w:ascii="Arial" w:cs="Arial" w:eastAsia="Arial" w:hAnsi="Arial"/>
                <w:sz w:val="16"/>
                <w:szCs w:val="16"/>
                <w:color w:val="auto"/>
              </w:rPr>
              <w:t>Research and development</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23,138,050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8,705,627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5,391,463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Salaries and payroll-related costs</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12,829,355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6,667,669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6,414,921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500"/>
              <w:spacing w:after="0"/>
              <w:rPr>
                <w:sz w:val="20"/>
                <w:szCs w:val="20"/>
                <w:color w:val="auto"/>
              </w:rPr>
            </w:pPr>
            <w:r>
              <w:rPr>
                <w:rFonts w:ascii="Arial" w:cs="Arial" w:eastAsia="Arial" w:hAnsi="Arial"/>
                <w:sz w:val="16"/>
                <w:szCs w:val="16"/>
                <w:color w:val="auto"/>
              </w:rPr>
              <w:t>General and administrative expenses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5,894,008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3,488,864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6,439,323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5,696,173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1,536,271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1,241,404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1,345,655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1,751,412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1,748,975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Impairment expense</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2,172,387</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1,308,047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Contingent consideration - Fair Value Adjustments</w:t>
            </w:r>
          </w:p>
        </w:tc>
        <w:tc>
          <w:tcPr>
            <w:tcW w:w="9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2,375,658</w:t>
            </w: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1,421,652</w:t>
            </w:r>
          </w:p>
        </w:tc>
        <w:tc>
          <w:tcPr>
            <w:tcW w:w="2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shd w:val="clear" w:color="auto" w:fill="CFF0FC"/>
          </w:tcPr>
          <w:p>
            <w:pPr>
              <w:ind w:left="620"/>
              <w:spacing w:after="0"/>
              <w:rPr>
                <w:sz w:val="20"/>
                <w:szCs w:val="20"/>
                <w:color w:val="auto"/>
              </w:rPr>
            </w:pPr>
            <w:r>
              <w:rPr>
                <w:rFonts w:ascii="Arial" w:cs="Arial" w:eastAsia="Arial" w:hAnsi="Arial"/>
                <w:sz w:val="16"/>
                <w:szCs w:val="16"/>
                <w:color w:val="auto"/>
              </w:rPr>
              <w:t>TOTAL OPERATING EXPENSES</w:t>
            </w:r>
          </w:p>
        </w:tc>
        <w:tc>
          <w:tcPr>
            <w:tcW w:w="9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53,451,286</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24,879,542</w:t>
            </w:r>
          </w:p>
        </w:tc>
        <w:tc>
          <w:tcPr>
            <w:tcW w:w="2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21,236,086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40" w:type="dxa"/>
            <w:vAlign w:val="bottom"/>
          </w:tcPr>
          <w:p>
            <w:pPr>
              <w:ind w:left="140"/>
              <w:spacing w:after="0"/>
              <w:rPr>
                <w:sz w:val="20"/>
                <w:szCs w:val="20"/>
                <w:color w:val="auto"/>
              </w:rPr>
            </w:pPr>
            <w:r>
              <w:rPr>
                <w:rFonts w:ascii="Arial" w:cs="Arial" w:eastAsia="Arial" w:hAnsi="Arial"/>
                <w:sz w:val="16"/>
                <w:szCs w:val="16"/>
                <w:color w:val="auto"/>
              </w:rPr>
              <w:t>OPERATING LOSS</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(53,276,286)</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(24,589,276)</w:t>
            </w:r>
          </w:p>
        </w:tc>
        <w:tc>
          <w:tcPr>
            <w:tcW w:w="3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(21,089,211)</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OTHER INCOME (EXPENSE)</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500"/>
              <w:spacing w:after="0"/>
              <w:rPr>
                <w:sz w:val="20"/>
                <w:szCs w:val="20"/>
                <w:color w:val="auto"/>
              </w:rPr>
            </w:pPr>
            <w:r>
              <w:rPr>
                <w:rFonts w:ascii="Arial" w:cs="Arial" w:eastAsia="Arial" w:hAnsi="Arial"/>
                <w:sz w:val="16"/>
                <w:szCs w:val="16"/>
                <w:color w:val="auto"/>
              </w:rPr>
              <w:t>Equity in income (loss) of unconsolidated affiliates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(78,874)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(641,141)</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(240,154)</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Impairment on investment in unconsolidated affiliates</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(1,642,775)</w:t>
            </w:r>
          </w:p>
        </w:tc>
        <w:tc>
          <w:tcPr>
            <w:tcW w:w="0" w:type="dxa"/>
            <w:vAlign w:val="bottom"/>
          </w:tcPr>
          <w:p>
            <w:pPr>
              <w:spacing w:after="0"/>
              <w:rPr>
                <w:sz w:val="1"/>
                <w:szCs w:val="1"/>
                <w:color w:val="auto"/>
              </w:rPr>
            </w:pPr>
          </w:p>
        </w:tc>
      </w:tr>
      <w:tr>
        <w:trPr>
          <w:trHeight w:val="213"/>
        </w:trPr>
        <w:tc>
          <w:tcPr>
            <w:tcW w:w="5940" w:type="dxa"/>
            <w:vAlign w:val="bottom"/>
          </w:tcPr>
          <w:p>
            <w:pPr>
              <w:ind w:left="500"/>
              <w:spacing w:after="0"/>
              <w:rPr>
                <w:sz w:val="20"/>
                <w:szCs w:val="20"/>
                <w:color w:val="auto"/>
              </w:rPr>
            </w:pPr>
            <w:r>
              <w:rPr>
                <w:rFonts w:ascii="Arial" w:cs="Arial" w:eastAsia="Arial" w:hAnsi="Arial"/>
                <w:sz w:val="16"/>
                <w:szCs w:val="16"/>
                <w:color w:val="auto"/>
              </w:rPr>
              <w:t>Gain on purchase of Roche Madison</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1,576,107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(loss) on sale of fixed assets, net</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(58,878)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(76,388)</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(1,079,377)</w:t>
            </w:r>
          </w:p>
        </w:tc>
        <w:tc>
          <w:tcPr>
            <w:tcW w:w="0" w:type="dxa"/>
            <w:vAlign w:val="bottom"/>
          </w:tcPr>
          <w:p>
            <w:pPr>
              <w:spacing w:after="0"/>
              <w:rPr>
                <w:sz w:val="1"/>
                <w:szCs w:val="1"/>
                <w:color w:val="auto"/>
              </w:rPr>
            </w:pPr>
          </w:p>
        </w:tc>
      </w:tr>
      <w:tr>
        <w:trPr>
          <w:trHeight w:val="213"/>
        </w:trPr>
        <w:tc>
          <w:tcPr>
            <w:tcW w:w="5940" w:type="dxa"/>
            <w:vAlign w:val="bottom"/>
          </w:tcPr>
          <w:p>
            <w:pPr>
              <w:ind w:left="500"/>
              <w:spacing w:after="0"/>
              <w:rPr>
                <w:sz w:val="20"/>
                <w:szCs w:val="20"/>
                <w:color w:val="auto"/>
              </w:rPr>
            </w:pPr>
            <w:r>
              <w:rPr>
                <w:rFonts w:ascii="Arial" w:cs="Arial" w:eastAsia="Arial" w:hAnsi="Arial"/>
                <w:sz w:val="16"/>
                <w:szCs w:val="16"/>
                <w:color w:val="auto"/>
              </w:rPr>
              <w:t>Realized and unrealized gain (loss) in marketable securities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(58,091)</w:t>
            </w: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Interest income (expense), net</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645,493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(97,910)</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35,966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500"/>
              <w:spacing w:after="0"/>
              <w:rPr>
                <w:sz w:val="20"/>
                <w:szCs w:val="20"/>
                <w:color w:val="auto"/>
              </w:rPr>
            </w:pPr>
            <w:r>
              <w:rPr>
                <w:rFonts w:ascii="Arial" w:cs="Arial" w:eastAsia="Arial" w:hAnsi="Arial"/>
                <w:sz w:val="16"/>
                <w:szCs w:val="16"/>
                <w:color w:val="auto"/>
              </w:rPr>
              <w:t>Change in value of derivatives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(6,033,659)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(5,300,389)</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386,892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income (expense)</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82,092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(997,975)</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40" w:type="dxa"/>
            <w:vAlign w:val="bottom"/>
            <w:tcBorders>
              <w:bottom w:val="single" w:sz="8" w:color="CFF0FC"/>
            </w:tcBorders>
          </w:tcPr>
          <w:p>
            <w:pPr>
              <w:ind w:left="620"/>
              <w:spacing w:after="0"/>
              <w:rPr>
                <w:sz w:val="20"/>
                <w:szCs w:val="20"/>
                <w:color w:val="auto"/>
              </w:rPr>
            </w:pPr>
            <w:r>
              <w:rPr>
                <w:rFonts w:ascii="Arial" w:cs="Arial" w:eastAsia="Arial" w:hAnsi="Arial"/>
                <w:sz w:val="16"/>
                <w:szCs w:val="16"/>
                <w:color w:val="auto"/>
              </w:rPr>
              <w:t>TOTAL OTHER INCOME (EXPENSE)</w:t>
            </w:r>
          </w:p>
        </w:tc>
        <w:tc>
          <w:tcPr>
            <w:tcW w:w="920" w:type="dxa"/>
            <w:vAlign w:val="bottom"/>
            <w:tcBorders>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(5,443,826)</w:t>
            </w: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(7,113,803)</w:t>
            </w:r>
          </w:p>
        </w:tc>
        <w:tc>
          <w:tcPr>
            <w:tcW w:w="22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(1,021,432)</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LOSS FROM CONTINUING OPERATIONS BEFORE INCOME TAXES</w:t>
            </w: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(58,720,112)</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(31,703,079)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(22,110,643)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500"/>
              <w:spacing w:after="0"/>
              <w:rPr>
                <w:sz w:val="20"/>
                <w:szCs w:val="20"/>
                <w:color w:val="auto"/>
              </w:rPr>
            </w:pPr>
            <w:r>
              <w:rPr>
                <w:rFonts w:ascii="Arial" w:cs="Arial" w:eastAsia="Arial" w:hAnsi="Arial"/>
                <w:sz w:val="16"/>
                <w:szCs w:val="16"/>
                <w:color w:val="auto"/>
              </w:rPr>
              <w:t>Provision for income taxes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(5,300)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LOSS FROM CONTINUING OPERATIONS</w:t>
            </w:r>
          </w:p>
        </w:tc>
        <w:tc>
          <w:tcPr>
            <w:tcW w:w="9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(58,725,412)</w:t>
            </w: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(31,703,079)</w:t>
            </w: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(22,110,643)</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500"/>
              <w:spacing w:after="0"/>
              <w:rPr>
                <w:sz w:val="20"/>
                <w:szCs w:val="20"/>
                <w:color w:val="auto"/>
              </w:rPr>
            </w:pPr>
            <w:r>
              <w:rPr>
                <w:rFonts w:ascii="Arial" w:cs="Arial" w:eastAsia="Arial" w:hAnsi="Arial"/>
                <w:sz w:val="16"/>
                <w:szCs w:val="16"/>
                <w:color w:val="auto"/>
              </w:rPr>
              <w:t>Income (loss) from discontinued operations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(354)</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3"/>
        </w:trPr>
        <w:tc>
          <w:tcPr>
            <w:tcW w:w="59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NET INCOME (LOSS) FROM DISCONTINUED OPERATIONS</w:t>
            </w:r>
          </w:p>
        </w:tc>
        <w:tc>
          <w:tcPr>
            <w:tcW w:w="9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(354)</w:t>
            </w: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(80)</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(58,725,412)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(31,703,433)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(22,110,723)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(gain) loss attributable to non-controlling interests</w:t>
            </w:r>
          </w:p>
        </w:tc>
        <w:tc>
          <w:tcPr>
            <w:tcW w:w="9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95,222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560,144</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984,795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4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NET LOSS ATTRIBUTABLE TO ARROWHEAD</w:t>
            </w:r>
          </w:p>
        </w:tc>
        <w:tc>
          <w:tcPr>
            <w:tcW w:w="9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(58,630,190)</w:t>
            </w:r>
          </w:p>
        </w:tc>
        <w:tc>
          <w:tcPr>
            <w:tcW w:w="6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(31,143,289)</w:t>
            </w:r>
          </w:p>
        </w:tc>
        <w:tc>
          <w:tcPr>
            <w:tcW w:w="2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(21,125,928)</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NET LOSS PER SHARE ATTRIBUTABLE TO ARROWHEAD</w:t>
            </w:r>
          </w:p>
        </w:tc>
        <w:tc>
          <w:tcPr>
            <w:tcW w:w="9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(1.25)</w:t>
            </w: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(1.30)</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(1.90)</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500"/>
              <w:spacing w:after="0"/>
              <w:rPr>
                <w:sz w:val="20"/>
                <w:szCs w:val="20"/>
                <w:color w:val="auto"/>
              </w:rPr>
            </w:pPr>
            <w:r>
              <w:rPr>
                <w:rFonts w:ascii="Arial" w:cs="Arial" w:eastAsia="Arial" w:hAnsi="Arial"/>
                <w:sz w:val="16"/>
                <w:szCs w:val="16"/>
                <w:color w:val="auto"/>
              </w:rPr>
              <w:t>SHAREHOLDERS - BASIC &amp; DILUTED:</w:t>
            </w:r>
          </w:p>
        </w:tc>
        <w:tc>
          <w:tcPr>
            <w:tcW w:w="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tcBorders>
              <w:bottom w:val="single" w:sz="8" w:color="CFF0FC"/>
            </w:tcBorders>
            <w:vMerge w:val="continue"/>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Weighted average shares outstanding - basic and diluted</w:t>
            </w:r>
          </w:p>
        </w:tc>
        <w:tc>
          <w:tcPr>
            <w:tcW w:w="9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46,933,030</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24,002,224</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11,129,766</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3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660" w:type="dxa"/>
            <w:vAlign w:val="bottom"/>
          </w:tcPr>
          <w:p>
            <w:pPr>
              <w:spacing w:after="0"/>
              <w:rPr>
                <w:sz w:val="16"/>
                <w:szCs w:val="16"/>
                <w:color w:val="auto"/>
              </w:rPr>
            </w:pPr>
          </w:p>
        </w:tc>
        <w:tc>
          <w:tcPr>
            <w:tcW w:w="1320" w:type="dxa"/>
            <w:vAlign w:val="bottom"/>
            <w:gridSpan w:val="4"/>
          </w:tcPr>
          <w:p>
            <w:pPr>
              <w:ind w:left="300"/>
              <w:spacing w:after="0"/>
              <w:rPr>
                <w:sz w:val="20"/>
                <w:szCs w:val="20"/>
                <w:color w:val="auto"/>
              </w:rPr>
            </w:pPr>
            <w:r>
              <w:rPr>
                <w:rFonts w:ascii="Arial" w:cs="Arial" w:eastAsia="Arial" w:hAnsi="Arial"/>
                <w:sz w:val="14"/>
                <w:szCs w:val="14"/>
                <w:b w:val="1"/>
                <w:bCs w:val="1"/>
                <w:color w:val="auto"/>
                <w:w w:val="95"/>
              </w:rPr>
              <w:t>Preferred Stock</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Paid-</w:t>
            </w:r>
          </w:p>
        </w:tc>
        <w:tc>
          <w:tcPr>
            <w:tcW w:w="80" w:type="dxa"/>
            <w:vAlign w:val="bottom"/>
          </w:tcPr>
          <w:p>
            <w:pPr>
              <w:spacing w:after="0"/>
              <w:rPr>
                <w:sz w:val="16"/>
                <w:szCs w:val="16"/>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Subscription</w:t>
            </w:r>
          </w:p>
        </w:tc>
        <w:tc>
          <w:tcPr>
            <w:tcW w:w="10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3"/>
              </w:rPr>
              <w:t>controlling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660" w:type="dxa"/>
            <w:vAlign w:val="bottom"/>
          </w:tcPr>
          <w:p>
            <w:pPr>
              <w:spacing w:after="0"/>
              <w:rPr>
                <w:sz w:val="14"/>
                <w:szCs w:val="14"/>
                <w:color w:val="auto"/>
              </w:rPr>
            </w:pPr>
          </w:p>
        </w:tc>
        <w:tc>
          <w:tcPr>
            <w:tcW w:w="7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 xml:space="preserve">Amount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200" w:type="dxa"/>
            <w:vAlign w:val="bottom"/>
          </w:tcPr>
          <w:p>
            <w:pPr>
              <w:spacing w:after="0"/>
              <w:rPr>
                <w:sz w:val="14"/>
                <w:szCs w:val="14"/>
                <w:color w:val="auto"/>
              </w:rPr>
            </w:pPr>
          </w:p>
        </w:tc>
        <w:tc>
          <w:tcPr>
            <w:tcW w:w="8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 xml:space="preserve">Amount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 Capital</w:t>
            </w:r>
          </w:p>
        </w:tc>
        <w:tc>
          <w:tcPr>
            <w:tcW w:w="8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Receivable</w:t>
            </w:r>
          </w:p>
        </w:tc>
        <w:tc>
          <w:tcPr>
            <w:tcW w:w="10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78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Totals</w:t>
            </w:r>
          </w:p>
        </w:tc>
      </w:tr>
      <w:tr>
        <w:trPr>
          <w:trHeight w:val="169"/>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2011</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8,642,286</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86,422</w:t>
            </w:r>
          </w:p>
        </w:tc>
        <w:tc>
          <w:tcPr>
            <w:tcW w:w="14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91"/>
              </w:rPr>
              <w:t>$ 127,476,435</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(900,000)</w:t>
            </w:r>
          </w:p>
        </w:tc>
        <w:tc>
          <w:tcPr>
            <w:tcW w:w="200" w:type="dxa"/>
            <w:vAlign w:val="bottom"/>
            <w:tcBorders>
              <w:top w:val="single" w:sz="8" w:color="CFF0FC"/>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86"/>
              </w:rPr>
              <w:t>$ (113,871,752)</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(226,938)</w:t>
            </w:r>
          </w:p>
        </w:tc>
        <w:tc>
          <w:tcPr>
            <w:tcW w:w="12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12,564,167</w:t>
            </w:r>
          </w:p>
        </w:tc>
        <w:tc>
          <w:tcPr>
            <w:tcW w:w="100" w:type="dxa"/>
            <w:vAlign w:val="bottom"/>
            <w:tcBorders>
              <w:top w:val="single" w:sz="8" w:color="CFF0FC"/>
            </w:tcBorders>
            <w:shd w:val="clear" w:color="auto" w:fill="CFF0FC"/>
          </w:tcPr>
          <w:p>
            <w:pPr>
              <w:spacing w:after="0"/>
              <w:rPr>
                <w:sz w:val="14"/>
                <w:szCs w:val="14"/>
                <w:color w:val="auto"/>
              </w:rPr>
            </w:pPr>
          </w:p>
        </w:tc>
      </w:tr>
      <w:tr>
        <w:trPr>
          <w:trHeight w:val="176"/>
        </w:trPr>
        <w:tc>
          <w:tcPr>
            <w:tcW w:w="2660" w:type="dxa"/>
            <w:vAlign w:val="bottom"/>
          </w:tcPr>
          <w:p>
            <w:pPr>
              <w:ind w:left="140"/>
              <w:spacing w:after="0"/>
              <w:rPr>
                <w:sz w:val="20"/>
                <w:szCs w:val="20"/>
                <w:color w:val="auto"/>
              </w:rPr>
            </w:pPr>
            <w:r>
              <w:rPr>
                <w:rFonts w:ascii="Arial" w:cs="Arial" w:eastAsia="Arial" w:hAnsi="Arial"/>
                <w:sz w:val="14"/>
                <w:szCs w:val="14"/>
                <w:color w:val="auto"/>
              </w:rPr>
              <w:t>Exercise of warrants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15,511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50,390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50,406</w:t>
            </w:r>
          </w:p>
        </w:tc>
        <w:tc>
          <w:tcPr>
            <w:tcW w:w="100" w:type="dxa"/>
            <w:vAlign w:val="bottom"/>
          </w:tcPr>
          <w:p>
            <w:pPr>
              <w:spacing w:after="0"/>
              <w:rPr>
                <w:sz w:val="15"/>
                <w:szCs w:val="15"/>
                <w:color w:val="auto"/>
              </w:rPr>
            </w:pPr>
          </w:p>
        </w:tc>
      </w:tr>
      <w:tr>
        <w:trPr>
          <w:trHeight w:val="176"/>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4,583</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23,788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23,833</w:t>
            </w:r>
          </w:p>
        </w:tc>
        <w:tc>
          <w:tcPr>
            <w:tcW w:w="100" w:type="dxa"/>
            <w:vAlign w:val="bottom"/>
            <w:shd w:val="clear" w:color="auto" w:fill="CFF0FC"/>
          </w:tcPr>
          <w:p>
            <w:pPr>
              <w:spacing w:after="0"/>
              <w:rPr>
                <w:sz w:val="15"/>
                <w:szCs w:val="15"/>
                <w:color w:val="auto"/>
              </w:rPr>
            </w:pPr>
          </w:p>
        </w:tc>
      </w:tr>
      <w:tr>
        <w:trPr>
          <w:trHeight w:val="176"/>
        </w:trPr>
        <w:tc>
          <w:tcPr>
            <w:tcW w:w="2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1,241,404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1,241,404</w:t>
            </w:r>
          </w:p>
        </w:tc>
        <w:tc>
          <w:tcPr>
            <w:tcW w:w="100" w:type="dxa"/>
            <w:vAlign w:val="bottom"/>
          </w:tcPr>
          <w:p>
            <w:pPr>
              <w:spacing w:after="0"/>
              <w:rPr>
                <w:sz w:val="15"/>
                <w:szCs w:val="15"/>
                <w:color w:val="auto"/>
              </w:rPr>
            </w:pPr>
          </w:p>
        </w:tc>
      </w:tr>
      <w:tr>
        <w:trPr>
          <w:trHeight w:val="176"/>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6"/>
              </w:rPr>
              <w:t>Common stock issued @ $3.80 per share</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138,158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1,382</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523,618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(100,000)</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425,000</w:t>
            </w:r>
          </w:p>
        </w:tc>
        <w:tc>
          <w:tcPr>
            <w:tcW w:w="100" w:type="dxa"/>
            <w:vAlign w:val="bottom"/>
            <w:shd w:val="clear" w:color="auto" w:fill="CFF0FC"/>
          </w:tcPr>
          <w:p>
            <w:pPr>
              <w:spacing w:after="0"/>
              <w:rPr>
                <w:sz w:val="15"/>
                <w:szCs w:val="15"/>
                <w:color w:val="auto"/>
              </w:rPr>
            </w:pPr>
          </w:p>
        </w:tc>
      </w:tr>
      <w:tr>
        <w:trPr>
          <w:trHeight w:val="176"/>
        </w:trPr>
        <w:tc>
          <w:tcPr>
            <w:tcW w:w="2660" w:type="dxa"/>
            <w:vAlign w:val="bottom"/>
          </w:tcPr>
          <w:p>
            <w:pPr>
              <w:ind w:left="140"/>
              <w:spacing w:after="0"/>
              <w:rPr>
                <w:sz w:val="20"/>
                <w:szCs w:val="20"/>
                <w:color w:val="auto"/>
              </w:rPr>
            </w:pPr>
            <w:r>
              <w:rPr>
                <w:rFonts w:ascii="Arial" w:cs="Arial" w:eastAsia="Arial" w:hAnsi="Arial"/>
                <w:sz w:val="14"/>
                <w:szCs w:val="14"/>
                <w:color w:val="auto"/>
                <w:w w:val="96"/>
              </w:rPr>
              <w:t>Common stock issued @ $3.70 per share</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675,000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6,750</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2,241,000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2,247,750</w:t>
            </w:r>
          </w:p>
        </w:tc>
        <w:tc>
          <w:tcPr>
            <w:tcW w:w="100" w:type="dxa"/>
            <w:vAlign w:val="bottom"/>
          </w:tcPr>
          <w:p>
            <w:pPr>
              <w:spacing w:after="0"/>
              <w:rPr>
                <w:sz w:val="15"/>
                <w:szCs w:val="15"/>
                <w:color w:val="auto"/>
              </w:rPr>
            </w:pPr>
          </w:p>
        </w:tc>
      </w:tr>
      <w:tr>
        <w:trPr>
          <w:trHeight w:val="176"/>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6"/>
              </w:rPr>
              <w:t>Common stock issued @ $4.00 per share</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399,000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FF0FC"/>
          </w:tcPr>
          <w:p>
            <w:pPr>
              <w:spacing w:after="0"/>
              <w:rPr>
                <w:sz w:val="15"/>
                <w:szCs w:val="15"/>
                <w:color w:val="auto"/>
              </w:rPr>
            </w:pPr>
          </w:p>
        </w:tc>
      </w:tr>
      <w:tr>
        <w:trPr>
          <w:trHeight w:val="176"/>
        </w:trPr>
        <w:tc>
          <w:tcPr>
            <w:tcW w:w="2660" w:type="dxa"/>
            <w:vAlign w:val="bottom"/>
          </w:tcPr>
          <w:p>
            <w:pPr>
              <w:ind w:left="140"/>
              <w:spacing w:after="0"/>
              <w:rPr>
                <w:sz w:val="20"/>
                <w:szCs w:val="20"/>
                <w:color w:val="auto"/>
              </w:rPr>
            </w:pPr>
            <w:r>
              <w:rPr>
                <w:rFonts w:ascii="Arial" w:cs="Arial" w:eastAsia="Arial" w:hAnsi="Arial"/>
                <w:sz w:val="14"/>
                <w:szCs w:val="14"/>
                <w:color w:val="auto"/>
                <w:w w:val="96"/>
              </w:rPr>
              <w:t>Common stock issued @ $6.23 per share</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83,211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83</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499,918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500,001</w:t>
            </w:r>
          </w:p>
        </w:tc>
        <w:tc>
          <w:tcPr>
            <w:tcW w:w="100" w:type="dxa"/>
            <w:vAlign w:val="bottom"/>
          </w:tcPr>
          <w:p>
            <w:pPr>
              <w:spacing w:after="0"/>
              <w:rPr>
                <w:sz w:val="15"/>
                <w:szCs w:val="15"/>
                <w:color w:val="auto"/>
              </w:rPr>
            </w:pPr>
          </w:p>
        </w:tc>
      </w:tr>
      <w:tr>
        <w:trPr>
          <w:trHeight w:val="176"/>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6"/>
              </w:rPr>
              <w:t>Common stock issued @ $5.11 per share</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97,831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499,903</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500,001</w:t>
            </w:r>
          </w:p>
        </w:tc>
        <w:tc>
          <w:tcPr>
            <w:tcW w:w="100" w:type="dxa"/>
            <w:vAlign w:val="bottom"/>
            <w:shd w:val="clear" w:color="auto" w:fill="CFF0FC"/>
          </w:tcPr>
          <w:p>
            <w:pPr>
              <w:spacing w:after="0"/>
              <w:rPr>
                <w:sz w:val="15"/>
                <w:szCs w:val="15"/>
                <w:color w:val="auto"/>
              </w:rPr>
            </w:pPr>
          </w:p>
        </w:tc>
      </w:tr>
      <w:tr>
        <w:trPr>
          <w:trHeight w:val="157"/>
        </w:trPr>
        <w:tc>
          <w:tcPr>
            <w:tcW w:w="2660" w:type="dxa"/>
            <w:vAlign w:val="bottom"/>
          </w:tcPr>
          <w:p>
            <w:pPr>
              <w:ind w:left="140"/>
              <w:spacing w:after="0" w:line="157" w:lineRule="exact"/>
              <w:rPr>
                <w:sz w:val="20"/>
                <w:szCs w:val="20"/>
                <w:color w:val="auto"/>
              </w:rPr>
            </w:pPr>
            <w:r>
              <w:rPr>
                <w:rFonts w:ascii="Arial" w:cs="Arial" w:eastAsia="Arial" w:hAnsi="Arial"/>
                <w:sz w:val="14"/>
                <w:szCs w:val="14"/>
                <w:color w:val="auto"/>
              </w:rPr>
              <w:t>Common stock and warrants issued @</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2660" w:type="dxa"/>
            <w:vAlign w:val="bottom"/>
          </w:tcPr>
          <w:p>
            <w:pPr>
              <w:ind w:left="140"/>
              <w:spacing w:after="0"/>
              <w:rPr>
                <w:sz w:val="20"/>
                <w:szCs w:val="20"/>
                <w:color w:val="auto"/>
              </w:rPr>
            </w:pPr>
            <w:r>
              <w:rPr>
                <w:rFonts w:ascii="Arial" w:cs="Arial" w:eastAsia="Arial" w:hAnsi="Arial"/>
                <w:sz w:val="14"/>
                <w:szCs w:val="14"/>
                <w:color w:val="auto"/>
              </w:rPr>
              <w:t>$2.76 per unit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2,260,869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2,261</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5,809,979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(16,000)</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5,796,240</w:t>
            </w:r>
          </w:p>
        </w:tc>
        <w:tc>
          <w:tcPr>
            <w:tcW w:w="100" w:type="dxa"/>
            <w:vAlign w:val="bottom"/>
          </w:tcPr>
          <w:p>
            <w:pPr>
              <w:spacing w:after="0"/>
              <w:rPr>
                <w:sz w:val="15"/>
                <w:szCs w:val="15"/>
                <w:color w:val="auto"/>
              </w:rPr>
            </w:pPr>
          </w:p>
        </w:tc>
      </w:tr>
      <w:tr>
        <w:trPr>
          <w:trHeight w:val="157"/>
        </w:trPr>
        <w:tc>
          <w:tcPr>
            <w:tcW w:w="2660" w:type="dxa"/>
            <w:vAlign w:val="bottom"/>
            <w:shd w:val="clear" w:color="auto" w:fill="CFF0FC"/>
          </w:tcPr>
          <w:p>
            <w:pPr>
              <w:ind w:left="140"/>
              <w:spacing w:after="0" w:line="157" w:lineRule="exact"/>
              <w:rPr>
                <w:sz w:val="20"/>
                <w:szCs w:val="20"/>
                <w:color w:val="auto"/>
              </w:rPr>
            </w:pPr>
            <w:r>
              <w:rPr>
                <w:rFonts w:ascii="Arial" w:cs="Arial" w:eastAsia="Arial" w:hAnsi="Arial"/>
                <w:sz w:val="14"/>
                <w:szCs w:val="14"/>
                <w:color w:val="auto"/>
              </w:rPr>
              <w:t>Common stock issued under Committed</w:t>
            </w: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1"/>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Capital Agreement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68,926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w:t>
            </w:r>
          </w:p>
        </w:tc>
        <w:tc>
          <w:tcPr>
            <w:tcW w:w="14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(689)</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r>
      <w:tr>
        <w:trPr>
          <w:trHeight w:val="176"/>
        </w:trPr>
        <w:tc>
          <w:tcPr>
            <w:tcW w:w="2660" w:type="dxa"/>
            <w:vAlign w:val="bottom"/>
          </w:tcPr>
          <w:p>
            <w:pPr>
              <w:ind w:left="140"/>
              <w:spacing w:after="0"/>
              <w:rPr>
                <w:sz w:val="20"/>
                <w:szCs w:val="20"/>
                <w:color w:val="auto"/>
              </w:rPr>
            </w:pPr>
            <w:r>
              <w:rPr>
                <w:rFonts w:ascii="Arial" w:cs="Arial" w:eastAsia="Arial" w:hAnsi="Arial"/>
                <w:sz w:val="14"/>
                <w:szCs w:val="14"/>
                <w:color w:val="auto"/>
              </w:rPr>
              <w:t>Common stock issued in acquisitions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1,217,159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9,332</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6,138,498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6,147,830</w:t>
            </w:r>
          </w:p>
        </w:tc>
        <w:tc>
          <w:tcPr>
            <w:tcW w:w="100" w:type="dxa"/>
            <w:vAlign w:val="bottom"/>
          </w:tcPr>
          <w:p>
            <w:pPr>
              <w:spacing w:after="0"/>
              <w:rPr>
                <w:sz w:val="15"/>
                <w:szCs w:val="15"/>
                <w:color w:val="auto"/>
              </w:rPr>
            </w:pPr>
          </w:p>
        </w:tc>
      </w:tr>
      <w:tr>
        <w:trPr>
          <w:trHeight w:val="157"/>
        </w:trPr>
        <w:tc>
          <w:tcPr>
            <w:tcW w:w="2660" w:type="dxa"/>
            <w:vAlign w:val="bottom"/>
            <w:shd w:val="clear" w:color="auto" w:fill="CFF0FC"/>
          </w:tcPr>
          <w:p>
            <w:pPr>
              <w:ind w:left="140"/>
              <w:spacing w:after="0" w:line="157" w:lineRule="exact"/>
              <w:rPr>
                <w:sz w:val="20"/>
                <w:szCs w:val="20"/>
                <w:color w:val="auto"/>
              </w:rPr>
            </w:pPr>
            <w:r>
              <w:rPr>
                <w:rFonts w:ascii="Arial" w:cs="Arial" w:eastAsia="Arial" w:hAnsi="Arial"/>
                <w:sz w:val="14"/>
                <w:szCs w:val="14"/>
                <w:color w:val="auto"/>
                <w:w w:val="90"/>
              </w:rPr>
              <w:t>Fractional shares redeemed in reverse stock</w:t>
            </w: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1"/>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split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(131)</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r>
      <w:tr>
        <w:trPr>
          <w:trHeight w:val="176"/>
        </w:trPr>
        <w:tc>
          <w:tcPr>
            <w:tcW w:w="2660" w:type="dxa"/>
            <w:vAlign w:val="bottom"/>
          </w:tcPr>
          <w:p>
            <w:pPr>
              <w:ind w:left="140"/>
              <w:spacing w:after="0"/>
              <w:rPr>
                <w:sz w:val="20"/>
                <w:szCs w:val="20"/>
                <w:color w:val="auto"/>
              </w:rPr>
            </w:pPr>
            <w:r>
              <w:rPr>
                <w:rFonts w:ascii="Arial" w:cs="Arial" w:eastAsia="Arial" w:hAnsi="Arial"/>
                <w:sz w:val="14"/>
                <w:szCs w:val="14"/>
                <w:color w:val="auto"/>
                <w:w w:val="93"/>
              </w:rPr>
              <w:t>Preferred stock issued @ $1,000 per share</w:t>
            </w:r>
          </w:p>
        </w:tc>
        <w:tc>
          <w:tcPr>
            <w:tcW w:w="640" w:type="dxa"/>
            <w:vAlign w:val="bottom"/>
          </w:tcPr>
          <w:p>
            <w:pPr>
              <w:jc w:val="right"/>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1,014,999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1,015,000</w:t>
            </w:r>
          </w:p>
        </w:tc>
        <w:tc>
          <w:tcPr>
            <w:tcW w:w="100" w:type="dxa"/>
            <w:vAlign w:val="bottom"/>
          </w:tcPr>
          <w:p>
            <w:pPr>
              <w:spacing w:after="0"/>
              <w:rPr>
                <w:sz w:val="15"/>
                <w:szCs w:val="15"/>
                <w:color w:val="auto"/>
              </w:rPr>
            </w:pPr>
          </w:p>
        </w:tc>
      </w:tr>
      <w:tr>
        <w:trPr>
          <w:trHeight w:val="176"/>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2"/>
              </w:rPr>
              <w:t>Preferred stock converted to common stock</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(1,015)</w:t>
            </w: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275,782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w:t>
            </w:r>
          </w:p>
        </w:tc>
        <w:tc>
          <w:tcPr>
            <w:tcW w:w="14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(275)</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r>
      <w:tr>
        <w:trPr>
          <w:trHeight w:val="176"/>
        </w:trPr>
        <w:tc>
          <w:tcPr>
            <w:tcW w:w="2660" w:type="dxa"/>
            <w:vAlign w:val="bottom"/>
          </w:tcPr>
          <w:p>
            <w:pPr>
              <w:ind w:left="140"/>
              <w:spacing w:after="0"/>
              <w:rPr>
                <w:sz w:val="20"/>
                <w:szCs w:val="20"/>
                <w:color w:val="auto"/>
              </w:rPr>
            </w:pPr>
            <w:r>
              <w:rPr>
                <w:rFonts w:ascii="Arial" w:cs="Arial" w:eastAsia="Arial" w:hAnsi="Arial"/>
                <w:sz w:val="14"/>
                <w:szCs w:val="14"/>
                <w:color w:val="auto"/>
              </w:rPr>
              <w:t>Exercise of Calando stock options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8,000</w:t>
            </w:r>
          </w:p>
        </w:tc>
        <w:tc>
          <w:tcPr>
            <w:tcW w:w="100" w:type="dxa"/>
            <w:vAlign w:val="bottom"/>
          </w:tcPr>
          <w:p>
            <w:pPr>
              <w:spacing w:after="0"/>
              <w:rPr>
                <w:sz w:val="15"/>
                <w:szCs w:val="15"/>
                <w:color w:val="auto"/>
              </w:rPr>
            </w:pPr>
          </w:p>
        </w:tc>
      </w:tr>
      <w:tr>
        <w:trPr>
          <w:trHeight w:val="157"/>
        </w:trPr>
        <w:tc>
          <w:tcPr>
            <w:tcW w:w="2660" w:type="dxa"/>
            <w:vAlign w:val="bottom"/>
            <w:shd w:val="clear" w:color="auto" w:fill="CFF0FC"/>
          </w:tcPr>
          <w:p>
            <w:pPr>
              <w:ind w:left="140"/>
              <w:spacing w:after="0" w:line="157" w:lineRule="exact"/>
              <w:rPr>
                <w:sz w:val="20"/>
                <w:szCs w:val="20"/>
                <w:color w:val="auto"/>
              </w:rPr>
            </w:pPr>
            <w:r>
              <w:rPr>
                <w:rFonts w:ascii="Arial" w:cs="Arial" w:eastAsia="Arial" w:hAnsi="Arial"/>
                <w:sz w:val="14"/>
                <w:szCs w:val="14"/>
                <w:color w:val="auto"/>
                <w:w w:val="94"/>
              </w:rPr>
              <w:t>Net loss for the year ended September 30,</w:t>
            </w: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1"/>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2012</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(21,125,928)</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(984,795)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w w:val="98"/>
              </w:rPr>
              <w:t>(22,110,723)</w:t>
            </w:r>
          </w:p>
        </w:tc>
      </w:tr>
      <w:tr>
        <w:trPr>
          <w:trHeight w:val="169"/>
        </w:trPr>
        <w:tc>
          <w:tcPr>
            <w:tcW w:w="2660" w:type="dxa"/>
            <w:vAlign w:val="bottom"/>
          </w:tcPr>
          <w:p>
            <w:pPr>
              <w:spacing w:after="0"/>
              <w:rPr>
                <w:sz w:val="20"/>
                <w:szCs w:val="20"/>
                <w:color w:val="auto"/>
              </w:rPr>
            </w:pPr>
            <w:r>
              <w:rPr>
                <w:rFonts w:ascii="Arial" w:cs="Arial" w:eastAsia="Arial" w:hAnsi="Arial"/>
                <w:sz w:val="14"/>
                <w:szCs w:val="14"/>
                <w:b w:val="1"/>
                <w:bCs w:val="1"/>
                <w:color w:val="auto"/>
              </w:rPr>
              <w:t>Balance at September 30, 2012</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13,579,185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108,354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$ 145,917,968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(1,016,000)</w:t>
            </w:r>
          </w:p>
        </w:tc>
        <w:tc>
          <w:tcPr>
            <w:tcW w:w="20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 (134,997,680)</w:t>
            </w:r>
          </w:p>
        </w:tc>
        <w:tc>
          <w:tcPr>
            <w:tcW w:w="2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(1,203,733)</w:t>
            </w:r>
          </w:p>
        </w:tc>
        <w:tc>
          <w:tcPr>
            <w:tcW w:w="120" w:type="dxa"/>
            <w:vAlign w:val="bottom"/>
          </w:tcPr>
          <w:p>
            <w:pPr>
              <w:spacing w:after="0"/>
              <w:rPr>
                <w:sz w:val="14"/>
                <w:szCs w:val="14"/>
                <w:color w:val="auto"/>
              </w:rPr>
            </w:pPr>
          </w:p>
        </w:tc>
        <w:tc>
          <w:tcPr>
            <w:tcW w:w="2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8,808,909</w:t>
            </w:r>
          </w:p>
        </w:tc>
        <w:tc>
          <w:tcPr>
            <w:tcW w:w="100" w:type="dxa"/>
            <w:vAlign w:val="bottom"/>
          </w:tcPr>
          <w:p>
            <w:pPr>
              <w:spacing w:after="0"/>
              <w:rPr>
                <w:sz w:val="14"/>
                <w:szCs w:val="14"/>
                <w:color w:val="auto"/>
              </w:rPr>
            </w:pPr>
          </w:p>
        </w:tc>
      </w:tr>
      <w:tr>
        <w:trPr>
          <w:trHeight w:val="176"/>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warrants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1,182,451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1,183</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2,053,416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2,054,599</w:t>
            </w:r>
          </w:p>
        </w:tc>
        <w:tc>
          <w:tcPr>
            <w:tcW w:w="100" w:type="dxa"/>
            <w:vAlign w:val="bottom"/>
            <w:shd w:val="clear" w:color="auto" w:fill="CFF0FC"/>
          </w:tcPr>
          <w:p>
            <w:pPr>
              <w:spacing w:after="0"/>
              <w:rPr>
                <w:sz w:val="15"/>
                <w:szCs w:val="15"/>
                <w:color w:val="auto"/>
              </w:rPr>
            </w:pPr>
          </w:p>
        </w:tc>
      </w:tr>
      <w:tr>
        <w:trPr>
          <w:trHeight w:val="176"/>
        </w:trPr>
        <w:tc>
          <w:tcPr>
            <w:tcW w:w="266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2,578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2,579</w:t>
            </w:r>
          </w:p>
        </w:tc>
        <w:tc>
          <w:tcPr>
            <w:tcW w:w="100" w:type="dxa"/>
            <w:vAlign w:val="bottom"/>
          </w:tcPr>
          <w:p>
            <w:pPr>
              <w:spacing w:after="0"/>
              <w:rPr>
                <w:sz w:val="15"/>
                <w:szCs w:val="15"/>
                <w:color w:val="auto"/>
              </w:rPr>
            </w:pPr>
          </w:p>
        </w:tc>
      </w:tr>
      <w:tr>
        <w:trPr>
          <w:trHeight w:val="176"/>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1,536,271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1,536,271</w:t>
            </w:r>
          </w:p>
        </w:tc>
        <w:tc>
          <w:tcPr>
            <w:tcW w:w="100" w:type="dxa"/>
            <w:vAlign w:val="bottom"/>
            <w:shd w:val="clear" w:color="auto" w:fill="CFF0FC"/>
          </w:tcPr>
          <w:p>
            <w:pPr>
              <w:spacing w:after="0"/>
              <w:rPr>
                <w:sz w:val="15"/>
                <w:szCs w:val="15"/>
                <w:color w:val="auto"/>
              </w:rPr>
            </w:pPr>
          </w:p>
        </w:tc>
      </w:tr>
      <w:tr>
        <w:trPr>
          <w:trHeight w:val="176"/>
        </w:trPr>
        <w:tc>
          <w:tcPr>
            <w:tcW w:w="2660" w:type="dxa"/>
            <w:vAlign w:val="bottom"/>
          </w:tcPr>
          <w:p>
            <w:pPr>
              <w:ind w:left="140"/>
              <w:spacing w:after="0"/>
              <w:rPr>
                <w:sz w:val="20"/>
                <w:szCs w:val="20"/>
                <w:color w:val="auto"/>
              </w:rPr>
            </w:pPr>
            <w:r>
              <w:rPr>
                <w:rFonts w:ascii="Arial" w:cs="Arial" w:eastAsia="Arial" w:hAnsi="Arial"/>
                <w:sz w:val="14"/>
                <w:szCs w:val="14"/>
                <w:color w:val="auto"/>
              </w:rPr>
              <w:t>Subscription payment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16,000</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16,000</w:t>
            </w:r>
          </w:p>
        </w:tc>
        <w:tc>
          <w:tcPr>
            <w:tcW w:w="100" w:type="dxa"/>
            <w:vAlign w:val="bottom"/>
          </w:tcPr>
          <w:p>
            <w:pPr>
              <w:spacing w:after="0"/>
              <w:rPr>
                <w:sz w:val="15"/>
                <w:szCs w:val="15"/>
                <w:color w:val="auto"/>
              </w:rPr>
            </w:pPr>
          </w:p>
        </w:tc>
      </w:tr>
      <w:tr>
        <w:trPr>
          <w:trHeight w:val="176"/>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Subscription reversal</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(267,444)</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(2,674)</w:t>
            </w: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(997,326)</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1,000,000</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r>
      <w:tr>
        <w:trPr>
          <w:trHeight w:val="157"/>
        </w:trPr>
        <w:tc>
          <w:tcPr>
            <w:tcW w:w="2660" w:type="dxa"/>
            <w:vAlign w:val="bottom"/>
          </w:tcPr>
          <w:p>
            <w:pPr>
              <w:ind w:left="140"/>
              <w:spacing w:after="0" w:line="157" w:lineRule="exact"/>
              <w:rPr>
                <w:sz w:val="20"/>
                <w:szCs w:val="20"/>
                <w:color w:val="auto"/>
              </w:rPr>
            </w:pPr>
            <w:r>
              <w:rPr>
                <w:rFonts w:ascii="Arial" w:cs="Arial" w:eastAsia="Arial" w:hAnsi="Arial"/>
                <w:sz w:val="14"/>
                <w:szCs w:val="14"/>
                <w:color w:val="auto"/>
                <w:w w:val="91"/>
              </w:rPr>
              <w:t>Common stock issued @ $4.49 per share to</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2660" w:type="dxa"/>
            <w:vAlign w:val="bottom"/>
          </w:tcPr>
          <w:p>
            <w:pPr>
              <w:ind w:left="140"/>
              <w:spacing w:after="0"/>
              <w:rPr>
                <w:sz w:val="20"/>
                <w:szCs w:val="20"/>
                <w:color w:val="auto"/>
              </w:rPr>
            </w:pPr>
            <w:r>
              <w:rPr>
                <w:rFonts w:ascii="Arial" w:cs="Arial" w:eastAsia="Arial" w:hAnsi="Arial"/>
                <w:sz w:val="14"/>
                <w:szCs w:val="14"/>
                <w:color w:val="auto"/>
              </w:rPr>
              <w:t>Roche</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239,894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240</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985,809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986,049</w:t>
            </w:r>
          </w:p>
        </w:tc>
        <w:tc>
          <w:tcPr>
            <w:tcW w:w="100" w:type="dxa"/>
            <w:vAlign w:val="bottom"/>
          </w:tcPr>
          <w:p>
            <w:pPr>
              <w:spacing w:after="0"/>
              <w:rPr>
                <w:sz w:val="15"/>
                <w:szCs w:val="15"/>
                <w:color w:val="auto"/>
              </w:rPr>
            </w:pPr>
          </w:p>
        </w:tc>
      </w:tr>
      <w:tr>
        <w:trPr>
          <w:trHeight w:val="157"/>
        </w:trPr>
        <w:tc>
          <w:tcPr>
            <w:tcW w:w="2660" w:type="dxa"/>
            <w:vAlign w:val="bottom"/>
            <w:shd w:val="clear" w:color="auto" w:fill="CFF0FC"/>
          </w:tcPr>
          <w:p>
            <w:pPr>
              <w:ind w:left="140"/>
              <w:spacing w:after="0" w:line="157" w:lineRule="exact"/>
              <w:rPr>
                <w:sz w:val="20"/>
                <w:szCs w:val="20"/>
                <w:color w:val="auto"/>
              </w:rPr>
            </w:pPr>
            <w:r>
              <w:rPr>
                <w:rFonts w:ascii="Arial" w:cs="Arial" w:eastAsia="Arial" w:hAnsi="Arial"/>
                <w:sz w:val="14"/>
                <w:szCs w:val="14"/>
                <w:color w:val="auto"/>
              </w:rPr>
              <w:t>Common stock and warrants issued @</w:t>
            </w: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1"/>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$2.26 per unit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1,825,079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1,825</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3,814,643</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3,816,468</w:t>
            </w:r>
          </w:p>
        </w:tc>
        <w:tc>
          <w:tcPr>
            <w:tcW w:w="100" w:type="dxa"/>
            <w:vAlign w:val="bottom"/>
            <w:shd w:val="clear" w:color="auto" w:fill="CFF0FC"/>
          </w:tcPr>
          <w:p>
            <w:pPr>
              <w:spacing w:after="0"/>
              <w:rPr>
                <w:sz w:val="15"/>
                <w:szCs w:val="15"/>
                <w:color w:val="auto"/>
              </w:rPr>
            </w:pPr>
          </w:p>
        </w:tc>
      </w:tr>
      <w:tr>
        <w:trPr>
          <w:trHeight w:val="157"/>
        </w:trPr>
        <w:tc>
          <w:tcPr>
            <w:tcW w:w="2660" w:type="dxa"/>
            <w:vAlign w:val="bottom"/>
          </w:tcPr>
          <w:p>
            <w:pPr>
              <w:ind w:left="140"/>
              <w:spacing w:after="0" w:line="157" w:lineRule="exact"/>
              <w:rPr>
                <w:sz w:val="20"/>
                <w:szCs w:val="20"/>
                <w:color w:val="auto"/>
              </w:rPr>
            </w:pPr>
            <w:r>
              <w:rPr>
                <w:rFonts w:ascii="Arial" w:cs="Arial" w:eastAsia="Arial" w:hAnsi="Arial"/>
                <w:sz w:val="14"/>
                <w:szCs w:val="14"/>
                <w:color w:val="auto"/>
              </w:rPr>
              <w:t>Common stock and warrants issued @</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2660" w:type="dxa"/>
            <w:vAlign w:val="bottom"/>
          </w:tcPr>
          <w:p>
            <w:pPr>
              <w:ind w:left="140"/>
              <w:spacing w:after="0"/>
              <w:rPr>
                <w:sz w:val="20"/>
                <w:szCs w:val="20"/>
                <w:color w:val="auto"/>
              </w:rPr>
            </w:pPr>
            <w:r>
              <w:rPr>
                <w:rFonts w:ascii="Arial" w:cs="Arial" w:eastAsia="Arial" w:hAnsi="Arial"/>
                <w:sz w:val="14"/>
                <w:szCs w:val="14"/>
                <w:color w:val="auto"/>
              </w:rPr>
              <w:t>$2.12 per unit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1,667,051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1,667</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3,255,192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3,256,859</w:t>
            </w:r>
          </w:p>
        </w:tc>
        <w:tc>
          <w:tcPr>
            <w:tcW w:w="100" w:type="dxa"/>
            <w:vAlign w:val="bottom"/>
          </w:tcPr>
          <w:p>
            <w:pPr>
              <w:spacing w:after="0"/>
              <w:rPr>
                <w:sz w:val="15"/>
                <w:szCs w:val="15"/>
                <w:color w:val="auto"/>
              </w:rPr>
            </w:pPr>
          </w:p>
        </w:tc>
      </w:tr>
      <w:tr>
        <w:trPr>
          <w:trHeight w:val="157"/>
        </w:trPr>
        <w:tc>
          <w:tcPr>
            <w:tcW w:w="2660" w:type="dxa"/>
            <w:vAlign w:val="bottom"/>
            <w:shd w:val="clear" w:color="auto" w:fill="CFF0FC"/>
          </w:tcPr>
          <w:p>
            <w:pPr>
              <w:ind w:left="140"/>
              <w:spacing w:after="0" w:line="157" w:lineRule="exact"/>
              <w:rPr>
                <w:sz w:val="20"/>
                <w:szCs w:val="20"/>
                <w:color w:val="auto"/>
              </w:rPr>
            </w:pPr>
            <w:r>
              <w:rPr>
                <w:rFonts w:ascii="Arial" w:cs="Arial" w:eastAsia="Arial" w:hAnsi="Arial"/>
                <w:sz w:val="14"/>
                <w:szCs w:val="14"/>
                <w:color w:val="auto"/>
              </w:rPr>
              <w:t>Common stock and warrants issued @</w:t>
            </w: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1"/>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$1.83 per unit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14,262,553</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14,263</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25,445,236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25,459,499</w:t>
            </w:r>
          </w:p>
        </w:tc>
        <w:tc>
          <w:tcPr>
            <w:tcW w:w="100" w:type="dxa"/>
            <w:vAlign w:val="bottom"/>
            <w:shd w:val="clear" w:color="auto" w:fill="CFF0FC"/>
          </w:tcPr>
          <w:p>
            <w:pPr>
              <w:spacing w:after="0"/>
              <w:rPr>
                <w:sz w:val="15"/>
                <w:szCs w:val="15"/>
                <w:color w:val="auto"/>
              </w:rPr>
            </w:pPr>
          </w:p>
        </w:tc>
      </w:tr>
      <w:tr>
        <w:trPr>
          <w:trHeight w:val="157"/>
        </w:trPr>
        <w:tc>
          <w:tcPr>
            <w:tcW w:w="2660" w:type="dxa"/>
            <w:vAlign w:val="bottom"/>
          </w:tcPr>
          <w:p>
            <w:pPr>
              <w:ind w:left="140"/>
              <w:spacing w:after="0" w:line="157" w:lineRule="exact"/>
              <w:rPr>
                <w:sz w:val="20"/>
                <w:szCs w:val="20"/>
                <w:color w:val="auto"/>
              </w:rPr>
            </w:pPr>
            <w:r>
              <w:rPr>
                <w:rFonts w:ascii="Arial" w:cs="Arial" w:eastAsia="Arial" w:hAnsi="Arial"/>
                <w:sz w:val="14"/>
                <w:szCs w:val="14"/>
                <w:color w:val="auto"/>
              </w:rPr>
              <w:t>Establish and settlements related to</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2660" w:type="dxa"/>
            <w:vAlign w:val="bottom"/>
          </w:tcPr>
          <w:p>
            <w:pPr>
              <w:ind w:left="140"/>
              <w:spacing w:after="0"/>
              <w:rPr>
                <w:sz w:val="20"/>
                <w:szCs w:val="20"/>
                <w:color w:val="auto"/>
              </w:rPr>
            </w:pPr>
            <w:r>
              <w:rPr>
                <w:rFonts w:ascii="Arial" w:cs="Arial" w:eastAsia="Arial" w:hAnsi="Arial"/>
                <w:sz w:val="14"/>
                <w:szCs w:val="14"/>
                <w:color w:val="auto"/>
              </w:rPr>
              <w:t>derivative liability</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1,600,989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1,600,989</w:t>
            </w:r>
          </w:p>
        </w:tc>
        <w:tc>
          <w:tcPr>
            <w:tcW w:w="100" w:type="dxa"/>
            <w:vAlign w:val="bottom"/>
          </w:tcPr>
          <w:p>
            <w:pPr>
              <w:spacing w:after="0"/>
              <w:rPr>
                <w:sz w:val="15"/>
                <w:szCs w:val="15"/>
                <w:color w:val="auto"/>
              </w:rPr>
            </w:pPr>
          </w:p>
        </w:tc>
      </w:tr>
      <w:tr>
        <w:trPr>
          <w:trHeight w:val="176"/>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6"/>
              </w:rPr>
              <w:t>Preferred stock issued @ 1,000 per share</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9,899,990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9,900,000</w:t>
            </w:r>
          </w:p>
        </w:tc>
        <w:tc>
          <w:tcPr>
            <w:tcW w:w="100" w:type="dxa"/>
            <w:vAlign w:val="bottom"/>
            <w:shd w:val="clear" w:color="auto" w:fill="CFF0FC"/>
          </w:tcPr>
          <w:p>
            <w:pPr>
              <w:spacing w:after="0"/>
              <w:rPr>
                <w:sz w:val="15"/>
                <w:szCs w:val="15"/>
                <w:color w:val="auto"/>
              </w:rPr>
            </w:pPr>
          </w:p>
        </w:tc>
      </w:tr>
      <w:tr>
        <w:trPr>
          <w:trHeight w:val="157"/>
        </w:trPr>
        <w:tc>
          <w:tcPr>
            <w:tcW w:w="2660" w:type="dxa"/>
            <w:vAlign w:val="bottom"/>
          </w:tcPr>
          <w:p>
            <w:pPr>
              <w:ind w:left="140"/>
              <w:spacing w:after="0" w:line="157" w:lineRule="exact"/>
              <w:rPr>
                <w:sz w:val="20"/>
                <w:szCs w:val="20"/>
                <w:color w:val="auto"/>
              </w:rPr>
            </w:pPr>
            <w:r>
              <w:rPr>
                <w:rFonts w:ascii="Arial" w:cs="Arial" w:eastAsia="Arial" w:hAnsi="Arial"/>
                <w:sz w:val="14"/>
                <w:szCs w:val="14"/>
                <w:color w:val="auto"/>
                <w:w w:val="94"/>
              </w:rPr>
              <w:t>Net loss for the year ended September 30,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2660" w:type="dxa"/>
            <w:vAlign w:val="bottom"/>
          </w:tcPr>
          <w:p>
            <w:pPr>
              <w:ind w:left="140"/>
              <w:spacing w:after="0"/>
              <w:rPr>
                <w:sz w:val="20"/>
                <w:szCs w:val="20"/>
                <w:color w:val="auto"/>
              </w:rPr>
            </w:pPr>
            <w:r>
              <w:rPr>
                <w:rFonts w:ascii="Arial" w:cs="Arial" w:eastAsia="Arial" w:hAnsi="Arial"/>
                <w:sz w:val="14"/>
                <w:szCs w:val="14"/>
                <w:color w:val="auto"/>
              </w:rPr>
              <w:t>2013</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(31,143,289)</w:t>
            </w:r>
          </w:p>
        </w:tc>
        <w:tc>
          <w:tcPr>
            <w:tcW w:w="1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(560,144)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(31,703,433)</w:t>
            </w:r>
          </w:p>
        </w:tc>
      </w:tr>
      <w:tr>
        <w:trPr>
          <w:trHeight w:val="169"/>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2013</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9,900</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w:t>
            </w:r>
          </w:p>
        </w:tc>
        <w:tc>
          <w:tcPr>
            <w:tcW w:w="20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32,489,444</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124,859</w:t>
            </w:r>
          </w:p>
        </w:tc>
        <w:tc>
          <w:tcPr>
            <w:tcW w:w="14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91"/>
              </w:rPr>
              <w:t>$ 193,514,766</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CFF0FC"/>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86"/>
              </w:rPr>
              <w:t>$ (166,140,969)</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89"/>
              </w:rPr>
              <w:t>(1,763,877)</w:t>
            </w:r>
          </w:p>
        </w:tc>
        <w:tc>
          <w:tcPr>
            <w:tcW w:w="12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25,734,789</w:t>
            </w:r>
          </w:p>
        </w:tc>
        <w:tc>
          <w:tcPr>
            <w:tcW w:w="100" w:type="dxa"/>
            <w:vAlign w:val="bottom"/>
            <w:tcBorders>
              <w:top w:val="single" w:sz="8" w:color="CFF0FC"/>
            </w:tcBorders>
            <w:shd w:val="clear" w:color="auto" w:fill="CFF0FC"/>
          </w:tcPr>
          <w:p>
            <w:pPr>
              <w:spacing w:after="0"/>
              <w:rPr>
                <w:sz w:val="14"/>
                <w:szCs w:val="14"/>
                <w:color w:val="auto"/>
              </w:rPr>
            </w:pPr>
          </w:p>
        </w:tc>
      </w:tr>
      <w:tr>
        <w:trPr>
          <w:trHeight w:val="176"/>
        </w:trPr>
        <w:tc>
          <w:tcPr>
            <w:tcW w:w="2660" w:type="dxa"/>
            <w:vAlign w:val="bottom"/>
          </w:tcPr>
          <w:p>
            <w:pPr>
              <w:ind w:left="140"/>
              <w:spacing w:after="0"/>
              <w:rPr>
                <w:sz w:val="20"/>
                <w:szCs w:val="20"/>
                <w:color w:val="auto"/>
              </w:rPr>
            </w:pPr>
            <w:r>
              <w:rPr>
                <w:rFonts w:ascii="Arial" w:cs="Arial" w:eastAsia="Arial" w:hAnsi="Arial"/>
                <w:sz w:val="14"/>
                <w:szCs w:val="14"/>
                <w:color w:val="auto"/>
              </w:rPr>
              <w:t>Exercise of warrants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2,911,919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2,911</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10,145,133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10,148,044</w:t>
            </w:r>
          </w:p>
        </w:tc>
        <w:tc>
          <w:tcPr>
            <w:tcW w:w="100" w:type="dxa"/>
            <w:vAlign w:val="bottom"/>
          </w:tcPr>
          <w:p>
            <w:pPr>
              <w:spacing w:after="0"/>
              <w:rPr>
                <w:sz w:val="15"/>
                <w:szCs w:val="15"/>
                <w:color w:val="auto"/>
              </w:rPr>
            </w:pPr>
          </w:p>
        </w:tc>
      </w:tr>
      <w:tr>
        <w:trPr>
          <w:trHeight w:val="176"/>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454,863</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2,729,545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2,730,000</w:t>
            </w:r>
          </w:p>
        </w:tc>
        <w:tc>
          <w:tcPr>
            <w:tcW w:w="100" w:type="dxa"/>
            <w:vAlign w:val="bottom"/>
            <w:shd w:val="clear" w:color="auto" w:fill="CFF0FC"/>
          </w:tcPr>
          <w:p>
            <w:pPr>
              <w:spacing w:after="0"/>
              <w:rPr>
                <w:sz w:val="15"/>
                <w:szCs w:val="15"/>
                <w:color w:val="auto"/>
              </w:rPr>
            </w:pPr>
          </w:p>
        </w:tc>
      </w:tr>
      <w:tr>
        <w:trPr>
          <w:trHeight w:val="176"/>
        </w:trPr>
        <w:tc>
          <w:tcPr>
            <w:tcW w:w="2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5,696,173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5,696,173</w:t>
            </w:r>
          </w:p>
        </w:tc>
        <w:tc>
          <w:tcPr>
            <w:tcW w:w="100" w:type="dxa"/>
            <w:vAlign w:val="bottom"/>
          </w:tcPr>
          <w:p>
            <w:pPr>
              <w:spacing w:after="0"/>
              <w:rPr>
                <w:sz w:val="15"/>
                <w:szCs w:val="15"/>
                <w:color w:val="auto"/>
              </w:rPr>
            </w:pPr>
          </w:p>
        </w:tc>
      </w:tr>
      <w:tr>
        <w:trPr>
          <w:trHeight w:val="176"/>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Common stock issued @ $5.86</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3,071,672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3,072</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14,057,040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14,060,112</w:t>
            </w:r>
          </w:p>
        </w:tc>
        <w:tc>
          <w:tcPr>
            <w:tcW w:w="100" w:type="dxa"/>
            <w:vAlign w:val="bottom"/>
            <w:shd w:val="clear" w:color="auto" w:fill="CFF0FC"/>
          </w:tcPr>
          <w:p>
            <w:pPr>
              <w:spacing w:after="0"/>
              <w:rPr>
                <w:sz w:val="15"/>
                <w:szCs w:val="15"/>
                <w:color w:val="auto"/>
              </w:rPr>
            </w:pPr>
          </w:p>
        </w:tc>
      </w:tr>
      <w:tr>
        <w:trPr>
          <w:trHeight w:val="176"/>
        </w:trPr>
        <w:tc>
          <w:tcPr>
            <w:tcW w:w="2660" w:type="dxa"/>
            <w:vAlign w:val="bottom"/>
          </w:tcPr>
          <w:p>
            <w:pPr>
              <w:ind w:left="140"/>
              <w:spacing w:after="0"/>
              <w:rPr>
                <w:sz w:val="20"/>
                <w:szCs w:val="20"/>
                <w:color w:val="auto"/>
              </w:rPr>
            </w:pPr>
            <w:r>
              <w:rPr>
                <w:rFonts w:ascii="Arial" w:cs="Arial" w:eastAsia="Arial" w:hAnsi="Arial"/>
                <w:sz w:val="14"/>
                <w:szCs w:val="14"/>
                <w:color w:val="auto"/>
              </w:rPr>
              <w:t>Common stock issued @ $18.95</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6,325,000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6,325</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112,575,234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2"/>
              </w:rPr>
              <w:t>112,581,559</w:t>
            </w:r>
          </w:p>
        </w:tc>
        <w:tc>
          <w:tcPr>
            <w:tcW w:w="100" w:type="dxa"/>
            <w:vAlign w:val="bottom"/>
          </w:tcPr>
          <w:p>
            <w:pPr>
              <w:spacing w:after="0"/>
              <w:rPr>
                <w:sz w:val="15"/>
                <w:szCs w:val="15"/>
                <w:color w:val="auto"/>
              </w:rPr>
            </w:pPr>
          </w:p>
        </w:tc>
      </w:tr>
      <w:tr>
        <w:trPr>
          <w:trHeight w:val="176"/>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3"/>
              </w:rPr>
              <w:t>Preferred stock issued @ $1,000 per share</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46,000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45,999,954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46,000,000</w:t>
            </w:r>
          </w:p>
        </w:tc>
        <w:tc>
          <w:tcPr>
            <w:tcW w:w="100" w:type="dxa"/>
            <w:vAlign w:val="bottom"/>
            <w:shd w:val="clear" w:color="auto" w:fill="CFF0FC"/>
          </w:tcPr>
          <w:p>
            <w:pPr>
              <w:spacing w:after="0"/>
              <w:rPr>
                <w:sz w:val="15"/>
                <w:szCs w:val="15"/>
                <w:color w:val="auto"/>
              </w:rPr>
            </w:pPr>
          </w:p>
        </w:tc>
      </w:tr>
      <w:tr>
        <w:trPr>
          <w:trHeight w:val="176"/>
        </w:trPr>
        <w:tc>
          <w:tcPr>
            <w:tcW w:w="2660" w:type="dxa"/>
            <w:vAlign w:val="bottom"/>
          </w:tcPr>
          <w:p>
            <w:pPr>
              <w:ind w:left="140"/>
              <w:spacing w:after="0"/>
              <w:rPr>
                <w:sz w:val="20"/>
                <w:szCs w:val="20"/>
                <w:color w:val="auto"/>
              </w:rPr>
            </w:pPr>
            <w:r>
              <w:rPr>
                <w:rFonts w:ascii="Arial" w:cs="Arial" w:eastAsia="Arial" w:hAnsi="Arial"/>
                <w:sz w:val="14"/>
                <w:szCs w:val="14"/>
                <w:color w:val="auto"/>
              </w:rPr>
              <w:t>Common stock issued to Galloway</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131,579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132</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499,868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5"/>
                <w:szCs w:val="15"/>
                <w:color w:val="auto"/>
              </w:rPr>
            </w:pPr>
          </w:p>
        </w:tc>
      </w:tr>
      <w:tr>
        <w:trPr>
          <w:trHeight w:val="176"/>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Settlements related to derivative liability</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5,956,079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5,956,079</w:t>
            </w:r>
          </w:p>
        </w:tc>
        <w:tc>
          <w:tcPr>
            <w:tcW w:w="100" w:type="dxa"/>
            <w:vAlign w:val="bottom"/>
            <w:shd w:val="clear" w:color="auto" w:fill="CFF0FC"/>
          </w:tcPr>
          <w:p>
            <w:pPr>
              <w:spacing w:after="0"/>
              <w:rPr>
                <w:sz w:val="15"/>
                <w:szCs w:val="15"/>
                <w:color w:val="auto"/>
              </w:rPr>
            </w:pPr>
          </w:p>
        </w:tc>
      </w:tr>
      <w:tr>
        <w:trPr>
          <w:trHeight w:val="176"/>
        </w:trPr>
        <w:tc>
          <w:tcPr>
            <w:tcW w:w="2660" w:type="dxa"/>
            <w:vAlign w:val="bottom"/>
          </w:tcPr>
          <w:p>
            <w:pPr>
              <w:ind w:left="140"/>
              <w:spacing w:after="0"/>
              <w:rPr>
                <w:sz w:val="20"/>
                <w:szCs w:val="20"/>
                <w:color w:val="auto"/>
              </w:rPr>
            </w:pPr>
            <w:r>
              <w:rPr>
                <w:rFonts w:ascii="Arial" w:cs="Arial" w:eastAsia="Arial" w:hAnsi="Arial"/>
                <w:sz w:val="14"/>
                <w:szCs w:val="14"/>
                <w:color w:val="auto"/>
                <w:w w:val="92"/>
              </w:rPr>
              <w:t>Preferred stock converted to common stock</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(37,600)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(38)</w:t>
            </w:r>
          </w:p>
        </w:tc>
        <w:tc>
          <w:tcPr>
            <w:tcW w:w="760" w:type="dxa"/>
            <w:vAlign w:val="bottom"/>
          </w:tcPr>
          <w:p>
            <w:pPr>
              <w:jc w:val="right"/>
              <w:spacing w:after="0"/>
              <w:rPr>
                <w:sz w:val="20"/>
                <w:szCs w:val="20"/>
                <w:color w:val="auto"/>
              </w:rPr>
            </w:pPr>
            <w:r>
              <w:rPr>
                <w:rFonts w:ascii="Arial" w:cs="Arial" w:eastAsia="Arial" w:hAnsi="Arial"/>
                <w:sz w:val="14"/>
                <w:szCs w:val="14"/>
                <w:color w:val="auto"/>
              </w:rPr>
              <w:t>9,272,459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9,272</w:t>
            </w:r>
          </w:p>
        </w:tc>
        <w:tc>
          <w:tcPr>
            <w:tcW w:w="140" w:type="dxa"/>
            <w:vAlign w:val="bottom"/>
          </w:tcPr>
          <w:p>
            <w:pPr>
              <w:spacing w:after="0"/>
              <w:rPr>
                <w:sz w:val="15"/>
                <w:szCs w:val="15"/>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(9,234)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57"/>
        </w:trPr>
        <w:tc>
          <w:tcPr>
            <w:tcW w:w="2660" w:type="dxa"/>
            <w:vAlign w:val="bottom"/>
            <w:shd w:val="clear" w:color="auto" w:fill="CFF0FC"/>
          </w:tcPr>
          <w:p>
            <w:pPr>
              <w:ind w:left="140"/>
              <w:spacing w:after="0" w:line="157" w:lineRule="exact"/>
              <w:rPr>
                <w:sz w:val="20"/>
                <w:szCs w:val="20"/>
                <w:color w:val="auto"/>
              </w:rPr>
            </w:pPr>
            <w:r>
              <w:rPr>
                <w:rFonts w:ascii="Arial" w:cs="Arial" w:eastAsia="Arial" w:hAnsi="Arial"/>
                <w:sz w:val="14"/>
                <w:szCs w:val="14"/>
                <w:color w:val="auto"/>
              </w:rPr>
              <w:t>Deconsolidation of Calando</w:t>
            </w: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1"/>
        </w:trPr>
        <w:tc>
          <w:tcPr>
            <w:tcW w:w="26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Pharmaceuticals, Inc.</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1,303,911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1,303,911</w:t>
            </w:r>
          </w:p>
        </w:tc>
        <w:tc>
          <w:tcPr>
            <w:tcW w:w="100" w:type="dxa"/>
            <w:vAlign w:val="bottom"/>
            <w:shd w:val="clear" w:color="auto" w:fill="CFF0FC"/>
          </w:tcPr>
          <w:p>
            <w:pPr>
              <w:spacing w:after="0"/>
              <w:rPr>
                <w:sz w:val="15"/>
                <w:szCs w:val="15"/>
                <w:color w:val="auto"/>
              </w:rPr>
            </w:pPr>
          </w:p>
        </w:tc>
      </w:tr>
      <w:tr>
        <w:trPr>
          <w:trHeight w:val="157"/>
        </w:trPr>
        <w:tc>
          <w:tcPr>
            <w:tcW w:w="2660" w:type="dxa"/>
            <w:vAlign w:val="bottom"/>
          </w:tcPr>
          <w:p>
            <w:pPr>
              <w:ind w:left="140"/>
              <w:spacing w:after="0" w:line="157" w:lineRule="exact"/>
              <w:rPr>
                <w:sz w:val="20"/>
                <w:szCs w:val="20"/>
                <w:color w:val="auto"/>
              </w:rPr>
            </w:pPr>
            <w:r>
              <w:rPr>
                <w:rFonts w:ascii="Arial" w:cs="Arial" w:eastAsia="Arial" w:hAnsi="Arial"/>
                <w:sz w:val="14"/>
                <w:szCs w:val="14"/>
                <w:color w:val="auto"/>
                <w:w w:val="94"/>
              </w:rPr>
              <w:t>Net loss for the year ended September 30,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2660" w:type="dxa"/>
            <w:vAlign w:val="bottom"/>
          </w:tcPr>
          <w:p>
            <w:pPr>
              <w:ind w:left="140"/>
              <w:spacing w:after="0"/>
              <w:rPr>
                <w:sz w:val="20"/>
                <w:szCs w:val="20"/>
                <w:color w:val="auto"/>
              </w:rPr>
            </w:pPr>
            <w:r>
              <w:rPr>
                <w:rFonts w:ascii="Arial" w:cs="Arial" w:eastAsia="Arial" w:hAnsi="Arial"/>
                <w:sz w:val="14"/>
                <w:szCs w:val="14"/>
                <w:color w:val="auto"/>
              </w:rPr>
              <w:t>2014</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(58,630,190)</w:t>
            </w:r>
          </w:p>
        </w:tc>
        <w:tc>
          <w:tcPr>
            <w:tcW w:w="1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(95,222)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(58,725,412)</w:t>
            </w:r>
          </w:p>
        </w:tc>
      </w:tr>
      <w:tr>
        <w:trPr>
          <w:trHeight w:val="209"/>
        </w:trPr>
        <w:tc>
          <w:tcPr>
            <w:tcW w:w="2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2014</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18,300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54,656,936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147,026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91"/>
              </w:rPr>
              <w:t>$ 391,164,558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91"/>
              </w:rPr>
              <w:t>$ (224,771,159</w:t>
            </w:r>
          </w:p>
        </w:tc>
        <w:tc>
          <w:tcPr>
            <w:tcW w:w="200" w:type="dxa"/>
            <w:vAlign w:val="bottom"/>
            <w:tcBorders>
              <w:top w:val="single" w:sz="8" w:color="CFF0FC"/>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(555,188</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84"/>
              </w:rPr>
              <w:t>)</w:t>
            </w:r>
          </w:p>
        </w:tc>
        <w:tc>
          <w:tcPr>
            <w:tcW w:w="2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92"/>
              </w:rPr>
              <w:t>165,985,255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3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1"/>
              </w:rPr>
              <w:t>Year ended September 30,</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80" w:type="dxa"/>
            <w:vAlign w:val="bottom"/>
            <w:vMerge w:val="restart"/>
          </w:tcPr>
          <w:p>
            <w:pPr>
              <w:ind w:left="140"/>
              <w:spacing w:after="0"/>
              <w:rPr>
                <w:sz w:val="20"/>
                <w:szCs w:val="20"/>
                <w:color w:val="auto"/>
              </w:rPr>
            </w:pPr>
            <w:r>
              <w:rPr>
                <w:rFonts w:ascii="Arial" w:cs="Arial" w:eastAsia="Arial" w:hAnsi="Arial"/>
                <w:sz w:val="14"/>
                <w:szCs w:val="14"/>
                <w:color w:val="auto"/>
              </w:rPr>
              <w:t>CASH FLOWS FROM OPERATING ACTIVITIES OF CONTINUING OPERATIONS:</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6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680" w:type="dxa"/>
            <w:vAlign w:val="bottom"/>
          </w:tcPr>
          <w:p>
            <w:pPr>
              <w:ind w:left="380"/>
              <w:spacing w:after="0"/>
              <w:rPr>
                <w:sz w:val="20"/>
                <w:szCs w:val="20"/>
                <w:color w:val="auto"/>
              </w:rPr>
            </w:pPr>
            <w:r>
              <w:rPr>
                <w:rFonts w:ascii="Arial" w:cs="Arial" w:eastAsia="Arial" w:hAnsi="Arial"/>
                <w:sz w:val="14"/>
                <w:szCs w:val="14"/>
                <w:color w:val="auto"/>
              </w:rPr>
              <w:t>Net loss</w:t>
            </w: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(58,725,412)</w:t>
            </w:r>
          </w:p>
        </w:tc>
        <w:tc>
          <w:tcPr>
            <w:tcW w:w="4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(31,703,433)</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(22,110,723)</w:t>
            </w: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(income) loss attributable to non-controlling interests</w:t>
            </w:r>
          </w:p>
        </w:tc>
        <w:tc>
          <w:tcPr>
            <w:tcW w:w="1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95,222</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560,144</w:t>
            </w:r>
          </w:p>
        </w:tc>
        <w:tc>
          <w:tcPr>
            <w:tcW w:w="22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984,795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80" w:type="dxa"/>
            <w:vAlign w:val="bottom"/>
          </w:tcPr>
          <w:p>
            <w:pPr>
              <w:ind w:left="380"/>
              <w:spacing w:after="0" w:line="155" w:lineRule="exact"/>
              <w:rPr>
                <w:sz w:val="20"/>
                <w:szCs w:val="20"/>
                <w:color w:val="auto"/>
              </w:rPr>
            </w:pPr>
            <w:r>
              <w:rPr>
                <w:rFonts w:ascii="Arial" w:cs="Arial" w:eastAsia="Arial" w:hAnsi="Arial"/>
                <w:sz w:val="14"/>
                <w:szCs w:val="14"/>
                <w:color w:val="auto"/>
              </w:rPr>
              <w:t>Net income (loss) attributable to Arrowhead</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(58,630,190)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(31,143,289)</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(21,125,928)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loss from discontinued operations</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380"/>
              <w:spacing w:after="0"/>
              <w:rPr>
                <w:sz w:val="20"/>
                <w:szCs w:val="20"/>
                <w:color w:val="auto"/>
              </w:rPr>
            </w:pPr>
            <w:r>
              <w:rPr>
                <w:rFonts w:ascii="Arial" w:cs="Arial" w:eastAsia="Arial" w:hAnsi="Arial"/>
                <w:sz w:val="14"/>
                <w:szCs w:val="14"/>
                <w:color w:val="auto"/>
              </w:rPr>
              <w:t>Realized and unrealized (gain) loss on investments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58,091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Charge for bad debt allowance</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2,497,300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380"/>
              <w:spacing w:after="0"/>
              <w:rPr>
                <w:sz w:val="20"/>
                <w:szCs w:val="20"/>
                <w:color w:val="auto"/>
              </w:rPr>
            </w:pPr>
            <w:r>
              <w:rPr>
                <w:rFonts w:ascii="Arial" w:cs="Arial" w:eastAsia="Arial" w:hAnsi="Arial"/>
                <w:sz w:val="14"/>
                <w:szCs w:val="14"/>
                <w:color w:val="auto"/>
              </w:rPr>
              <w:t>(Gain) loss on purchase of Roche Madison</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(1,576,107)</w:t>
            </w: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(Gain) loss on disposal of fixed assets</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58,878</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76,388</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1,079,377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80" w:type="dxa"/>
            <w:vAlign w:val="bottom"/>
          </w:tcPr>
          <w:p>
            <w:pPr>
              <w:ind w:left="380"/>
              <w:spacing w:after="0"/>
              <w:rPr>
                <w:sz w:val="20"/>
                <w:szCs w:val="20"/>
                <w:color w:val="auto"/>
              </w:rPr>
            </w:pPr>
            <w:r>
              <w:rPr>
                <w:rFonts w:ascii="Arial" w:cs="Arial" w:eastAsia="Arial" w:hAnsi="Arial"/>
                <w:sz w:val="14"/>
                <w:szCs w:val="14"/>
                <w:color w:val="auto"/>
              </w:rPr>
              <w:t>Change in value of derivatives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6,033,659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5,300,389</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(386,892)</w:t>
            </w:r>
          </w:p>
        </w:tc>
        <w:tc>
          <w:tcPr>
            <w:tcW w:w="0" w:type="dxa"/>
            <w:vAlign w:val="bottom"/>
          </w:tcPr>
          <w:p>
            <w:pPr>
              <w:spacing w:after="0"/>
              <w:rPr>
                <w:sz w:val="1"/>
                <w:szCs w:val="1"/>
                <w:color w:val="auto"/>
              </w:rPr>
            </w:pPr>
          </w:p>
        </w:tc>
      </w:tr>
      <w:tr>
        <w:trPr>
          <w:trHeight w:val="176"/>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Contingent consideration - fair value adjustments</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2,375,658</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1,421,652</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5,696,173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1,536,271</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1,241,404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1,345,655</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1,751,412</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1,748,975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380"/>
              <w:spacing w:after="0"/>
              <w:rPr>
                <w:sz w:val="20"/>
                <w:szCs w:val="20"/>
                <w:color w:val="auto"/>
              </w:rPr>
            </w:pPr>
            <w:r>
              <w:rPr>
                <w:rFonts w:ascii="Arial" w:cs="Arial" w:eastAsia="Arial" w:hAnsi="Arial"/>
                <w:sz w:val="14"/>
                <w:szCs w:val="14"/>
                <w:color w:val="auto"/>
              </w:rPr>
              <w:t>Amortization/accretion of note premiums/discounts, net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793,887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128,406</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Gain on debt extinguishment</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(84,721)</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380"/>
              <w:spacing w:after="0"/>
              <w:rPr>
                <w:sz w:val="20"/>
                <w:szCs w:val="20"/>
                <w:color w:val="auto"/>
              </w:rPr>
            </w:pPr>
            <w:r>
              <w:rPr>
                <w:rFonts w:ascii="Arial" w:cs="Arial" w:eastAsia="Arial" w:hAnsi="Arial"/>
                <w:sz w:val="14"/>
                <w:szCs w:val="14"/>
                <w:color w:val="auto"/>
              </w:rPr>
              <w:t>Non-cash gain in equity investment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(87,197)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Non-cash impairment expense</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2,172,387</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2,315,721</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1,642,775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380"/>
              <w:spacing w:after="0"/>
              <w:rPr>
                <w:sz w:val="20"/>
                <w:szCs w:val="20"/>
                <w:color w:val="auto"/>
              </w:rPr>
            </w:pPr>
            <w:r>
              <w:rPr>
                <w:rFonts w:ascii="Arial" w:cs="Arial" w:eastAsia="Arial" w:hAnsi="Arial"/>
                <w:sz w:val="14"/>
                <w:szCs w:val="14"/>
                <w:color w:val="auto"/>
              </w:rPr>
              <w:t>Equity in income (loss) of unconsolidated affiliates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240,154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Non-controlling interest</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(95,222)</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(560,144)</w:t>
            </w: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(984,795)</w:t>
            </w:r>
          </w:p>
        </w:tc>
        <w:tc>
          <w:tcPr>
            <w:tcW w:w="0" w:type="dxa"/>
            <w:vAlign w:val="bottom"/>
          </w:tcPr>
          <w:p>
            <w:pPr>
              <w:spacing w:after="0"/>
              <w:rPr>
                <w:sz w:val="1"/>
                <w:szCs w:val="1"/>
                <w:color w:val="auto"/>
              </w:rPr>
            </w:pPr>
          </w:p>
        </w:tc>
      </w:tr>
      <w:tr>
        <w:trPr>
          <w:trHeight w:val="162"/>
        </w:trPr>
        <w:tc>
          <w:tcPr>
            <w:tcW w:w="668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620"/>
              <w:spacing w:after="0"/>
              <w:rPr>
                <w:sz w:val="20"/>
                <w:szCs w:val="20"/>
                <w:color w:val="auto"/>
              </w:rPr>
            </w:pPr>
            <w:r>
              <w:rPr>
                <w:rFonts w:ascii="Arial" w:cs="Arial" w:eastAsia="Arial" w:hAnsi="Arial"/>
                <w:sz w:val="14"/>
                <w:szCs w:val="14"/>
                <w:color w:val="auto"/>
              </w:rPr>
              <w:t>Receivables</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75,000</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(65,625)</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162,855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620"/>
              <w:spacing w:after="0"/>
              <w:rPr>
                <w:sz w:val="20"/>
                <w:szCs w:val="20"/>
                <w:color w:val="auto"/>
              </w:rPr>
            </w:pPr>
            <w:r>
              <w:rPr>
                <w:rFonts w:ascii="Arial" w:cs="Arial" w:eastAsia="Arial" w:hAnsi="Arial"/>
                <w:sz w:val="14"/>
                <w:szCs w:val="14"/>
                <w:color w:val="auto"/>
              </w:rPr>
              <w:t>Other receivables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(25,867)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1,080</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(938,179)</w:t>
            </w: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620"/>
              <w:spacing w:after="0"/>
              <w:rPr>
                <w:sz w:val="20"/>
                <w:szCs w:val="20"/>
                <w:color w:val="auto"/>
              </w:rPr>
            </w:pPr>
            <w:r>
              <w:rPr>
                <w:rFonts w:ascii="Arial" w:cs="Arial" w:eastAsia="Arial" w:hAnsi="Arial"/>
                <w:sz w:val="14"/>
                <w:szCs w:val="14"/>
                <w:color w:val="auto"/>
              </w:rPr>
              <w:t>Prepaid expenses</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(15,812)</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44,713</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(338,531)</w:t>
            </w:r>
          </w:p>
        </w:tc>
        <w:tc>
          <w:tcPr>
            <w:tcW w:w="0" w:type="dxa"/>
            <w:vAlign w:val="bottom"/>
          </w:tcPr>
          <w:p>
            <w:pPr>
              <w:spacing w:after="0"/>
              <w:rPr>
                <w:sz w:val="1"/>
                <w:szCs w:val="1"/>
                <w:color w:val="auto"/>
              </w:rPr>
            </w:pPr>
          </w:p>
        </w:tc>
      </w:tr>
      <w:tr>
        <w:trPr>
          <w:trHeight w:val="162"/>
        </w:trPr>
        <w:tc>
          <w:tcPr>
            <w:tcW w:w="6680" w:type="dxa"/>
            <w:vAlign w:val="bottom"/>
          </w:tcPr>
          <w:p>
            <w:pPr>
              <w:ind w:left="62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(13,287)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(1,811)</w:t>
            </w:r>
          </w:p>
        </w:tc>
        <w:tc>
          <w:tcPr>
            <w:tcW w:w="3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(30,600)</w:t>
            </w: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1,412,275</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321,647</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291,876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620"/>
              <w:spacing w:after="0"/>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3,478,094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27,920</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186,369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Other liabilities</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94,257</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(187,910)</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882,296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80" w:type="dxa"/>
            <w:vAlign w:val="bottom"/>
          </w:tcPr>
          <w:p>
            <w:pPr>
              <w:ind w:left="380"/>
              <w:spacing w:after="0" w:line="155" w:lineRule="exact"/>
              <w:rPr>
                <w:sz w:val="20"/>
                <w:szCs w:val="20"/>
                <w:color w:val="auto"/>
              </w:rPr>
            </w:pPr>
            <w:r>
              <w:rPr>
                <w:rFonts w:ascii="Arial" w:cs="Arial" w:eastAsia="Arial" w:hAnsi="Arial"/>
                <w:sz w:val="14"/>
                <w:szCs w:val="14"/>
                <w:color w:val="auto"/>
              </w:rPr>
              <w:t>NET CASH USED IN OPERATING ACTIVITIES OF CONTINUING OPERATIONS</w:t>
            </w:r>
          </w:p>
        </w:tc>
        <w:tc>
          <w:tcPr>
            <w:tcW w:w="1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(35,416,373)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(19,032,826)</w:t>
            </w: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(15,340,090)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FLOWS FROM INVESTING ACTIVITIES OF CONTINUING OPERATIONS:</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380"/>
              <w:spacing w:after="0"/>
              <w:rPr>
                <w:sz w:val="20"/>
                <w:szCs w:val="20"/>
                <w:color w:val="auto"/>
              </w:rPr>
            </w:pPr>
            <w:r>
              <w:rPr>
                <w:rFonts w:ascii="Arial" w:cs="Arial" w:eastAsia="Arial" w:hAnsi="Arial"/>
                <w:sz w:val="14"/>
                <w:szCs w:val="14"/>
                <w:color w:val="auto"/>
              </w:rPr>
              <w:t>Purchases of property and equipment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(1,717,362)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(296,880)</w:t>
            </w:r>
          </w:p>
        </w:tc>
        <w:tc>
          <w:tcPr>
            <w:tcW w:w="3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(479,710)</w:t>
            </w: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 of fixed assets</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89,505</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290,312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380"/>
              <w:spacing w:after="0"/>
              <w:rPr>
                <w:sz w:val="20"/>
                <w:szCs w:val="20"/>
                <w:color w:val="auto"/>
              </w:rPr>
            </w:pPr>
            <w:r>
              <w:rPr>
                <w:rFonts w:ascii="Arial" w:cs="Arial" w:eastAsia="Arial" w:hAnsi="Arial"/>
                <w:sz w:val="14"/>
                <w:szCs w:val="14"/>
                <w:color w:val="auto"/>
              </w:rPr>
              <w:t>Purchase of marketable securities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(46,365,528)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(10,732,571)</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 of marketable securities</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11,591,120</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1,419,079</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509,009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Cash transferred in acquisitions/divestitures</w:t>
            </w: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121,033</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8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INVESTING ACTIVITIES OF CONTINUING OPERATIONS</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(36,481,770)</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(9,520,867)</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440,644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140"/>
              <w:spacing w:after="0"/>
              <w:rPr>
                <w:sz w:val="20"/>
                <w:szCs w:val="20"/>
                <w:color w:val="auto"/>
              </w:rPr>
            </w:pPr>
            <w:r>
              <w:rPr>
                <w:rFonts w:ascii="Arial" w:cs="Arial" w:eastAsia="Arial" w:hAnsi="Arial"/>
                <w:sz w:val="14"/>
                <w:szCs w:val="14"/>
                <w:color w:val="auto"/>
              </w:rPr>
              <w:t>CASH FLOWS FROM FINANCING ACTIVITIES OF CONTINUING OPERATIONS: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Principal payments on capital leases</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(225,406)</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(214,801)</w:t>
            </w: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(196,606)</w:t>
            </w:r>
          </w:p>
        </w:tc>
        <w:tc>
          <w:tcPr>
            <w:tcW w:w="0" w:type="dxa"/>
            <w:vAlign w:val="bottom"/>
          </w:tcPr>
          <w:p>
            <w:pPr>
              <w:spacing w:after="0"/>
              <w:rPr>
                <w:sz w:val="1"/>
                <w:szCs w:val="1"/>
                <w:color w:val="auto"/>
              </w:rPr>
            </w:pPr>
          </w:p>
        </w:tc>
      </w:tr>
      <w:tr>
        <w:trPr>
          <w:trHeight w:val="162"/>
        </w:trPr>
        <w:tc>
          <w:tcPr>
            <w:tcW w:w="6680" w:type="dxa"/>
            <w:vAlign w:val="bottom"/>
          </w:tcPr>
          <w:p>
            <w:pPr>
              <w:ind w:left="380"/>
              <w:spacing w:after="0"/>
              <w:rPr>
                <w:sz w:val="20"/>
                <w:szCs w:val="20"/>
                <w:color w:val="auto"/>
              </w:rPr>
            </w:pPr>
            <w:r>
              <w:rPr>
                <w:rFonts w:ascii="Arial" w:cs="Arial" w:eastAsia="Arial" w:hAnsi="Arial"/>
                <w:sz w:val="14"/>
                <w:szCs w:val="14"/>
                <w:color w:val="auto"/>
              </w:rPr>
              <w:t>Proceeds from issuance of common stock and preferred stock, net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172,641,671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42,448,826</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10,883,992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the exercise of warrants and stock options</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12,878,044</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2,057,178</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74,239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sale of stock in subsidiary</w:t>
            </w: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8,000</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8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FINANCING ACTIVITIES OF CONTINUING OPERATIONS</w:t>
            </w:r>
          </w:p>
        </w:tc>
        <w:tc>
          <w:tcPr>
            <w:tcW w:w="18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185,294,309</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44,291,203</w:t>
            </w:r>
          </w:p>
        </w:tc>
        <w:tc>
          <w:tcPr>
            <w:tcW w:w="22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10,769,625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80" w:type="dxa"/>
            <w:vAlign w:val="bottom"/>
          </w:tcPr>
          <w:p>
            <w:pPr>
              <w:ind w:left="140"/>
              <w:spacing w:after="0" w:line="155" w:lineRule="exact"/>
              <w:rPr>
                <w:sz w:val="20"/>
                <w:szCs w:val="20"/>
                <w:color w:val="auto"/>
              </w:rPr>
            </w:pPr>
            <w:r>
              <w:rPr>
                <w:rFonts w:ascii="Arial" w:cs="Arial" w:eastAsia="Arial" w:hAnsi="Arial"/>
                <w:sz w:val="14"/>
                <w:szCs w:val="14"/>
                <w:color w:val="auto"/>
              </w:rPr>
              <w:t>Cash flows from discontinued operations:</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Operating cash flows</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(354)</w:t>
            </w: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62"/>
        </w:trPr>
        <w:tc>
          <w:tcPr>
            <w:tcW w:w="6680" w:type="dxa"/>
            <w:vAlign w:val="bottom"/>
          </w:tcPr>
          <w:p>
            <w:pPr>
              <w:ind w:left="380"/>
              <w:spacing w:after="0"/>
              <w:rPr>
                <w:sz w:val="20"/>
                <w:szCs w:val="20"/>
                <w:color w:val="auto"/>
              </w:rPr>
            </w:pPr>
            <w:r>
              <w:rPr>
                <w:rFonts w:ascii="Arial" w:cs="Arial" w:eastAsia="Arial" w:hAnsi="Arial"/>
                <w:sz w:val="14"/>
                <w:szCs w:val="14"/>
                <w:color w:val="auto"/>
              </w:rPr>
              <w:t>Investing cash flows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Financing cash flows</w:t>
            </w:r>
          </w:p>
        </w:tc>
        <w:tc>
          <w:tcPr>
            <w:tcW w:w="1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80" w:type="dxa"/>
            <w:vAlign w:val="bottom"/>
            <w:tcBorders>
              <w:bottom w:val="single" w:sz="8" w:color="CFF0FC"/>
            </w:tcBorders>
          </w:tcPr>
          <w:p>
            <w:pPr>
              <w:ind w:left="140"/>
              <w:spacing w:after="0" w:line="155" w:lineRule="exact"/>
              <w:rPr>
                <w:sz w:val="20"/>
                <w:szCs w:val="20"/>
                <w:color w:val="auto"/>
              </w:rPr>
            </w:pPr>
            <w:r>
              <w:rPr>
                <w:rFonts w:ascii="Arial" w:cs="Arial" w:eastAsia="Arial" w:hAnsi="Arial"/>
                <w:sz w:val="14"/>
                <w:szCs w:val="14"/>
                <w:color w:val="auto"/>
              </w:rPr>
              <w:t>Net cash provided by (used in) discontinued operations:</w:t>
            </w: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w:t>
            </w: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(280)</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80" w:type="dxa"/>
            <w:vAlign w:val="bottom"/>
            <w:shd w:val="clear" w:color="auto" w:fill="CFF0FC"/>
          </w:tcPr>
          <w:p>
            <w:pPr>
              <w:ind w:left="880"/>
              <w:spacing w:after="0" w:line="155" w:lineRule="exact"/>
              <w:rPr>
                <w:sz w:val="20"/>
                <w:szCs w:val="20"/>
                <w:color w:val="auto"/>
              </w:rPr>
            </w:pPr>
            <w:r>
              <w:rPr>
                <w:rFonts w:ascii="Arial" w:cs="Arial" w:eastAsia="Arial" w:hAnsi="Arial"/>
                <w:sz w:val="14"/>
                <w:szCs w:val="14"/>
                <w:color w:val="auto"/>
              </w:rPr>
              <w:t>NET INCREASE (DECREASE) IN CASH</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113,396,166</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15,737,156</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(4,130,101)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8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CASH AT BEGINNING OF PERIOD</w:t>
            </w: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19,114,444</w:t>
            </w: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3,377,288</w:t>
            </w:r>
          </w:p>
        </w:tc>
        <w:tc>
          <w:tcPr>
            <w:tcW w:w="2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7,507,389</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80" w:type="dxa"/>
            <w:vAlign w:val="bottom"/>
            <w:tcBorders>
              <w:bottom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CASH AT END OF PERIOD</w:t>
            </w:r>
          </w:p>
        </w:tc>
        <w:tc>
          <w:tcPr>
            <w:tcW w:w="18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132,510,610</w:t>
            </w:r>
          </w:p>
        </w:tc>
        <w:tc>
          <w:tcPr>
            <w:tcW w:w="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19,114,444</w:t>
            </w:r>
          </w:p>
        </w:tc>
        <w:tc>
          <w:tcPr>
            <w:tcW w:w="2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3,377,288</w:t>
            </w:r>
          </w:p>
        </w:tc>
        <w:tc>
          <w:tcPr>
            <w:tcW w:w="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140"/>
              <w:spacing w:after="0"/>
              <w:rPr>
                <w:sz w:val="20"/>
                <w:szCs w:val="20"/>
                <w:color w:val="auto"/>
              </w:rPr>
            </w:pPr>
            <w:r>
              <w:rPr>
                <w:rFonts w:ascii="Arial" w:cs="Arial" w:eastAsia="Arial" w:hAnsi="Arial"/>
                <w:sz w:val="14"/>
                <w:szCs w:val="14"/>
                <w:color w:val="auto"/>
              </w:rPr>
              <w:t>Supplementary disclosures:</w:t>
            </w: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Interest paid</w:t>
            </w:r>
          </w:p>
        </w:tc>
        <w:tc>
          <w:tcPr>
            <w:tcW w:w="4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25,635</w:t>
            </w:r>
          </w:p>
        </w:tc>
        <w:tc>
          <w:tcPr>
            <w:tcW w:w="6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42,044</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42,269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3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SUPPLEMENTARY NON CASH TRANSACTIONS</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On October 21, 2012, Arrowhead issued 239,894 shares of Common Stock to Roche in accordance with the terms of the Stock and Asset Purchase Agreement for Roche Madison Inc., to settle a liability of $986,049, which the Company had recorded upon the acquisition.</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On February 18, 2014, Arrowhead issued 131,579 shares of Common Stock valued at $500,000 to Galloway Limited, in settlement of a services agreement dated September 30,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240" w:top="139" w:right="5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w:t>
      </w:r>
    </w:p>
    <w:p>
      <w:pPr>
        <w:spacing w:after="0" w:line="21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and Ablaris Therapeutics, Inc. (“Ablaris”), as well as our former subsidiary Calando Pharmaceuticals, Inc. (“Calando”), which was deconsolidated during 2014, (4) the term “Common Stock” refers to Arrowhead’s Common Stock, (5) the term “Preferred Stock” refers to Arrowhead’s Preferred Stock and the term “Stockholder(s)” refers to the holders of Arrowhead Common Stock.</w:t>
      </w:r>
    </w:p>
    <w:p>
      <w:pPr>
        <w:spacing w:after="0" w:line="378" w:lineRule="exact"/>
        <w:rPr>
          <w:sz w:val="20"/>
          <w:szCs w:val="20"/>
          <w:color w:val="auto"/>
        </w:rPr>
      </w:pPr>
    </w:p>
    <w:p>
      <w:pPr>
        <w:ind w:right="556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w:t>
      </w:r>
    </w:p>
    <w:p>
      <w:pPr>
        <w:ind w:right="220" w:firstLine="518"/>
        <w:spacing w:after="0" w:line="255" w:lineRule="auto"/>
        <w:rPr>
          <w:sz w:val="20"/>
          <w:szCs w:val="20"/>
          <w:color w:val="auto"/>
        </w:rPr>
      </w:pPr>
      <w:r>
        <w:rPr>
          <w:rFonts w:ascii="Arial" w:cs="Arial" w:eastAsia="Arial" w:hAnsi="Arial"/>
          <w:sz w:val="18"/>
          <w:szCs w:val="18"/>
          <w:color w:val="auto"/>
        </w:rPr>
        <w:t>Arrowhead Research develops novel drugs to treat intractable diseases by silencing the genes that cause them. Using the broadest portfolio of RNA chemistries and efficient modes of delivery, Arrowhead therapies trigger the RNA interference mechanism to induce rapid, deep and durable knockdown of target genes. Arrowhead’s most advanced drug candidate in clinical development is ARC-520, which is designed to treat chronic hepatitis B infection by inhibiting the production of all HBV gene products. The goal is to reverse the immune suppression that prevents the body from controlling the virus and clearing the disease. Arrowhead’s second clinical candidate is ARC-AAT, a treatment for a rare liver disease associated with a genetic disorder that causes alpha-1 antitrypsin deficiency.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Historically, the Company’s primary source of financing has been through the sale of securities of Arrowhead Research Corp. Research and development activities have required significant capital investment since the Company’s inception and we expect our operations to continue to require cash investment in fiscal 2015 and beyond as the Company continues its research and development efforts, as well as clinical trials, and related drug manufacturing.</w:t>
      </w:r>
    </w:p>
    <w:p>
      <w:pPr>
        <w:spacing w:after="0" w:line="187"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At September 30, 2014, the Company had $132.5 million in cash to fund operations. In addition to its cash resources, the Company has invested excess cash in investment grade commercial bonds maturing in less than 2 years. These bonds provide a source of liquidity, although the Company plans to hold them until maturity. At September 30, 2014, the Company had invested $44.7 million in these bonds. During the year ended September 30, 2014, the Company’s cash position increased by $113.4 million which was the result of the receipt of cash from the issuance of equity of $172.6 million and cash from the exercise of warrants and options of $12.9 million, partially offset by cash outflows of $35.4 million related to continuing operating activities, net cash invested in fixed income investments of $34.8 million, and capital expenditures of $1.7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Principles of Consolidation— The consolidated financial statements include the accounts of Arrowhead and its Subsidiaries. Arrowhead’s primary operating subsidiary is Arrowhead Madison, which is located in Madison, Wisconsin, where the Company’s research and development facilities are located. All significant intercompany accounts and transactions are eliminated in consolidation, and noncontrolling interests are accounted for in the Company’s financial statements.</w:t>
      </w:r>
    </w:p>
    <w:p>
      <w:pPr>
        <w:spacing w:after="0" w:line="18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Additionally, certain reclassifications have been made to prior period financial statements to conform to the current period presentation.</w:t>
      </w:r>
    </w:p>
    <w:p>
      <w:pPr>
        <w:spacing w:after="0" w:line="188"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Cash and Cash Equivalents—The Company considers all liquid debt instruments purchased with a maturity of three months or less to be cash equivalents. The Company had no restricted cash at September 30, 2014 and 2013, respectively.</w:t>
      </w:r>
    </w:p>
    <w:p>
      <w:pPr>
        <w:spacing w:after="0" w:line="170"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Concentration of Credit Risk—The Company maintains bank accounts for its operations at two financial institutions. These accounts are insured by the Federal Deposit Insurance Corporation (FDIC) for up to $250,000 per account. Management believes the Company is not exposed to significant credit risk due to the financial position of the depository institutions in which these deposits are held.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35" w:right="239" w:bottom="1440" w:gutter="0" w:footer="0" w:header="0"/>
        </w:sectPr>
      </w:pPr>
    </w:p>
    <w:bookmarkStart w:id="75" w:name="page76"/>
    <w:bookmarkEnd w:id="75"/>
    <w:p>
      <w:pPr>
        <w:ind w:right="240" w:firstLine="518"/>
        <w:spacing w:after="0" w:line="259" w:lineRule="auto"/>
        <w:rPr>
          <w:sz w:val="20"/>
          <w:szCs w:val="20"/>
          <w:color w:val="auto"/>
        </w:rPr>
      </w:pPr>
      <w:r>
        <w:rPr>
          <w:rFonts w:ascii="Arial" w:cs="Arial" w:eastAsia="Arial" w:hAnsi="Arial"/>
          <w:sz w:val="18"/>
          <w:szCs w:val="18"/>
          <w:color w:val="auto"/>
        </w:rPr>
        <w:t>Investments—the Company may invest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Trading Securities—Debt and equity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Available-for-Sale—Debt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Company classifies its investments in marketable debt securities based on the facts and circumstances present at the time of purchase of the securities. At September 30, 2014, the Company classified all of its investments as held-to-maturity.</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Intangible Assets Subject to Amortization—At September 30, 2014, intangible assets subject to amortization include certain license agreements. Intangible assets subject to amortization are reviewed for impairment whenever events or circumstances indicate that the carrying amount of these assets may not be recoverable.</w:t>
      </w:r>
    </w:p>
    <w:p>
      <w:pPr>
        <w:spacing w:after="0" w:line="181"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In-Process Research &amp; Development (IPR&amp;D)—IPR&amp;D assets represent capitalized on-going research projects that Arrowhead acquired through business combinations. Such assets are initially measured at their acquisition date fair values. The amounts capitalized are being accounted for as indefinite-lived intangible assets, subject to impairment testing until completion or abandonment of R&amp;D efforts associated with the project. Upon successful completion of a project, Arrowhead will make a determination as to the then remaining useful life of the intangible asset and begin amortization. Based on ASC 350 – Intangibles, Goodwill and Other, Arrowhead tests its indefinite-lived assets for impairment at least annually, through a two-step process. The first step is a qualitative assessment to determine if it is more likely than not that the indefinite lived assets are impaired. Arrowhead considers relevant events and circumstances that could affect the inputs used to determine the fair value of the intangible assets. If the qualitative assessment indicates that it is more likely than not that the intangible assets is impaired, a second step is performed which is a quantitative test to determine the fair value of the intangible asset. If the carrying amount of the intangible assets exceeds its fair value, an impairment loss is recorded in the amount of that excess. If circumstances determine that it is appropriate, the Company may also elect to bypass step one, and proceed directly to the second step.</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355" w:right="279" w:bottom="1440" w:gutter="0" w:footer="0" w:header="0"/>
        </w:sectPr>
      </w:pPr>
    </w:p>
    <w:bookmarkStart w:id="76" w:name="page77"/>
    <w:bookmarkEnd w:id="76"/>
    <w:p>
      <w:pPr>
        <w:ind w:firstLine="518"/>
        <w:spacing w:after="0" w:line="286" w:lineRule="auto"/>
        <w:rPr>
          <w:sz w:val="20"/>
          <w:szCs w:val="20"/>
          <w:color w:val="auto"/>
        </w:rPr>
      </w:pPr>
      <w:r>
        <w:rPr>
          <w:rFonts w:ascii="Arial" w:cs="Arial" w:eastAsia="Arial" w:hAnsi="Arial"/>
          <w:sz w:val="16"/>
          <w:szCs w:val="16"/>
          <w:color w:val="auto"/>
        </w:rPr>
        <w:t>Contingent Consideration - The consideration for our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We record a contingent consideration obligation for such contingent payments at fair value on the acquisition date. We estimate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We revalue these contingent consideration obligations each reporting period. Changes in the fair value of our contingent consideration obligations are recognized within our Consolidated Statement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we record in any given period.</w:t>
      </w:r>
    </w:p>
    <w:p>
      <w:pPr>
        <w:spacing w:after="0" w:line="175"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Noncontrolling Interests in Majority-Owned Subsidiaries—Operating losses applicable to majority-owned Ablaris, Calando (prior to its deconsolidation), and Unidym (prior to its disposal) have periodically exceeded the noncontrolling interests in the equity capital of either Subsidiary. Such excess losses applicable to the noncontrolling interests have been and are borne by the Company as there is no obligation of the noncontrolling interests to fund any losses in excess of their original investment. There is also no obligation or commitment on the part of the Company to fund operating losses of any Subsidiary whether wholly-owned or majority-owned. The Company allocates the noncontrolling interest’s share of net loss in excess of the noncontrolling interest’s initial investment in accordance with FASB ASC 810-10.</w:t>
      </w:r>
    </w:p>
    <w:p>
      <w:pPr>
        <w:spacing w:after="0" w:line="193" w:lineRule="exact"/>
        <w:rPr>
          <w:sz w:val="20"/>
          <w:szCs w:val="20"/>
          <w:color w:val="auto"/>
        </w:rPr>
      </w:pPr>
    </w:p>
    <w:p>
      <w:pPr>
        <w:jc w:val="both"/>
        <w:ind w:right="80" w:firstLine="518"/>
        <w:spacing w:after="0" w:line="279" w:lineRule="auto"/>
        <w:rPr>
          <w:sz w:val="20"/>
          <w:szCs w:val="20"/>
          <w:color w:val="auto"/>
        </w:rPr>
      </w:pPr>
      <w:r>
        <w:rPr>
          <w:rFonts w:ascii="Arial" w:cs="Arial" w:eastAsia="Arial" w:hAnsi="Arial"/>
          <w:sz w:val="17"/>
          <w:szCs w:val="17"/>
          <w:color w:val="auto"/>
        </w:rPr>
        <w:t>When there is a change in the Company’s proportionate share of a Subsidiary resulting from additional equity transactions in a Subsidiary, the change is accounted for as an equity transaction in consolidation. To the extent that the increase in the calculated value of the Company’s interest in the equity of the Subsidiary exceeds the Company’s investment in the offering, that increase in value is referred to as the Company’s “increase in its proportionate share of the Subsidiary’s equity” and the amount is recorded as an increase in the Company’s Additional Paid-in Capital.</w:t>
      </w:r>
    </w:p>
    <w:p>
      <w:pPr>
        <w:spacing w:after="0" w:line="171"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Revenue Recognition—Revenue from license fees are recorded when persuasive evidence of an arrangement exists, title has passed or services have been rendered, a price is fixed and determinable, and collection is reasonably assured. We may generate revenue from product sales, technology licenses, collaborative research and development arrangements, and research grants.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187"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and overhead directly related to the Company’s research and development operations, as well as costs to acquire technology licenses.</w:t>
      </w:r>
    </w:p>
    <w:p>
      <w:pPr>
        <w:spacing w:after="0" w:line="14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and restricted stock units issued to employees and warrants to purchase Common Stock of the Company. All outstanding stock options, restricted stock units and warrants for the years ended September 30, 2014, 2013 and 2012 have been excluded from the calculation of Diluted earnings (loss) per share due to their anti-dilutive effect.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355" w:right="239" w:bottom="1440" w:gutter="0" w:footer="0" w:header="0"/>
        </w:sectPr>
      </w:pPr>
    </w:p>
    <w:bookmarkStart w:id="77" w:name="page78"/>
    <w:bookmarkEnd w:id="77"/>
    <w:p>
      <w:pPr>
        <w:ind w:right="40" w:firstLine="518"/>
        <w:spacing w:after="0" w:line="293" w:lineRule="auto"/>
        <w:rPr>
          <w:sz w:val="20"/>
          <w:szCs w:val="20"/>
          <w:color w:val="auto"/>
        </w:rPr>
      </w:pPr>
      <w:r>
        <w:rPr>
          <w:rFonts w:ascii="Arial" w:cs="Arial" w:eastAsia="Arial" w:hAnsi="Arial"/>
          <w:sz w:val="16"/>
          <w:szCs w:val="16"/>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We use the Black-Scholes option valuation model to estimate the fair value of our stock options at the date of grant. The Black-Scholes option valuation model requires the input of subjective assumptions to calculate the value of stock options. We use historical data among other information to estimate the expected price volatility and the expected forfeiture rate. The fair value of restricted stock units granted is based upon the quoted closing market price per share on the date of grant, adjusted for assumed forfeitures. Expense for stock options and restricted stock units is recognized over the requisite service period.</w:t>
      </w:r>
    </w:p>
    <w:p>
      <w:pPr>
        <w:spacing w:after="0" w:line="165"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Derivative Assets and Liabilities - 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w:t>
      </w:r>
    </w:p>
    <w:p>
      <w:pPr>
        <w:spacing w:after="0" w:line="166"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 – Going Concern (Topic 915): Disclosure of Uncertainties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an Entity’s Ability to Continue as a Going Concern</w:t>
      </w:r>
      <w:r>
        <w:rPr>
          <w:rFonts w:ascii="Arial" w:cs="Arial" w:eastAsia="Arial" w:hAnsi="Arial"/>
          <w:sz w:val="16"/>
          <w:szCs w:val="16"/>
          <w:color w:val="auto"/>
        </w:rPr>
        <w:t>, which states that in connection with preparing financial statements for each annual and interim</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period, an entity’s management should evaluate whether there are conditions or events, considered in the aggregate, that raise substantial doubt about the entity’s ability to continue as a going concern within one year after the date that the financial statements are issued (or within one year after the date that the financial statements are available to be issued when applicable). The adoption of this update did not have a material effect on our financial statements.</w:t>
      </w:r>
    </w:p>
    <w:p>
      <w:pPr>
        <w:spacing w:after="0" w:line="15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 xml:space="preserve">In June 2014, the FASB issued ASU 2014-10, </w:t>
      </w:r>
      <w:r>
        <w:rPr>
          <w:rFonts w:ascii="Arial" w:cs="Arial" w:eastAsia="Arial" w:hAnsi="Arial"/>
          <w:sz w:val="18"/>
          <w:szCs w:val="18"/>
          <w:i w:val="1"/>
          <w:iCs w:val="1"/>
          <w:color w:val="auto"/>
        </w:rPr>
        <w:t>Development Stage Entities (Topic 915): Elimination of Certain Financial Reporting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Including an Amendment to Variable Interest Entities Guidance</w:t>
      </w:r>
      <w:r>
        <w:rPr>
          <w:rFonts w:ascii="Arial" w:cs="Arial" w:eastAsia="Arial" w:hAnsi="Arial"/>
          <w:sz w:val="18"/>
          <w:szCs w:val="18"/>
          <w:color w:val="auto"/>
        </w:rPr>
        <w:t>, which eliminates the distinction and separate requirements for development stage entities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reporting entities under U.S. GAAP. Specifically the amendment eliminates the requirement for development stage entities to 1) present inception-to-date information in the statements of income, cash flow and shareholders’ equity, 2) label the financial statements as those of a development stage entity, 3) disclose a description of the development stage activities in which the entity is engaged and 4) disclose the first year in which the entity is no longer a development stage entity that in prior years it had been in the development stage. ASU 2014-10 is effective for fiscal years beginning after December 15, 2014 with early adoption permitted. The Company has adopted ASU 2014-10 effectively beginning with the filing of our Form 10-Q for period ended June 30, 2014.</w:t>
      </w:r>
    </w:p>
    <w:p>
      <w:pPr>
        <w:spacing w:after="0" w:line="192"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will supersede nearly all existing revenue recognition guidance under GAAP. ASU No. 2014-09 provides that an entity recognize revenue when it 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will become effective for the Company in the first quarter of 2018. The Company is evaluating the potential effects of the adoption of this update on its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355" w:right="259" w:bottom="1440" w:gutter="0" w:footer="0" w:header="0"/>
        </w:sectPr>
      </w:pPr>
    </w:p>
    <w:bookmarkStart w:id="78" w:name="page79"/>
    <w:bookmarkEnd w:id="78"/>
    <w:p>
      <w:pPr>
        <w:ind w:right="20" w:firstLine="518"/>
        <w:spacing w:after="0" w:line="255" w:lineRule="auto"/>
        <w:rPr>
          <w:sz w:val="20"/>
          <w:szCs w:val="20"/>
          <w:color w:val="auto"/>
        </w:rPr>
      </w:pPr>
      <w:r>
        <w:rPr>
          <w:rFonts w:ascii="Arial" w:cs="Arial" w:eastAsia="Arial" w:hAnsi="Arial"/>
          <w:sz w:val="18"/>
          <w:szCs w:val="18"/>
          <w:color w:val="auto"/>
        </w:rPr>
        <w:t xml:space="preserve">In July 2013, the FASB issued ASU 2013-11, </w:t>
      </w:r>
      <w:r>
        <w:rPr>
          <w:rFonts w:ascii="Arial" w:cs="Arial" w:eastAsia="Arial" w:hAnsi="Arial"/>
          <w:sz w:val="18"/>
          <w:szCs w:val="18"/>
          <w:i w:val="1"/>
          <w:iCs w:val="1"/>
          <w:color w:val="auto"/>
        </w:rPr>
        <w:t>Income Taxes (Topic 740): Presentation of an Unrecognized Tax Benefit When a Net Operating Loss</w:t>
      </w:r>
      <w:r>
        <w:rPr>
          <w:rFonts w:ascii="Arial" w:cs="Arial" w:eastAsia="Arial" w:hAnsi="Arial"/>
          <w:sz w:val="18"/>
          <w:szCs w:val="18"/>
          <w:color w:val="auto"/>
        </w:rPr>
        <w:t xml:space="preserve"> </w:t>
      </w:r>
      <w:r>
        <w:rPr>
          <w:rFonts w:ascii="Arial" w:cs="Arial" w:eastAsia="Arial" w:hAnsi="Arial"/>
          <w:sz w:val="18"/>
          <w:szCs w:val="18"/>
          <w:i w:val="1"/>
          <w:iCs w:val="1"/>
          <w:color w:val="auto"/>
        </w:rPr>
        <w:t>Carryforward, a Similar Tax Loss, or a Tax Credit Carryforward Exists</w:t>
      </w:r>
      <w:r>
        <w:rPr>
          <w:rFonts w:ascii="Arial" w:cs="Arial" w:eastAsia="Arial" w:hAnsi="Arial"/>
          <w:sz w:val="18"/>
          <w:szCs w:val="18"/>
          <w:color w:val="auto"/>
        </w:rPr>
        <w:t>, which eliminates diversity in practice for the presentation of an unrecognized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when a net operating loss carryforward, a similar tax loss or a tax credit carryforward is available to reduce the taxable income or tax payable that would result from disallowance of a tax position. ASU 2013-11 affects only the presentation of such amounts in an entity’s balance sheet and is effective for fiscal years beginning after December 15, 2013 and interim periods within those years. Early adoption is permitted. The adoption of this update did not have a material effect on our financial statements.</w:t>
      </w:r>
    </w:p>
    <w:p>
      <w:pPr>
        <w:spacing w:after="0" w:line="193"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 xml:space="preserve">In July 2012, the FASB issued ASU 2012-02, </w:t>
      </w:r>
      <w:r>
        <w:rPr>
          <w:rFonts w:ascii="Arial" w:cs="Arial" w:eastAsia="Arial" w:hAnsi="Arial"/>
          <w:sz w:val="17"/>
          <w:szCs w:val="17"/>
          <w:i w:val="1"/>
          <w:iCs w:val="1"/>
          <w:color w:val="auto"/>
        </w:rPr>
        <w:t>Testing Indefinite-Lived Intangible Assets for Impairment,</w:t>
      </w:r>
      <w:r>
        <w:rPr>
          <w:rFonts w:ascii="Arial" w:cs="Arial" w:eastAsia="Arial" w:hAnsi="Arial"/>
          <w:sz w:val="17"/>
          <w:szCs w:val="17"/>
          <w:color w:val="auto"/>
        </w:rPr>
        <w:t xml:space="preserve"> which amended the guidance in ASU 2011-08 to simplify the testing of indefinite-lived intangible assets other than goodwill for impairment. ASU 2012-02 becomes effective for annual and interim impairment tests performed for fiscal years beginning on or after September 15, 2012 and earlier adoption is permitted. We adopted this standard in the third quarter of fiscal year 2012. The adoption of this update did not have a material effect on our financial statements.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major classes of property and equipment:</w:t>
      </w:r>
    </w:p>
    <w:p>
      <w:pPr>
        <w:spacing w:after="0" w:line="2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2014</w:t>
            </w:r>
          </w:p>
        </w:tc>
        <w:tc>
          <w:tcPr>
            <w:tcW w:w="8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0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334,162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323,376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Research equipment</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4,614,176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3,452,013</w:t>
            </w: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69,623</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0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3,045,022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2,749,409</w:t>
            </w:r>
          </w:p>
        </w:tc>
        <w:tc>
          <w:tcPr>
            <w:tcW w:w="120" w:type="dxa"/>
            <w:vAlign w:val="bottom"/>
            <w:tcBorders>
              <w:bottom w:val="single" w:sz="8" w:color="CFF0FC"/>
            </w:tcBorders>
          </w:tcPr>
          <w:p>
            <w:pPr>
              <w:spacing w:after="0"/>
              <w:rPr>
                <w:sz w:val="19"/>
                <w:szCs w:val="19"/>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8,062,983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6,594,421</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(4,190,230)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(3,081,186)</w:t>
            </w: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3,872,753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3,513,235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Company invests its excess cash balances in short-term and long-term debt securities. Investments at September 30, 2014 consisted of corporate bonds with maturities remaining of less than two years at the time of purchase. The Company may also invest excess cash balances in certificates of deposit, money market accounts, US Treasuries, US government agency obligations, corporate debt securities, and/or commercial paper. The Company accounts for its investments in accordance with FASB ASC 320, Investments – Debt and Equity Securities. At September 30, 2014, all investments were classified as held-to-maturity securities.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tables summarize the Company’s short and long-term investments as of September 30, 2014 and 2013, respectively: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As of September 30, 2014</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Amortized Cost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Gross Unrealized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7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21,653,032</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(189,830)</w:t>
            </w: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21,463,202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Commercial notes (due after one year through two years)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23,088,346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(217,693)</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22,870,653</w:t>
            </w:r>
          </w:p>
        </w:tc>
        <w:tc>
          <w:tcPr>
            <w:tcW w:w="0" w:type="dxa"/>
            <w:vAlign w:val="bottom"/>
          </w:tcPr>
          <w:p>
            <w:pPr>
              <w:spacing w:after="0"/>
              <w:rPr>
                <w:sz w:val="1"/>
                <w:szCs w:val="1"/>
                <w:color w:val="auto"/>
              </w:rPr>
            </w:pPr>
          </w:p>
        </w:tc>
      </w:tr>
      <w:tr>
        <w:trPr>
          <w:trHeight w:val="210"/>
        </w:trPr>
        <w:tc>
          <w:tcPr>
            <w:tcW w:w="4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44,741,378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(407,523)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44,333,855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As of September 30, 2013</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Amortized Cost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Gross Unrealized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7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9,030,261</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(39,281)</w:t>
            </w: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8,998,480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Commercial notes (due after one year through two years)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1,702,153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(2,362)</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1,699,791</w:t>
            </w:r>
          </w:p>
        </w:tc>
        <w:tc>
          <w:tcPr>
            <w:tcW w:w="0" w:type="dxa"/>
            <w:vAlign w:val="bottom"/>
          </w:tcPr>
          <w:p>
            <w:pPr>
              <w:spacing w:after="0"/>
              <w:rPr>
                <w:sz w:val="1"/>
                <w:szCs w:val="1"/>
                <w:color w:val="auto"/>
              </w:rPr>
            </w:pPr>
          </w:p>
        </w:tc>
      </w:tr>
      <w:tr>
        <w:trPr>
          <w:trHeight w:val="210"/>
        </w:trPr>
        <w:tc>
          <w:tcPr>
            <w:tcW w:w="4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10,732,414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10,698,271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40" w:type="dxa"/>
            <w:vAlign w:val="bottom"/>
          </w:tcPr>
          <w:p>
            <w:pPr>
              <w:spacing w:after="0"/>
              <w:rPr>
                <w:sz w:val="24"/>
                <w:szCs w:val="24"/>
                <w:color w:val="auto"/>
              </w:rPr>
            </w:pPr>
          </w:p>
        </w:tc>
        <w:tc>
          <w:tcPr>
            <w:tcW w:w="2160" w:type="dxa"/>
            <w:vAlign w:val="bottom"/>
            <w:gridSpan w:val="4"/>
          </w:tcPr>
          <w:p>
            <w:pPr>
              <w:jc w:val="right"/>
              <w:ind w:right="1120"/>
              <w:spacing w:after="0"/>
              <w:rPr>
                <w:sz w:val="20"/>
                <w:szCs w:val="20"/>
                <w:color w:val="auto"/>
              </w:rPr>
            </w:pPr>
            <w:r>
              <w:rPr>
                <w:rFonts w:ascii="Arial" w:cs="Arial" w:eastAsia="Arial" w:hAnsi="Arial"/>
                <w:sz w:val="18"/>
                <w:szCs w:val="18"/>
                <w:color w:val="auto"/>
              </w:rPr>
              <w:t>F-14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79" w:name="page80"/>
    <w:bookmarkEnd w:id="79"/>
    <w:p>
      <w:pPr>
        <w:ind w:right="20"/>
        <w:spacing w:after="0" w:line="289" w:lineRule="auto"/>
        <w:rPr>
          <w:sz w:val="20"/>
          <w:szCs w:val="20"/>
          <w:color w:val="auto"/>
        </w:rPr>
      </w:pPr>
      <w:r>
        <w:rPr>
          <w:rFonts w:ascii="Arial" w:cs="Arial" w:eastAsia="Arial" w:hAnsi="Arial"/>
          <w:sz w:val="16"/>
          <w:szCs w:val="16"/>
          <w:color w:val="auto"/>
        </w:rPr>
        <w:t>Unrealized gains and losses are calculated as the difference between the fair value of a particular debt instrument as compared to its amortized cost. The Company’s debt instruments at September 30, 2014 consist of investment grade corporate bonds. There are many factors which can affect the fair value of a corporate bond, including general interest rates, prevailing inflation expectations, investors’ general appetite for risk, perceptions on the financial health of the bond issuers, and other factors. In general, the bonds we purchase have remaining maturities of less than two years, and small changes in economic factors have a lesser impact on the fair value of our bonds, as compared to, for example, bonds with longer maturities remaining. Given the current low interest rate environment, most bonds purchased by the Company have a coupon rate higher than the prevailing interest rate, and thus the bonds are purchased at a premium to par value. As these bonds near maturity, the fair value of each bond will naturally converge toward par value. The amortized cost of the bonds we hold will also converge toward par value, but more so based on the timing of coupon payments. Accordingly, it is not uncommon to report unrealized losses on bonds purchased at a premium to par, and since the Company expects to hold these bonds to maturity, these losses are not expected to be realized.</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Madison</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On October 21, 2011, the Company entered into a Stock and Asset Purchase Agreement (the “RNAi Purchase Agreement”) with Hoffmann-La Roche Inc. and F Hoffmann-La Roche Ltd (collectively, “Roche”), pursuant to which the Company purchased from Roche (i) all of the outstanding common stock of Roche Madison Inc. (“Roche Madison”, now “Arrowhead Madison”) and (ii) the intellectual property rights then held by Roche related to its RNAi business and identified in the RNAi Purchase Agreement (the “Transaction”). In consideration for the purchase of Roche Madison and the Roche RNAi assets, the Company issued to Roche a promissory note with a principal value of $50,000 and 1,288,158 shares of Common Stock.</w:t>
      </w:r>
    </w:p>
    <w:p>
      <w:pPr>
        <w:spacing w:after="0" w:line="17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Pursuant to the RNAi Purchase Agreement, Roche has a right of first negotiation on certain product candidates developed by the Company and its affiliates relating to the purchased assets. If the Company proposes to out-license or enters into substantive negotiations to out-license, any Clinical Candidate or Existing Candidate (as such terms are defined in the RNAi Purchase Agreement), the Company must give notice of the Candidate it proposes to out-license and negotiate exclusively and in good faith with Roche for 90 days regarding the applicable out-license. This right of first negotiation applies to all Existing Candidates (as defined in the RNAi Purchase Agreement) and the first five Clinical Candidates for which the Company delivers notice to Roche and subsequently enters into an out-license.</w:t>
      </w:r>
    </w:p>
    <w:p>
      <w:pPr>
        <w:spacing w:after="0" w:line="19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addition to the consideration paid by the Company as per the closing terms, the Company is obligated to make certain royalty and milestone payments to Roche upon the occurrence of certain events. For certain product candidates that are developed by the Company that are covered by a valid claim by the patent rights transferred in the Transaction for which the Company and Roche do not enter into a licensing arrangement, the Company will be obligated to pay a 3% royalty on Net Sales (as defined in the RNAi Purchase Agreement), provided that the royalty rate may be reduced or offset in certain circumstances. The obligation to pay royalties on such candidates will last until the later of (i) the expiration of the last to expire patent right related to such product candidate that was transferred in the Transaction and (ii) ten years after the first commercial sale of such product candidate.</w:t>
      </w:r>
    </w:p>
    <w:p>
      <w:pPr>
        <w:spacing w:after="0" w:line="165" w:lineRule="exact"/>
        <w:rPr>
          <w:sz w:val="20"/>
          <w:szCs w:val="20"/>
          <w:color w:val="auto"/>
        </w:rPr>
      </w:pPr>
    </w:p>
    <w:p>
      <w:pPr>
        <w:ind w:right="120" w:firstLine="518"/>
        <w:spacing w:after="0" w:line="268" w:lineRule="auto"/>
        <w:rPr>
          <w:sz w:val="20"/>
          <w:szCs w:val="20"/>
          <w:color w:val="auto"/>
        </w:rPr>
      </w:pPr>
      <w:r>
        <w:rPr>
          <w:rFonts w:ascii="Arial" w:cs="Arial" w:eastAsia="Arial" w:hAnsi="Arial"/>
          <w:sz w:val="17"/>
          <w:szCs w:val="17"/>
          <w:color w:val="auto"/>
        </w:rPr>
        <w:t>The Company will also be obligated to make cash payments to Roche upon the achievement of various milestones for certain clinical candidates, for which the Company and Roche do not enter into a licensing arrangement, including the first regulatory approval in certain jurisdictions, and upon certain annual sales milestones for candidates that receive regulatory approval. The potential payments range from $2,500,000 to $6,000,000 per milestone. At the time of acquisition, the Company’s estimate of future payments for potential royalties and milestones had a net present value of $84,935 which was recorded as contingent consideration as a part of other noncurrent liabilities. Contingent consideration is calculated by modeling research and development activities for clinical candidates, forecasting timelines to market, and using “peak sales” estimate modeling, cash flows and potential milestone and royalty payments. The modeling assumes certain success rates, and discount factors related to riskiness of projects and the time value of money to calculate a net present value of future consideration payments to Roche. These estimates are based on many unknown variables that are difficult to estimate, and due to the extended process of drug development prior to marketing of drug candidates, the models must extend many years into the future. Such predictions are inherently uncertain. Each reporting period, the Company re-evaluates its contingent consideration, and if material, makes adjustments to the recorded liability. Any adjustment to the contingent consideration liability is reflected in the Company’s Statement of Operations. As of September 30, 2014, the contingent consideration liability had been increased to $4.0 million, which is recorded on the Company’s Consolidated Balance Sheets. During the years ended September 30, 2014 and 2013, the Company recorded increases in the value of the contingent consideration liability of $2.4 million and $1.4 million,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39"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Intangible assets consist of in-process research and development (IPR&amp;D) not subject to amortization, and license agreement intangible assets subject to amortization, which were capitalized as a part of a business combination.</w:t>
      </w:r>
    </w:p>
    <w:p>
      <w:pPr>
        <w:spacing w:after="0" w:line="17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IPR&amp;D represents projects that have not yet received regulatory approval and are required to be classified as indefinite assets until the successful completion or the abandonment of the associated R&amp;D efforts. Accordingly, during the development period after the date of acquisition, these assets will not be amortized until approval is obtained in one or more jurisdictions which, individually or combined, are expected to generate a significant portion of the total revenue expected to be earned by an IPR&amp;D project. At that time, we will determine the useful life of the asset, reclassify the asset out of IPR&amp;D and begin amortization. If the associated R&amp;D effort is abandoned the related IPR&amp;D assets will likely be written off and we would record an impairment loss.</w:t>
      </w:r>
    </w:p>
    <w:p>
      <w:pPr>
        <w:spacing w:after="0" w:line="15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Intangible assets not subject to amortization include IPR&amp;D capitalized as part of the business combinations from the acquisitions of Roche Madison and Alvos. We review amounts capitalized as IPR&amp;D for impairment at least annually in the fourth quarter, and whenever events or changes in circumstances indicate that the carrying value of an asset may not be recoverable. In the event the carrying value of the assets is not expected to be recovered, the assets are written down to their estimated fair values. We continue to test our indefinite-lived IPR&amp;D assets for potential impairment until the projects are completed or abandoned.</w:t>
      </w:r>
    </w:p>
    <w:p>
      <w:pPr>
        <w:spacing w:after="0" w:line="188"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During the year ended September 30, 2014, the Company determined that the carrying value of the Alvos IPR&amp;D may not be recoverable. The Company has had difficulty advancing the development of the Alvos technology, and has been unsuccessful in finding partners to license the technology. As such, and due to higher priority research programs, the Company has abandoned its efforts to further develop this technology. Based on these events and circumstances, Management has determined that the value of the Alvos IPR&amp;D was fully impaired as of September 30, 2014, and the Company recorded an impairment charge of $2.2 million, which is presented as a part of operating expenses for the year ended September 30, 2014.</w:t>
      </w:r>
    </w:p>
    <w:p>
      <w:pPr>
        <w:spacing w:after="0" w:line="15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On August 5, 2013, Calando terminated a License Agreement with the California Institute of Technology (the “License”). The License provided Calando with exclusive rights to develop and commercialize therapeutics based on the linear cyclodextrin drug delivery technology invented at Caltech. The drug delivery technology platforms, Cyclosert</w:t>
      </w:r>
      <w:r>
        <w:rPr>
          <w:rFonts w:ascii="Arial" w:cs="Arial" w:eastAsia="Arial" w:hAnsi="Arial"/>
          <w:sz w:val="13"/>
          <w:szCs w:val="13"/>
          <w:color w:val="auto"/>
        </w:rPr>
        <w:t>TM</w:t>
      </w:r>
      <w:r>
        <w:rPr>
          <w:rFonts w:ascii="Arial" w:cs="Arial" w:eastAsia="Arial" w:hAnsi="Arial"/>
          <w:sz w:val="16"/>
          <w:szCs w:val="16"/>
          <w:color w:val="auto"/>
        </w:rPr>
        <w:t xml:space="preserve"> and RONDEL</w:t>
      </w:r>
      <w:r>
        <w:rPr>
          <w:rFonts w:ascii="Arial" w:cs="Arial" w:eastAsia="Arial" w:hAnsi="Arial"/>
          <w:sz w:val="13"/>
          <w:szCs w:val="13"/>
          <w:color w:val="auto"/>
        </w:rPr>
        <w:t>TM</w:t>
      </w:r>
      <w:r>
        <w:rPr>
          <w:rFonts w:ascii="Arial" w:cs="Arial" w:eastAsia="Arial" w:hAnsi="Arial"/>
          <w:sz w:val="16"/>
          <w:szCs w:val="16"/>
          <w:color w:val="auto"/>
        </w:rPr>
        <w:t>, as well as the drug candidates IT-101 and CALAA-01, were developed based on the licensed technology. Calando was responsible to direct and pay for the prosecution of the patents and patent applications covered by the License and to progress the technology. In conjunction with a previous business acquisition, the patents covered by this license agreement had been capitalized, and had a net book value of $1.3 million at June 30, 2013. Management determined that the value of the patents was impaired as of June 30, 2013, and the Company recorded an impairment charge of $1.3 million, and is presented as a part of operating expenses for the year ended September 30, 2013.</w:t>
      </w:r>
    </w:p>
    <w:p>
      <w:pPr>
        <w:spacing w:after="0" w:line="16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Intangible assets subject to amortization include license agreements capitalized as part of a business combination from the acquisition of Roche Madison. The license agreements are being amortized over the estimated life remaining at the time of acquisition which was 4 years, and the accumulated amortization of the assets is approximately $161,500. Patents have been amortized over a period of three years to twenty years, however all patent assets were fully impaired during the year ended September 30, 2013. Amortization expense for the years ended September 30, 2014, 2013 and 2012 was $54,653, $236,009 and $293,964, respectively. The weighted average original amortization period is twelve years. Amortization expense is expected to be approximately $55,000 for fiscal year 2015, $13,000 in 2016, and zero thereafter.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below table provides details on our intangible asset balances:</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Intangible assets</w:t>
            </w:r>
          </w:p>
        </w:tc>
        <w:tc>
          <w:tcPr>
            <w:tcW w:w="2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Intangible assets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not subject to</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subject to</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amortization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4"/>
              <w:spacing w:after="0"/>
              <w:rPr>
                <w:sz w:val="20"/>
                <w:szCs w:val="20"/>
                <w:color w:val="auto"/>
              </w:rPr>
            </w:pPr>
            <w:r>
              <w:rPr>
                <w:rFonts w:ascii="Arial" w:cs="Arial" w:eastAsia="Arial" w:hAnsi="Arial"/>
                <w:sz w:val="14"/>
                <w:szCs w:val="14"/>
                <w:b w:val="1"/>
                <w:bCs w:val="1"/>
                <w:color w:val="auto"/>
                <w:w w:val="96"/>
              </w:rPr>
              <w:t>amortization</w:t>
            </w:r>
          </w:p>
        </w:tc>
        <w:tc>
          <w:tcPr>
            <w:tcW w:w="200" w:type="dxa"/>
            <w:vAlign w:val="bottom"/>
          </w:tcPr>
          <w:p>
            <w:pPr>
              <w:spacing w:after="0"/>
              <w:rPr>
                <w:sz w:val="14"/>
                <w:szCs w:val="14"/>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Intangible assets</w:t>
            </w:r>
          </w:p>
        </w:tc>
        <w:tc>
          <w:tcPr>
            <w:tcW w:w="0" w:type="dxa"/>
            <w:vAlign w:val="bottom"/>
          </w:tcPr>
          <w:p>
            <w:pPr>
              <w:spacing w:after="0"/>
              <w:rPr>
                <w:sz w:val="1"/>
                <w:szCs w:val="1"/>
                <w:color w:val="auto"/>
              </w:rPr>
            </w:pPr>
          </w:p>
        </w:tc>
      </w:tr>
      <w:tr>
        <w:trPr>
          <w:trHeight w:val="210"/>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2012</w:t>
            </w:r>
          </w:p>
        </w:tc>
        <w:tc>
          <w:tcPr>
            <w:tcW w:w="10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3,117,322</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1,667,247</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4,784,569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Impairment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(1,308,047)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(1,308,047)</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(236,009)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(236,009)</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8"/>
                <w:szCs w:val="18"/>
                <w:color w:val="auto"/>
              </w:rPr>
              <w:t>Balance at September 30, 2013</w:t>
            </w:r>
          </w:p>
        </w:tc>
        <w:tc>
          <w:tcPr>
            <w:tcW w:w="10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3,117,322</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123,191</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Impairment</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(2,172,387)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(2,172,387)</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Amortization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(54,653)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(54,653)</w:t>
            </w:r>
          </w:p>
        </w:tc>
        <w:tc>
          <w:tcPr>
            <w:tcW w:w="0" w:type="dxa"/>
            <w:vAlign w:val="bottom"/>
          </w:tcPr>
          <w:p>
            <w:pPr>
              <w:spacing w:after="0"/>
              <w:rPr>
                <w:sz w:val="1"/>
                <w:szCs w:val="1"/>
                <w:color w:val="auto"/>
              </w:rPr>
            </w:pPr>
          </w:p>
        </w:tc>
      </w:tr>
      <w:tr>
        <w:trPr>
          <w:trHeight w:val="210"/>
        </w:trPr>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2014</w:t>
            </w:r>
          </w:p>
        </w:tc>
        <w:tc>
          <w:tcPr>
            <w:tcW w:w="10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944,935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68,538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1,013,473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0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F-16</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35"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INVESTMENT IN SUBSIDIARIES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to 100% ownership interest in Arrowhead Madison Inc., Arrowhead also maintains majority ownership in Ablaris Therapeutics, Inc.</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Ablaris Therapeutics, Inc.</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Ablaris was formed and began operations in fiscal 2011, based on the license of certain anti-obesity technology developed at the MD Anderson Cancer Center at the University of Texas. During fiscal 2011, Ablaris raised $2.9 million in cash, of which $1.3 million was invested by Arrowhead and $1.6 million was invested by outside investors, through the issuance of Ablaris Series A Preferred stock.</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2014, Arrowhead owned 64% of the outstanding shares of Ablaris and 64% on a fully diluted basis.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Calando Pharmaceuticals, Inc.</w:t>
      </w:r>
    </w:p>
    <w:p>
      <w:pPr>
        <w:spacing w:after="0" w:line="11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Calando has ceased operations and terminated its technology license with the California Institute of Technology on which its siRNA therapeutic development efforts were based. Further, pursuant to an involuntary petition by an unpaid Noteholder, Calando is undergoing Chapter 7 bankruptcy proceedings. During the year ended September 30, 2014, Arrowhead deconsolidated Calando based on the fact that Calando is now subject to the control of the bankruptcy trustee in accordance with ASC 810. The deconsolidation of Calando resulted in an approximately $87,000 gain to the Company’s Consolidated Statement of Operations.</w:t>
      </w:r>
    </w:p>
    <w:p>
      <w:pPr>
        <w:spacing w:after="0" w:line="18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 of September 30, 2014, Calando owed to Arrowhead $4.5 million under a series of 8% simple interest notes and advances. It is unlikely these notes will be repaid in full. The balance of the notes and advances has been fully reserved.</w:t>
      </w:r>
    </w:p>
    <w:p>
      <w:pPr>
        <w:spacing w:after="0" w:line="170"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As of September 30, 2014, Arrowhead owned 79% of the outstanding shares of Calando and 76% on a fully diluted basis. As a result of the ongoing bankruptcy proceeding for Calando, we do not expect our equity ownership to result in any return of capital as part of the liquidation of Calando.</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At September 30, 2014, the Company had a total of 150,000,000 shares of capital stock authorized for issuance, consisting of 145,000,000 shares of Common Stock, par value $0.001, and 5,000,000 shares of Preferred Stock, par value $0.001.</w:t>
      </w:r>
    </w:p>
    <w:p>
      <w:pPr>
        <w:spacing w:after="0" w:line="17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At September 30, 2014, 54,656,936 shares of Common Stock were outstanding; 18,300 shares of Preferred Stock were outstanding, including 2,300 shares of Series B Preferred Stock, convertible into 1,256,831 shares of Common Stock, and 16,000 shares of Series C Preferred Stock, convertible into 2,730,375 shares of Common Stock. At September 30, 2014, 7,165,174 shares were reserved for issuance upon exercise of options or restricted stock units granted or available for grant under Arrowhead’s 2000 Stock Option Plan, 2004 Equity Incentive Plan, 2013 Incentive Plan, as well as for inducement grants made to new employees.</w:t>
      </w:r>
    </w:p>
    <w:p>
      <w:pPr>
        <w:spacing w:after="0" w:line="188" w:lineRule="exact"/>
        <w:rPr>
          <w:sz w:val="20"/>
          <w:szCs w:val="20"/>
          <w:color w:val="auto"/>
        </w:rPr>
      </w:pPr>
    </w:p>
    <w:p>
      <w:pPr>
        <w:ind w:right="240" w:firstLine="518"/>
        <w:spacing w:after="0" w:line="293" w:lineRule="auto"/>
        <w:rPr>
          <w:sz w:val="20"/>
          <w:szCs w:val="20"/>
          <w:color w:val="auto"/>
        </w:rPr>
      </w:pPr>
      <w:r>
        <w:rPr>
          <w:rFonts w:ascii="Arial" w:cs="Arial" w:eastAsia="Arial" w:hAnsi="Arial"/>
          <w:sz w:val="16"/>
          <w:szCs w:val="16"/>
          <w:color w:val="auto"/>
        </w:rPr>
        <w:t>The Preferred Stock is convertible to Common Stock by its holder at its stated conversion price, though the Preferred Stock is not convertible to the extent the holder would beneficially own more than 9.99% of the number of Common Stock immediately after the conversion. The holders of Preferred Stock are eligible to vote with the Common Stock of the Company on an as-converted basis, but only to the extent they are eligible for conversion without exceeding the 9.99% ownership limitation. The Preferred Stock does not carry a coupon, but the Preferred Stock is entitled to receive dividends on a pari passu basis with Common Stock, when and if declared. In any liquidation or dissolution of the Company, the holders of Preferred Stock are entitled to participate in the distribution of the assets, to the extent legally available for distribution, on a pari passu basis with the Common Stock.</w:t>
      </w:r>
    </w:p>
    <w:p>
      <w:pPr>
        <w:spacing w:after="0" w:line="165"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On October 21, 2011 and October 24, 2011, the Company entered into Subscription Agreements with certain accredited investors, pursuant to which the Company issued and sold an aggregate of 1,015 shares of Series A Preferred Convertible Stock, $0.001 par value per share (“Series A Preferred”), at a purchase price of $1,000 per share. The aggregate purchase price paid for the shares of Series A Preferred was $1,015,000. On February 16, 2012, upon approval by the Company’s shareholders, 1,015 shares of Series A Preferred, representing all shares of outstanding Series A Preferred, were converted to 275,782 shares of Common Stock.</w:t>
      </w:r>
    </w:p>
    <w:p>
      <w:pPr>
        <w:spacing w:after="0" w:line="18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On October 21, 2011, the Company entered into a Subscription Agreement with an accredited investor, pursuant to which the Company issued and sold an aggregate of 675,000 shares of Common Stock, $0.001 par value per share, at a purchase price of $3.70 per share. The aggregate purchase price paid by the purchaser for the shares of Common Stock is $2,497,500.</w:t>
      </w:r>
    </w:p>
    <w:p>
      <w:pPr>
        <w:spacing w:after="0" w:line="18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On August 10, 2012 the Company sold 2,260,869 units at a price of $2.76 per unit. Each unit consisted of one share of Common Stock and a warrant to purchase 0.75 shares of Common Stock at an exercise price of $3.25. Gross proceeds from the offering were $6.2 million excluding offering fees and expenses.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135" w:right="259" w:bottom="1440" w:gutter="0" w:footer="0" w:header="0"/>
        </w:sectPr>
      </w:pPr>
    </w:p>
    <w:bookmarkStart w:id="82" w:name="page83"/>
    <w:bookmarkEnd w:id="82"/>
    <w:p>
      <w:pPr>
        <w:jc w:val="both"/>
        <w:ind w:firstLine="518"/>
        <w:spacing w:after="0" w:line="279" w:lineRule="auto"/>
        <w:rPr>
          <w:sz w:val="20"/>
          <w:szCs w:val="20"/>
          <w:color w:val="auto"/>
        </w:rPr>
      </w:pPr>
      <w:r>
        <w:rPr>
          <w:rFonts w:ascii="Arial" w:cs="Arial" w:eastAsia="Arial" w:hAnsi="Arial"/>
          <w:sz w:val="17"/>
          <w:szCs w:val="17"/>
          <w:color w:val="auto"/>
        </w:rPr>
        <w:t>In December 2012, the Company sold 1,825,079 units at a price of $2.26 per unit. Each unit consisted of one share of Common Stock and a warrant to purchase 0.5 shares of Common Stock. Gross proceeds from the offering were $4.1 million excluding offering fees and expenses. The exercise price of these warrants was $1.83 as of September 30, 2014, and may decrease based on certain specified events. As a result, the Company determined these warrants were ineligible for equity classification. Refer to the Fair Value footnote for further discussion regarding these warrants.</w:t>
      </w:r>
    </w:p>
    <w:p>
      <w:pPr>
        <w:spacing w:after="0" w:line="171"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In January 2013, the Company sold 1,667,051 units at a price of $2.12 per unit. Each unit consisted of one share of Common Stock and a warrant to purchase 0.5 shares of Common Stock. Gross proceeds from the offering were $3.5 million excluding offering fees and expenses. The exercise price of these warrants was $1.83 as of September 30, 2014, and may decrease based on certain specified events. As a result, the Company determined these warrants were ineligible for equity classification. Refer to the Fair Value footnote for further discussion regarding these warrants.</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May 2013, the Company sold 14.3 million shares of Common Stock at a price of $1.83 per share and 9,900 shares of Arrowhead Series B Preferred Stock at a price of $1,000 per share. The Series B Preferred Stock is convertible into Common Stock at a conversion price of $1.83. Gross proceeds were $36 million. No warrants were issued in the May 2013 financing.</w:t>
      </w:r>
    </w:p>
    <w:p>
      <w:pPr>
        <w:spacing w:after="0" w:line="18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On October 11, 2013, the Company sold 3,071,672 shares of Common Stock, at a price of $5.86 per share, and 46,000 shares of Series C Preferred Stock, at a price of $1,000 per share. The Series C Preferred Shares are convertible into shares of Common Stock at a conversion price of $5.86. The aggregate purchase price paid by the purchasers for the Common Stock and Preferred Shares was $64,000,000 and the Company received net proceeds of approximately $60,000,000, after advisory fees and offering expenses.</w:t>
      </w:r>
    </w:p>
    <w:p>
      <w:pPr>
        <w:spacing w:after="0" w:line="18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On February 24, 2014, the Company sold 6,325,000 shares of Common Stock, at a public offering price of $18.95 per share. Net proceeds were approximately $112.6 million after underwriting commissions and discounts and other offering expenses.</w:t>
      </w:r>
    </w:p>
    <w:p>
      <w:pPr>
        <w:spacing w:after="0" w:line="170"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As of November 17, 2011, the Company effected a 1 for 10 reverse stock split. As a result of the reverse stock split, each ten shares of the Company’s Common Stock issued and outstanding immediately prior to the reverse stock split was combined into one share of Common Stock. Also, as a result of the reverse stock split, the per share exercise price, and the number of shares of Common Stock underlying Company stock options, warrants, and any Common Stock based equity grants outstanding immediately prior to the reverse stock split was proportionally adjusted, based on the one-for-ten split ratio, in accordance with the terms of such options, warrants or other Common Stock based equity grants, as the case may be. No fractional shares of Common Stock were issued in connection with the reverse split. Stockholders received a cash payment in lieu of any fractional shares. All share and per share amounts in these financial statements have been retrospectively adjusted to reflect the reverse stock split.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warrants outstanding at September 30, 2014:</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Number of Warrants</w:t>
            </w:r>
          </w:p>
        </w:tc>
        <w:tc>
          <w:tcPr>
            <w:tcW w:w="18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71"/>
        </w:trPr>
        <w:tc>
          <w:tcPr>
            <w:tcW w:w="3040" w:type="dxa"/>
            <w:vAlign w:val="bottom"/>
            <w:gridSpan w:val="2"/>
            <w:vMerge w:val="continue"/>
          </w:tcPr>
          <w:p>
            <w:pPr>
              <w:spacing w:after="0"/>
              <w:rPr>
                <w:sz w:val="14"/>
                <w:szCs w:val="14"/>
                <w:color w:val="auto"/>
              </w:rPr>
            </w:pPr>
          </w:p>
        </w:tc>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Life in Years</w:t>
            </w:r>
          </w:p>
        </w:tc>
        <w:tc>
          <w:tcPr>
            <w:tcW w:w="0" w:type="dxa"/>
            <w:vAlign w:val="bottom"/>
          </w:tcPr>
          <w:p>
            <w:pPr>
              <w:spacing w:after="0"/>
              <w:rPr>
                <w:sz w:val="1"/>
                <w:szCs w:val="1"/>
                <w:color w:val="auto"/>
              </w:rPr>
            </w:pPr>
          </w:p>
        </w:tc>
      </w:tr>
      <w:tr>
        <w:trPr>
          <w:trHeight w:val="210"/>
        </w:trPr>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880" w:type="dxa"/>
            <w:vAlign w:val="bottom"/>
            <w:tcBorders>
              <w:top w:val="single" w:sz="8" w:color="auto"/>
            </w:tcBorders>
            <w:shd w:val="clear" w:color="auto" w:fill="CFF0FC"/>
          </w:tcPr>
          <w:p>
            <w:pPr>
              <w:jc w:val="right"/>
              <w:ind w:right="2330"/>
              <w:spacing w:after="0"/>
              <w:rPr>
                <w:sz w:val="20"/>
                <w:szCs w:val="20"/>
                <w:color w:val="auto"/>
              </w:rPr>
            </w:pPr>
            <w:r>
              <w:rPr>
                <w:rFonts w:ascii="Arial" w:cs="Arial" w:eastAsia="Arial" w:hAnsi="Arial"/>
                <w:sz w:val="18"/>
                <w:szCs w:val="18"/>
                <w:color w:val="auto"/>
                <w:w w:val="97"/>
              </w:rPr>
              <w:t>70.60</w:t>
            </w:r>
          </w:p>
        </w:tc>
        <w:tc>
          <w:tcPr>
            <w:tcW w:w="31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94,897</w:t>
            </w:r>
          </w:p>
        </w:tc>
        <w:tc>
          <w:tcPr>
            <w:tcW w:w="1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jc w:val="right"/>
              <w:ind w:right="2330"/>
              <w:spacing w:after="0"/>
              <w:rPr>
                <w:sz w:val="20"/>
                <w:szCs w:val="20"/>
                <w:color w:val="auto"/>
              </w:rPr>
            </w:pPr>
            <w:r>
              <w:rPr>
                <w:rFonts w:ascii="Arial" w:cs="Arial" w:eastAsia="Arial" w:hAnsi="Arial"/>
                <w:sz w:val="18"/>
                <w:szCs w:val="18"/>
                <w:color w:val="auto"/>
              </w:rPr>
              <w:t>5.00</w:t>
            </w:r>
          </w:p>
        </w:tc>
        <w:tc>
          <w:tcPr>
            <w:tcW w:w="4480" w:type="dxa"/>
            <w:vAlign w:val="bottom"/>
            <w:gridSpan w:val="3"/>
          </w:tcPr>
          <w:p>
            <w:pPr>
              <w:jc w:val="right"/>
              <w:spacing w:after="0"/>
              <w:rPr>
                <w:sz w:val="20"/>
                <w:szCs w:val="20"/>
                <w:color w:val="auto"/>
              </w:rPr>
            </w:pPr>
            <w:r>
              <w:rPr>
                <w:rFonts w:ascii="Arial" w:cs="Arial" w:eastAsia="Arial" w:hAnsi="Arial"/>
                <w:sz w:val="18"/>
                <w:szCs w:val="18"/>
                <w:color w:val="auto"/>
              </w:rPr>
              <w:t>413,825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880" w:type="dxa"/>
            <w:vAlign w:val="bottom"/>
            <w:shd w:val="clear" w:color="auto" w:fill="CFF0FC"/>
          </w:tcPr>
          <w:p>
            <w:pPr>
              <w:jc w:val="right"/>
              <w:ind w:right="2330"/>
              <w:spacing w:after="0"/>
              <w:rPr>
                <w:sz w:val="20"/>
                <w:szCs w:val="20"/>
                <w:color w:val="auto"/>
              </w:rPr>
            </w:pPr>
            <w:r>
              <w:rPr>
                <w:rFonts w:ascii="Arial" w:cs="Arial" w:eastAsia="Arial" w:hAnsi="Arial"/>
                <w:sz w:val="18"/>
                <w:szCs w:val="18"/>
                <w:color w:val="auto"/>
              </w:rPr>
              <w:t>5.09</w:t>
            </w:r>
          </w:p>
        </w:tc>
        <w:tc>
          <w:tcPr>
            <w:tcW w:w="4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269,912</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jc w:val="right"/>
              <w:ind w:right="2330"/>
              <w:spacing w:after="0"/>
              <w:rPr>
                <w:sz w:val="20"/>
                <w:szCs w:val="20"/>
                <w:color w:val="auto"/>
              </w:rPr>
            </w:pPr>
            <w:r>
              <w:rPr>
                <w:rFonts w:ascii="Arial" w:cs="Arial" w:eastAsia="Arial" w:hAnsi="Arial"/>
                <w:sz w:val="18"/>
                <w:szCs w:val="18"/>
                <w:color w:val="auto"/>
              </w:rPr>
              <w:t>1.38</w:t>
            </w:r>
          </w:p>
        </w:tc>
        <w:tc>
          <w:tcPr>
            <w:tcW w:w="4480" w:type="dxa"/>
            <w:vAlign w:val="bottom"/>
            <w:gridSpan w:val="3"/>
          </w:tcPr>
          <w:p>
            <w:pPr>
              <w:jc w:val="right"/>
              <w:spacing w:after="0"/>
              <w:rPr>
                <w:sz w:val="20"/>
                <w:szCs w:val="20"/>
                <w:color w:val="auto"/>
              </w:rPr>
            </w:pPr>
            <w:r>
              <w:rPr>
                <w:rFonts w:ascii="Arial" w:cs="Arial" w:eastAsia="Arial" w:hAnsi="Arial"/>
                <w:sz w:val="18"/>
                <w:szCs w:val="18"/>
                <w:color w:val="auto"/>
              </w:rPr>
              <w:t>24,324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880" w:type="dxa"/>
            <w:vAlign w:val="bottom"/>
            <w:shd w:val="clear" w:color="auto" w:fill="CFF0FC"/>
          </w:tcPr>
          <w:p>
            <w:pPr>
              <w:jc w:val="right"/>
              <w:ind w:right="2330"/>
              <w:spacing w:after="0"/>
              <w:rPr>
                <w:sz w:val="20"/>
                <w:szCs w:val="20"/>
                <w:color w:val="auto"/>
              </w:rPr>
            </w:pPr>
            <w:r>
              <w:rPr>
                <w:rFonts w:ascii="Arial" w:cs="Arial" w:eastAsia="Arial" w:hAnsi="Arial"/>
                <w:sz w:val="18"/>
                <w:szCs w:val="18"/>
                <w:color w:val="auto"/>
              </w:rPr>
              <w:t>4.16</w:t>
            </w:r>
          </w:p>
        </w:tc>
        <w:tc>
          <w:tcPr>
            <w:tcW w:w="4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jc w:val="right"/>
              <w:ind w:right="2330"/>
              <w:spacing w:after="0"/>
              <w:rPr>
                <w:sz w:val="20"/>
                <w:szCs w:val="20"/>
                <w:color w:val="auto"/>
              </w:rPr>
            </w:pPr>
            <w:r>
              <w:rPr>
                <w:rFonts w:ascii="Arial" w:cs="Arial" w:eastAsia="Arial" w:hAnsi="Arial"/>
                <w:sz w:val="18"/>
                <w:szCs w:val="18"/>
                <w:color w:val="auto"/>
              </w:rPr>
              <w:t>3.25</w:t>
            </w:r>
          </w:p>
        </w:tc>
        <w:tc>
          <w:tcPr>
            <w:tcW w:w="4480" w:type="dxa"/>
            <w:vAlign w:val="bottom"/>
            <w:gridSpan w:val="3"/>
          </w:tcPr>
          <w:p>
            <w:pPr>
              <w:jc w:val="right"/>
              <w:spacing w:after="0"/>
              <w:rPr>
                <w:sz w:val="20"/>
                <w:szCs w:val="20"/>
                <w:color w:val="auto"/>
              </w:rPr>
            </w:pPr>
            <w:r>
              <w:rPr>
                <w:rFonts w:ascii="Arial" w:cs="Arial" w:eastAsia="Arial" w:hAnsi="Arial"/>
                <w:sz w:val="18"/>
                <w:szCs w:val="18"/>
                <w:color w:val="auto"/>
              </w:rPr>
              <w:t>334,347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880" w:type="dxa"/>
            <w:vAlign w:val="bottom"/>
            <w:shd w:val="clear" w:color="auto" w:fill="CFF0FC"/>
          </w:tcPr>
          <w:p>
            <w:pPr>
              <w:jc w:val="right"/>
              <w:ind w:right="2330"/>
              <w:spacing w:after="0"/>
              <w:rPr>
                <w:sz w:val="20"/>
                <w:szCs w:val="20"/>
                <w:color w:val="auto"/>
              </w:rPr>
            </w:pPr>
            <w:r>
              <w:rPr>
                <w:rFonts w:ascii="Arial" w:cs="Arial" w:eastAsia="Arial" w:hAnsi="Arial"/>
                <w:sz w:val="18"/>
                <w:szCs w:val="18"/>
                <w:color w:val="auto"/>
              </w:rPr>
              <w:t>2.12</w:t>
            </w:r>
          </w:p>
        </w:tc>
        <w:tc>
          <w:tcPr>
            <w:tcW w:w="4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jc w:val="right"/>
              <w:ind w:right="2330"/>
              <w:spacing w:after="0"/>
              <w:rPr>
                <w:sz w:val="20"/>
                <w:szCs w:val="20"/>
                <w:color w:val="auto"/>
              </w:rPr>
            </w:pPr>
            <w:r>
              <w:rPr>
                <w:rFonts w:ascii="Arial" w:cs="Arial" w:eastAsia="Arial" w:hAnsi="Arial"/>
                <w:sz w:val="18"/>
                <w:szCs w:val="18"/>
                <w:color w:val="auto"/>
              </w:rPr>
              <w:t>1.83</w:t>
            </w:r>
          </w:p>
        </w:tc>
        <w:tc>
          <w:tcPr>
            <w:tcW w:w="4480" w:type="dxa"/>
            <w:vAlign w:val="bottom"/>
            <w:gridSpan w:val="3"/>
          </w:tcPr>
          <w:p>
            <w:pPr>
              <w:jc w:val="right"/>
              <w:spacing w:after="0"/>
              <w:rPr>
                <w:sz w:val="20"/>
                <w:szCs w:val="20"/>
                <w:color w:val="auto"/>
              </w:rPr>
            </w:pPr>
            <w:r>
              <w:rPr>
                <w:rFonts w:ascii="Arial" w:cs="Arial" w:eastAsia="Arial" w:hAnsi="Arial"/>
                <w:sz w:val="18"/>
                <w:szCs w:val="18"/>
                <w:color w:val="auto"/>
              </w:rPr>
              <w:t>277,284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warrants outstanding</w:t>
            </w:r>
          </w:p>
        </w:tc>
        <w:tc>
          <w:tcPr>
            <w:tcW w:w="31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1,490,589</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80" w:type="dxa"/>
            <w:vAlign w:val="bottom"/>
            <w:gridSpan w:val="3"/>
          </w:tcPr>
          <w:p>
            <w:pPr>
              <w:jc w:val="right"/>
              <w:ind w:right="2936"/>
              <w:spacing w:after="0"/>
              <w:rPr>
                <w:sz w:val="20"/>
                <w:szCs w:val="20"/>
                <w:color w:val="auto"/>
              </w:rPr>
            </w:pPr>
            <w:r>
              <w:rPr>
                <w:rFonts w:ascii="Arial" w:cs="Arial" w:eastAsia="Arial" w:hAnsi="Arial"/>
                <w:sz w:val="18"/>
                <w:szCs w:val="18"/>
                <w:color w:val="auto"/>
              </w:rPr>
              <w:t>F-18</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355" w:right="29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COMMITMENTS AND CONTINGENCIES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right="340" w:firstLine="518"/>
        <w:spacing w:after="0" w:line="312" w:lineRule="auto"/>
        <w:rPr>
          <w:sz w:val="20"/>
          <w:szCs w:val="20"/>
          <w:color w:val="auto"/>
        </w:rPr>
      </w:pPr>
      <w:r>
        <w:rPr>
          <w:rFonts w:ascii="Arial" w:cs="Arial" w:eastAsia="Arial" w:hAnsi="Arial"/>
          <w:sz w:val="16"/>
          <w:szCs w:val="16"/>
          <w:color w:val="auto"/>
        </w:rPr>
        <w:t>The Company leases office space for its corporate headquarters in Pasadena, California. In March 2014, the Company signed a lease addendum to expand its corporate headquarters, and the new space became available in September 2014. The leases for the expansion space and the current space will expire in September 2019. Rental costs, including the expansion space are approximately $23,000 per month, increasing approximately 3% annually.</w:t>
      </w:r>
    </w:p>
    <w:p>
      <w:pPr>
        <w:spacing w:after="0" w:line="14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Company’s research facility in Madison, Wisconsin is leased through February 28, 2019. Monthly rental expense is approximately $25,000. Other monthly rental expenses include common area maintenance and real estate taxes totaling approximately $16,000 per month. Utilities costs are approximately $15,000 per month. Total monthly costs are approximately $75,000 per month, including monthly payments recorded under a capital lease of approximately $19,000.</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Facility rent expense, related to continuing operations, for the years ended September 30, 2014, 2013 and 2012 was $554,000, $534,000 and $480,000,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2014, future minimum lease payments due in fiscal years under capitalized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2015</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228,420</w:t>
            </w:r>
          </w:p>
        </w:tc>
        <w:tc>
          <w:tcPr>
            <w:tcW w:w="8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228,420</w:t>
            </w:r>
          </w:p>
        </w:tc>
        <w:tc>
          <w:tcPr>
            <w:tcW w:w="8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228,420</w:t>
            </w:r>
          </w:p>
        </w:tc>
        <w:tc>
          <w:tcPr>
            <w:tcW w:w="8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228,420</w:t>
            </w:r>
          </w:p>
        </w:tc>
        <w:tc>
          <w:tcPr>
            <w:tcW w:w="8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95,175</w:t>
            </w:r>
          </w:p>
        </w:tc>
        <w:tc>
          <w:tcPr>
            <w:tcW w:w="8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2020 and thereafter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(36,524)</w:t>
            </w:r>
          </w:p>
        </w:tc>
        <w:tc>
          <w:tcPr>
            <w:tcW w:w="80" w:type="dxa"/>
            <w:vAlign w:val="bottom"/>
            <w:shd w:val="clear" w:color="auto" w:fill="CFF0FC"/>
          </w:tcPr>
          <w:p>
            <w:pPr>
              <w:spacing w:after="0"/>
              <w:rPr>
                <w:sz w:val="18"/>
                <w:szCs w:val="18"/>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Principal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972,331</w:t>
            </w:r>
          </w:p>
        </w:tc>
        <w:tc>
          <w:tcPr>
            <w:tcW w:w="8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5"/>
              </w:rPr>
              <w:t>(213,991)</w:t>
            </w: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Noncurrent portion</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758,340</w:t>
            </w:r>
          </w:p>
        </w:tc>
        <w:tc>
          <w:tcPr>
            <w:tcW w:w="8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2014, future minimum lease payments due in fiscal years under operating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2015</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580,306</w:t>
            </w:r>
          </w:p>
        </w:tc>
        <w:tc>
          <w:tcPr>
            <w:tcW w:w="8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2016</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596,877</w:t>
            </w:r>
          </w:p>
        </w:tc>
        <w:tc>
          <w:tcPr>
            <w:tcW w:w="8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2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613,664</w:t>
            </w:r>
          </w:p>
        </w:tc>
        <w:tc>
          <w:tcPr>
            <w:tcW w:w="8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2018</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637,897</w:t>
            </w:r>
          </w:p>
        </w:tc>
        <w:tc>
          <w:tcPr>
            <w:tcW w:w="8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459,633</w:t>
            </w:r>
          </w:p>
        </w:tc>
        <w:tc>
          <w:tcPr>
            <w:tcW w:w="80" w:type="dxa"/>
            <w:vAlign w:val="bottom"/>
            <w:shd w:val="clear" w:color="auto" w:fill="CFF0FC"/>
          </w:tcPr>
          <w:p>
            <w:pPr>
              <w:spacing w:after="0"/>
              <w:rPr>
                <w:sz w:val="18"/>
                <w:szCs w:val="18"/>
                <w:color w:val="auto"/>
              </w:rPr>
            </w:pPr>
          </w:p>
        </w:tc>
      </w:tr>
      <w:tr>
        <w:trPr>
          <w:trHeight w:val="216"/>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2020 and thereafter</w:t>
            </w:r>
          </w:p>
        </w:tc>
        <w:tc>
          <w:tcPr>
            <w:tcW w:w="27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10"/>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7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2,888,377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w:t>
      </w:r>
    </w:p>
    <w:p>
      <w:pPr>
        <w:spacing w:after="0" w:line="131"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 xml:space="preserve">The Company, Christopher R. Anzalone, and Bruce D. Given have been named as defendants in putative securities class actions filed in the Central District of California regarding certain public statements in connection with the Company’s hepatitis B drug research. Two suits are currently pending: </w:t>
      </w:r>
      <w:r>
        <w:rPr>
          <w:rFonts w:ascii="Arial" w:cs="Arial" w:eastAsia="Arial" w:hAnsi="Arial"/>
          <w:sz w:val="17"/>
          <w:szCs w:val="17"/>
          <w:i w:val="1"/>
          <w:iCs w:val="1"/>
          <w:color w:val="auto"/>
        </w:rPr>
        <w:t>Wang</w:t>
      </w:r>
      <w:r>
        <w:rPr>
          <w:rFonts w:ascii="Arial" w:cs="Arial" w:eastAsia="Arial" w:hAnsi="Arial"/>
          <w:sz w:val="17"/>
          <w:szCs w:val="17"/>
          <w:color w:val="auto"/>
        </w:rPr>
        <w:t xml:space="preserve"> </w:t>
      </w:r>
      <w:r>
        <w:rPr>
          <w:rFonts w:ascii="Arial" w:cs="Arial" w:eastAsia="Arial" w:hAnsi="Arial"/>
          <w:sz w:val="17"/>
          <w:szCs w:val="17"/>
          <w:i w:val="1"/>
          <w:iCs w:val="1"/>
          <w:color w:val="auto"/>
        </w:rPr>
        <w:t>v. Arrowhead Research Corp., et al.</w:t>
      </w:r>
      <w:r>
        <w:rPr>
          <w:rFonts w:ascii="Arial" w:cs="Arial" w:eastAsia="Arial" w:hAnsi="Arial"/>
          <w:sz w:val="17"/>
          <w:szCs w:val="17"/>
          <w:color w:val="auto"/>
        </w:rPr>
        <w:t>, No. 2:14-cv-07890, filed October 10, 2014, and</w:t>
      </w:r>
      <w:r>
        <w:rPr>
          <w:rFonts w:ascii="Arial" w:cs="Arial" w:eastAsia="Arial" w:hAnsi="Arial"/>
          <w:sz w:val="17"/>
          <w:szCs w:val="17"/>
          <w:i w:val="1"/>
          <w:iCs w:val="1"/>
          <w:color w:val="auto"/>
        </w:rPr>
        <w:t xml:space="preserve"> Eskinazi v. Arrowhead Research Corp., et al.</w:t>
      </w:r>
      <w:r>
        <w:rPr>
          <w:rFonts w:ascii="Arial" w:cs="Arial" w:eastAsia="Arial" w:hAnsi="Arial"/>
          <w:sz w:val="17"/>
          <w:szCs w:val="17"/>
          <w:color w:val="auto"/>
        </w:rPr>
        <w:t>, No. 2:14-cv-07911, filed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October 13, 2014 (collectively, the “Securities Claims”). Both cases are assigned to the Hon. Consuelo B. Marshall. Both plaintiffs bring claims under Sections 10(b) and 20(a) of the Securities Exchange Act of 1934 and seek damages in an unspecified amount. Motions for appointment of lead plaintiff and lead counsel are due December 9, 2014, pursuant to the Private Securities Litigation Reform Act of 1995. On November 20, 2014, a putative stockholder derivative action was filed in United States District Court for the Central District of California, alleging breach of fiduciary duty by the Company’s Board of Directors in connection with the facts underlying the Securities Claims. The complaint, </w:t>
      </w:r>
      <w:r>
        <w:rPr>
          <w:rFonts w:ascii="Arial" w:cs="Arial" w:eastAsia="Arial" w:hAnsi="Arial"/>
          <w:sz w:val="17"/>
          <w:szCs w:val="17"/>
          <w:i w:val="1"/>
          <w:iCs w:val="1"/>
          <w:color w:val="auto"/>
        </w:rPr>
        <w:t>Weisman v. Anzalone et al</w:t>
      </w:r>
      <w:r>
        <w:rPr>
          <w:rFonts w:ascii="Arial" w:cs="Arial" w:eastAsia="Arial" w:hAnsi="Arial"/>
          <w:sz w:val="17"/>
          <w:szCs w:val="17"/>
          <w:color w:val="auto"/>
        </w:rPr>
        <w:t>., No. 2:14-cv-08982, seeks unspecified damages and attorneys’ fees.</w:t>
      </w:r>
    </w:p>
    <w:p>
      <w:pPr>
        <w:spacing w:after="0" w:line="209"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 xml:space="preserve">The Company has been named as a defendant in a complaint filed by William Marsh Rice University (“Rice University”) in the District Court of Harris County, Texas relating to alleged breaches of a license agreement between Rice University and the Company’s former subsidiary, Unidym, Inc. The suit, captioned, </w:t>
      </w:r>
      <w:r>
        <w:rPr>
          <w:rFonts w:ascii="Arial" w:cs="Arial" w:eastAsia="Arial" w:hAnsi="Arial"/>
          <w:sz w:val="17"/>
          <w:szCs w:val="17"/>
          <w:i w:val="1"/>
          <w:iCs w:val="1"/>
          <w:color w:val="auto"/>
        </w:rPr>
        <w:t>William Marsh Rice University vs. Unidym, Inc. and Arrowhead Research Corporation</w:t>
      </w:r>
      <w:r>
        <w:rPr>
          <w:rFonts w:ascii="Arial" w:cs="Arial" w:eastAsia="Arial" w:hAnsi="Arial"/>
          <w:sz w:val="17"/>
          <w:szCs w:val="17"/>
          <w:color w:val="auto"/>
        </w:rPr>
        <w:t>, No. 2014-66088, was filed November 11, 2014. The plaintiff has alleged that the Company fraudulently induced Rice University to take certain actions with respect to Unidym’s license from Rice University and seeks injunctive relief, damages, including unspecified compensatory and punitive damages, and attorneys’ fees.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135" w:right="259" w:bottom="1440" w:gutter="0" w:footer="0" w:header="0"/>
        </w:sectPr>
      </w:pPr>
    </w:p>
    <w:bookmarkStart w:id="84" w:name="page85"/>
    <w:bookmarkEnd w:id="84"/>
    <w:p>
      <w:pPr>
        <w:ind w:right="300" w:firstLine="518"/>
        <w:spacing w:after="0" w:line="257" w:lineRule="auto"/>
        <w:rPr>
          <w:sz w:val="20"/>
          <w:szCs w:val="20"/>
          <w:color w:val="auto"/>
        </w:rPr>
      </w:pPr>
      <w:r>
        <w:rPr>
          <w:rFonts w:ascii="Arial" w:cs="Arial" w:eastAsia="Arial" w:hAnsi="Arial"/>
          <w:sz w:val="18"/>
          <w:szCs w:val="18"/>
          <w:color w:val="auto"/>
        </w:rPr>
        <w:t>The Company believes it has a meritorious defense and intends to vigorously defend itself in each of the above matters. The Company makes provisions for liabilities when it is both probable that a liability has been incurred and the amount can be reasonably estimated. No such liability has been recorded related to these matters. The Company does not expect these matters to have any material effect on its Consolidated Financial Statements. With regard to legal fees, such as attorney fees related to these matters or any other legal matters, the Company’s accounting policy is to recognize such cost as incurred.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the normal course of business, we enter into various purchase commitments for the manufacture of drug components, toxicology studies, and for clinical studies. As of September 30, 2014, these future commitments were approximately $21.4 million, of which approximately $19.5 million is expected to be incurred in fiscal 2015, and $1.9 million is expected to be incurred beyond fiscal 2015.</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Company has licensed from third parties the rights to use certain technologies that it uses in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 digit millions of dollars. In certain agreements, the Company may be required to make mid to high single digit percentage royalty payments based on a percentage of the sales of the relevant products.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Arrowhead has three plans that provide for equity-based compensation, collectively the “Plans”. Under the 2000 Stock Option Plan, 38,000 shares of Arrowhead’s Common Stock are reserved for issuance upon exercise of non-qualified stock options. No further grants can be made under the 2000 Stock Option Plan. The 2004 Equity Incentive Plan reserves 2,659,852 shares for the grant of stock options, stock appreciation rights, restricted stock awards and performance unit/share awards by the Board of Directors to employees, consultants and others. The 2013 Incentive Plan reserves 4,000,000 shares for the grant of stock options, stock appreciation rights, restricted stock awards and performance unit/share awards by the Board of Directors to employees, consultants and others. As of September 30, 2014, there were options and restricted stock units outstanding of 38,000, 2,563,518, and 1,292,000 shares of Common Stock under the 2000, 2004 and 2013 Plans, respectively. Also, as of September 30, 2014, there were 467,322 shares reserved for options and restricted stock units issued outside of equity compensation plans, as inducement grants to new employees. During the year ended September 30, 2014, no options or restricted stock units were granted under the 2004 Equity Incentive Plan, 1,324,000 options and restricted stock units were granted under the 2013 Incentive Plan, and 185,000 options and 40,000 restricted stock units were granted outside of the Plans as inducement stock options and restricted stock units to new employees.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information about stock options: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Options</w:t>
            </w: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w:t>
            </w: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Outstanding</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Per Share</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Term</w:t>
            </w: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2012</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1,910,794</w:t>
            </w:r>
          </w:p>
        </w:tc>
        <w:tc>
          <w:tcPr>
            <w:tcW w:w="2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20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1,509,166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(675)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3.93</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2013</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3,419,285</w:t>
            </w:r>
          </w:p>
        </w:tc>
        <w:tc>
          <w:tcPr>
            <w:tcW w:w="2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1,039,000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14.05</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(152,582)</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6.05</w:t>
            </w: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(454,863)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2014</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3,850,840</w:t>
            </w:r>
          </w:p>
        </w:tc>
        <w:tc>
          <w:tcPr>
            <w:tcW w:w="2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CFF0FC"/>
            </w:tcBorders>
            <w:gridSpan w:val="2"/>
            <w:shd w:val="clear" w:color="auto" w:fill="CFF0FC"/>
          </w:tcPr>
          <w:p>
            <w:pPr>
              <w:ind w:left="620"/>
              <w:spacing w:after="0"/>
              <w:rPr>
                <w:sz w:val="20"/>
                <w:szCs w:val="20"/>
                <w:color w:val="auto"/>
              </w:rPr>
            </w:pPr>
            <w:r>
              <w:rPr>
                <w:rFonts w:ascii="Arial" w:cs="Arial" w:eastAsia="Arial" w:hAnsi="Arial"/>
                <w:sz w:val="18"/>
                <w:szCs w:val="18"/>
                <w:color w:val="auto"/>
              </w:rPr>
              <w:t>8.1 years</w:t>
            </w:r>
          </w:p>
        </w:tc>
        <w:tc>
          <w:tcPr>
            <w:tcW w:w="1320" w:type="dxa"/>
            <w:vAlign w:val="bottom"/>
            <w:tcBorders>
              <w:top w:val="single" w:sz="8" w:color="CFF0FC"/>
            </w:tcBorders>
            <w:gridSpan w:val="2"/>
            <w:shd w:val="clear" w:color="auto" w:fill="CFF0FC"/>
          </w:tcPr>
          <w:p>
            <w:pPr>
              <w:ind w:left="400"/>
              <w:spacing w:after="0"/>
              <w:rPr>
                <w:sz w:val="20"/>
                <w:szCs w:val="20"/>
                <w:color w:val="auto"/>
              </w:rPr>
            </w:pPr>
            <w:r>
              <w:rPr>
                <w:rFonts w:ascii="Arial" w:cs="Arial" w:eastAsia="Arial" w:hAnsi="Arial"/>
                <w:sz w:val="18"/>
                <w:szCs w:val="18"/>
                <w:color w:val="auto"/>
                <w:w w:val="89"/>
              </w:rPr>
              <w:t>$31,141,826</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Exercisable At September 30, 2014</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CFF0FC"/>
            </w:tcBorders>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CFF0FC"/>
            </w:tcBorders>
            <w:vMerge w:val="restart"/>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CFF0FC"/>
            </w:tcBorders>
            <w:vMerge w:val="restart"/>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CFF0FC"/>
            </w:tcBorders>
            <w:vMerge w:val="restart"/>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1,684,919</w:t>
            </w:r>
          </w:p>
        </w:tc>
        <w:tc>
          <w:tcPr>
            <w:tcW w:w="20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5.94</w:t>
            </w:r>
          </w:p>
        </w:tc>
        <w:tc>
          <w:tcPr>
            <w:tcW w:w="200" w:type="dxa"/>
            <w:vAlign w:val="bottom"/>
            <w:vMerge w:val="continue"/>
          </w:tcPr>
          <w:p>
            <w:pPr>
              <w:spacing w:after="0"/>
              <w:rPr>
                <w:sz w:val="17"/>
                <w:szCs w:val="17"/>
                <w:color w:val="auto"/>
              </w:rPr>
            </w:pPr>
          </w:p>
        </w:tc>
        <w:tc>
          <w:tcPr>
            <w:tcW w:w="1280" w:type="dxa"/>
            <w:vAlign w:val="bottom"/>
            <w:tcBorders>
              <w:bottom w:val="single" w:sz="8" w:color="auto"/>
            </w:tcBorders>
          </w:tcPr>
          <w:p>
            <w:pPr>
              <w:ind w:left="620"/>
              <w:spacing w:after="0" w:line="196" w:lineRule="exact"/>
              <w:rPr>
                <w:sz w:val="20"/>
                <w:szCs w:val="20"/>
                <w:color w:val="auto"/>
              </w:rPr>
            </w:pPr>
            <w:r>
              <w:rPr>
                <w:rFonts w:ascii="Arial" w:cs="Arial" w:eastAsia="Arial" w:hAnsi="Arial"/>
                <w:sz w:val="18"/>
                <w:szCs w:val="18"/>
                <w:color w:val="auto"/>
                <w:w w:val="86"/>
              </w:rPr>
              <w:t>7.2 years</w:t>
            </w:r>
          </w:p>
        </w:tc>
        <w:tc>
          <w:tcPr>
            <w:tcW w:w="200" w:type="dxa"/>
            <w:vAlign w:val="bottom"/>
            <w:vMerge w:val="continue"/>
          </w:tcPr>
          <w:p>
            <w:pPr>
              <w:spacing w:after="0"/>
              <w:rPr>
                <w:sz w:val="17"/>
                <w:szCs w:val="17"/>
                <w:color w:val="auto"/>
              </w:rPr>
            </w:pPr>
          </w:p>
        </w:tc>
        <w:tc>
          <w:tcPr>
            <w:tcW w:w="1300" w:type="dxa"/>
            <w:vAlign w:val="bottom"/>
            <w:tcBorders>
              <w:bottom w:val="single" w:sz="8" w:color="auto"/>
            </w:tcBorders>
          </w:tcPr>
          <w:p>
            <w:pPr>
              <w:ind w:left="400"/>
              <w:spacing w:after="0" w:line="196" w:lineRule="exact"/>
              <w:rPr>
                <w:sz w:val="20"/>
                <w:szCs w:val="20"/>
                <w:color w:val="auto"/>
              </w:rPr>
            </w:pPr>
            <w:r>
              <w:rPr>
                <w:rFonts w:ascii="Arial" w:cs="Arial" w:eastAsia="Arial" w:hAnsi="Arial"/>
                <w:sz w:val="18"/>
                <w:szCs w:val="18"/>
                <w:color w:val="auto"/>
                <w:w w:val="87"/>
              </w:rPr>
              <w:t>$15,518,772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Stock-based compensation expense related to stock options for the years ended September 30, 2014, 2013 and 2012 was $3,144,776, $1,536,271, and $1,241,404, respectively. There is no income tax benefit as the Company is currently operating at a loss and an actual income tax benefit may not be realized. For non-qualified stock options, the loss creates a timing difference, resulting in a deferred tax asset, which is fully reserved by a valuation allowance.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355" w:right="259" w:bottom="1440" w:gutter="0" w:footer="0" w:header="0"/>
        </w:sectPr>
      </w:pPr>
    </w:p>
    <w:bookmarkStart w:id="85" w:name="page86"/>
    <w:bookmarkEnd w:id="85"/>
    <w:p>
      <w:pPr>
        <w:ind w:right="260" w:firstLine="518"/>
        <w:spacing w:after="0" w:line="277" w:lineRule="auto"/>
        <w:rPr>
          <w:sz w:val="20"/>
          <w:szCs w:val="20"/>
          <w:color w:val="auto"/>
        </w:rPr>
      </w:pPr>
      <w:r>
        <w:rPr>
          <w:rFonts w:ascii="Arial" w:cs="Arial" w:eastAsia="Arial" w:hAnsi="Arial"/>
          <w:sz w:val="18"/>
          <w:szCs w:val="18"/>
          <w:color w:val="auto"/>
        </w:rPr>
        <w:t>The fair value of the options granted by Arrowhead for the years ended September 30, 2014, 2013 and 2012 is estimated at $9,267,048, $2,843,575 and $4,091,117,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intrinsic value of the options exercised during the years ended September 30, 2014, 2013 and 2012 was $4,360,850, $554, and $0, respectively.</w:t>
      </w:r>
    </w:p>
    <w:p>
      <w:pPr>
        <w:spacing w:after="0" w:line="24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of September 30, 2014, the pre-tax compensation expense for all unvested stock options at Arrowhead in the amount of approximately $10,517,380 will be recognized in the Company’s results of operations over a weighted average period of 3.1 years.</w:t>
      </w:r>
    </w:p>
    <w:p>
      <w:pPr>
        <w:spacing w:after="0" w:line="170" w:lineRule="exact"/>
        <w:rPr>
          <w:sz w:val="20"/>
          <w:szCs w:val="20"/>
          <w:color w:val="auto"/>
        </w:rPr>
      </w:pPr>
    </w:p>
    <w:p>
      <w:pPr>
        <w:jc w:val="both"/>
        <w:ind w:right="240" w:firstLine="518"/>
        <w:spacing w:after="0" w:line="273"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our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244"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74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w w:val="91"/>
              </w:rPr>
              <w:t>Year ended September 30,</w:t>
            </w:r>
          </w:p>
        </w:tc>
        <w:tc>
          <w:tcPr>
            <w:tcW w:w="1080" w:type="dxa"/>
            <w:vAlign w:val="bottom"/>
            <w:tcBorders>
              <w:bottom w:val="single" w:sz="8" w:color="auto"/>
            </w:tcBorders>
          </w:tcPr>
          <w:p>
            <w:pPr>
              <w:spacing w:after="0"/>
              <w:rPr>
                <w:sz w:val="14"/>
                <w:szCs w:val="14"/>
                <w:color w:val="auto"/>
              </w:rPr>
            </w:pPr>
          </w:p>
        </w:tc>
      </w:tr>
      <w:tr>
        <w:trPr>
          <w:trHeight w:val="142"/>
        </w:trPr>
        <w:tc>
          <w:tcPr>
            <w:tcW w:w="3020" w:type="dxa"/>
            <w:vAlign w:val="bottom"/>
            <w:tcBorders>
              <w:bottom w:val="single" w:sz="8" w:color="CFF0FC"/>
            </w:tcBorders>
          </w:tcPr>
          <w:p>
            <w:pPr>
              <w:spacing w:after="0"/>
              <w:rPr>
                <w:sz w:val="12"/>
                <w:szCs w:val="12"/>
                <w:color w:val="auto"/>
              </w:rPr>
            </w:pP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140" w:type="dxa"/>
            <w:vAlign w:val="bottom"/>
            <w:tcBorders>
              <w:bottom w:val="single" w:sz="8" w:color="CFF0FC"/>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r>
      <w:tr>
        <w:trPr>
          <w:trHeight w:val="21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1.8% to 2.4%</w:t>
            </w: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0.7% to 2.3%</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0.9% to 1.7%</w:t>
            </w: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69%</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69%</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90% - 100%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6.25 to 9.47</w:t>
            </w: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5.5 to 6.25</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5.5 to 6.25</w:t>
            </w:r>
          </w:p>
        </w:tc>
      </w:tr>
      <w:tr>
        <w:trPr>
          <w:trHeight w:val="202"/>
        </w:trPr>
        <w:tc>
          <w:tcPr>
            <w:tcW w:w="302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w w:val="96"/>
              </w:rPr>
              <w:t>Weighted average grant date fair value</w:t>
            </w: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30"/>
        </w:trPr>
        <w:tc>
          <w:tcPr>
            <w:tcW w:w="3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 share of options granted</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$8.92</w:t>
            </w: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$1.88</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$3.32</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w:t>
      </w:r>
    </w:p>
    <w:p>
      <w:pPr>
        <w:spacing w:after="0" w:line="117"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Restricted Stock Units (RSUs) were granted under the Company’s 2013 Incentive Plan as well as inducement grants granted outside of the Plan. During the years ended September 30, 2014, 2013 and 2012 the Company issued 510,000, 0 and 0 restricted stock units to certain members of management and certain members of its Board of Directors, respectively. Of the restricted stock units granted, 470,000 were granted under the Company’s 2013 Incentive Plan and 40,000 were granted outside of the Plan as inducement grants to new employees. At vesting each RSU will be exchanged for one share of the Company’s Common Stock. The RSUs issued to management vest in equal annual installments over two to three years from the anniversaries of the date of grant. The RSUs issued to the members of the Board of Directors vest upon the one year anniversary of the date of grant.</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Restricted Stock Units: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RSUs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2012</w:t>
            </w:r>
          </w:p>
        </w:tc>
        <w:tc>
          <w:tcPr>
            <w:tcW w:w="25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Granted</w:t>
            </w:r>
          </w:p>
        </w:tc>
        <w:tc>
          <w:tcPr>
            <w:tcW w:w="2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5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Forfeited</w:t>
            </w:r>
          </w:p>
        </w:tc>
        <w:tc>
          <w:tcPr>
            <w:tcW w:w="2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2013</w:t>
            </w:r>
          </w:p>
        </w:tc>
        <w:tc>
          <w:tcPr>
            <w:tcW w:w="25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Arial" w:cs="Arial" w:eastAsia="Arial" w:hAnsi="Arial"/>
                <w:sz w:val="18"/>
                <w:szCs w:val="18"/>
                <w:color w:val="auto"/>
              </w:rPr>
              <w:t>Granted</w:t>
            </w:r>
          </w:p>
        </w:tc>
        <w:tc>
          <w:tcPr>
            <w:tcW w:w="2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510,000</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5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Forfeited</w:t>
            </w:r>
          </w:p>
        </w:tc>
        <w:tc>
          <w:tcPr>
            <w:tcW w:w="2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2014</w:t>
            </w:r>
          </w:p>
        </w:tc>
        <w:tc>
          <w:tcPr>
            <w:tcW w:w="254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510,000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260" w:type="dxa"/>
            <w:vAlign w:val="bottom"/>
          </w:tcPr>
          <w:p>
            <w:pPr>
              <w:spacing w:after="0"/>
              <w:rPr>
                <w:sz w:val="24"/>
                <w:szCs w:val="24"/>
                <w:color w:val="auto"/>
              </w:rPr>
            </w:pPr>
          </w:p>
        </w:tc>
        <w:tc>
          <w:tcPr>
            <w:tcW w:w="3780" w:type="dxa"/>
            <w:vAlign w:val="bottom"/>
            <w:gridSpan w:val="2"/>
          </w:tcPr>
          <w:p>
            <w:pPr>
              <w:jc w:val="right"/>
              <w:ind w:right="2453"/>
              <w:spacing w:after="0"/>
              <w:rPr>
                <w:sz w:val="20"/>
                <w:szCs w:val="20"/>
                <w:color w:val="auto"/>
              </w:rPr>
            </w:pPr>
            <w:r>
              <w:rPr>
                <w:rFonts w:ascii="Arial" w:cs="Arial" w:eastAsia="Arial" w:hAnsi="Arial"/>
                <w:sz w:val="18"/>
                <w:szCs w:val="18"/>
                <w:color w:val="auto"/>
              </w:rPr>
              <w:t>F-21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55" w:right="259" w:bottom="1440" w:gutter="0" w:footer="0" w:header="0"/>
        </w:sectPr>
      </w:pPr>
    </w:p>
    <w:bookmarkStart w:id="86" w:name="page87"/>
    <w:bookmarkEnd w:id="86"/>
    <w:p>
      <w:pPr>
        <w:ind w:right="40" w:firstLine="518"/>
        <w:spacing w:after="0" w:line="308" w:lineRule="auto"/>
        <w:rPr>
          <w:sz w:val="20"/>
          <w:szCs w:val="20"/>
          <w:color w:val="auto"/>
        </w:rPr>
      </w:pPr>
      <w:r>
        <w:rPr>
          <w:rFonts w:ascii="Arial" w:cs="Arial" w:eastAsia="Arial" w:hAnsi="Arial"/>
          <w:sz w:val="17"/>
          <w:szCs w:val="17"/>
          <w:color w:val="auto"/>
        </w:rPr>
        <w:t>The Company recorded $2,551,397, $0 and $0 of expense relating to restricted stock units during the years ended September 30, 2014, 2013 and 2012, respectively, and such expense is included in stock-based compensation expense in the Company’s Consolidated Statement of Operations.</w:t>
      </w:r>
    </w:p>
    <w:p>
      <w:pPr>
        <w:spacing w:after="0" w:line="14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As of September 30, 2014, the pre-tax compensation expense for all unvested restricted stock units in the amount of approximately $4,913,516 will be recognized in the Company’s results of operations over a weighted average period of 1.5 years.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following table summarizes fair value measurements at September 30, 2014 and September 30, 2013 for assets and liabilities measured at fair value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132,510,610</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132,510,610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4,173,943</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4,173,943</w:t>
            </w:r>
          </w:p>
        </w:tc>
      </w:tr>
      <w:tr>
        <w:trPr>
          <w:trHeight w:val="216"/>
        </w:trPr>
        <w:tc>
          <w:tcPr>
            <w:tcW w:w="46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w w:val="95"/>
              </w:rPr>
              <w:t>Contingent consideration obligations related to acquisitions</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3,970,931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3,970,931</w:t>
            </w:r>
          </w:p>
        </w:tc>
      </w:tr>
      <w:tr>
        <w:trPr>
          <w:trHeight w:val="459"/>
        </w:trPr>
        <w:tc>
          <w:tcPr>
            <w:tcW w:w="498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19,114,444</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19,114,444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4,096,363</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4,096,363</w:t>
            </w:r>
          </w:p>
        </w:tc>
      </w:tr>
      <w:tr>
        <w:trPr>
          <w:trHeight w:val="216"/>
        </w:trPr>
        <w:tc>
          <w:tcPr>
            <w:tcW w:w="46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w w:val="95"/>
              </w:rPr>
              <w:t>Contingent consideration obligations related to acquisitions</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1,595,273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1,595,273</w:t>
            </w:r>
          </w:p>
        </w:tc>
      </w:tr>
    </w:tbl>
    <w:p>
      <w:pPr>
        <w:spacing w:after="0" w:line="202"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 Company invests its excess cash balances in short and long-term corporate bonds, generally with remaining maturities of less than two years. At September 30, 2014, the Company had short-term investments of $21.7 million, and long-term investments of $23.1 million, for a total of $44.7 million. The fair value of its investment at September 30, 2014 was $44.3 million. The Company expects to hold such investments until maturity, and thus unrealized gains and losses from the fluctuations in the fair value of the securities are not likely to be realized.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39" w:right="239" w:bottom="1440" w:gutter="0" w:footer="0" w:header="0"/>
        </w:sectPr>
      </w:pPr>
    </w:p>
    <w:bookmarkStart w:id="87" w:name="page88"/>
    <w:bookmarkEnd w:id="87"/>
    <w:p>
      <w:pPr>
        <w:ind w:firstLine="518"/>
        <w:spacing w:after="0" w:line="269" w:lineRule="auto"/>
        <w:rPr>
          <w:sz w:val="20"/>
          <w:szCs w:val="20"/>
          <w:color w:val="auto"/>
        </w:rPr>
      </w:pPr>
      <w:r>
        <w:rPr>
          <w:rFonts w:ascii="Arial" w:cs="Arial" w:eastAsia="Arial" w:hAnsi="Arial"/>
          <w:sz w:val="17"/>
          <w:szCs w:val="17"/>
          <w:color w:val="auto"/>
        </w:rPr>
        <w:t>As part of an equity financing in June 2010, Arrowhead issued warrants to acquire up to 329,649 shares of Common Stock (the “2010 Warrants”), of which 24,324 warrants were outstanding at September 30, 2014. Similarly, as part of a financing in December 2012, Arrowhead issued warrants to acquire up to 912,543 shares of Common Stock (the “2012 Warrants”) of which 265,161 warrants were outstanding at September 30, 2014. Further, as part of a financing in January 2013, Arrowhead issued warrants to acquire up to 833,530 shares of Common Stock (the “2013 Warrants”) of which 12,123 warrants were outstanding at September 30, 2014 (collectively the “Warrants”). Each of the Warrants discussed above contains a mechanism to adjust the strike price upon the issuance of certain dilutive equity securities. If during the terms of the Warrants, the Company issues Common Stock at a price lower than the exercise price for the Warrants, the exercise price would be reduced to the amount equal to the issuance price of the Common Stock. As a result of these features, the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as change in value of derivatives in the Company’s Consolidated Statement of Operations. During the years ended September 30, 2014, the Company recorded a non-cash loss from the change in fair value of the derivative liability of $5,821,796.</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valuing the derivative liability as of September 30, 2014 and 2013 were as follows:</w:t>
      </w:r>
    </w:p>
    <w:p>
      <w:pPr>
        <w:spacing w:after="0" w:line="235"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3500" w:type="dxa"/>
            <w:vAlign w:val="bottom"/>
          </w:tcPr>
          <w:p>
            <w:pPr>
              <w:spacing w:after="0"/>
              <w:rPr>
                <w:sz w:val="20"/>
                <w:szCs w:val="20"/>
                <w:color w:val="auto"/>
              </w:rPr>
            </w:pPr>
            <w:r>
              <w:rPr>
                <w:rFonts w:ascii="Arial" w:cs="Arial" w:eastAsia="Arial" w:hAnsi="Arial"/>
                <w:sz w:val="18"/>
                <w:szCs w:val="18"/>
                <w:b w:val="1"/>
                <w:bCs w:val="1"/>
                <w:color w:val="auto"/>
              </w:rPr>
              <w:t>2010 Warrants</w:t>
            </w:r>
          </w:p>
        </w:tc>
        <w:tc>
          <w:tcPr>
            <w:tcW w:w="2580" w:type="dxa"/>
            <w:vAlign w:val="bottom"/>
            <w:gridSpan w:val="2"/>
          </w:tcPr>
          <w:p>
            <w:pPr>
              <w:jc w:val="right"/>
              <w:ind w:right="1140"/>
              <w:spacing w:after="0"/>
              <w:rPr>
                <w:sz w:val="20"/>
                <w:szCs w:val="20"/>
                <w:color w:val="auto"/>
              </w:rPr>
            </w:pPr>
            <w:r>
              <w:rPr>
                <w:rFonts w:ascii="Arial" w:cs="Arial" w:eastAsia="Arial" w:hAnsi="Arial"/>
                <w:sz w:val="18"/>
                <w:szCs w:val="18"/>
                <w:color w:val="auto"/>
                <w:w w:val="87"/>
              </w:rPr>
              <w:t>September 30, 2014</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September 30, 2013</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Expected life</w:t>
            </w:r>
          </w:p>
        </w:tc>
        <w:tc>
          <w:tcPr>
            <w:tcW w:w="2580" w:type="dxa"/>
            <w:vAlign w:val="bottom"/>
            <w:gridSpan w:val="2"/>
          </w:tcPr>
          <w:p>
            <w:pPr>
              <w:jc w:val="right"/>
              <w:ind w:right="1140"/>
              <w:spacing w:after="0"/>
              <w:rPr>
                <w:sz w:val="20"/>
                <w:szCs w:val="20"/>
                <w:color w:val="auto"/>
              </w:rPr>
            </w:pPr>
            <w:r>
              <w:rPr>
                <w:rFonts w:ascii="Arial" w:cs="Arial" w:eastAsia="Arial" w:hAnsi="Arial"/>
                <w:sz w:val="18"/>
                <w:szCs w:val="18"/>
                <w:color w:val="auto"/>
              </w:rPr>
              <w:t>1.2 Years</w:t>
            </w:r>
          </w:p>
        </w:tc>
        <w:tc>
          <w:tcPr>
            <w:tcW w:w="1440" w:type="dxa"/>
            <w:vAlign w:val="bottom"/>
          </w:tcPr>
          <w:p>
            <w:pPr>
              <w:jc w:val="right"/>
              <w:spacing w:after="0"/>
              <w:rPr>
                <w:sz w:val="20"/>
                <w:szCs w:val="20"/>
                <w:color w:val="auto"/>
              </w:rPr>
            </w:pPr>
            <w:r>
              <w:rPr>
                <w:rFonts w:ascii="Arial" w:cs="Arial" w:eastAsia="Arial" w:hAnsi="Arial"/>
                <w:sz w:val="18"/>
                <w:szCs w:val="18"/>
                <w:color w:val="auto"/>
              </w:rPr>
              <w:t>2.2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580" w:type="dxa"/>
            <w:vAlign w:val="bottom"/>
            <w:gridSpan w:val="2"/>
            <w:shd w:val="clear" w:color="auto" w:fill="CFF0FC"/>
          </w:tcPr>
          <w:p>
            <w:pPr>
              <w:jc w:val="right"/>
              <w:ind w:right="1140"/>
              <w:spacing w:after="0"/>
              <w:rPr>
                <w:sz w:val="20"/>
                <w:szCs w:val="20"/>
                <w:color w:val="auto"/>
              </w:rPr>
            </w:pPr>
            <w:r>
              <w:rPr>
                <w:rFonts w:ascii="Arial" w:cs="Arial" w:eastAsia="Arial" w:hAnsi="Arial"/>
                <w:sz w:val="18"/>
                <w:szCs w:val="18"/>
                <w:color w:val="auto"/>
              </w:rPr>
              <w:t>None</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Volatility</w:t>
            </w:r>
          </w:p>
        </w:tc>
        <w:tc>
          <w:tcPr>
            <w:tcW w:w="2580" w:type="dxa"/>
            <w:vAlign w:val="bottom"/>
            <w:gridSpan w:val="2"/>
          </w:tcPr>
          <w:p>
            <w:pPr>
              <w:jc w:val="right"/>
              <w:ind w:right="1140"/>
              <w:spacing w:after="0"/>
              <w:rPr>
                <w:sz w:val="20"/>
                <w:szCs w:val="20"/>
                <w:color w:val="auto"/>
              </w:rPr>
            </w:pPr>
            <w:r>
              <w:rPr>
                <w:rFonts w:ascii="Arial" w:cs="Arial" w:eastAsia="Arial" w:hAnsi="Arial"/>
                <w:sz w:val="18"/>
                <w:szCs w:val="18"/>
                <w:color w:val="auto"/>
              </w:rPr>
              <w:t>69%</w:t>
            </w: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line="176" w:lineRule="exact"/>
              <w:rPr>
                <w:sz w:val="20"/>
                <w:szCs w:val="20"/>
                <w:color w:val="auto"/>
              </w:rPr>
            </w:pPr>
            <w:r>
              <w:rPr>
                <w:rFonts w:ascii="Arial" w:cs="Arial" w:eastAsia="Arial" w:hAnsi="Arial"/>
                <w:sz w:val="18"/>
                <w:szCs w:val="18"/>
                <w:b w:val="1"/>
                <w:bCs w:val="1"/>
                <w:color w:val="auto"/>
              </w:rPr>
              <w:t>2012 Warrants</w:t>
            </w:r>
          </w:p>
        </w:tc>
        <w:tc>
          <w:tcPr>
            <w:tcW w:w="2580" w:type="dxa"/>
            <w:vAlign w:val="bottom"/>
            <w:gridSpan w:val="2"/>
          </w:tcPr>
          <w:p>
            <w:pPr>
              <w:jc w:val="right"/>
              <w:ind w:right="1140"/>
              <w:spacing w:after="0" w:line="176" w:lineRule="exact"/>
              <w:rPr>
                <w:sz w:val="20"/>
                <w:szCs w:val="20"/>
                <w:color w:val="auto"/>
              </w:rPr>
            </w:pPr>
            <w:r>
              <w:rPr>
                <w:rFonts w:ascii="Arial" w:cs="Arial" w:eastAsia="Arial" w:hAnsi="Arial"/>
                <w:sz w:val="18"/>
                <w:szCs w:val="18"/>
                <w:color w:val="auto"/>
                <w:w w:val="87"/>
              </w:rPr>
              <w:t>September 30, 2014</w:t>
            </w: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w w:val="87"/>
              </w:rPr>
              <w:t>September 30, 2013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Expected life</w:t>
            </w:r>
          </w:p>
        </w:tc>
        <w:tc>
          <w:tcPr>
            <w:tcW w:w="2580" w:type="dxa"/>
            <w:vAlign w:val="bottom"/>
            <w:gridSpan w:val="2"/>
          </w:tcPr>
          <w:p>
            <w:pPr>
              <w:jc w:val="right"/>
              <w:ind w:right="1140"/>
              <w:spacing w:after="0"/>
              <w:rPr>
                <w:sz w:val="20"/>
                <w:szCs w:val="20"/>
                <w:color w:val="auto"/>
              </w:rPr>
            </w:pPr>
            <w:r>
              <w:rPr>
                <w:rFonts w:ascii="Arial" w:cs="Arial" w:eastAsia="Arial" w:hAnsi="Arial"/>
                <w:sz w:val="18"/>
                <w:szCs w:val="18"/>
                <w:color w:val="auto"/>
              </w:rPr>
              <w:t>3.2 Years</w:t>
            </w:r>
          </w:p>
        </w:tc>
        <w:tc>
          <w:tcPr>
            <w:tcW w:w="1440" w:type="dxa"/>
            <w:vAlign w:val="bottom"/>
          </w:tcPr>
          <w:p>
            <w:pPr>
              <w:jc w:val="right"/>
              <w:spacing w:after="0"/>
              <w:rPr>
                <w:sz w:val="20"/>
                <w:szCs w:val="20"/>
                <w:color w:val="auto"/>
              </w:rPr>
            </w:pPr>
            <w:r>
              <w:rPr>
                <w:rFonts w:ascii="Arial" w:cs="Arial" w:eastAsia="Arial" w:hAnsi="Arial"/>
                <w:sz w:val="18"/>
                <w:szCs w:val="18"/>
                <w:color w:val="auto"/>
              </w:rPr>
              <w:t>4.2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580" w:type="dxa"/>
            <w:vAlign w:val="bottom"/>
            <w:gridSpan w:val="2"/>
            <w:shd w:val="clear" w:color="auto" w:fill="CFF0FC"/>
          </w:tcPr>
          <w:p>
            <w:pPr>
              <w:jc w:val="right"/>
              <w:ind w:right="1140"/>
              <w:spacing w:after="0"/>
              <w:rPr>
                <w:sz w:val="20"/>
                <w:szCs w:val="20"/>
                <w:color w:val="auto"/>
              </w:rPr>
            </w:pPr>
            <w:r>
              <w:rPr>
                <w:rFonts w:ascii="Arial" w:cs="Arial" w:eastAsia="Arial" w:hAnsi="Arial"/>
                <w:sz w:val="18"/>
                <w:szCs w:val="18"/>
                <w:color w:val="auto"/>
              </w:rPr>
              <w:t>None</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Volatility</w:t>
            </w:r>
          </w:p>
        </w:tc>
        <w:tc>
          <w:tcPr>
            <w:tcW w:w="2580" w:type="dxa"/>
            <w:vAlign w:val="bottom"/>
            <w:gridSpan w:val="2"/>
          </w:tcPr>
          <w:p>
            <w:pPr>
              <w:jc w:val="right"/>
              <w:ind w:right="1140"/>
              <w:spacing w:after="0"/>
              <w:rPr>
                <w:sz w:val="20"/>
                <w:szCs w:val="20"/>
                <w:color w:val="auto"/>
              </w:rPr>
            </w:pPr>
            <w:r>
              <w:rPr>
                <w:rFonts w:ascii="Arial" w:cs="Arial" w:eastAsia="Arial" w:hAnsi="Arial"/>
                <w:sz w:val="18"/>
                <w:szCs w:val="18"/>
                <w:color w:val="auto"/>
              </w:rPr>
              <w:t>69%</w:t>
            </w: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line="176" w:lineRule="exact"/>
              <w:rPr>
                <w:sz w:val="20"/>
                <w:szCs w:val="20"/>
                <w:color w:val="auto"/>
              </w:rPr>
            </w:pPr>
            <w:r>
              <w:rPr>
                <w:rFonts w:ascii="Arial" w:cs="Arial" w:eastAsia="Arial" w:hAnsi="Arial"/>
                <w:sz w:val="18"/>
                <w:szCs w:val="18"/>
                <w:b w:val="1"/>
                <w:bCs w:val="1"/>
                <w:color w:val="auto"/>
              </w:rPr>
              <w:t>2013 Warrants</w:t>
            </w:r>
          </w:p>
        </w:tc>
        <w:tc>
          <w:tcPr>
            <w:tcW w:w="2580" w:type="dxa"/>
            <w:vAlign w:val="bottom"/>
            <w:gridSpan w:val="2"/>
          </w:tcPr>
          <w:p>
            <w:pPr>
              <w:jc w:val="right"/>
              <w:ind w:right="1140"/>
              <w:spacing w:after="0" w:line="176" w:lineRule="exact"/>
              <w:rPr>
                <w:sz w:val="20"/>
                <w:szCs w:val="20"/>
                <w:color w:val="auto"/>
              </w:rPr>
            </w:pPr>
            <w:r>
              <w:rPr>
                <w:rFonts w:ascii="Arial" w:cs="Arial" w:eastAsia="Arial" w:hAnsi="Arial"/>
                <w:sz w:val="18"/>
                <w:szCs w:val="18"/>
                <w:color w:val="auto"/>
                <w:w w:val="87"/>
              </w:rPr>
              <w:t>September 30, 2014</w:t>
            </w: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w w:val="87"/>
              </w:rPr>
              <w:t>September 30, 2013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Expected life</w:t>
            </w:r>
          </w:p>
        </w:tc>
        <w:tc>
          <w:tcPr>
            <w:tcW w:w="2580" w:type="dxa"/>
            <w:vAlign w:val="bottom"/>
            <w:gridSpan w:val="2"/>
          </w:tcPr>
          <w:p>
            <w:pPr>
              <w:jc w:val="right"/>
              <w:ind w:right="1140"/>
              <w:spacing w:after="0"/>
              <w:rPr>
                <w:sz w:val="20"/>
                <w:szCs w:val="20"/>
                <w:color w:val="auto"/>
              </w:rPr>
            </w:pPr>
            <w:r>
              <w:rPr>
                <w:rFonts w:ascii="Arial" w:cs="Arial" w:eastAsia="Arial" w:hAnsi="Arial"/>
                <w:sz w:val="18"/>
                <w:szCs w:val="18"/>
                <w:color w:val="auto"/>
              </w:rPr>
              <w:t>3.3 Years</w:t>
            </w:r>
          </w:p>
        </w:tc>
        <w:tc>
          <w:tcPr>
            <w:tcW w:w="1440" w:type="dxa"/>
            <w:vAlign w:val="bottom"/>
          </w:tcPr>
          <w:p>
            <w:pPr>
              <w:jc w:val="right"/>
              <w:spacing w:after="0"/>
              <w:rPr>
                <w:sz w:val="20"/>
                <w:szCs w:val="20"/>
                <w:color w:val="auto"/>
              </w:rPr>
            </w:pPr>
            <w:r>
              <w:rPr>
                <w:rFonts w:ascii="Arial" w:cs="Arial" w:eastAsia="Arial" w:hAnsi="Arial"/>
                <w:sz w:val="18"/>
                <w:szCs w:val="18"/>
                <w:color w:val="auto"/>
              </w:rPr>
              <w:t>4.3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580" w:type="dxa"/>
            <w:vAlign w:val="bottom"/>
            <w:gridSpan w:val="2"/>
            <w:shd w:val="clear" w:color="auto" w:fill="CFF0FC"/>
          </w:tcPr>
          <w:p>
            <w:pPr>
              <w:jc w:val="right"/>
              <w:ind w:right="1140"/>
              <w:spacing w:after="0"/>
              <w:rPr>
                <w:sz w:val="20"/>
                <w:szCs w:val="20"/>
                <w:color w:val="auto"/>
              </w:rPr>
            </w:pPr>
            <w:r>
              <w:rPr>
                <w:rFonts w:ascii="Arial" w:cs="Arial" w:eastAsia="Arial" w:hAnsi="Arial"/>
                <w:sz w:val="18"/>
                <w:szCs w:val="18"/>
                <w:color w:val="auto"/>
              </w:rPr>
              <w:t>None</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Volatility</w:t>
            </w:r>
          </w:p>
        </w:tc>
        <w:tc>
          <w:tcPr>
            <w:tcW w:w="2580" w:type="dxa"/>
            <w:vAlign w:val="bottom"/>
            <w:gridSpan w:val="2"/>
          </w:tcPr>
          <w:p>
            <w:pPr>
              <w:jc w:val="right"/>
              <w:ind w:right="1140"/>
              <w:spacing w:after="0"/>
              <w:rPr>
                <w:sz w:val="20"/>
                <w:szCs w:val="20"/>
                <w:color w:val="auto"/>
              </w:rPr>
            </w:pPr>
            <w:r>
              <w:rPr>
                <w:rFonts w:ascii="Arial" w:cs="Arial" w:eastAsia="Arial" w:hAnsi="Arial"/>
                <w:sz w:val="18"/>
                <w:szCs w:val="18"/>
                <w:color w:val="auto"/>
              </w:rPr>
              <w:t>69%</w:t>
            </w: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reconciliation of the derivative liability related to these warrants for the years ended September 30, 2014 and 2013:</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2012</w:t>
            </w:r>
          </w:p>
        </w:tc>
        <w:tc>
          <w:tcPr>
            <w:tcW w:w="36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626,195</w:t>
            </w:r>
          </w:p>
        </w:tc>
        <w:tc>
          <w:tcPr>
            <w:tcW w:w="120" w:type="dxa"/>
            <w:vAlign w:val="bottom"/>
            <w:shd w:val="clear" w:color="auto" w:fill="CFF0FC"/>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2,153,819</w:t>
            </w:r>
          </w:p>
        </w:tc>
        <w:tc>
          <w:tcPr>
            <w:tcW w:w="120" w:type="dxa"/>
            <w:vAlign w:val="bottom"/>
          </w:tcPr>
          <w:p>
            <w:pPr>
              <w:spacing w:after="0"/>
              <w:rPr>
                <w:sz w:val="18"/>
                <w:szCs w:val="18"/>
                <w:color w:val="auto"/>
              </w:rPr>
            </w:pPr>
          </w:p>
        </w:tc>
      </w:tr>
      <w:tr>
        <w:trPr>
          <w:trHeight w:val="216"/>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3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5,066,591</w:t>
            </w:r>
          </w:p>
        </w:tc>
        <w:tc>
          <w:tcPr>
            <w:tcW w:w="120" w:type="dxa"/>
            <w:vAlign w:val="bottom"/>
            <w:shd w:val="clear" w:color="auto" w:fill="CFF0FC"/>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Net settlements</w:t>
            </w: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(3,754,808)</w:t>
            </w:r>
          </w:p>
        </w:tc>
      </w:tr>
      <w:tr>
        <w:trPr>
          <w:trHeight w:val="210"/>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3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4,091,797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3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3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5,821,796</w:t>
            </w:r>
          </w:p>
        </w:tc>
        <w:tc>
          <w:tcPr>
            <w:tcW w:w="120" w:type="dxa"/>
            <w:vAlign w:val="bottom"/>
            <w:shd w:val="clear" w:color="auto" w:fill="CFF0FC"/>
          </w:tcPr>
          <w:p>
            <w:pPr>
              <w:spacing w:after="0"/>
              <w:rPr>
                <w:sz w:val="18"/>
                <w:szCs w:val="18"/>
                <w:color w:val="auto"/>
              </w:rPr>
            </w:pPr>
          </w:p>
        </w:tc>
      </w:tr>
      <w:tr>
        <w:trPr>
          <w:trHeight w:val="216"/>
        </w:trPr>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settlements</w:t>
            </w:r>
          </w:p>
        </w:tc>
        <w:tc>
          <w:tcPr>
            <w:tcW w:w="32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(5,956,079)</w:t>
            </w:r>
          </w:p>
        </w:tc>
        <w:tc>
          <w:tcPr>
            <w:tcW w:w="120" w:type="dxa"/>
            <w:vAlign w:val="bottom"/>
            <w:tcBorders>
              <w:bottom w:val="single" w:sz="8" w:color="CFF0FC"/>
            </w:tcBorders>
          </w:tcPr>
          <w:p>
            <w:pPr>
              <w:spacing w:after="0"/>
              <w:rPr>
                <w:sz w:val="18"/>
                <w:szCs w:val="18"/>
                <w:color w:val="auto"/>
              </w:rPr>
            </w:pPr>
          </w:p>
        </w:tc>
      </w:tr>
      <w:tr>
        <w:trPr>
          <w:trHeight w:val="210"/>
        </w:trPr>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2014</w:t>
            </w:r>
          </w:p>
        </w:tc>
        <w:tc>
          <w:tcPr>
            <w:tcW w:w="3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3,957,514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9"/>
        </w:trPr>
        <w:tc>
          <w:tcPr>
            <w:tcW w:w="2880" w:type="dxa"/>
            <w:vAlign w:val="bottom"/>
          </w:tcPr>
          <w:p>
            <w:pPr>
              <w:spacing w:after="0"/>
              <w:rPr>
                <w:sz w:val="24"/>
                <w:szCs w:val="24"/>
                <w:color w:val="auto"/>
              </w:rPr>
            </w:pPr>
          </w:p>
        </w:tc>
        <w:tc>
          <w:tcPr>
            <w:tcW w:w="3640" w:type="dxa"/>
            <w:vAlign w:val="bottom"/>
            <w:gridSpan w:val="2"/>
          </w:tcPr>
          <w:p>
            <w:pPr>
              <w:jc w:val="right"/>
              <w:ind w:right="2390"/>
              <w:spacing w:after="0"/>
              <w:rPr>
                <w:sz w:val="20"/>
                <w:szCs w:val="20"/>
                <w:color w:val="auto"/>
              </w:rPr>
            </w:pPr>
            <w:r>
              <w:rPr>
                <w:rFonts w:ascii="Arial" w:cs="Arial" w:eastAsia="Arial" w:hAnsi="Arial"/>
                <w:sz w:val="18"/>
                <w:szCs w:val="18"/>
                <w:color w:val="auto"/>
              </w:rPr>
              <w:t>F-23</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80"/>
          </w:cols>
          <w:pgMar w:left="240" w:top="355" w:right="279" w:bottom="1440" w:gutter="0" w:footer="0" w:header="0"/>
        </w:sectPr>
      </w:pPr>
    </w:p>
    <w:bookmarkStart w:id="88" w:name="page89"/>
    <w:bookmarkEnd w:id="88"/>
    <w:p>
      <w:pPr>
        <w:ind w:right="20" w:firstLine="518"/>
        <w:spacing w:after="0" w:line="285" w:lineRule="auto"/>
        <w:rPr>
          <w:sz w:val="20"/>
          <w:szCs w:val="20"/>
          <w:color w:val="auto"/>
        </w:rPr>
      </w:pPr>
      <w:r>
        <w:rPr>
          <w:rFonts w:ascii="Arial" w:cs="Arial" w:eastAsia="Arial" w:hAnsi="Arial"/>
          <w:sz w:val="16"/>
          <w:szCs w:val="16"/>
          <w:color w:val="auto"/>
        </w:rPr>
        <w:t>In conjunction with the financing of Ablaris in fiscal 2011, Arrowhead sold exchange rights to certain investors whereby the investors have the right to exchange their shares of Ablaris for a prescribed number of Arrowhead shares based upon a predefined ratio. The exchange rights have a seven-year term. During the first year, the exchange right allows the holder to exchange one Ablaris share for 0.06 Arrowhead shares. This ratio declines to 0.04 in the second year, 0.03 in the third year and 0.02 in the fourth year. In the fifth year and beyond the exchange ratio is 0.01. Exchange rights for 675,000 Ablaris shares were sold in fiscal 2011, and remain outstanding at September 30, 2014. The exchange rights are subject to derivative accounting as prescribed under ASC</w:t>
      </w:r>
    </w:p>
    <w:p>
      <w:pPr>
        <w:spacing w:after="0" w:line="2" w:lineRule="exact"/>
        <w:rPr>
          <w:sz w:val="20"/>
          <w:szCs w:val="20"/>
          <w:color w:val="auto"/>
        </w:rPr>
      </w:pPr>
    </w:p>
    <w:p>
      <w:pPr>
        <w:jc w:val="both"/>
        <w:ind w:right="200" w:firstLine="8"/>
        <w:spacing w:after="0" w:line="295" w:lineRule="auto"/>
        <w:tabs>
          <w:tab w:leader="none" w:pos="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in the Company’s Consolidated Statement of Operations. During the year ended September 30, 2014, the Company recorded a non-cash loss from the change in fair value of the derivative liability of $211,860.</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valuing the derivative liability as of September 30, 2014 and 2013 were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Pr>
          <w:p>
            <w:pPr>
              <w:jc w:val="right"/>
              <w:ind w:right="116"/>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616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r>
      <w:tr>
        <w:trPr>
          <w:trHeight w:val="21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Expected life</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3.3 Years</w:t>
            </w:r>
          </w:p>
        </w:tc>
        <w:tc>
          <w:tcPr>
            <w:tcW w:w="1220" w:type="dxa"/>
            <w:vAlign w:val="bottom"/>
          </w:tcPr>
          <w:p>
            <w:pPr>
              <w:jc w:val="right"/>
              <w:spacing w:after="0"/>
              <w:rPr>
                <w:sz w:val="20"/>
                <w:szCs w:val="20"/>
                <w:color w:val="auto"/>
              </w:rPr>
            </w:pPr>
            <w:r>
              <w:rPr>
                <w:rFonts w:ascii="Arial" w:cs="Arial" w:eastAsia="Arial" w:hAnsi="Arial"/>
                <w:sz w:val="18"/>
                <w:szCs w:val="18"/>
                <w:color w:val="auto"/>
              </w:rPr>
              <w:t>4.3 Years</w:t>
            </w:r>
          </w:p>
        </w:tc>
      </w:tr>
      <w:tr>
        <w:trPr>
          <w:trHeight w:val="21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None</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None</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Volatility</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reconciliation of the derivative liability related to these exchange rights for the years ended September 30, 2014 and 2013:</w:t>
      </w:r>
    </w:p>
    <w:p>
      <w:pPr>
        <w:spacing w:after="0" w:line="27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2012</w:t>
            </w:r>
          </w:p>
        </w:tc>
        <w:tc>
          <w:tcPr>
            <w:tcW w:w="254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10,375</w:t>
            </w:r>
          </w:p>
        </w:tc>
        <w:tc>
          <w:tcPr>
            <w:tcW w:w="12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2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(5,806)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settlements</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204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2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211,860</w:t>
            </w:r>
          </w:p>
        </w:tc>
        <w:tc>
          <w:tcPr>
            <w:tcW w:w="12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settlements</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2014</w:t>
            </w:r>
          </w:p>
        </w:tc>
        <w:tc>
          <w:tcPr>
            <w:tcW w:w="204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216,429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derivative liabilities are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 Other inputs have a comparatively insignificant effect.</w:t>
      </w:r>
    </w:p>
    <w:p>
      <w:pPr>
        <w:spacing w:after="0" w:line="187"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During the year ended September 30, 2012, contingent consideration was recorded as an other non-current liability upon the acquisitions of Roche Madison Inc. and Alvos Therapeutics, Inc., totaling $173,621.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our own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we utilize data regarding similar milestone events from several sources, including industry studies and our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we record in any given period. Changes in the fair value of the contingent consideration obligations are recorded in our Consolidated Statement of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39" w:right="239" w:bottom="1440" w:gutter="0" w:footer="0" w:header="0"/>
        </w:sectPr>
      </w:pPr>
    </w:p>
    <w:bookmarkStart w:id="89" w:name="page90"/>
    <w:bookmarkEnd w:id="89"/>
    <w:p>
      <w:pPr>
        <w:ind w:left="520"/>
        <w:spacing w:after="0"/>
        <w:rPr>
          <w:sz w:val="20"/>
          <w:szCs w:val="20"/>
          <w:color w:val="auto"/>
        </w:rPr>
      </w:pPr>
      <w:r>
        <w:rPr>
          <w:rFonts w:ascii="Arial" w:cs="Arial" w:eastAsia="Arial" w:hAnsi="Arial"/>
          <w:sz w:val="18"/>
          <w:szCs w:val="18"/>
          <w:color w:val="auto"/>
        </w:rPr>
        <w:t>The following is a reconciliation of contingent consideration fair value during the years ended September 30, 2014 and 2013.</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2012</w:t>
            </w:r>
          </w:p>
        </w:tc>
        <w:tc>
          <w:tcPr>
            <w:tcW w:w="17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173,621</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contingent consideration</w:t>
            </w:r>
          </w:p>
        </w:tc>
        <w:tc>
          <w:tcPr>
            <w:tcW w:w="134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1,421,652</w:t>
            </w:r>
          </w:p>
        </w:tc>
        <w:tc>
          <w:tcPr>
            <w:tcW w:w="120" w:type="dxa"/>
            <w:vAlign w:val="bottom"/>
            <w:tcBorders>
              <w:bottom w:val="single" w:sz="8" w:color="CFF0FC"/>
            </w:tcBorders>
          </w:tcPr>
          <w:p>
            <w:pPr>
              <w:spacing w:after="0"/>
              <w:rPr>
                <w:sz w:val="18"/>
                <w:szCs w:val="18"/>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13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1,595,273</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contingent consideration</w:t>
            </w:r>
          </w:p>
        </w:tc>
        <w:tc>
          <w:tcPr>
            <w:tcW w:w="134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2,375,658</w:t>
            </w:r>
          </w:p>
        </w:tc>
        <w:tc>
          <w:tcPr>
            <w:tcW w:w="120" w:type="dxa"/>
            <w:vAlign w:val="bottom"/>
            <w:tcBorders>
              <w:bottom w:val="single" w:sz="8" w:color="CFF0FC"/>
            </w:tcBorders>
          </w:tcPr>
          <w:p>
            <w:pPr>
              <w:spacing w:after="0"/>
              <w:rPr>
                <w:sz w:val="18"/>
                <w:szCs w:val="18"/>
                <w:color w:val="auto"/>
              </w:rPr>
            </w:pPr>
          </w:p>
        </w:tc>
      </w:tr>
      <w:tr>
        <w:trPr>
          <w:trHeight w:val="210"/>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2014</w:t>
            </w:r>
          </w:p>
        </w:tc>
        <w:tc>
          <w:tcPr>
            <w:tcW w:w="13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3,970,931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fair value of contingent consideration obligations is estimated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Each of these assumptions can have a significant impact on the calculation of contingent consideration.</w:t>
      </w:r>
    </w:p>
    <w:p>
      <w:pPr>
        <w:spacing w:after="0" w:line="178"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carrying amounts of the Company’s other financial instruments, which include accounts receivable, accounts payable, and accrued expenses approximate their respective fair values due to the relatively short-term nature of these instruments. The carrying value of the Company’s debt obligations approximates fair value based on market interest rates.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INCOME TAXES</w:t>
      </w:r>
    </w:p>
    <w:p>
      <w:pPr>
        <w:spacing w:after="0" w:line="121" w:lineRule="exact"/>
        <w:rPr>
          <w:sz w:val="20"/>
          <w:szCs w:val="20"/>
          <w:color w:val="auto"/>
        </w:rPr>
      </w:pPr>
    </w:p>
    <w:p>
      <w:pPr>
        <w:ind w:right="380" w:firstLine="518"/>
        <w:spacing w:after="0" w:line="308" w:lineRule="auto"/>
        <w:rPr>
          <w:sz w:val="20"/>
          <w:szCs w:val="20"/>
          <w:color w:val="auto"/>
        </w:rPr>
      </w:pPr>
      <w:r>
        <w:rPr>
          <w:rFonts w:ascii="Arial" w:cs="Arial" w:eastAsia="Arial" w:hAnsi="Arial"/>
          <w:sz w:val="17"/>
          <w:szCs w:val="17"/>
          <w:color w:val="auto"/>
        </w:rPr>
        <w:t>The Company utilizes the guidance issued by the FASB for accounting for income taxes which requires the recognition of deferred tax assets and liabilities for the expected future tax consequences of events that have been included in the financial statements or tax returns.</w:t>
      </w:r>
    </w:p>
    <w:p>
      <w:pPr>
        <w:spacing w:after="0" w:line="147" w:lineRule="exact"/>
        <w:rPr>
          <w:sz w:val="20"/>
          <w:szCs w:val="20"/>
          <w:color w:val="auto"/>
        </w:rPr>
      </w:pPr>
    </w:p>
    <w:p>
      <w:pPr>
        <w:ind w:right="40" w:firstLine="518"/>
        <w:spacing w:after="0" w:line="327" w:lineRule="auto"/>
        <w:rPr>
          <w:sz w:val="20"/>
          <w:szCs w:val="20"/>
          <w:color w:val="auto"/>
        </w:rPr>
      </w:pPr>
      <w:r>
        <w:rPr>
          <w:rFonts w:ascii="Arial" w:cs="Arial" w:eastAsia="Arial" w:hAnsi="Arial"/>
          <w:sz w:val="15"/>
          <w:szCs w:val="15"/>
          <w:color w:val="auto"/>
        </w:rPr>
        <w:t>Under this method, deferred income taxes are recognized for the tax consequences in future years of differences between the tax bases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the amount expected to be realized. The provision for income taxes represents the tax payable for the period and the change during the period in deferred tax assets and liabilities.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deferred tax asset (liability) at September 30, 2014 and 2013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7700" w:type="dxa"/>
            <w:vAlign w:val="bottom"/>
          </w:tcPr>
          <w:p>
            <w:pPr>
              <w:ind w:left="220"/>
              <w:spacing w:after="0"/>
              <w:rPr>
                <w:sz w:val="20"/>
                <w:szCs w:val="20"/>
                <w:color w:val="auto"/>
              </w:rPr>
            </w:pPr>
            <w:r>
              <w:rPr>
                <w:rFonts w:ascii="Arial" w:cs="Arial" w:eastAsia="Arial" w:hAnsi="Arial"/>
                <w:sz w:val="17"/>
                <w:szCs w:val="17"/>
                <w:color w:val="auto"/>
              </w:rPr>
              <w:t>Reserve for other receivables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233,014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1,026,010</w:t>
            </w:r>
          </w:p>
        </w:tc>
        <w:tc>
          <w:tcPr>
            <w:tcW w:w="80" w:type="dxa"/>
            <w:vAlign w:val="bottom"/>
          </w:tcPr>
          <w:p>
            <w:pPr>
              <w:spacing w:after="0"/>
              <w:rPr>
                <w:sz w:val="17"/>
                <w:szCs w:val="17"/>
                <w:color w:val="auto"/>
              </w:rPr>
            </w:pPr>
          </w:p>
        </w:tc>
      </w:tr>
      <w:tr>
        <w:trPr>
          <w:trHeight w:val="203"/>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compensation</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1,313,354</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159,015</w:t>
            </w:r>
          </w:p>
        </w:tc>
        <w:tc>
          <w:tcPr>
            <w:tcW w:w="80" w:type="dxa"/>
            <w:vAlign w:val="bottom"/>
            <w:shd w:val="clear" w:color="auto" w:fill="CCEEFF"/>
          </w:tcPr>
          <w:p>
            <w:pPr>
              <w:spacing w:after="0"/>
              <w:rPr>
                <w:sz w:val="17"/>
                <w:szCs w:val="17"/>
                <w:color w:val="auto"/>
              </w:rPr>
            </w:pPr>
          </w:p>
        </w:tc>
      </w:tr>
      <w:tr>
        <w:trPr>
          <w:trHeight w:val="203"/>
        </w:trPr>
        <w:tc>
          <w:tcPr>
            <w:tcW w:w="7700" w:type="dxa"/>
            <w:vAlign w:val="bottom"/>
          </w:tcPr>
          <w:p>
            <w:pPr>
              <w:ind w:left="220"/>
              <w:spacing w:after="0"/>
              <w:rPr>
                <w:sz w:val="20"/>
                <w:szCs w:val="20"/>
                <w:color w:val="auto"/>
              </w:rPr>
            </w:pPr>
            <w:r>
              <w:rPr>
                <w:rFonts w:ascii="Arial" w:cs="Arial" w:eastAsia="Arial" w:hAnsi="Arial"/>
                <w:sz w:val="17"/>
                <w:szCs w:val="17"/>
                <w:color w:val="auto"/>
              </w:rPr>
              <w:t>Stock compensation</w:t>
            </w:r>
          </w:p>
        </w:tc>
        <w:tc>
          <w:tcPr>
            <w:tcW w:w="2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3,011,369</w:t>
            </w:r>
          </w:p>
        </w:tc>
        <w:tc>
          <w:tcPr>
            <w:tcW w:w="2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1,269,020</w:t>
            </w:r>
          </w:p>
        </w:tc>
        <w:tc>
          <w:tcPr>
            <w:tcW w:w="80" w:type="dxa"/>
            <w:vAlign w:val="bottom"/>
          </w:tcPr>
          <w:p>
            <w:pPr>
              <w:spacing w:after="0"/>
              <w:rPr>
                <w:sz w:val="17"/>
                <w:szCs w:val="17"/>
                <w:color w:val="auto"/>
              </w:rPr>
            </w:pPr>
          </w:p>
        </w:tc>
      </w:tr>
      <w:tr>
        <w:trPr>
          <w:trHeight w:val="203"/>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Capitalized research and development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13,536,745</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3,985,025</w:t>
            </w:r>
          </w:p>
        </w:tc>
        <w:tc>
          <w:tcPr>
            <w:tcW w:w="80" w:type="dxa"/>
            <w:vAlign w:val="bottom"/>
            <w:shd w:val="clear" w:color="auto" w:fill="CCEEFF"/>
          </w:tcPr>
          <w:p>
            <w:pPr>
              <w:spacing w:after="0"/>
              <w:rPr>
                <w:sz w:val="17"/>
                <w:szCs w:val="17"/>
                <w:color w:val="auto"/>
              </w:rPr>
            </w:pPr>
          </w:p>
        </w:tc>
      </w:tr>
      <w:tr>
        <w:trPr>
          <w:trHeight w:val="203"/>
        </w:trPr>
        <w:tc>
          <w:tcPr>
            <w:tcW w:w="7700" w:type="dxa"/>
            <w:vAlign w:val="bottom"/>
          </w:tcPr>
          <w:p>
            <w:pPr>
              <w:ind w:left="220"/>
              <w:spacing w:after="0"/>
              <w:rPr>
                <w:sz w:val="20"/>
                <w:szCs w:val="20"/>
                <w:color w:val="auto"/>
              </w:rPr>
            </w:pPr>
            <w:r>
              <w:rPr>
                <w:rFonts w:ascii="Arial" w:cs="Arial" w:eastAsia="Arial" w:hAnsi="Arial"/>
                <w:sz w:val="17"/>
                <w:szCs w:val="17"/>
                <w:color w:val="auto"/>
              </w:rPr>
              <w:t>Fair value adjustments</w:t>
            </w:r>
          </w:p>
        </w:tc>
        <w:tc>
          <w:tcPr>
            <w:tcW w:w="2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1,864,364</w:t>
            </w:r>
          </w:p>
        </w:tc>
        <w:tc>
          <w:tcPr>
            <w:tcW w:w="2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749,030</w:t>
            </w:r>
          </w:p>
        </w:tc>
        <w:tc>
          <w:tcPr>
            <w:tcW w:w="80" w:type="dxa"/>
            <w:vAlign w:val="bottom"/>
          </w:tcPr>
          <w:p>
            <w:pPr>
              <w:spacing w:after="0"/>
              <w:rPr>
                <w:sz w:val="17"/>
                <w:szCs w:val="17"/>
                <w:color w:val="auto"/>
              </w:rPr>
            </w:pPr>
          </w:p>
        </w:tc>
      </w:tr>
      <w:tr>
        <w:trPr>
          <w:trHeight w:val="223"/>
        </w:trPr>
        <w:tc>
          <w:tcPr>
            <w:tcW w:w="7700" w:type="dxa"/>
            <w:vAlign w:val="bottom"/>
            <w:shd w:val="clear" w:color="auto" w:fill="CCECFF"/>
          </w:tcPr>
          <w:p>
            <w:pPr>
              <w:ind w:left="220"/>
              <w:spacing w:after="0"/>
              <w:rPr>
                <w:sz w:val="20"/>
                <w:szCs w:val="20"/>
                <w:color w:val="auto"/>
              </w:rPr>
            </w:pPr>
            <w:r>
              <w:rPr>
                <w:rFonts w:ascii="Arial" w:cs="Arial" w:eastAsia="Arial" w:hAnsi="Arial"/>
                <w:sz w:val="17"/>
                <w:szCs w:val="17"/>
                <w:color w:val="auto"/>
              </w:rPr>
              <w:t>Net operating losses</w:t>
            </w:r>
          </w:p>
        </w:tc>
        <w:tc>
          <w:tcPr>
            <w:tcW w:w="240" w:type="dxa"/>
            <w:vAlign w:val="bottom"/>
            <w:shd w:val="clear" w:color="auto" w:fill="CCECFF"/>
          </w:tcPr>
          <w:p>
            <w:pPr>
              <w:spacing w:after="0"/>
              <w:rPr>
                <w:sz w:val="19"/>
                <w:szCs w:val="19"/>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7"/>
                <w:szCs w:val="17"/>
                <w:color w:val="auto"/>
              </w:rPr>
              <w:t>42,268,526</w:t>
            </w:r>
          </w:p>
        </w:tc>
        <w:tc>
          <w:tcPr>
            <w:tcW w:w="260" w:type="dxa"/>
            <w:vAlign w:val="bottom"/>
            <w:shd w:val="clear" w:color="auto" w:fill="CCECFF"/>
          </w:tcPr>
          <w:p>
            <w:pPr>
              <w:spacing w:after="0"/>
              <w:rPr>
                <w:sz w:val="19"/>
                <w:szCs w:val="19"/>
                <w:color w:val="auto"/>
              </w:rPr>
            </w:pPr>
          </w:p>
        </w:tc>
        <w:tc>
          <w:tcPr>
            <w:tcW w:w="1040" w:type="dxa"/>
            <w:vAlign w:val="bottom"/>
            <w:gridSpan w:val="2"/>
            <w:shd w:val="clear" w:color="auto" w:fill="CCECFF"/>
          </w:tcPr>
          <w:p>
            <w:pPr>
              <w:jc w:val="right"/>
              <w:ind w:right="20"/>
              <w:spacing w:after="0"/>
              <w:rPr>
                <w:sz w:val="20"/>
                <w:szCs w:val="20"/>
                <w:color w:val="auto"/>
              </w:rPr>
            </w:pPr>
            <w:r>
              <w:rPr>
                <w:rFonts w:ascii="Arial" w:cs="Arial" w:eastAsia="Arial" w:hAnsi="Arial"/>
                <w:sz w:val="17"/>
                <w:szCs w:val="17"/>
                <w:color w:val="auto"/>
              </w:rPr>
              <w:t>52,133,035</w:t>
            </w:r>
          </w:p>
        </w:tc>
        <w:tc>
          <w:tcPr>
            <w:tcW w:w="80" w:type="dxa"/>
            <w:vAlign w:val="bottom"/>
            <w:shd w:val="clear" w:color="auto" w:fill="CCECFF"/>
          </w:tcPr>
          <w:p>
            <w:pPr>
              <w:spacing w:after="0"/>
              <w:rPr>
                <w:sz w:val="19"/>
                <w:szCs w:val="19"/>
                <w:color w:val="auto"/>
              </w:rPr>
            </w:pPr>
          </w:p>
        </w:tc>
      </w:tr>
      <w:tr>
        <w:trPr>
          <w:trHeight w:val="190"/>
        </w:trPr>
        <w:tc>
          <w:tcPr>
            <w:tcW w:w="7700" w:type="dxa"/>
            <w:vAlign w:val="bottom"/>
          </w:tcPr>
          <w:p>
            <w:pPr>
              <w:ind w:left="220"/>
              <w:spacing w:after="0" w:line="185" w:lineRule="exact"/>
              <w:rPr>
                <w:sz w:val="20"/>
                <w:szCs w:val="20"/>
                <w:color w:val="auto"/>
              </w:rPr>
            </w:pPr>
            <w:r>
              <w:rPr>
                <w:rFonts w:ascii="Arial" w:cs="Arial" w:eastAsia="Arial" w:hAnsi="Arial"/>
                <w:sz w:val="17"/>
                <w:szCs w:val="17"/>
                <w:color w:val="auto"/>
              </w:rPr>
              <w:t>Total deferred tax assets</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62,227,372</w:t>
            </w: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59,321,135</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203"/>
        </w:trPr>
        <w:tc>
          <w:tcPr>
            <w:tcW w:w="7700" w:type="dxa"/>
            <w:vAlign w:val="bottom"/>
            <w:shd w:val="clear" w:color="auto" w:fill="CCECFF"/>
          </w:tcPr>
          <w:p>
            <w:pPr>
              <w:spacing w:after="0"/>
              <w:rPr>
                <w:sz w:val="20"/>
                <w:szCs w:val="20"/>
                <w:color w:val="auto"/>
              </w:rPr>
            </w:pPr>
            <w:r>
              <w:rPr>
                <w:rFonts w:ascii="Arial" w:cs="Arial" w:eastAsia="Arial" w:hAnsi="Arial"/>
                <w:sz w:val="17"/>
                <w:szCs w:val="17"/>
                <w:color w:val="auto"/>
              </w:rPr>
              <w:t>Valuation allowance</w:t>
            </w:r>
          </w:p>
        </w:tc>
        <w:tc>
          <w:tcPr>
            <w:tcW w:w="240" w:type="dxa"/>
            <w:vAlign w:val="bottom"/>
            <w:shd w:val="clear" w:color="auto" w:fill="CCECFF"/>
          </w:tcPr>
          <w:p>
            <w:pPr>
              <w:spacing w:after="0"/>
              <w:rPr>
                <w:sz w:val="17"/>
                <w:szCs w:val="17"/>
                <w:color w:val="auto"/>
              </w:rPr>
            </w:pPr>
          </w:p>
        </w:tc>
        <w:tc>
          <w:tcPr>
            <w:tcW w:w="1180" w:type="dxa"/>
            <w:vAlign w:val="bottom"/>
            <w:gridSpan w:val="2"/>
            <w:shd w:val="clear" w:color="auto" w:fill="CCECFF"/>
          </w:tcPr>
          <w:p>
            <w:pPr>
              <w:jc w:val="right"/>
              <w:ind w:right="140"/>
              <w:spacing w:after="0"/>
              <w:rPr>
                <w:sz w:val="20"/>
                <w:szCs w:val="20"/>
                <w:color w:val="auto"/>
              </w:rPr>
            </w:pPr>
            <w:r>
              <w:rPr>
                <w:rFonts w:ascii="Arial" w:cs="Arial" w:eastAsia="Arial" w:hAnsi="Arial"/>
                <w:sz w:val="17"/>
                <w:szCs w:val="17"/>
                <w:color w:val="auto"/>
              </w:rPr>
              <w:t>(55,224,802)</w:t>
            </w:r>
          </w:p>
        </w:tc>
        <w:tc>
          <w:tcPr>
            <w:tcW w:w="260" w:type="dxa"/>
            <w:vAlign w:val="bottom"/>
            <w:shd w:val="clear" w:color="auto" w:fill="CCECFF"/>
          </w:tcPr>
          <w:p>
            <w:pPr>
              <w:spacing w:after="0"/>
              <w:rPr>
                <w:sz w:val="17"/>
                <w:szCs w:val="17"/>
                <w:color w:val="auto"/>
              </w:rPr>
            </w:pPr>
          </w:p>
        </w:tc>
        <w:tc>
          <w:tcPr>
            <w:tcW w:w="1120" w:type="dxa"/>
            <w:vAlign w:val="bottom"/>
            <w:gridSpan w:val="3"/>
            <w:shd w:val="clear" w:color="auto" w:fill="CCECFF"/>
          </w:tcPr>
          <w:p>
            <w:pPr>
              <w:jc w:val="right"/>
              <w:ind w:right="40"/>
              <w:spacing w:after="0"/>
              <w:rPr>
                <w:sz w:val="20"/>
                <w:szCs w:val="20"/>
                <w:color w:val="auto"/>
              </w:rPr>
            </w:pPr>
            <w:r>
              <w:rPr>
                <w:rFonts w:ascii="Arial" w:cs="Arial" w:eastAsia="Arial" w:hAnsi="Arial"/>
                <w:sz w:val="17"/>
                <w:szCs w:val="17"/>
                <w:color w:val="auto"/>
              </w:rPr>
              <w:t>(52,214,090)</w:t>
            </w: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State taxes</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(6,277,587)</w:t>
            </w:r>
          </w:p>
        </w:tc>
        <w:tc>
          <w:tcPr>
            <w:tcW w:w="2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(5,042,010)</w:t>
            </w:r>
          </w:p>
        </w:tc>
      </w:tr>
      <w:tr>
        <w:trPr>
          <w:trHeight w:val="203"/>
        </w:trPr>
        <w:tc>
          <w:tcPr>
            <w:tcW w:w="7700" w:type="dxa"/>
            <w:vAlign w:val="bottom"/>
          </w:tcPr>
          <w:p>
            <w:pPr>
              <w:ind w:left="220"/>
              <w:spacing w:after="0"/>
              <w:rPr>
                <w:sz w:val="20"/>
                <w:szCs w:val="20"/>
                <w:color w:val="auto"/>
              </w:rPr>
            </w:pPr>
            <w:r>
              <w:rPr>
                <w:rFonts w:ascii="Arial" w:cs="Arial" w:eastAsia="Arial" w:hAnsi="Arial"/>
                <w:sz w:val="17"/>
                <w:szCs w:val="17"/>
                <w:color w:val="auto"/>
              </w:rPr>
              <w:t>Equity investments</w:t>
            </w:r>
          </w:p>
        </w:tc>
        <w:tc>
          <w:tcPr>
            <w:tcW w:w="2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(7,675)</w:t>
            </w:r>
          </w:p>
        </w:tc>
        <w:tc>
          <w:tcPr>
            <w:tcW w:w="260" w:type="dxa"/>
            <w:vAlign w:val="bottom"/>
          </w:tcPr>
          <w:p>
            <w:pPr>
              <w:spacing w:after="0"/>
              <w:rPr>
                <w:sz w:val="17"/>
                <w:szCs w:val="17"/>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r>
      <w:tr>
        <w:trPr>
          <w:trHeight w:val="203"/>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Intangible assets</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(475,829)</w:t>
            </w:r>
          </w:p>
        </w:tc>
        <w:tc>
          <w:tcPr>
            <w:tcW w:w="2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(1,521,015)</w:t>
            </w:r>
          </w:p>
        </w:tc>
      </w:tr>
      <w:tr>
        <w:trPr>
          <w:trHeight w:val="223"/>
        </w:trPr>
        <w:tc>
          <w:tcPr>
            <w:tcW w:w="7700" w:type="dxa"/>
            <w:vAlign w:val="bottom"/>
          </w:tcPr>
          <w:p>
            <w:pPr>
              <w:ind w:left="220"/>
              <w:spacing w:after="0"/>
              <w:rPr>
                <w:sz w:val="20"/>
                <w:szCs w:val="20"/>
                <w:color w:val="auto"/>
              </w:rPr>
            </w:pPr>
            <w:r>
              <w:rPr>
                <w:rFonts w:ascii="Arial" w:cs="Arial" w:eastAsia="Arial" w:hAnsi="Arial"/>
                <w:sz w:val="17"/>
                <w:szCs w:val="17"/>
                <w:color w:val="auto"/>
              </w:rPr>
              <w:t>Fixed assets</w:t>
            </w: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(241,479)</w:t>
            </w:r>
          </w:p>
        </w:tc>
        <w:tc>
          <w:tcPr>
            <w:tcW w:w="26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(544,020)</w:t>
            </w:r>
          </w:p>
        </w:tc>
      </w:tr>
      <w:tr>
        <w:trPr>
          <w:trHeight w:val="190"/>
        </w:trPr>
        <w:tc>
          <w:tcPr>
            <w:tcW w:w="7700" w:type="dxa"/>
            <w:vAlign w:val="bottom"/>
            <w:tcBorders>
              <w:top w:val="single" w:sz="8" w:color="CCECFF"/>
            </w:tcBorders>
            <w:shd w:val="clear" w:color="auto" w:fill="CCECFF"/>
          </w:tcPr>
          <w:p>
            <w:pPr>
              <w:ind w:left="220"/>
              <w:spacing w:after="0" w:line="185" w:lineRule="exact"/>
              <w:rPr>
                <w:sz w:val="20"/>
                <w:szCs w:val="20"/>
                <w:color w:val="auto"/>
              </w:rPr>
            </w:pPr>
            <w:r>
              <w:rPr>
                <w:rFonts w:ascii="Arial" w:cs="Arial" w:eastAsia="Arial" w:hAnsi="Arial"/>
                <w:sz w:val="17"/>
                <w:szCs w:val="17"/>
                <w:color w:val="auto"/>
              </w:rPr>
              <w:t>Total deferred tax liability</w:t>
            </w:r>
          </w:p>
        </w:tc>
        <w:tc>
          <w:tcPr>
            <w:tcW w:w="240" w:type="dxa"/>
            <w:vAlign w:val="bottom"/>
            <w:tcBorders>
              <w:top w:val="single" w:sz="8" w:color="auto"/>
              <w:bottom w:val="single" w:sz="8" w:color="auto"/>
            </w:tcBorders>
            <w:shd w:val="clear" w:color="auto" w:fill="CCECFF"/>
          </w:tcPr>
          <w:p>
            <w:pPr>
              <w:spacing w:after="0"/>
              <w:rPr>
                <w:sz w:val="16"/>
                <w:szCs w:val="16"/>
                <w:color w:val="auto"/>
              </w:rPr>
            </w:pPr>
          </w:p>
        </w:tc>
        <w:tc>
          <w:tcPr>
            <w:tcW w:w="980" w:type="dxa"/>
            <w:vAlign w:val="bottom"/>
            <w:tcBorders>
              <w:top w:val="single" w:sz="8" w:color="auto"/>
              <w:bottom w:val="single" w:sz="8" w:color="auto"/>
            </w:tcBorders>
            <w:shd w:val="clear" w:color="auto" w:fill="CCECFF"/>
          </w:tcPr>
          <w:p>
            <w:pPr>
              <w:jc w:val="right"/>
              <w:spacing w:after="0" w:line="189" w:lineRule="exact"/>
              <w:rPr>
                <w:sz w:val="20"/>
                <w:szCs w:val="20"/>
                <w:color w:val="auto"/>
              </w:rPr>
            </w:pPr>
            <w:r>
              <w:rPr>
                <w:rFonts w:ascii="Arial" w:cs="Arial" w:eastAsia="Arial" w:hAnsi="Arial"/>
                <w:sz w:val="17"/>
                <w:szCs w:val="17"/>
                <w:color w:val="auto"/>
              </w:rPr>
              <w:t>(7,002,570)</w:t>
            </w:r>
          </w:p>
        </w:tc>
        <w:tc>
          <w:tcPr>
            <w:tcW w:w="200" w:type="dxa"/>
            <w:vAlign w:val="bottom"/>
            <w:tcBorders>
              <w:top w:val="single" w:sz="8" w:color="CCECFF"/>
            </w:tcBorders>
            <w:shd w:val="clear" w:color="auto" w:fill="CCECFF"/>
          </w:tcPr>
          <w:p>
            <w:pPr>
              <w:spacing w:after="0"/>
              <w:rPr>
                <w:sz w:val="16"/>
                <w:szCs w:val="16"/>
                <w:color w:val="auto"/>
              </w:rPr>
            </w:pPr>
          </w:p>
        </w:tc>
        <w:tc>
          <w:tcPr>
            <w:tcW w:w="260" w:type="dxa"/>
            <w:vAlign w:val="bottom"/>
            <w:tcBorders>
              <w:top w:val="single" w:sz="8" w:color="auto"/>
              <w:bottom w:val="single" w:sz="8" w:color="auto"/>
            </w:tcBorders>
            <w:shd w:val="clear" w:color="auto" w:fill="CCECFF"/>
          </w:tcPr>
          <w:p>
            <w:pPr>
              <w:spacing w:after="0"/>
              <w:rPr>
                <w:sz w:val="16"/>
                <w:szCs w:val="16"/>
                <w:color w:val="auto"/>
              </w:rPr>
            </w:pPr>
          </w:p>
        </w:tc>
        <w:tc>
          <w:tcPr>
            <w:tcW w:w="1020" w:type="dxa"/>
            <w:vAlign w:val="bottom"/>
            <w:tcBorders>
              <w:top w:val="single" w:sz="8" w:color="auto"/>
              <w:bottom w:val="single" w:sz="8" w:color="auto"/>
            </w:tcBorders>
            <w:shd w:val="clear" w:color="auto" w:fill="CCECFF"/>
          </w:tcPr>
          <w:p>
            <w:pPr>
              <w:jc w:val="right"/>
              <w:spacing w:after="0" w:line="189" w:lineRule="exact"/>
              <w:rPr>
                <w:sz w:val="20"/>
                <w:szCs w:val="20"/>
                <w:color w:val="auto"/>
              </w:rPr>
            </w:pPr>
            <w:r>
              <w:rPr>
                <w:rFonts w:ascii="Arial" w:cs="Arial" w:eastAsia="Arial" w:hAnsi="Arial"/>
                <w:sz w:val="17"/>
                <w:szCs w:val="17"/>
                <w:color w:val="auto"/>
              </w:rPr>
              <w:t>(7,107,045)</w:t>
            </w:r>
          </w:p>
        </w:tc>
        <w:tc>
          <w:tcPr>
            <w:tcW w:w="20" w:type="dxa"/>
            <w:vAlign w:val="bottom"/>
            <w:tcBorders>
              <w:top w:val="single" w:sz="8" w:color="auto"/>
            </w:tcBorders>
            <w:shd w:val="clear" w:color="auto" w:fill="CCECFF"/>
          </w:tcPr>
          <w:p>
            <w:pPr>
              <w:spacing w:after="0"/>
              <w:rPr>
                <w:sz w:val="16"/>
                <w:szCs w:val="16"/>
                <w:color w:val="auto"/>
              </w:rPr>
            </w:pPr>
          </w:p>
        </w:tc>
        <w:tc>
          <w:tcPr>
            <w:tcW w:w="80" w:type="dxa"/>
            <w:vAlign w:val="bottom"/>
            <w:tcBorders>
              <w:top w:val="single" w:sz="8" w:color="auto"/>
            </w:tcBorders>
            <w:shd w:val="clear" w:color="auto" w:fill="CCECFF"/>
          </w:tcPr>
          <w:p>
            <w:pPr>
              <w:spacing w:after="0"/>
              <w:rPr>
                <w:sz w:val="16"/>
                <w:szCs w:val="16"/>
                <w:color w:val="auto"/>
              </w:rPr>
            </w:pPr>
          </w:p>
        </w:tc>
      </w:tr>
      <w:tr>
        <w:trPr>
          <w:trHeight w:val="196"/>
        </w:trPr>
        <w:tc>
          <w:tcPr>
            <w:tcW w:w="7700" w:type="dxa"/>
            <w:vAlign w:val="bottom"/>
          </w:tcPr>
          <w:p>
            <w:pPr>
              <w:spacing w:after="0"/>
              <w:rPr>
                <w:sz w:val="20"/>
                <w:szCs w:val="20"/>
                <w:color w:val="auto"/>
              </w:rPr>
            </w:pPr>
            <w:r>
              <w:rPr>
                <w:rFonts w:ascii="Arial" w:cs="Arial" w:eastAsia="Arial" w:hAnsi="Arial"/>
                <w:sz w:val="17"/>
                <w:szCs w:val="17"/>
                <w:color w:val="auto"/>
              </w:rPr>
              <w:t>Net deferred tax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gridSpan w:val="2"/>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60"/>
          </w:cols>
          <w:pgMar w:left="240" w:top="355" w:right="299" w:bottom="1440" w:gutter="0" w:footer="0" w:header="0"/>
        </w:sectPr>
      </w:pPr>
    </w:p>
    <w:bookmarkStart w:id="90" w:name="page91"/>
    <w:bookmarkEnd w:id="90"/>
    <w:p>
      <w:pPr>
        <w:ind w:right="80" w:firstLine="518"/>
        <w:spacing w:after="0" w:line="287" w:lineRule="auto"/>
        <w:rPr>
          <w:sz w:val="20"/>
          <w:szCs w:val="20"/>
          <w:color w:val="auto"/>
        </w:rPr>
      </w:pPr>
      <w:r>
        <w:rPr>
          <w:rFonts w:ascii="Arial" w:cs="Arial" w:eastAsia="Arial" w:hAnsi="Arial"/>
          <w:sz w:val="16"/>
          <w:szCs w:val="16"/>
          <w:color w:val="auto"/>
        </w:rPr>
        <w:t>The Company’s book losses and other timing differences result in a net deferred income tax benefit which is offset by a valuation allowance for a net deferred asset of zero. The Company has concluded, in accordance with the applicable accounting standards, that it is more likely than not that the Company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may not realize the benefit of all of its deferred tax assets</w:t>
      </w:r>
      <w:r>
        <w:rPr>
          <w:rFonts w:ascii="Arial" w:cs="Arial" w:eastAsia="Arial" w:hAnsi="Arial"/>
          <w:sz w:val="20"/>
          <w:szCs w:val="20"/>
          <w:color w:val="auto"/>
        </w:rPr>
        <w:t>.</w:t>
      </w:r>
      <w:r>
        <w:rPr>
          <w:rFonts w:ascii="Arial" w:cs="Arial" w:eastAsia="Arial" w:hAnsi="Arial"/>
          <w:sz w:val="16"/>
          <w:szCs w:val="16"/>
          <w:color w:val="auto"/>
        </w:rPr>
        <w:t xml:space="preserve"> Accordingly, management has provided a 100% valuation allowance against its deferred tax assets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until such time as management believes that its projections of future profits as well as expected future tax rates make the realization of these deferred tax</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assets more-likely-than-not. Significant judgment is required in the evaluation of deferred tax benefits and differences in future results from our estimates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could result in material differences in the realization of these assets. As of September 30, 2014 and 2013, federal deferred tax assets were estimated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$62.2 million and $59.3 million, respectively. The Company has recorded a full valuation allowance related to all of its deferred tax assets. The Company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performed an assessment of positive and negative evidence regarding the realization of the net deferred tax asset in accordance with FASB ASC 740-10,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for Income Taxes.” This assessment included the evaluation of scheduled reversals of deferred tax liabilities, the availability of carry forwards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estimates of projected future taxable income.</w:t>
      </w:r>
    </w:p>
    <w:p>
      <w:pPr>
        <w:spacing w:after="0" w:line="21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of September 30, 2013, the Company had available gross federal net operating loss (NOL) carry forwards of $64.1 million and gross state NOL carry forwards of $80.0 million which expire at various dates through 2033. Gross federal NOL carry forwards for 2014 are estimated at $24.2 million, and gross state NOL carry forwards for 2014 are estimated at $37.9 million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 for income taxes for the years ended September 30, 2014 and 2013 are as follows:</w:t>
      </w:r>
    </w:p>
    <w:p>
      <w:pPr>
        <w:spacing w:after="0" w:line="3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ind w:left="52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28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Current</w:t>
            </w:r>
          </w:p>
        </w:tc>
        <w:tc>
          <w:tcPr>
            <w:tcW w:w="2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120"/>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r>
      <w:tr>
        <w:trPr>
          <w:trHeight w:val="210"/>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Federal</w:t>
            </w:r>
          </w:p>
        </w:tc>
        <w:tc>
          <w:tcPr>
            <w:tcW w:w="28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Current</w:t>
            </w:r>
          </w:p>
        </w:tc>
        <w:tc>
          <w:tcPr>
            <w:tcW w:w="360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5,300</w:t>
            </w:r>
          </w:p>
        </w:tc>
        <w:tc>
          <w:tcPr>
            <w:tcW w:w="1400" w:type="dxa"/>
            <w:vAlign w:val="bottom"/>
            <w:gridSpan w:val="2"/>
          </w:tcPr>
          <w:p>
            <w:pPr>
              <w:ind w:left="1120"/>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r>
      <w:tr>
        <w:trPr>
          <w:trHeight w:val="210"/>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State</w:t>
            </w:r>
          </w:p>
        </w:tc>
        <w:tc>
          <w:tcPr>
            <w:tcW w:w="28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5,300</w:t>
            </w:r>
          </w:p>
        </w:tc>
        <w:tc>
          <w:tcPr>
            <w:tcW w:w="18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10"/>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from income taxes</w:t>
            </w:r>
          </w:p>
        </w:tc>
        <w:tc>
          <w:tcPr>
            <w:tcW w:w="28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5,300</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effective income tax rate differs from the statutory federal income tax rate as follows for the years ended September 30,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3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At U.S. federal statutory rate</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State taxes, net of federal effect</w:t>
            </w: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Mark-to-market adjustments</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Other permanent items</w:t>
            </w:r>
          </w:p>
        </w:tc>
        <w:tc>
          <w:tcPr>
            <w:tcW w:w="6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(0.1)</w:t>
            </w:r>
          </w:p>
        </w:tc>
        <w:tc>
          <w:tcPr>
            <w:tcW w:w="14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7600" w:type="dxa"/>
            <w:vAlign w:val="bottom"/>
            <w:shd w:val="clear" w:color="auto" w:fill="CCECFF"/>
          </w:tcPr>
          <w:p>
            <w:pPr>
              <w:spacing w:after="0"/>
              <w:rPr>
                <w:sz w:val="20"/>
                <w:szCs w:val="20"/>
                <w:color w:val="auto"/>
              </w:rPr>
            </w:pPr>
            <w:r>
              <w:rPr>
                <w:rFonts w:ascii="Arial" w:cs="Arial" w:eastAsia="Arial" w:hAnsi="Arial"/>
                <w:sz w:val="18"/>
                <w:szCs w:val="18"/>
                <w:color w:val="auto"/>
              </w:rPr>
              <w:t>Write-off of net operating losses</w:t>
            </w:r>
          </w:p>
        </w:tc>
        <w:tc>
          <w:tcPr>
            <w:tcW w:w="820" w:type="dxa"/>
            <w:vAlign w:val="bottom"/>
            <w:shd w:val="clear" w:color="auto" w:fill="CCECFF"/>
          </w:tcPr>
          <w:p>
            <w:pPr>
              <w:spacing w:after="0"/>
              <w:rPr>
                <w:sz w:val="18"/>
                <w:szCs w:val="18"/>
                <w:color w:val="auto"/>
              </w:rPr>
            </w:pPr>
          </w:p>
        </w:tc>
        <w:tc>
          <w:tcPr>
            <w:tcW w:w="64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w w:val="93"/>
              </w:rPr>
              <w:t>(32.7)</w:t>
            </w:r>
          </w:p>
        </w:tc>
        <w:tc>
          <w:tcPr>
            <w:tcW w:w="14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has adopted guidance issued by the FASB that clarifies the accounting for uncertainty in income taxes recognized in an enterprise’s financial statements and prescribes a recognition threshold of more likely than not and a measurement process for financial statement recognition and measurement of a tax position taken or expected to be taken in a tax return. In making this assessment, a company must determine whether it is more likely than not that a tax position will be sustained upon examination, based solely on the technical merits of the position and must assume that the tax position will be examined by taxing authorities. The Company’s policy is to include interest and penalties related to unrecognized tax benefits in income tax expense. The Company has not recognized any unrecognized tax benefits and does not have any interest or penalties related to uncertain tax positions as of September 30, 2014 and 2013.</w:t>
      </w:r>
    </w:p>
    <w:p>
      <w:pPr>
        <w:spacing w:after="0" w:line="18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files income tax returns with the Internal Revenue Service (“IRS”), the state of California and certain other taxing jurisdictions. The Company is no longer subject to income tax examinations by the IRS for tax years through fiscal 2010 and by state tax authorities for tax years through fiscal 2009.</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355" w:right="29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i w:val="1"/>
          <w:iCs w:val="1"/>
          <w:color w:val="auto"/>
        </w:rPr>
        <w:t>EMPLOYEE BENEFIT PLANS</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January 2005, the Company adopted a defined contribution 401(k) retirement savings plan covering substantially all of its employees. The Plan is administered under the “safe harbor” provision of ERISA. Under the terms of the plan, an eligible employee may elect to contribute a portion of their salary on a pre-tax basis, subject to federal statutory limitations. The plan allows for a discretionary match in an amount up to 100% of each participant’s first 3% of compensation contributed plus 50% of each participant’s next 2% of compensation contributed.</w:t>
      </w:r>
    </w:p>
    <w:p>
      <w:pPr>
        <w:spacing w:after="0" w:line="18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For the years ended September 30, 2014, 2013 and 2012, we recorded expenses under these plans of approximately $264,193, $191,947 and $162,495, respectively.</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 addition to the employee benefit plans described above, the Company provides certain employee benefit plans, including those which provide health and life insurance benefits to employees.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b w:val="1"/>
          <w:bCs w:val="1"/>
          <w:i w:val="1"/>
          <w:iCs w:val="1"/>
          <w:color w:val="auto"/>
        </w:rPr>
        <w:t>UNAUDITED QUARTERLY FINANCIAL DATA</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selected unaudited quarterly financial data for each full quarterly period of the years ended September 30, 2014 and 2013: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September 30, 2014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8"/>
              </w:rPr>
              <w:t>First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Second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Third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1"/>
        </w:trPr>
        <w:tc>
          <w:tcPr>
            <w:tcW w:w="4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8"/>
              </w:rPr>
              <w:t>Quarter</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8"/>
              </w:rPr>
              <w:t>Quarter</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3"/>
          </w:tcPr>
          <w:p>
            <w:pPr>
              <w:spacing w:after="0"/>
              <w:rPr>
                <w:sz w:val="20"/>
                <w:szCs w:val="20"/>
                <w:color w:val="auto"/>
              </w:rPr>
            </w:pPr>
            <w:r>
              <w:rPr>
                <w:rFonts w:ascii="Arial" w:cs="Arial" w:eastAsia="Arial" w:hAnsi="Arial"/>
                <w:sz w:val="18"/>
                <w:szCs w:val="18"/>
                <w:color w:val="auto"/>
              </w:rPr>
              <w:t>Operating Losses</w:t>
            </w:r>
          </w:p>
        </w:tc>
        <w:tc>
          <w:tcPr>
            <w:tcW w:w="28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(7,009,382)</w:t>
            </w:r>
          </w:p>
        </w:tc>
        <w:tc>
          <w:tcPr>
            <w:tcW w:w="240" w:type="dxa"/>
            <w:vAlign w:val="bottom"/>
          </w:tcPr>
          <w:p>
            <w:pPr>
              <w:spacing w:after="0"/>
              <w:rPr>
                <w:sz w:val="18"/>
                <w:szCs w:val="18"/>
                <w:color w:val="auto"/>
              </w:rPr>
            </w:pPr>
          </w:p>
        </w:tc>
        <w:tc>
          <w:tcPr>
            <w:tcW w:w="260" w:type="dxa"/>
            <w:vAlign w:val="bottom"/>
            <w:gridSpan w:val="2"/>
          </w:tcPr>
          <w:p>
            <w:pPr>
              <w:jc w:val="right"/>
              <w:ind w:right="65"/>
              <w:spacing w:after="0"/>
              <w:rPr>
                <w:sz w:val="20"/>
                <w:szCs w:val="20"/>
                <w:color w:val="auto"/>
              </w:rPr>
            </w:pPr>
            <w:r>
              <w:rPr>
                <w:rFonts w:ascii="Arial" w:cs="Arial" w:eastAsia="Arial" w:hAnsi="Arial"/>
                <w:sz w:val="18"/>
                <w:szCs w:val="18"/>
                <w:color w:val="auto"/>
                <w:w w:val="99"/>
              </w:rPr>
              <w: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(11,212,498)</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(12,700,100)</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(22,354,306)</w:t>
            </w: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(10,685,372)</w:t>
            </w:r>
          </w:p>
        </w:tc>
        <w:tc>
          <w:tcPr>
            <w:tcW w:w="2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(13,982,700)</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2"/>
              </w:rPr>
              <w:t>(11,626,451)</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(22,430,889)</w:t>
            </w:r>
          </w:p>
        </w:tc>
        <w:tc>
          <w:tcPr>
            <w:tcW w:w="0" w:type="dxa"/>
            <w:vAlign w:val="bottom"/>
          </w:tcPr>
          <w:p>
            <w:pPr>
              <w:spacing w:after="0"/>
              <w:rPr>
                <w:sz w:val="1"/>
                <w:szCs w:val="1"/>
                <w:color w:val="auto"/>
              </w:rPr>
            </w:pPr>
          </w:p>
        </w:tc>
      </w:tr>
      <w:tr>
        <w:trPr>
          <w:trHeight w:val="216"/>
        </w:trPr>
        <w:tc>
          <w:tcPr>
            <w:tcW w:w="4980" w:type="dxa"/>
            <w:vAlign w:val="bottom"/>
            <w:gridSpan w:val="3"/>
          </w:tcPr>
          <w:p>
            <w:pPr>
              <w:spacing w:after="0"/>
              <w:rPr>
                <w:sz w:val="20"/>
                <w:szCs w:val="20"/>
                <w:color w:val="auto"/>
              </w:rPr>
            </w:pPr>
            <w:r>
              <w:rPr>
                <w:rFonts w:ascii="Arial" w:cs="Arial" w:eastAsia="Arial" w:hAnsi="Arial"/>
                <w:sz w:val="18"/>
                <w:szCs w:val="18"/>
                <w:color w:val="auto"/>
              </w:rPr>
              <w:t>Net Loss Attributable to Arrowhead</w:t>
            </w:r>
          </w:p>
        </w:tc>
        <w:tc>
          <w:tcPr>
            <w:tcW w:w="28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(10,628,312)</w:t>
            </w:r>
          </w:p>
        </w:tc>
        <w:tc>
          <w:tcPr>
            <w:tcW w:w="260" w:type="dxa"/>
            <w:vAlign w:val="bottom"/>
            <w:gridSpan w:val="2"/>
          </w:tcPr>
          <w:p>
            <w:pPr>
              <w:jc w:val="right"/>
              <w:ind w:right="65"/>
              <w:spacing w:after="0"/>
              <w:rPr>
                <w:sz w:val="20"/>
                <w:szCs w:val="20"/>
                <w:color w:val="auto"/>
              </w:rPr>
            </w:pPr>
            <w:r>
              <w:rPr>
                <w:rFonts w:ascii="Arial" w:cs="Arial" w:eastAsia="Arial" w:hAnsi="Arial"/>
                <w:sz w:val="18"/>
                <w:szCs w:val="18"/>
                <w:color w:val="auto"/>
                <w:w w:val="99"/>
              </w:rPr>
              <w: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(13,942,521)</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(11,626,919)</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(22,432,438)</w:t>
            </w: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per share (Basic and Diluted)</w:t>
            </w:r>
          </w:p>
        </w:tc>
        <w:tc>
          <w:tcPr>
            <w:tcW w:w="28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(0.28)</w:t>
            </w:r>
          </w:p>
        </w:tc>
        <w:tc>
          <w:tcPr>
            <w:tcW w:w="2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(0.31)</w:t>
            </w:r>
          </w:p>
        </w:tc>
        <w:tc>
          <w:tcPr>
            <w:tcW w:w="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(0.22)</w:t>
            </w:r>
          </w:p>
        </w:tc>
        <w:tc>
          <w:tcPr>
            <w:tcW w:w="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369"/>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September 30, 2013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First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Second</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Third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1"/>
        </w:trPr>
        <w:tc>
          <w:tcPr>
            <w:tcW w:w="4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Quarter</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8"/>
              </w:rPr>
              <w:t>Quarter</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159,016</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3"/>
          </w:tcPr>
          <w:p>
            <w:pPr>
              <w:spacing w:after="0"/>
              <w:rPr>
                <w:sz w:val="20"/>
                <w:szCs w:val="20"/>
                <w:color w:val="auto"/>
              </w:rPr>
            </w:pPr>
            <w:r>
              <w:rPr>
                <w:rFonts w:ascii="Arial" w:cs="Arial" w:eastAsia="Arial" w:hAnsi="Arial"/>
                <w:sz w:val="18"/>
                <w:szCs w:val="18"/>
                <w:color w:val="auto"/>
              </w:rPr>
              <w:t>Operating Losses</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(4,810,021)</w:t>
            </w:r>
          </w:p>
        </w:tc>
        <w:tc>
          <w:tcPr>
            <w:tcW w:w="240" w:type="dxa"/>
            <w:vAlign w:val="bottom"/>
          </w:tcPr>
          <w:p>
            <w:pPr>
              <w:spacing w:after="0"/>
              <w:rPr>
                <w:sz w:val="18"/>
                <w:szCs w:val="18"/>
                <w:color w:val="auto"/>
              </w:rPr>
            </w:pPr>
          </w:p>
        </w:tc>
        <w:tc>
          <w:tcPr>
            <w:tcW w:w="260" w:type="dxa"/>
            <w:vAlign w:val="bottom"/>
            <w:gridSpan w:val="2"/>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(5,390,288)</w:t>
            </w:r>
          </w:p>
        </w:tc>
        <w:tc>
          <w:tcPr>
            <w:tcW w:w="320" w:type="dxa"/>
            <w:vAlign w:val="bottom"/>
          </w:tcPr>
          <w:p>
            <w:pPr>
              <w:spacing w:after="0"/>
              <w:rPr>
                <w:sz w:val="18"/>
                <w:szCs w:val="18"/>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center"/>
              <w:ind w:left="115"/>
              <w:spacing w:after="0"/>
              <w:rPr>
                <w:sz w:val="20"/>
                <w:szCs w:val="20"/>
                <w:color w:val="auto"/>
              </w:rPr>
            </w:pPr>
            <w:r>
              <w:rPr>
                <w:rFonts w:ascii="Arial" w:cs="Arial" w:eastAsia="Arial" w:hAnsi="Arial"/>
                <w:sz w:val="18"/>
                <w:szCs w:val="18"/>
                <w:color w:val="auto"/>
                <w:w w:val="91"/>
              </w:rPr>
              <w:t>(6,389,865)</w:t>
            </w:r>
          </w:p>
        </w:tc>
        <w:tc>
          <w:tcPr>
            <w:tcW w:w="2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(7,999,102)</w:t>
            </w: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(4,780,727)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(6,940,019)</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91"/>
              </w:rPr>
              <w:t>(6,177,628)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(13,805,059)</w:t>
            </w:r>
          </w:p>
        </w:tc>
        <w:tc>
          <w:tcPr>
            <w:tcW w:w="0" w:type="dxa"/>
            <w:vAlign w:val="bottom"/>
          </w:tcPr>
          <w:p>
            <w:pPr>
              <w:spacing w:after="0"/>
              <w:rPr>
                <w:sz w:val="1"/>
                <w:szCs w:val="1"/>
                <w:color w:val="auto"/>
              </w:rPr>
            </w:pPr>
          </w:p>
        </w:tc>
      </w:tr>
      <w:tr>
        <w:trPr>
          <w:trHeight w:val="216"/>
        </w:trPr>
        <w:tc>
          <w:tcPr>
            <w:tcW w:w="4980" w:type="dxa"/>
            <w:vAlign w:val="bottom"/>
            <w:gridSpan w:val="3"/>
          </w:tcPr>
          <w:p>
            <w:pPr>
              <w:spacing w:after="0"/>
              <w:rPr>
                <w:sz w:val="20"/>
                <w:szCs w:val="20"/>
                <w:color w:val="auto"/>
              </w:rPr>
            </w:pPr>
            <w:r>
              <w:rPr>
                <w:rFonts w:ascii="Arial" w:cs="Arial" w:eastAsia="Arial" w:hAnsi="Arial"/>
                <w:sz w:val="18"/>
                <w:szCs w:val="18"/>
                <w:color w:val="auto"/>
              </w:rPr>
              <w:t>Net Loss Attributable to Arrowhead</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(4,614,159)</w:t>
            </w:r>
          </w:p>
        </w:tc>
        <w:tc>
          <w:tcPr>
            <w:tcW w:w="240" w:type="dxa"/>
            <w:vAlign w:val="bottom"/>
          </w:tcPr>
          <w:p>
            <w:pPr>
              <w:spacing w:after="0"/>
              <w:rPr>
                <w:sz w:val="18"/>
                <w:szCs w:val="18"/>
                <w:color w:val="auto"/>
              </w:rPr>
            </w:pPr>
          </w:p>
        </w:tc>
        <w:tc>
          <w:tcPr>
            <w:tcW w:w="260" w:type="dxa"/>
            <w:vAlign w:val="bottom"/>
            <w:gridSpan w:val="2"/>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(6,757,937)</w:t>
            </w:r>
          </w:p>
        </w:tc>
        <w:tc>
          <w:tcPr>
            <w:tcW w:w="320" w:type="dxa"/>
            <w:vAlign w:val="bottom"/>
          </w:tcPr>
          <w:p>
            <w:pPr>
              <w:spacing w:after="0"/>
              <w:rPr>
                <w:sz w:val="18"/>
                <w:szCs w:val="18"/>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center"/>
              <w:ind w:left="115"/>
              <w:spacing w:after="0"/>
              <w:rPr>
                <w:sz w:val="20"/>
                <w:szCs w:val="20"/>
                <w:color w:val="auto"/>
              </w:rPr>
            </w:pPr>
            <w:r>
              <w:rPr>
                <w:rFonts w:ascii="Arial" w:cs="Arial" w:eastAsia="Arial" w:hAnsi="Arial"/>
                <w:sz w:val="18"/>
                <w:szCs w:val="18"/>
                <w:color w:val="auto"/>
                <w:w w:val="91"/>
              </w:rPr>
              <w:t>(6,079,010)</w:t>
            </w:r>
          </w:p>
        </w:tc>
        <w:tc>
          <w:tcPr>
            <w:tcW w:w="2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(13,692,183)</w:t>
            </w: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per share (Basic and Diluted)</w:t>
            </w:r>
          </w:p>
        </w:tc>
        <w:tc>
          <w:tcPr>
            <w:tcW w:w="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(0.33)</w:t>
            </w: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(0.41)</w:t>
            </w:r>
          </w:p>
        </w:tc>
        <w:tc>
          <w:tcPr>
            <w:tcW w:w="3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3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21.1</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7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Subsidiary</w:t>
            </w:r>
          </w:p>
        </w:tc>
        <w:tc>
          <w:tcPr>
            <w:tcW w:w="570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Jurisdiction</w:t>
            </w:r>
          </w:p>
        </w:tc>
      </w:tr>
      <w:tr>
        <w:trPr>
          <w:trHeight w:val="210"/>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Ablaris Therapeutics, Inc.</w:t>
            </w:r>
          </w:p>
        </w:tc>
        <w:tc>
          <w:tcPr>
            <w:tcW w:w="57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Delaware</w:t>
            </w:r>
          </w:p>
        </w:tc>
      </w:tr>
      <w:tr>
        <w:trPr>
          <w:trHeight w:val="210"/>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Arrowhead Madison Inc.</w:t>
            </w:r>
          </w:p>
        </w:tc>
        <w:tc>
          <w:tcPr>
            <w:tcW w:w="57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hereby consent to the incorporation by reference in the Registration Statements on Forms S-3 (Nos. 333-193748, 333-191922, 333-188718, 333-178532, 333-178073, 333-178072, 333-176159, 333-164039, 333-161344, 333-148218, 333-144109, 333-137329, 333-132310, 333-124065, and 333-113065) and Forms S-8 (Nos. 333-198920, 333-194596, 333-190970, 333-180692, 333-170252, 333-136225, 333-124066, and 333-120072) of Arrowhead Research Corporation of our report dated November 24, 2014, with respect to the consolidated balance sheets of Arrowhead Research Corporation and Subsidiaries as of September 30, 2014 and September 30, 2013, and the related consolidated statements of operations, stockholders’ equity and cash flows for each of the years in the three-year period ended September 30, 2014, and the effectiveness of internal control over financial reporting as of September 30, 2014, which reports appear in the September 30, 2014 annual report on Form 10-K of Arrowhead Research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Rose, Snyder &amp; Jacobs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24, 2014</w:t>
      </w:r>
    </w:p>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Research Corporation, certify that:</w:t>
      </w:r>
    </w:p>
    <w:p>
      <w:pPr>
        <w:spacing w:after="0" w:line="117" w:lineRule="exact"/>
        <w:rPr>
          <w:sz w:val="20"/>
          <w:szCs w:val="20"/>
          <w:color w:val="auto"/>
        </w:rPr>
      </w:pPr>
    </w:p>
    <w:p>
      <w:pPr>
        <w:ind w:left="700" w:hanging="174"/>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501"/>
        <w:spacing w:after="0" w:line="342" w:lineRule="auto"/>
        <w:tabs>
          <w:tab w:leader="none" w:pos="1259"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80" w:firstLine="501"/>
        <w:spacing w:after="0" w:line="308" w:lineRule="auto"/>
        <w:tabs>
          <w:tab w:leader="none" w:pos="1249"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60" w:firstLine="501"/>
        <w:spacing w:after="0" w:line="277" w:lineRule="auto"/>
        <w:tabs>
          <w:tab w:leader="none" w:pos="125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25, 2014</w:t>
      </w:r>
    </w:p>
    <w:p>
      <w:pPr>
        <w:spacing w:after="0" w:line="23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CHRISTOPHER ANZALONE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Research Corporation, certify that:</w:t>
      </w:r>
    </w:p>
    <w:p>
      <w:pPr>
        <w:spacing w:after="0" w:line="117" w:lineRule="exact"/>
        <w:rPr>
          <w:sz w:val="20"/>
          <w:szCs w:val="20"/>
          <w:color w:val="auto"/>
        </w:rPr>
      </w:pPr>
    </w:p>
    <w:p>
      <w:pPr>
        <w:ind w:left="700" w:hanging="174"/>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501"/>
        <w:spacing w:after="0" w:line="342" w:lineRule="auto"/>
        <w:tabs>
          <w:tab w:leader="none" w:pos="1259"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80" w:firstLine="501"/>
        <w:spacing w:after="0" w:line="308" w:lineRule="auto"/>
        <w:tabs>
          <w:tab w:leader="none" w:pos="1249"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60" w:firstLine="501"/>
        <w:spacing w:after="0" w:line="277" w:lineRule="auto"/>
        <w:tabs>
          <w:tab w:leader="none" w:pos="125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25, 2014</w:t>
      </w:r>
    </w:p>
    <w:p>
      <w:pPr>
        <w:spacing w:after="0" w:line="23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21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I, Christopher Anzalone, Chief Executive Officer of Arrowhead Research Corporation (the “Company”), certify, pursuant to Rule 13(a)-14(b) or Rule 15(d)-14(b) of the Securities Exchange Act of 1934 and 18 U.S.C. Section 1350, that (i) the Annual Report on Form 10-K of the Company for the year ended September 30, 2014,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25, 2014</w:t>
      </w:r>
    </w:p>
    <w:p>
      <w:pPr>
        <w:spacing w:after="0" w:line="23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CHRISTOPHER ANZALONE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211"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I, Kenneth A. Myszkowski, Chief Financial Officer of Arrowhead Research Corporation (the “Company”), certify, pursuant to Rule 13(a)-14(b) or Rule 15(d)-14(b) of the Securities Exchange Act of 1934 and 18 U.S.C. Section 1350, that (i) the Annual Report on Form 10-K of the Company for the year ended September 30, 2014,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25, 2014</w:t>
      </w:r>
    </w:p>
    <w:p>
      <w:pPr>
        <w:spacing w:after="0" w:line="23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4"/>
    </w:lvl>
  </w:abstractNum>
  <w:abstractNum w:abstractNumId="16">
    <w:nsid w:val="189A769B"/>
    <w:multiLevelType w:val="hybridMultilevel"/>
    <w:lvl w:ilvl="0">
      <w:lvlJc w:val="left"/>
      <w:lvlText w:val="\emdash "/>
      <w:numFmt w:val="bullet"/>
      <w:start w:val="1"/>
    </w:lvl>
  </w:abstractNum>
  <w:abstractNum w:abstractNumId="17">
    <w:nsid w:val="54E49EB4"/>
    <w:multiLevelType w:val="hybridMultilevel"/>
    <w:lvl w:ilvl="0">
      <w:lvlJc w:val="left"/>
      <w:lvlText w:val="\emdash "/>
      <w:numFmt w:val="bullet"/>
      <w:start w:val="1"/>
    </w:lvl>
  </w:abstractNum>
  <w:abstractNum w:abstractNumId="18">
    <w:nsid w:val="71F32454"/>
    <w:multiLevelType w:val="hybridMultilevel"/>
    <w:lvl w:ilvl="0">
      <w:lvlJc w:val="left"/>
      <w:lvlText w:val="\emdash "/>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emdash "/>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emdash "/>
      <w:numFmt w:val="bullet"/>
      <w:start w:val="1"/>
    </w:lvl>
  </w:abstractNum>
  <w:abstractNum w:abstractNumId="25">
    <w:nsid w:val="7C3DBD3D"/>
    <w:multiLevelType w:val="hybridMultilevel"/>
    <w:lvl w:ilvl="0">
      <w:lvlJc w:val="left"/>
      <w:lvlText w:val="\emdash "/>
      <w:numFmt w:val="bullet"/>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3"/>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815"/>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2019-12-06T04:41:21Z</dcterms:created>
  <dcterms:modified xsi:type="dcterms:W3CDTF">2019-12-06T04:41:21Z</dcterms:modified>
</cp:coreProperties>
</file>