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0"/>
        </w:rPr>
      </w:pPr>
      <w:r>
        <w:rPr>
          <w:rFonts w:ascii="Times New Roman;serif" w:hAnsi="Times New Roman;serif"/>
          <w:b/>
          <w:color w:val="000000"/>
          <w:sz w:val="30"/>
        </w:rPr>
        <w:t xml:space="preserve">UNITED STATES </w:t>
      </w:r>
    </w:p>
    <w:p>
      <w:pPr>
        <w:pStyle w:val="TextBody"/>
        <w:bidi w:val="0"/>
        <w:spacing w:lineRule="auto" w:line="276" w:before="0" w:after="0"/>
        <w:jc w:val="center"/>
        <w:rPr>
          <w:rFonts w:ascii="Times New Roman;serif" w:hAnsi="Times New Roman;serif"/>
          <w:b/>
          <w:color w:val="000000"/>
          <w:sz w:val="30"/>
        </w:rPr>
      </w:pPr>
      <w:r>
        <w:rPr>
          <w:rFonts w:ascii="Times New Roman;serif" w:hAnsi="Times New Roman;serif"/>
          <w:b/>
          <w:color w:val="000000"/>
          <w:sz w:val="30"/>
        </w:rPr>
        <w:t xml:space="preserve">SECURITIES AND EXCHANGE COMMISSION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center"/>
        <w:rPr>
          <w:rFonts w:ascii="Times New Roman;serif" w:hAnsi="Times New Roman;serif"/>
          <w:b/>
          <w:color w:val="000000"/>
          <w:sz w:val="30"/>
        </w:rPr>
      </w:pPr>
      <w:r>
        <w:rPr>
          <w:rFonts w:ascii="Times New Roman;serif" w:hAnsi="Times New Roman;serif"/>
          <w:b/>
          <w:color w:val="000000"/>
          <w:sz w:val="30"/>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THE SECURITIES EXCHANGE ACT OF 1934 </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August 4, 2026</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(Date of earliest event reported)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0"/>
        </w:rPr>
      </w:pPr>
      <w:r>
        <w:rPr>
          <w:rFonts w:ascii="Times New Roman;serif" w:hAnsi="Times New Roman;serif"/>
          <w:b/>
          <w:color w:val="000000"/>
          <w:sz w:val="30"/>
        </w:rPr>
        <w:t>Arrowhead Pharmaceuticals, Inc.</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62" w:type="dxa"/>
        <w:jc w:val="center"/>
        <w:tblInd w:w="0" w:type="dxa"/>
        <w:tblLayout w:type="fixed"/>
        <w:tblCellMar>
          <w:top w:w="28" w:type="dxa"/>
          <w:left w:w="28" w:type="dxa"/>
          <w:bottom w:w="28" w:type="dxa"/>
          <w:right w:w="28" w:type="dxa"/>
        </w:tblCellMar>
      </w:tblPr>
      <w:tblGrid>
        <w:gridCol w:w="699"/>
        <w:gridCol w:w="615"/>
        <w:gridCol w:w="621"/>
        <w:gridCol w:w="109"/>
        <w:gridCol w:w="109"/>
        <w:gridCol w:w="109"/>
        <w:gridCol w:w="343"/>
        <w:gridCol w:w="343"/>
        <w:gridCol w:w="348"/>
        <w:gridCol w:w="109"/>
        <w:gridCol w:w="109"/>
        <w:gridCol w:w="109"/>
        <w:gridCol w:w="420"/>
        <w:gridCol w:w="420"/>
        <w:gridCol w:w="599"/>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001-38042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46-0408024</w:t>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177 E. Colorado Blvd, Suite 700, Pasadena, CA 91105</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(626) 304-3400</w:t>
      </w:r>
    </w:p>
    <w:p>
      <w:pPr>
        <w:pStyle w:val="TextBody"/>
        <w:bidi w:val="0"/>
        <w:spacing w:lineRule="auto" w:line="276" w:before="0" w:after="0"/>
        <w:jc w:val="center"/>
        <w:rPr/>
      </w:pPr>
      <w:r>
        <w:rPr>
          <w:rFonts w:ascii="Times New Roman;serif" w:hAnsi="Times New Roman;serif"/>
          <w:b/>
          <w:color w:val="000000"/>
          <w:sz w:val="16"/>
        </w:rPr>
        <w:t>(Registrant’s telephone number, including area code)</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480"/>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480"/>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480"/>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480"/>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 (c) under the Exchange Act (17 CFR 240.13e-4(c))</w:t>
            </w:r>
          </w:p>
        </w:tc>
      </w:tr>
    </w:tbl>
    <w:tbl>
      <w:tblPr>
        <w:tblW w:w="9707" w:type="dxa"/>
        <w:jc w:val="center"/>
        <w:tblInd w:w="0" w:type="dxa"/>
        <w:tblLayout w:type="fixed"/>
        <w:tblCellMar>
          <w:top w:w="28" w:type="dxa"/>
          <w:left w:w="28" w:type="dxa"/>
          <w:bottom w:w="28" w:type="dxa"/>
          <w:right w:w="28" w:type="dxa"/>
        </w:tblCellMar>
      </w:tblPr>
      <w:tblGrid>
        <w:gridCol w:w="1187"/>
        <w:gridCol w:w="1041"/>
        <w:gridCol w:w="1041"/>
        <w:gridCol w:w="278"/>
        <w:gridCol w:w="278"/>
        <w:gridCol w:w="278"/>
        <w:gridCol w:w="485"/>
        <w:gridCol w:w="485"/>
        <w:gridCol w:w="485"/>
        <w:gridCol w:w="278"/>
        <w:gridCol w:w="278"/>
        <w:gridCol w:w="278"/>
        <w:gridCol w:w="971"/>
        <w:gridCol w:w="971"/>
        <w:gridCol w:w="1373"/>
      </w:tblGrid>
      <w:tr>
        <w:trPr/>
        <w:tc>
          <w:tcPr>
            <w:tcW w:w="118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97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32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16"/>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6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par value $0.001 per share</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ARWR</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The Nasdaq Global Select Market</w:t>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0" w:after="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76"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76" w:before="200" w:after="240"/>
        <w:jc w:val="both"/>
        <w:rPr>
          <w:rFonts w:ascii="Times New Roman;serif" w:hAnsi="Times New Roman;serif"/>
          <w:b w:val="false"/>
          <w:color w:val="000000"/>
          <w:sz w:val="20"/>
        </w:rPr>
      </w:pPr>
      <w:r>
        <w:rPr>
          <w:rFonts w:ascii="Times New Roman;serif" w:hAnsi="Times New Roman;serif"/>
          <w:b w:val="false"/>
          <w:color w:val="000000"/>
          <w:sz w:val="20"/>
        </w:rPr>
        <w:t>On August 4, 2026, Arrowhead Pharmaceuticals, Inc. announced and commented on its fiscal 2026 financial results for the period ended June 30, 2026. A copy of the press release is furnished herewith as Exhibit 99.1.</w:t>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In accordance with General Instruction B.2 of Form 8-K, the information in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whether made before or after the date hereof, except as expressly set forth by specific reference in such filing to this Current Report on Form 8-K.</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76" w:before="20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9807" w:type="dxa"/>
        <w:jc w:val="center"/>
        <w:tblInd w:w="0" w:type="dxa"/>
        <w:tblLayout w:type="fixed"/>
        <w:tblCellMar>
          <w:top w:w="28" w:type="dxa"/>
          <w:left w:w="28" w:type="dxa"/>
          <w:bottom w:w="28" w:type="dxa"/>
          <w:right w:w="28" w:type="dxa"/>
        </w:tblCellMar>
      </w:tblPr>
      <w:tblGrid>
        <w:gridCol w:w="342"/>
        <w:gridCol w:w="300"/>
        <w:gridCol w:w="303"/>
        <w:gridCol w:w="109"/>
        <w:gridCol w:w="109"/>
        <w:gridCol w:w="109"/>
        <w:gridCol w:w="2491"/>
        <w:gridCol w:w="2491"/>
        <w:gridCol w:w="3553"/>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53"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rwr-202608048kex991.htm">
              <w:r>
                <w:rPr>
                  <w:rStyle w:val="InternetLink"/>
                  <w:rFonts w:ascii="Times New Roman;serif" w:hAnsi="Times New Roman;serif"/>
                  <w:b w:val="false"/>
                  <w:color w:val="0000FF"/>
                  <w:sz w:val="20"/>
                  <w:u w:val="single"/>
                </w:rPr>
                <w:t>Press Release, dated August 4,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76" w:before="20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76" w:before="0" w:after="40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bl>
      <w:tblPr>
        <w:tblW w:w="4447" w:type="dxa"/>
        <w:jc w:val="left"/>
        <w:tblInd w:w="0" w:type="dxa"/>
        <w:tblLayout w:type="fixed"/>
        <w:tblCellMar>
          <w:top w:w="28" w:type="dxa"/>
          <w:left w:w="28" w:type="dxa"/>
          <w:bottom w:w="28" w:type="dxa"/>
          <w:right w:w="28" w:type="dxa"/>
        </w:tblCellMar>
      </w:tblPr>
      <w:tblGrid>
        <w:gridCol w:w="453"/>
        <w:gridCol w:w="397"/>
        <w:gridCol w:w="397"/>
        <w:gridCol w:w="397"/>
        <w:gridCol w:w="397"/>
        <w:gridCol w:w="397"/>
        <w:gridCol w:w="582"/>
        <w:gridCol w:w="582"/>
        <w:gridCol w:w="845"/>
      </w:tblGrid>
      <w:tr>
        <w:trPr/>
        <w:tc>
          <w:tcPr>
            <w:tcW w:w="45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4447"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 PHARMACEUTICALS, INC.</w:t>
            </w:r>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Apel</w:t>
            </w:r>
          </w:p>
        </w:tc>
      </w:tr>
      <w:tr>
        <w:trPr/>
        <w:tc>
          <w:tcPr>
            <w:tcW w:w="1247" w:type="dxa"/>
            <w:gridSpan w:val="3"/>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Daniel Apel</w:t>
            </w:r>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drawing>
          <wp:inline distT="0" distB="0" distL="0" distR="0">
            <wp:extent cx="1905000" cy="6381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05000" cy="6381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PRESS RELEASE</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August 4, 2026</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Arrowhead Pharmaceuticals Reports Fiscal 2026 Third Quarter Results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Conference Call and Webcast Today, August 4, 2026 at 4:30 p.m. ET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PASADENA, Calif., August 4, 2026</w:t>
      </w:r>
      <w:r>
        <w:rPr>
          <w:color w:val="000000"/>
        </w:rPr>
        <w:t xml:space="preserve"> — </w:t>
      </w:r>
      <w:r>
        <w:rPr>
          <w:rFonts w:ascii="Times New Roman;serif" w:hAnsi="Times New Roman;serif"/>
          <w:b w:val="false"/>
          <w:color w:val="000000"/>
          <w:sz w:val="20"/>
          <w:u w:val="single"/>
        </w:rPr>
        <w:t>Arrowhead Pharmaceuticals, Inc.</w:t>
      </w:r>
      <w:r>
        <w:rPr>
          <w:color w:val="000000"/>
        </w:rPr>
        <w:t xml:space="preserve"> </w:t>
      </w:r>
      <w:r>
        <w:rPr>
          <w:rFonts w:ascii="Times New Roman;serif" w:hAnsi="Times New Roman;serif"/>
          <w:b w:val="false"/>
          <w:color w:val="000000"/>
          <w:sz w:val="20"/>
        </w:rPr>
        <w:t>(NASDAQ: ARWR) today announced financial results for its fiscal 2026 third quarter ended June 30, 2026. The Company is hosting a conference call today, August 4, 2026, at 4:30 p.m. ET to discuss the results.</w:t>
      </w:r>
    </w:p>
    <w:p>
      <w:pPr>
        <w:pStyle w:val="TextBody"/>
        <w:bidi w:val="0"/>
        <w:spacing w:before="0" w:after="0"/>
        <w:jc w:val="both"/>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The recent period for Arrowhead included transformational events that support continued growth,” said Christopher Anzalone, Ph.D., President and CEO at Arrowhead Pharmaceuticals. “We recently announced topline results from the SHASTA-3 and SHASTA-4 studies supporting our continued belief that plozasiran is a best-in-class molecule for patients with a spectrum of triglyceride disorders. Based on these promising results, we acquired a priority review voucher (PRV) that potentially accelerates the process of bringing this important new medicine to patients. On the commercial front, REDEMPLO continued to demonstrate growing momentum and penetration with physicians and patients with familial chylomicronemia syndrome. Lastly, we made strong progress across our broad pipeline of RNAi therapeutic candidates at various stages of development, expanding the opportunity to help patients in diverse disease areas.”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color w:val="000000"/>
          <w:sz w:val="20"/>
        </w:rPr>
        <w:t>Key REDEMPLO</w:t>
      </w:r>
      <w:r>
        <w:rPr>
          <w:rFonts w:ascii="Arial;sans-serif" w:hAnsi="Arial;sans-serif"/>
          <w:b/>
          <w:color w:val="000000"/>
          <w:sz w:val="20"/>
        </w:rPr>
        <w:t>®</w:t>
      </w:r>
      <w:r>
        <w:rPr>
          <w:color w:val="000000"/>
        </w:rPr>
        <w:t xml:space="preserve"> </w:t>
      </w:r>
      <w:r>
        <w:rPr>
          <w:rFonts w:ascii="Times New Roman;serif" w:hAnsi="Times New Roman;serif"/>
          <w:b/>
          <w:color w:val="000000"/>
          <w:sz w:val="20"/>
        </w:rPr>
        <w:t>Commercial Events</w:t>
      </w:r>
    </w:p>
    <w:p>
      <w:pPr>
        <w:pStyle w:val="TextBody"/>
        <w:bidi w:val="0"/>
        <w:spacing w:before="0" w:after="0"/>
        <w:jc w:val="left"/>
        <w:rPr/>
      </w:pPr>
      <w:r>
        <w:rPr/>
      </w:r>
    </w:p>
    <w:p>
      <w:pPr>
        <w:pStyle w:val="TextBody"/>
        <w:bidi w:val="0"/>
        <w:spacing w:lineRule="auto" w:line="360" w:before="0" w:after="0"/>
        <w:ind w:left="0" w:right="0" w:hanging="720"/>
        <w:jc w:val="both"/>
        <w:rPr/>
      </w:pPr>
      <w:r>
        <w:rPr>
          <w:color w:val="000000"/>
        </w:rPr>
        <w:t>•</w:t>
      </w:r>
      <w:r>
        <w:rPr>
          <w:rFonts w:ascii="Times New Roman;serif" w:hAnsi="Times New Roman;serif"/>
          <w:b w:val="false"/>
          <w:color w:val="000000"/>
          <w:sz w:val="20"/>
        </w:rPr>
        <w:t>U.S. REDEMPLO launch continued to build momentum during the quarter. Key progress included:</w:t>
      </w:r>
    </w:p>
    <w:p>
      <w:pPr>
        <w:pStyle w:val="TextBody"/>
        <w:bidi w:val="0"/>
        <w:spacing w:lineRule="auto" w:line="360" w:before="0" w:after="0"/>
        <w:ind w:left="0" w:right="0" w:hanging="720"/>
        <w:jc w:val="both"/>
        <w:rPr/>
      </w:pPr>
      <w:r>
        <w:rPr>
          <w:color w:val="000000"/>
        </w:rPr>
        <w:t>◦</w:t>
      </w:r>
      <w:r>
        <w:rPr>
          <w:rFonts w:ascii="Times New Roman;serif" w:hAnsi="Times New Roman;serif"/>
          <w:b w:val="false"/>
          <w:color w:val="000000"/>
          <w:sz w:val="20"/>
        </w:rPr>
        <w:t>REDEMPLO prescription volume roughly doubled during the fiscal third quarter.</w:t>
      </w:r>
    </w:p>
    <w:p>
      <w:pPr>
        <w:pStyle w:val="TextBody"/>
        <w:bidi w:val="0"/>
        <w:spacing w:lineRule="auto" w:line="360" w:before="0" w:after="0"/>
        <w:ind w:left="0" w:right="0" w:hanging="720"/>
        <w:jc w:val="both"/>
        <w:rPr/>
      </w:pPr>
      <w:r>
        <w:rPr>
          <w:color w:val="000000"/>
        </w:rPr>
        <w:t>◦</w:t>
      </w:r>
      <w:r>
        <w:rPr>
          <w:rFonts w:ascii="Times New Roman;serif" w:hAnsi="Times New Roman;serif"/>
          <w:b w:val="false"/>
          <w:color w:val="000000"/>
          <w:sz w:val="20"/>
        </w:rPr>
        <w:t>More than 400 unique practitioners have now prescribed REDEMPLO, with the specialty mix led by preventive cardiology and endocrinology.</w:t>
      </w:r>
    </w:p>
    <w:p>
      <w:pPr>
        <w:pStyle w:val="TextBody"/>
        <w:bidi w:val="0"/>
        <w:spacing w:lineRule="auto" w:line="360" w:before="0" w:after="0"/>
        <w:ind w:left="0" w:right="0" w:hanging="720"/>
        <w:jc w:val="both"/>
        <w:rPr/>
      </w:pPr>
      <w:r>
        <w:rPr>
          <w:color w:val="000000"/>
        </w:rPr>
        <w:t>◦</w:t>
      </w:r>
      <w:r>
        <w:rPr>
          <w:rFonts w:ascii="Times New Roman;serif" w:hAnsi="Times New Roman;serif"/>
          <w:b w:val="false"/>
          <w:color w:val="000000"/>
          <w:sz w:val="20"/>
        </w:rPr>
        <w:t>REDEMPLO now has favorable policies in place for the most significant U.S. payers and overall coverage is progressing at a fast trajectory.</w:t>
      </w:r>
    </w:p>
    <w:p>
      <w:pPr>
        <w:pStyle w:val="TextBody"/>
        <w:bidi w:val="0"/>
        <w:spacing w:lineRule="auto" w:line="360" w:before="0" w:after="0"/>
        <w:ind w:left="0" w:right="0" w:hanging="720"/>
        <w:jc w:val="both"/>
        <w:rPr/>
      </w:pPr>
      <w:r>
        <w:rPr>
          <w:color w:val="000000"/>
        </w:rPr>
        <w:t>•</w:t>
      </w:r>
      <w:r>
        <w:rPr>
          <w:rFonts w:ascii="Times New Roman;serif" w:hAnsi="Times New Roman;serif"/>
          <w:b w:val="false"/>
          <w:color w:val="000000"/>
          <w:sz w:val="20"/>
        </w:rPr>
        <w:t xml:space="preserve">Announced marketing authorizations of REDEMPLO in two new territories: </w:t>
      </w:r>
    </w:p>
    <w:p>
      <w:pPr>
        <w:pStyle w:val="TextBody"/>
        <w:bidi w:val="0"/>
        <w:spacing w:lineRule="auto" w:line="360" w:before="0" w:after="0"/>
        <w:ind w:left="0" w:right="0" w:hanging="720"/>
        <w:jc w:val="both"/>
        <w:rPr/>
      </w:pPr>
      <w:r>
        <w:rPr>
          <w:color w:val="000000"/>
        </w:rPr>
        <w:t>◦</w:t>
      </w:r>
      <w:r>
        <w:rPr>
          <w:rFonts w:ascii="Times New Roman;serif" w:hAnsi="Times New Roman;serif"/>
          <w:b w:val="false"/>
          <w:color w:val="000000"/>
          <w:sz w:val="20"/>
        </w:rPr>
        <w:t>The European Commission (EC) formally granted marketing authorization for REDEMPLO as an adjunct to diet to reduce triglyceride levels in adult patients with FCS. REDEMPLO is the first and only siRNA medicine authorized by the EC for adults with FCS, diagnosed either by the presence of clinical criteria or genetic testing.</w:t>
      </w:r>
    </w:p>
    <w:p>
      <w:pPr>
        <w:pStyle w:val="TextBody"/>
        <w:bidi w:val="0"/>
        <w:spacing w:lineRule="auto" w:line="360" w:before="0" w:after="0"/>
        <w:ind w:left="0" w:right="0" w:hanging="720"/>
        <w:jc w:val="both"/>
        <w:rPr/>
      </w:pPr>
      <w:r>
        <w:rPr>
          <w:color w:val="000000"/>
        </w:rPr>
        <w:t>◦</w:t>
      </w:r>
      <w:r>
        <w:rPr>
          <w:rFonts w:ascii="Times New Roman;serif" w:hAnsi="Times New Roman;serif"/>
          <w:b w:val="false"/>
          <w:color w:val="000000"/>
          <w:sz w:val="20"/>
        </w:rPr>
        <w:t>The Australian Therapeutic Goods Administration (TGA) approved REDEMPLO, as an adjunct to diet to reduce triglyceride levels for adult patients with FCS in Australia.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Key R&amp;D Events</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Announced topline results for the global Phase 3 SHASTA-3 and SHASTA-4 clinical studies of plozasiran in patients with severe hypertriglyceridemia (sHTG). Detailed results will be presented as a HOT LINE Late Breaker at the European Society of Cardiology (ESC) Congress on August 30, 2026.</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SHASTA-3 and SHASTA-4 successfully met the primary endpoint of triglyceride reduction versus placebo and met all prespecified secondary endpoints in both studies.</w:t>
      </w:r>
    </w:p>
    <w:p>
      <w:pPr>
        <w:pStyle w:val="TextBody"/>
        <w:bidi w:val="0"/>
        <w:spacing w:lineRule="auto" w:line="268"/>
        <w:ind w:left="0" w:right="0" w:hanging="360"/>
        <w:jc w:val="left"/>
        <w:rPr/>
      </w:pPr>
      <w:r>
        <w:rPr>
          <w:color w:val="000000"/>
        </w:rPr>
        <w:t>◦</w:t>
      </w:r>
      <w:r>
        <w:rPr>
          <w:rFonts w:ascii="Times New Roman;serif" w:hAnsi="Times New Roman;serif"/>
          <w:b w:val="false"/>
          <w:color w:val="000000"/>
          <w:sz w:val="20"/>
        </w:rPr>
        <w:t xml:space="preserve">Deep, durable, and consistent median triglyceride reductions of 79% and 81% from baseline were observed in SHASTA-3 and SHASTA-4, respectively.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Statistically significant 78% reduction in acute pancreatitis (AP) events versus placebo was observed across the entire sHTG study population, with an unprecedented 100% event reduction in patients with triglycerides above 880 mg/dL and a prior medical history of AP, widely considered to be at the highest risk for AP.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Continued and consistent safety and tolerability profile was demonstrated with no new safety signals and a favorable liver safety profile.</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 xml:space="preserve">Announced that the Company completed enrollment in the global Phase 3 YOSEMITE clinical trial of zodasiran, the Company’s investigational RNA interference (RNAi) therapeutic being developed as a potential treatment for homozygous familial hypercholesterolemia (HoFH), a rare genetic condition that leads to severely elevated low-density lipoprotein cholesterol (LDL-C) and early-onset cardiovascular disease. </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 xml:space="preserve">The Company anticipates that YOSEMITE will be completed in mid-2027 and, pending successful clinical results, intends to seek regulatory approval in multiple geographies thereafter. </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 xml:space="preserve">YOSEMITE was initially designed to enroll 60 participants with HoFH; however, strong global patient and physician interest led to an increase in target enrollment to 70 patients. </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Presented interim results at the European Association for the Study of the Liver Congress (EASL 2026) from a Phase 1/2a clinical trial of ARO-INHBE, the company’s investigational RNA interference (RNAi) therapeutic being developed as a potential treatment for obesity and metabolic dysfunction-associated steatohepatitis (MASH).</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The interim data demonstrate that ARO-INHBE treatment led to clinically meaningful reductions in liver fat as a monotherapy and in combination with low-dose tirzepatide, a GLP-1/GIP receptor co-agonist, in adults with obesity.</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 xml:space="preserve">Reported new positive plozasiran clinical data in two oral presentations at the 94th European Atherosclerosis Society (EAS) Congress. The data support plozasiran use in patients with moderate-to-severe renal impairment or moderate hepatic impairment without the need for dose adjustment and suggests that preconception exposure to plozasiran may be associated with sustained lowering of fasting triglyceride levels through the term of a pregnancy.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Key Corporate Events</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Acquired a U.S. Food and Drug Administration (FDA) priority review voucher, which the company intends to use with its upcoming plozasiran sNDA submission, anticipated before the end of 2026, to potentially expand the approved indication to include patients with severe hypertriglyceridemia (sHTG).</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A Priority Review designation accelerates FDA’s goal to take action on an application within 6 months, compared to 10 months under standard review.</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Announced an exclusive worldwide license agreement with Madrigal Pharmaceuticals for ARO-PNPLA3, Arrowhead’s clinical stage RNAi therapeutic designed to reduce liver expression of patatin-like phospholipase domain containing 3 (PNPLA3) as a potential treatment for patients with metabolic dysfunction-associated steatohepatitis (MASH).</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Under the terms of the agreement, Madrigal has made a $25 million upfront payment to Arrowhead. Arrowhead is also eligible to receive development, regulatory, and sales milestone payments of up to $975 million. Arrowhead is further eligible to receive tiered royalties on commercial sales ranging from high-single digits to mid-teens.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 a Phase 1 single-ascending dose clinical study, ARO-PNPLA3 achieved encouraging results, including a dose-dependent mean reduction in liver fat of up to 40% in patients homozygous for the I148M mutation, demonstrated no apparent treatment emergent increases in triglycerides or LDL-cholesterol, and had a positive safety and tolerability profile at all doses studied.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0" w:before="0" w:after="0"/>
        <w:jc w:val="both"/>
        <w:rPr>
          <w:rFonts w:ascii="Times New Roman;serif" w:hAnsi="Times New Roman;serif"/>
          <w:b/>
          <w:color w:val="000000"/>
          <w:sz w:val="20"/>
        </w:rPr>
      </w:pPr>
      <w:r>
        <w:rPr>
          <w:rFonts w:ascii="Times New Roman;serif" w:hAnsi="Times New Roman;serif"/>
          <w:b/>
          <w:color w:val="000000"/>
          <w:sz w:val="20"/>
        </w:rPr>
        <w:t>Webcast and Conference Call and Details</w:t>
      </w:r>
    </w:p>
    <w:p>
      <w:pPr>
        <w:pStyle w:val="TextBody"/>
        <w:bidi w:val="0"/>
        <w:spacing w:lineRule="auto" w:line="360"/>
        <w:jc w:val="both"/>
        <w:rPr/>
      </w:pPr>
      <w:r>
        <w:rPr>
          <w:rFonts w:ascii="Times New Roman;serif" w:hAnsi="Times New Roman;serif"/>
          <w:b w:val="false"/>
          <w:color w:val="000000"/>
          <w:sz w:val="20"/>
        </w:rPr>
        <w:t xml:space="preserve">Investors may access a live audio webcast on the </w:t>
      </w:r>
      <w:r>
        <w:rPr>
          <w:rFonts w:ascii="Times New Roman;serif" w:hAnsi="Times New Roman;serif"/>
          <w:b w:val="false"/>
          <w:color w:val="000000"/>
          <w:sz w:val="20"/>
          <w:u w:val="single"/>
        </w:rPr>
        <w:t>Events and Presentations</w:t>
      </w:r>
      <w:r>
        <w:rPr>
          <w:color w:val="000000"/>
        </w:rPr>
        <w:t xml:space="preserve"> </w:t>
      </w:r>
      <w:r>
        <w:rPr>
          <w:rFonts w:ascii="Times New Roman;serif" w:hAnsi="Times New Roman;serif"/>
          <w:b w:val="false"/>
          <w:color w:val="000000"/>
          <w:sz w:val="20"/>
        </w:rPr>
        <w:t>page under the Investors section of the Arrowhead website. A replay of the webcast will be available approximately two hours after the conclusion of the call.</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rPr>
        <w:t xml:space="preserve">For analysts that wish to participate in the conference call, please register at </w:t>
      </w:r>
      <w:r>
        <w:rPr>
          <w:rFonts w:ascii="Times New Roman;serif" w:hAnsi="Times New Roman;serif"/>
          <w:b w:val="false"/>
          <w:color w:val="000000"/>
          <w:sz w:val="20"/>
          <w:u w:val="single"/>
        </w:rPr>
        <w:t>https://register-conf.media-server.com/register/BIe3d7a8269de14d348890ebe006a5b6a1</w:t>
      </w:r>
      <w:r>
        <w:rPr>
          <w:rFonts w:ascii="Times New Roman;serif" w:hAnsi="Times New Roman;serif"/>
          <w:b w:val="false"/>
          <w:color w:val="000000"/>
          <w:sz w:val="20"/>
        </w:rPr>
        <w:t>. Once registered, you will receive the dial-in number and a personalized PIN code that will be required to access the call.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Selected Fiscal 2026 Third Quarter Financial Results</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ARROWHEAD PHARMACEUTICALS, INC.</w:t>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CONSOLIDATED CONDENSED FINANCIAL INFORMATION</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before="0" w:after="0"/>
        <w:jc w:val="left"/>
        <w:rPr/>
      </w:pPr>
      <w:r>
        <w:rPr/>
      </w:r>
    </w:p>
    <w:tbl>
      <w:tblPr>
        <w:tblW w:w="8915" w:type="dxa"/>
        <w:jc w:val="center"/>
        <w:tblInd w:w="0" w:type="dxa"/>
        <w:tblLayout w:type="fixed"/>
        <w:tblCellMar>
          <w:top w:w="28" w:type="dxa"/>
          <w:left w:w="28" w:type="dxa"/>
          <w:bottom w:w="28" w:type="dxa"/>
          <w:right w:w="28" w:type="dxa"/>
        </w:tblCellMar>
      </w:tblPr>
      <w:tblGrid>
        <w:gridCol w:w="2166"/>
        <w:gridCol w:w="1903"/>
        <w:gridCol w:w="1915"/>
        <w:gridCol w:w="196"/>
        <w:gridCol w:w="811"/>
        <w:gridCol w:w="109"/>
        <w:gridCol w:w="109"/>
        <w:gridCol w:w="109"/>
        <w:gridCol w:w="109"/>
        <w:gridCol w:w="196"/>
        <w:gridCol w:w="811"/>
        <w:gridCol w:w="109"/>
        <w:gridCol w:w="109"/>
        <w:gridCol w:w="109"/>
        <w:gridCol w:w="154"/>
      </w:tblGrid>
      <w:tr>
        <w:trPr/>
        <w:tc>
          <w:tcPr>
            <w:tcW w:w="2166"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u w:val="single"/>
              </w:rPr>
            </w:pPr>
            <w:r>
              <w:rPr>
                <w:rFonts w:ascii="Times New Roman;serif" w:hAnsi="Times New Roman;serif"/>
                <w:b/>
                <w:color w:val="000000"/>
                <w:sz w:val="18"/>
                <w:u w:val="single"/>
              </w:rPr>
              <w:t>OPERATING SUMMARY</w:t>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72" w:type="dxa"/>
            <w:gridSpan w:val="3"/>
            <w:tcBorders/>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75,253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27,767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245,346 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193,317 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(165,550)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Loss before income tax expense and noncontrolling interest</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(178,905)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(179,089)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loss including noncontrolling interest</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(178,916)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(178,652)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noncontrolling interest, net of tax</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loss attributable to Arrowhead Pharmaceuticals, Inc.</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(194,280)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(175,241)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loss per share attributable to Arrowhead Pharmaceuticals, Inc. -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Weighted-average shares used in calculating - Diluted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729"/>
        <w:gridCol w:w="2358"/>
        <w:gridCol w:w="2363"/>
        <w:gridCol w:w="196"/>
        <w:gridCol w:w="886"/>
        <w:gridCol w:w="109"/>
        <w:gridCol w:w="109"/>
        <w:gridCol w:w="109"/>
        <w:gridCol w:w="109"/>
        <w:gridCol w:w="196"/>
        <w:gridCol w:w="886"/>
        <w:gridCol w:w="155"/>
      </w:tblGrid>
      <w:tr>
        <w:trPr/>
        <w:tc>
          <w:tcPr>
            <w:tcW w:w="2729"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FINANCIAL POSITION SUMMARY</w:t>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 securities, at fair value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1,547,201 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692,818 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cash resources (Cash, cash equivalents and restricted cash and Available-for-sale securities, at fair value)</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1,566,886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781,524</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and long-term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603,771 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2,112,013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1,385,295</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related to the sale of future royalties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367,397 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Credit Facility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254,883 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682,707 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257,200 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1,645,972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881,879</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Arrowhead Pharmaceuticals, Inc. Stockholders' Equity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465,529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466,052</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Noncontrolling Interest and Stockholders' Equity</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466,041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503,416</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Liabilities, Noncontrolling Interest and Stockholders' Equity</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2,112,013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1,385,295</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Shares Outstanding</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135,702 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80" w:after="180"/>
        <w:jc w:val="left"/>
        <w:rPr/>
      </w:pPr>
      <w:r>
        <w:rPr>
          <w:rFonts w:ascii="Times New Roman;serif" w:hAnsi="Times New Roman;serif"/>
          <w:b/>
          <w:color w:val="000000"/>
          <w:sz w:val="20"/>
          <w:shd w:fill="FFFFFF" w:val="clear"/>
        </w:rPr>
        <w:t>About REDEMPLO</w:t>
      </w:r>
      <w:r>
        <w:rPr>
          <w:rFonts w:ascii="Arial;sans-serif" w:hAnsi="Arial;sans-serif"/>
          <w:b/>
          <w:color w:val="000000"/>
          <w:sz w:val="14"/>
        </w:rPr>
        <w:t>®</w:t>
      </w:r>
      <w:r>
        <w:rPr>
          <w:color w:val="000000"/>
          <w:shd w:fill="FFFFFF" w:val="clear"/>
        </w:rPr>
        <w:t xml:space="preserve"> </w:t>
      </w:r>
      <w:r>
        <w:rPr>
          <w:rFonts w:ascii="Times New Roman;serif" w:hAnsi="Times New Roman;serif"/>
          <w:b/>
          <w:color w:val="000000"/>
          <w:sz w:val="20"/>
          <w:shd w:fill="FFFFFF" w:val="clear"/>
        </w:rPr>
        <w:t>(plozasiran)</w:t>
      </w:r>
    </w:p>
    <w:p>
      <w:pPr>
        <w:pStyle w:val="TextBody"/>
        <w:bidi w:val="0"/>
        <w:spacing w:lineRule="auto" w:line="360" w:before="180" w:after="180"/>
        <w:jc w:val="both"/>
        <w:rPr>
          <w:rFonts w:ascii="Times New Roman;serif" w:hAnsi="Times New Roman;serif"/>
          <w:b w:val="false"/>
          <w:color w:val="000000"/>
          <w:sz w:val="20"/>
        </w:rPr>
      </w:pPr>
      <w:r>
        <w:rPr>
          <w:rFonts w:ascii="Times New Roman;serif" w:hAnsi="Times New Roman;serif"/>
          <w:b w:val="false"/>
          <w:color w:val="000000"/>
          <w:sz w:val="20"/>
        </w:rPr>
        <w:t>REDEMPLO (plozasiran) is currently approved by the U.S. Food and Drug Administration, Health Canada, China’s National Medical Products Administration, the Australian Therapeutic Goods Administration, and by the European Commission as an adjunct to diet to reduce triglycerides for adults with FCS. REDEMPLO is the first and only siRNA treatment approved in these countries to be studied in both clinically diagnosed and genetically confirmed patients living with FCS.</w:t>
      </w:r>
    </w:p>
    <w:p>
      <w:pPr>
        <w:pStyle w:val="TextBody"/>
        <w:bidi w:val="0"/>
        <w:spacing w:lineRule="auto" w:line="360" w:before="180" w:after="180"/>
        <w:jc w:val="both"/>
        <w:rPr>
          <w:rFonts w:ascii="Times New Roman;serif" w:hAnsi="Times New Roman;serif"/>
          <w:b w:val="false"/>
          <w:color w:val="000000"/>
          <w:sz w:val="20"/>
        </w:rPr>
      </w:pPr>
      <w:r>
        <w:rPr>
          <w:rFonts w:ascii="Times New Roman;serif" w:hAnsi="Times New Roman;serif"/>
          <w:b w:val="false"/>
          <w:color w:val="000000"/>
          <w:sz w:val="20"/>
        </w:rPr>
        <w:t>REDEMPLO is designed to suppress the production of apolipoprotein C-III (APOC3), a protein produced in the liver that raises triglyceride levels by slowing their breakdown and clearance. By targeting APOC3 with sustained silencing, REDEMPLO delivers significant reductions in triglyceride levels. REDEMPLO is self-administered via subcutaneous injection once every three months.</w:t>
      </w:r>
    </w:p>
    <w:p>
      <w:pPr>
        <w:pStyle w:val="TextBody"/>
        <w:bidi w:val="0"/>
        <w:spacing w:lineRule="auto" w:line="360" w:before="180" w:after="180"/>
        <w:jc w:val="both"/>
        <w:rPr>
          <w:rFonts w:ascii="Times New Roman;serif" w:hAnsi="Times New Roman;serif"/>
          <w:b w:val="false"/>
          <w:color w:val="000000"/>
          <w:sz w:val="20"/>
        </w:rPr>
      </w:pPr>
      <w:r>
        <w:rPr>
          <w:rFonts w:ascii="Times New Roman;serif" w:hAnsi="Times New Roman;serif"/>
          <w:b w:val="false"/>
          <w:color w:val="000000"/>
          <w:sz w:val="20"/>
        </w:rPr>
        <w:t>REDEMPLO has been granted Orphan Medicinal Product Designation by the EMA for the treatment of patients with FCS, and Breakthrough Therapy Designation, Fast Track Designation, and Orphan Drug Designation by the U.S. FDA for the treatment of patients with FCS and was also granted Breakthrough Therapy designation by the U.S. FDA in severe hypertriglyceridemia.</w:t>
      </w:r>
    </w:p>
    <w:p>
      <w:pPr>
        <w:pStyle w:val="TextBody"/>
        <w:bidi w:val="0"/>
        <w:spacing w:lineRule="auto" w:line="360" w:before="180" w:after="180"/>
        <w:jc w:val="both"/>
        <w:rPr>
          <w:rFonts w:ascii="Times New Roman;serif" w:hAnsi="Times New Roman;serif"/>
          <w:b w:val="false"/>
          <w:color w:val="000000"/>
          <w:sz w:val="20"/>
        </w:rPr>
      </w:pPr>
      <w:r>
        <w:rPr>
          <w:rFonts w:ascii="Times New Roman;serif" w:hAnsi="Times New Roman;serif"/>
          <w:b w:val="false"/>
          <w:color w:val="000000"/>
          <w:sz w:val="20"/>
        </w:rPr>
        <w:t>Sanofi acquired the rights to develop and commercialize REDEMPLO in Greater China, with Arrowhead retaining rights to REDEMPLO in all geographies, outside of Greater China.</w:t>
      </w:r>
    </w:p>
    <w:p>
      <w:pPr>
        <w:pStyle w:val="TextBody"/>
        <w:bidi w:val="0"/>
        <w:spacing w:lineRule="auto" w:line="360" w:before="180" w:after="180"/>
        <w:jc w:val="both"/>
        <w:rPr/>
      </w:pPr>
      <w:r>
        <w:rPr>
          <w:rFonts w:ascii="Times New Roman;serif" w:hAnsi="Times New Roman;serif"/>
          <w:b w:val="false"/>
          <w:color w:val="000000"/>
          <w:sz w:val="20"/>
        </w:rPr>
        <w:t xml:space="preserve">For more information about REDEMPLO, visit </w:t>
      </w:r>
      <w:r>
        <w:rPr>
          <w:rFonts w:ascii="Times New Roman;serif" w:hAnsi="Times New Roman;serif"/>
          <w:b w:val="false"/>
          <w:color w:val="000000"/>
          <w:sz w:val="20"/>
          <w:u w:val="single"/>
        </w:rPr>
        <w:t>Our Medicines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About Arrowhead Pharmaceuticals</w:t>
      </w:r>
    </w:p>
    <w:p>
      <w:pPr>
        <w:pStyle w:val="TextBody"/>
        <w:bidi w:val="0"/>
        <w:spacing w:lineRule="auto" w:line="360" w:before="180" w:after="180"/>
        <w:jc w:val="both"/>
        <w:rPr>
          <w:rFonts w:ascii="Times New Roman;serif" w:hAnsi="Times New Roman;serif"/>
          <w:b w:val="false"/>
          <w:color w:val="000000"/>
          <w:sz w:val="20"/>
        </w:rPr>
      </w:pPr>
      <w:r>
        <w:rPr>
          <w:rFonts w:ascii="Times New Roman;serif" w:hAnsi="Times New Roman;serif"/>
          <w:b w:val="false"/>
          <w:color w:val="000000"/>
          <w:sz w:val="20"/>
        </w:rPr>
        <w:t>Arrowhead Pharmaceuticals (NASDAQ: ARWR) is a commercial-stage pharmaceutical company developing medicines that treat intractable diseases by silencing the genes that cause them, harnessing the natural RNA interference (RNAi) mechanism. The company has built a broad portfolio of clinical and commercial RNAi therapeutics through its industry-leading targeted RNAi molecule (TRiM™) platform, which can precisely silence genes in a wide range of cell types, including liver, lung, muscle, adipose, and central nervous system tissue. At Arrowhead, we rapidly advance potential best- and first-in-class RNAi treatments for diseases with significant unmet medical need, because every day matters to the patients we serve.</w:t>
      </w:r>
    </w:p>
    <w:p>
      <w:pPr>
        <w:pStyle w:val="TextBody"/>
        <w:bidi w:val="0"/>
        <w:spacing w:lineRule="auto" w:line="360" w:before="180" w:after="180"/>
        <w:jc w:val="both"/>
        <w:rPr/>
      </w:pPr>
      <w:r>
        <w:rPr>
          <w:rFonts w:ascii="Times New Roman;serif" w:hAnsi="Times New Roman;serif"/>
          <w:b w:val="false"/>
          <w:color w:val="000000"/>
          <w:sz w:val="20"/>
        </w:rPr>
        <w:t xml:space="preserve">For more information, please visit </w:t>
      </w:r>
      <w:r>
        <w:rPr>
          <w:rFonts w:ascii="Times New Roman;serif" w:hAnsi="Times New Roman;serif"/>
          <w:b w:val="false"/>
          <w:color w:val="000000"/>
          <w:sz w:val="20"/>
          <w:u w:val="single"/>
        </w:rPr>
        <w:t>www.arrowheadpharma.com</w:t>
      </w:r>
      <w:r>
        <w:rPr>
          <w:rFonts w:ascii="Times New Roman;serif" w:hAnsi="Times New Roman;serif"/>
          <w:b w:val="false"/>
          <w:color w:val="000000"/>
          <w:sz w:val="20"/>
        </w:rPr>
        <w:t xml:space="preserve">, or follow us on X (formerly Twitter) at </w:t>
      </w:r>
      <w:r>
        <w:rPr>
          <w:rFonts w:ascii="Times New Roman;serif" w:hAnsi="Times New Roman;serif"/>
          <w:b w:val="false"/>
          <w:color w:val="000000"/>
          <w:sz w:val="20"/>
          <w:u w:val="single"/>
        </w:rPr>
        <w:t>@ArrowheadPharma</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LinkedIn</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Facebook</w:t>
      </w:r>
      <w:r>
        <w:rPr>
          <w:rFonts w:ascii="Times New Roman;serif" w:hAnsi="Times New Roman;serif"/>
          <w:b w:val="false"/>
          <w:color w:val="000000"/>
          <w:sz w:val="20"/>
        </w:rPr>
        <w:t xml:space="preserve">, and </w:t>
      </w:r>
      <w:r>
        <w:rPr>
          <w:rFonts w:ascii="Times New Roman;serif" w:hAnsi="Times New Roman;serif"/>
          <w:b w:val="false"/>
          <w:color w:val="000000"/>
          <w:sz w:val="20"/>
          <w:u w:val="single"/>
        </w:rPr>
        <w:t>Instagram</w:t>
      </w:r>
      <w:r>
        <w:rPr>
          <w:rFonts w:ascii="Times New Roman;serif" w:hAnsi="Times New Roman;serif"/>
          <w:b w:val="false"/>
          <w:color w:val="000000"/>
          <w:sz w:val="20"/>
        </w:rPr>
        <w:t xml:space="preserve">. To be added to the Company's email list and receive news directly, please visit </w:t>
      </w:r>
      <w:r>
        <w:rPr>
          <w:rFonts w:ascii="Times New Roman;serif" w:hAnsi="Times New Roman;serif"/>
          <w:b w:val="false"/>
          <w:color w:val="000000"/>
          <w:sz w:val="20"/>
          <w:u w:val="single"/>
        </w:rPr>
        <w:t>http://ir.arrowheadpharma.com/email-alerts</w:t>
      </w:r>
      <w:r>
        <w:rPr>
          <w:rFonts w:ascii="Times New Roman;serif" w:hAnsi="Times New Roman;serif"/>
          <w:b w:val="false"/>
          <w:color w:val="000000"/>
          <w:sz w:val="20"/>
        </w:rPr>
        <w:t>.</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Safe Harbor Statement under the Private Securities Litigation Reform Act:</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i/>
          <w:color w:val="000000"/>
          <w:sz w:val="20"/>
        </w:rPr>
      </w:pPr>
      <w:r>
        <w:rPr>
          <w:rFonts w:ascii="Times New Roman;serif" w:hAnsi="Times New Roman;serif"/>
          <w:b w:val="false"/>
          <w:i/>
          <w:color w:val="000000"/>
          <w:sz w:val="20"/>
        </w:rPr>
        <w:t xml:space="preserve">This news release contains forward-looking statements within the meaning of the "safe harbor" provisions of the Private Securities Litigation Reform Act of 1995. Any statements contained in this release except for historical information may be deemed to be forward-looking statements. Without limiting the generality of the foregoing, words such as “may,” “will,” “expect,” “believe,” “anticipate,” “hope,” “intend,” “plan,” “project,” “could,” “estimate,” “target,” “forecast” or “continue” or the negative of these words or other variations thereof or comparable terminology are intended to identify such forward-looking statements. In addition, any statements that refer to projections of our future financial performance, trends in our business, expectations for our product pipeline, products or product candidate or other characterizations of future events or circumstances are forward-looking statements. These forward-looking statements include, but are not limited to, statements about our beliefs and expectations regarding the long-term impacts of REDEMPLO® (plozasiran) on patient health and the health care system; our beliefs and expectations regarding the pricing, value, or expected timing of regulatory approval and the availability of our drugs and drug candidates, including but not limited to plozasiran; and our beliefs and expectations around the potential uses and value of the TRiM™ platform. These statements are based upon our current expectations and speak only as of the date hereof. Actual results or outcomes may differ materially and adversely from those expressed in any forward-looking statements as a result of numerous factors and uncertainties including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safety and efficacy of our products and product candidates, pricing and reimbursement decisions related to our products, demand for our products, decisions of regulatory authorities and the timing thereof, the duration and impact of regulatory delays in our clinical programs, our ability to finance our operations, the likelihood and timing of the receipt of future milestone and licensing fees, the future success of our scientific studies, the timing for starting and completing clinical trials, rapid technological change in our markets, the enforcement of our intellectual property rights, and the other risks and uncertainties described in our most recent Annual Report on Form 10-K, subsequent Quarterly Reports on Form 10-Q and other documents filed with the Securities and Exchange Commission from time to time. We assume no obligation to update or revise forward-looking statements to reflect new events or circumstances.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Arrowhead Pharmaceuticals, Inc.</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Vince Anzalone, CFA</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626-304-3400</w:t>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ir@arrowheadpharma.com</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Investors: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LifeSci Advisors, LLC</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Brian Ritchie</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212-915-2578</w:t>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britchie@lifesciadvisors.com</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Media:</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LifeSci Communications, LLC</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Kendy Guarinoni, Ph.D.</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724-910-9389</w:t>
      </w:r>
    </w:p>
    <w:p>
      <w:pPr>
        <w:pStyle w:val="TextBody"/>
        <w:bidi w:val="0"/>
        <w:spacing w:lineRule="auto" w:line="276" w:before="0" w:after="0"/>
        <w:jc w:val="left"/>
        <w:rPr/>
      </w:pPr>
      <w:r>
        <w:rPr>
          <w:rFonts w:ascii="Times New Roman;serif" w:hAnsi="Times New Roman;serif"/>
          <w:b w:val="false"/>
          <w:color w:val="000000"/>
          <w:sz w:val="20"/>
          <w:u w:val="single"/>
        </w:rPr>
        <w:t>kg</w:t>
      </w:r>
      <w:r>
        <w:rPr>
          <w:rFonts w:ascii="Times New Roman;serif" w:hAnsi="Times New Roman;serif"/>
          <w:b w:val="false"/>
          <w:color w:val="000000"/>
          <w:sz w:val="20"/>
          <w:u w:val="single"/>
          <w:shd w:fill="FFFFFF" w:val="clear"/>
        </w:rPr>
        <w:t>uarinoni@lifescicomms.com</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 xml:space="preserve">Source: </w:t>
      </w:r>
      <w:r>
        <w:rPr>
          <w:rFonts w:ascii="Times New Roman;serif" w:hAnsi="Times New Roman;serif"/>
          <w:b w:val="false"/>
          <w:color w:val="000000"/>
          <w:sz w:val="20"/>
        </w:rPr>
        <w:t>Arrowhead Pharmaceuticals, Inc.</w:t>
      </w:r>
    </w:p>
    <w:p>
      <w:pPr>
        <w:pStyle w:val="TextBody"/>
        <w:bidi w:val="0"/>
        <w:spacing w:lineRule="auto" w:line="276"/>
        <w:jc w:val="center"/>
        <w:rPr>
          <w:rFonts w:ascii="Arial;sans-serif" w:hAnsi="Arial;sans-serif"/>
          <w:b w:val="false"/>
          <w:color w:val="000000"/>
          <w:sz w:val="22"/>
        </w:rPr>
      </w:pPr>
      <w:r>
        <w:rPr>
          <w:rFonts w:ascii="Arial;sans-serif" w:hAnsi="Arial;sans-serif"/>
          <w:b w:val="false"/>
          <w:color w:val="000000"/>
          <w:sz w:val="22"/>
        </w:rPr>
        <w:t># # #</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2577</Words>
  <Characters>15596</Characters>
  <CharactersWithSpaces>17998</CharactersWithSpaces>
  <Paragraphs>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