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UNDER SECTION 13 OR 15(d) OF THE SECURITIES EXCHANGE ACT OF 1934</w:t>
      </w:r>
    </w:p>
    <w:p>
      <w:pPr>
        <w:spacing w:after="0" w:line="107" w:lineRule="exact"/>
        <w:rPr>
          <w:rFonts w:ascii="MS PGothic" w:cs="MS PGothic" w:eastAsia="MS PGothic" w:hAnsi="MS PGothic"/>
          <w:sz w:val="18"/>
          <w:szCs w:val="18"/>
          <w:color w:val="auto"/>
        </w:rPr>
      </w:pPr>
    </w:p>
    <w:p>
      <w:pPr>
        <w:ind w:left="40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-297180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0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-101600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04" w:lineRule="exact"/>
        <w:rPr>
          <w:sz w:val="24"/>
          <w:szCs w:val="24"/>
          <w:color w:val="auto"/>
        </w:rPr>
      </w:pPr>
    </w:p>
    <w:p>
      <w:pPr>
        <w:ind w:left="402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ARROWHEAD PHARMACEUTICALS,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tbl>
      <w:tblPr>
        <w:tblLayout w:type="fixed"/>
        <w:tblInd w:w="2180" w:type="dxa"/>
        <w:tblCellMar>
          <w:top w:w="0" w:type="dxa"/>
          <w:left w:w="0" w:type="dxa"/>
          <w:bottom w:w="0" w:type="dxa"/>
          <w:right w:w="0" w:type="dxa"/>
        </w:tblCellMar>
      </w:tblPr>
      <w:tr>
        <w:trPr>
          <w:trHeight w:val="198"/>
        </w:trPr>
        <w:tc>
          <w:tcPr>
            <w:tcW w:w="1520" w:type="dxa"/>
            <w:vAlign w:val="bottom"/>
          </w:tcPr>
          <w:p>
            <w:pPr>
              <w:jc w:val="center"/>
              <w:ind w:right="16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740" w:type="dxa"/>
            <w:vAlign w:val="bottom"/>
            <w:gridSpan w:val="3"/>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46-0408024</w:t>
            </w:r>
          </w:p>
        </w:tc>
      </w:tr>
      <w:tr>
        <w:trPr>
          <w:trHeight w:val="166"/>
        </w:trPr>
        <w:tc>
          <w:tcPr>
            <w:tcW w:w="1520" w:type="dxa"/>
            <w:vAlign w:val="bottom"/>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w w:val="97"/>
              </w:rPr>
              <w:t>(State of incorporation)</w:t>
            </w: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00" w:type="dxa"/>
            <w:vAlign w:val="bottom"/>
          </w:tcPr>
          <w:p>
            <w:pPr>
              <w:jc w:val="center"/>
              <w:ind w:left="717"/>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243"/>
        </w:trPr>
        <w:tc>
          <w:tcPr>
            <w:tcW w:w="1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940" w:type="dxa"/>
            <w:vAlign w:val="bottom"/>
            <w:gridSpan w:val="2"/>
          </w:tcPr>
          <w:p>
            <w:pPr>
              <w:jc w:val="center"/>
              <w:ind w:right="2637"/>
              <w:spacing w:after="0"/>
              <w:rPr>
                <w:sz w:val="20"/>
                <w:szCs w:val="20"/>
                <w:color w:val="auto"/>
              </w:rPr>
            </w:pPr>
            <w:r>
              <w:rPr>
                <w:rFonts w:ascii="Times New Roman" w:cs="Times New Roman" w:eastAsia="Times New Roman" w:hAnsi="Times New Roman"/>
                <w:sz w:val="16"/>
                <w:szCs w:val="16"/>
                <w:b w:val="1"/>
                <w:bCs w:val="1"/>
                <w:color w:val="auto"/>
              </w:rPr>
              <w:t>177 E. Colorado Blvd, Suite 700</w:t>
            </w:r>
          </w:p>
        </w:tc>
      </w:tr>
      <w:tr>
        <w:trPr>
          <w:trHeight w:val="203"/>
        </w:trPr>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940" w:type="dxa"/>
            <w:vAlign w:val="bottom"/>
            <w:gridSpan w:val="2"/>
          </w:tcPr>
          <w:p>
            <w:pPr>
              <w:jc w:val="center"/>
              <w:ind w:right="2637"/>
              <w:spacing w:after="0"/>
              <w:rPr>
                <w:sz w:val="20"/>
                <w:szCs w:val="20"/>
                <w:color w:val="auto"/>
              </w:rPr>
            </w:pPr>
            <w:r>
              <w:rPr>
                <w:rFonts w:ascii="Times New Roman" w:cs="Times New Roman" w:eastAsia="Times New Roman" w:hAnsi="Times New Roman"/>
                <w:sz w:val="16"/>
                <w:szCs w:val="16"/>
                <w:b w:val="1"/>
                <w:bCs w:val="1"/>
                <w:color w:val="auto"/>
              </w:rPr>
              <w:t>Pasadena, California 91105</w:t>
            </w:r>
          </w:p>
        </w:tc>
      </w:tr>
      <w:tr>
        <w:trPr>
          <w:trHeight w:val="198"/>
        </w:trPr>
        <w:tc>
          <w:tcPr>
            <w:tcW w:w="1520" w:type="dxa"/>
            <w:vAlign w:val="bottom"/>
          </w:tcPr>
          <w:p>
            <w:pPr>
              <w:spacing w:after="0"/>
              <w:rPr>
                <w:sz w:val="17"/>
                <w:szCs w:val="17"/>
                <w:color w:val="auto"/>
              </w:rPr>
            </w:pPr>
          </w:p>
        </w:tc>
        <w:tc>
          <w:tcPr>
            <w:tcW w:w="3040" w:type="dxa"/>
            <w:vAlign w:val="bottom"/>
            <w:gridSpan w:val="2"/>
          </w:tcPr>
          <w:p>
            <w:pPr>
              <w:jc w:val="center"/>
              <w:ind w:left="745"/>
              <w:spacing w:after="0"/>
              <w:rPr>
                <w:sz w:val="20"/>
                <w:szCs w:val="20"/>
                <w:color w:val="auto"/>
              </w:rPr>
            </w:pPr>
            <w:r>
              <w:rPr>
                <w:rFonts w:ascii="Times New Roman" w:cs="Times New Roman" w:eastAsia="Times New Roman" w:hAnsi="Times New Roman"/>
                <w:sz w:val="16"/>
                <w:szCs w:val="16"/>
                <w:b w:val="1"/>
                <w:bCs w:val="1"/>
                <w:color w:val="auto"/>
              </w:rPr>
              <w:t>(626) 304-3400</w:t>
            </w:r>
          </w:p>
        </w:tc>
        <w:tc>
          <w:tcPr>
            <w:tcW w:w="2700" w:type="dxa"/>
            <w:vAlign w:val="bottom"/>
          </w:tcPr>
          <w:p>
            <w:pPr>
              <w:spacing w:after="0"/>
              <w:rPr>
                <w:sz w:val="17"/>
                <w:szCs w:val="17"/>
                <w:color w:val="auto"/>
              </w:rPr>
            </w:pPr>
          </w:p>
        </w:tc>
      </w:tr>
      <w:tr>
        <w:trPr>
          <w:trHeight w:val="166"/>
        </w:trPr>
        <w:tc>
          <w:tcPr>
            <w:tcW w:w="1520" w:type="dxa"/>
            <w:vAlign w:val="bottom"/>
          </w:tcPr>
          <w:p>
            <w:pPr>
              <w:spacing w:after="0"/>
              <w:rPr>
                <w:sz w:val="14"/>
                <w:szCs w:val="14"/>
                <w:color w:val="auto"/>
              </w:rPr>
            </w:pPr>
          </w:p>
        </w:tc>
        <w:tc>
          <w:tcPr>
            <w:tcW w:w="5740" w:type="dxa"/>
            <w:vAlign w:val="bottom"/>
            <w:gridSpan w:val="3"/>
          </w:tcPr>
          <w:p>
            <w:pPr>
              <w:jc w:val="center"/>
              <w:ind w:right="1837"/>
              <w:spacing w:after="0"/>
              <w:rPr>
                <w:sz w:val="20"/>
                <w:szCs w:val="20"/>
                <w:color w:val="auto"/>
              </w:rPr>
            </w:pPr>
            <w:r>
              <w:rPr>
                <w:rFonts w:ascii="Times New Roman" w:cs="Times New Roman" w:eastAsia="Times New Roman" w:hAnsi="Times New Roman"/>
                <w:sz w:val="13"/>
                <w:szCs w:val="13"/>
                <w:b w:val="1"/>
                <w:bCs w:val="1"/>
                <w:color w:val="auto"/>
                <w:w w:val="96"/>
              </w:rPr>
              <w:t>(Address and telephone number of principal executive offices)</w:t>
            </w:r>
          </w:p>
        </w:tc>
      </w:tr>
      <w:tr>
        <w:trPr>
          <w:trHeight w:val="83"/>
        </w:trPr>
        <w:tc>
          <w:tcPr>
            <w:tcW w:w="1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r>
    </w:tbl>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under Section 12(b) of the Exchange Act:</w:t>
      </w:r>
    </w:p>
    <w:p>
      <w:pPr>
        <w:spacing w:after="0" w:line="365"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2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06"/>
        </w:trPr>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ARWR</w:t>
            </w:r>
          </w:p>
        </w:tc>
        <w:tc>
          <w:tcPr>
            <w:tcW w:w="4220" w:type="dxa"/>
            <w:vAlign w:val="bottom"/>
          </w:tcPr>
          <w:p>
            <w:pPr>
              <w:ind w:left="940"/>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bl>
    <w:p>
      <w:pPr>
        <w:spacing w:after="0" w:line="10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Exchange Act: None</w:t>
      </w:r>
    </w:p>
    <w:p>
      <w:pPr>
        <w:spacing w:after="0" w:line="103"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a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ind w:right="180" w:firstLine="5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ind w:right="1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18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284" w:right="339" w:bottom="1440" w:gutter="0" w:footer="0" w:header="0"/>
        </w:sectPr>
      </w:pPr>
    </w:p>
    <w:p>
      <w:pPr>
        <w:spacing w:after="0" w:line="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7"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81" w:lineRule="exact"/>
        <w:rPr>
          <w:sz w:val="24"/>
          <w:szCs w:val="24"/>
          <w:color w:val="auto"/>
        </w:rPr>
      </w:pPr>
    </w:p>
    <w:p>
      <w:pPr>
        <w:sectPr>
          <w:pgSz w:w="11900" w:h="16838" w:orient="portrait"/>
          <w:cols w:equalWidth="0" w:num="5">
            <w:col w:w="2160" w:space="720"/>
            <w:col w:w="1080" w:space="80"/>
            <w:col w:w="320" w:space="720"/>
            <w:col w:w="1980" w:space="720"/>
            <w:col w:w="3460"/>
          </w:cols>
          <w:pgMar w:left="320" w:top="284"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284" w:right="339" w:bottom="1440" w:gutter="0" w:footer="0" w:header="0"/>
          <w:type w:val="continuous"/>
        </w:sectPr>
      </w:pPr>
    </w:p>
    <w:p>
      <w:pPr>
        <w:spacing w:after="0" w:line="101" w:lineRule="exact"/>
        <w:rPr>
          <w:sz w:val="24"/>
          <w:szCs w:val="24"/>
          <w:color w:val="auto"/>
        </w:rPr>
      </w:pPr>
    </w:p>
    <w:p>
      <w:pPr>
        <w:ind w:right="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ind w:right="100" w:firstLine="510"/>
        <w:spacing w:after="0" w:line="275" w:lineRule="auto"/>
        <w:rPr>
          <w:sz w:val="20"/>
          <w:szCs w:val="20"/>
          <w:color w:val="auto"/>
        </w:rPr>
      </w:pPr>
      <w:r>
        <w:rPr>
          <w:rFonts w:ascii="Times New Roman" w:cs="Times New Roman" w:eastAsia="Times New Roman" w:hAnsi="Times New Roman"/>
          <w:sz w:val="16"/>
          <w:szCs w:val="16"/>
          <w:color w:val="auto"/>
        </w:rPr>
        <w:t>The aggregate market value of issuer’s voting and non-voting outstanding Common Stock held by non-affiliates was approximately $2.9 billion based upon the closing stock price of issuer’s Common Stock on March 31, 2020.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7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November 16, 2020, 102,756,771 shares of the issuer’s Common Stock were issued and outstanding.</w:t>
      </w:r>
    </w:p>
    <w:p>
      <w:pPr>
        <w:spacing w:after="0" w:line="5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8" w:lineRule="exact"/>
        <w:rPr>
          <w:sz w:val="24"/>
          <w:szCs w:val="24"/>
          <w:color w:val="auto"/>
        </w:rPr>
      </w:pPr>
    </w:p>
    <w:p>
      <w:pPr>
        <w:ind w:right="240" w:firstLine="562"/>
        <w:spacing w:after="0" w:line="298" w:lineRule="auto"/>
        <w:rPr>
          <w:sz w:val="20"/>
          <w:szCs w:val="20"/>
          <w:color w:val="auto"/>
        </w:rPr>
      </w:pPr>
      <w:r>
        <w:rPr>
          <w:rFonts w:ascii="Times New Roman" w:cs="Times New Roman" w:eastAsia="Times New Roman" w:hAnsi="Times New Roman"/>
          <w:sz w:val="16"/>
          <w:szCs w:val="16"/>
          <w:color w:val="auto"/>
        </w:rPr>
        <w:t>Portions of the Definitive Proxy Statement to be filed for Arrowhead Pharmaceuticals Inc.’s 2021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w:t>
            </w:r>
            <w:r>
              <w:rPr>
                <w:rFonts w:ascii="Times New Roman" w:cs="Times New Roman" w:eastAsia="Times New Roman" w:hAnsi="Times New Roman"/>
                <w:sz w:val="13"/>
                <w:szCs w:val="13"/>
                <w:color w:val="auto"/>
              </w:rPr>
              <w:t>.</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B</w:t>
              </w:r>
              <w:r>
                <w:rPr>
                  <w:rFonts w:ascii="Times New Roman" w:cs="Times New Roman" w:eastAsia="Times New Roman" w:hAnsi="Times New Roman"/>
                  <w:sz w:val="13"/>
                  <w:szCs w:val="13"/>
                  <w:u w:val="single" w:color="auto"/>
                  <w:color w:val="0000EE"/>
                </w:rPr>
                <w:t>USINESS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1A.</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R</w:t>
              </w:r>
              <w:r>
                <w:rPr>
                  <w:rFonts w:ascii="Times New Roman" w:cs="Times New Roman" w:eastAsia="Times New Roman" w:hAnsi="Times New Roman"/>
                  <w:sz w:val="13"/>
                  <w:szCs w:val="13"/>
                  <w:u w:val="single" w:color="auto"/>
                  <w:color w:val="0000EE"/>
                </w:rPr>
                <w:t>ISK</w:t>
              </w:r>
              <w:r>
                <w:rPr>
                  <w:rFonts w:ascii="Times New Roman" w:cs="Times New Roman" w:eastAsia="Times New Roman" w:hAnsi="Times New Roman"/>
                  <w:sz w:val="18"/>
                  <w:szCs w:val="18"/>
                  <w:u w:val="single" w:color="auto"/>
                  <w:color w:val="0000EE"/>
                </w:rPr>
                <w:t xml:space="preserve"> F</w:t>
              </w:r>
              <w:r>
                <w:rPr>
                  <w:rFonts w:ascii="Times New Roman" w:cs="Times New Roman" w:eastAsia="Times New Roman" w:hAnsi="Times New Roman"/>
                  <w:sz w:val="13"/>
                  <w:szCs w:val="13"/>
                  <w:u w:val="single" w:color="auto"/>
                  <w:color w:val="0000EE"/>
                </w:rPr>
                <w:t>ACTORS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1B.</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U</w:t>
              </w:r>
              <w:r>
                <w:rPr>
                  <w:rFonts w:ascii="Times New Roman" w:cs="Times New Roman" w:eastAsia="Times New Roman" w:hAnsi="Times New Roman"/>
                  <w:sz w:val="13"/>
                  <w:szCs w:val="13"/>
                  <w:u w:val="single" w:color="auto"/>
                  <w:color w:val="0000EE"/>
                </w:rPr>
                <w:t>NRESOLVED</w:t>
              </w:r>
              <w:r>
                <w:rPr>
                  <w:rFonts w:ascii="Times New Roman" w:cs="Times New Roman" w:eastAsia="Times New Roman" w:hAnsi="Times New Roman"/>
                  <w:sz w:val="18"/>
                  <w:szCs w:val="18"/>
                  <w:u w:val="single" w:color="auto"/>
                  <w:color w:val="0000EE"/>
                </w:rPr>
                <w:t xml:space="preserve"> S</w:t>
              </w:r>
              <w:r>
                <w:rPr>
                  <w:rFonts w:ascii="Times New Roman" w:cs="Times New Roman" w:eastAsia="Times New Roman" w:hAnsi="Times New Roman"/>
                  <w:sz w:val="13"/>
                  <w:szCs w:val="13"/>
                  <w:u w:val="single" w:color="auto"/>
                  <w:color w:val="0000EE"/>
                </w:rPr>
                <w:t>TAFF</w:t>
              </w:r>
              <w:r>
                <w:rPr>
                  <w:rFonts w:ascii="Times New Roman" w:cs="Times New Roman" w:eastAsia="Times New Roman" w:hAnsi="Times New Roman"/>
                  <w:sz w:val="18"/>
                  <w:szCs w:val="18"/>
                  <w:u w:val="single" w:color="auto"/>
                  <w:color w:val="0000EE"/>
                </w:rPr>
                <w:t xml:space="preserve"> C</w:t>
              </w:r>
              <w:r>
                <w:rPr>
                  <w:rFonts w:ascii="Times New Roman" w:cs="Times New Roman" w:eastAsia="Times New Roman" w:hAnsi="Times New Roman"/>
                  <w:sz w:val="13"/>
                  <w:szCs w:val="13"/>
                  <w:u w:val="single" w:color="auto"/>
                  <w:color w:val="0000EE"/>
                </w:rPr>
                <w:t>OMMENTS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2.</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P</w:t>
              </w:r>
              <w:r>
                <w:rPr>
                  <w:rFonts w:ascii="Times New Roman" w:cs="Times New Roman" w:eastAsia="Times New Roman" w:hAnsi="Times New Roman"/>
                  <w:sz w:val="13"/>
                  <w:szCs w:val="13"/>
                  <w:u w:val="single" w:color="auto"/>
                  <w:color w:val="0000EE"/>
                </w:rPr>
                <w:t>ROPERTIES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3.</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L</w:t>
              </w:r>
              <w:r>
                <w:rPr>
                  <w:rFonts w:ascii="Times New Roman" w:cs="Times New Roman" w:eastAsia="Times New Roman" w:hAnsi="Times New Roman"/>
                  <w:sz w:val="13"/>
                  <w:szCs w:val="13"/>
                  <w:u w:val="single" w:color="auto"/>
                  <w:color w:val="0000EE"/>
                </w:rPr>
                <w:t>EGAL</w:t>
              </w:r>
              <w:r>
                <w:rPr>
                  <w:rFonts w:ascii="Times New Roman" w:cs="Times New Roman" w:eastAsia="Times New Roman" w:hAnsi="Times New Roman"/>
                  <w:sz w:val="18"/>
                  <w:szCs w:val="18"/>
                  <w:u w:val="single" w:color="auto"/>
                  <w:color w:val="0000EE"/>
                </w:rPr>
                <w:t xml:space="preserve"> P</w:t>
              </w:r>
              <w:r>
                <w:rPr>
                  <w:rFonts w:ascii="Times New Roman" w:cs="Times New Roman" w:eastAsia="Times New Roman" w:hAnsi="Times New Roman"/>
                  <w:sz w:val="13"/>
                  <w:szCs w:val="13"/>
                  <w:u w:val="single" w:color="auto"/>
                  <w:color w:val="0000EE"/>
                </w:rPr>
                <w:t>ROCEEDINGS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4.</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M</w:t>
              </w:r>
              <w:r>
                <w:rPr>
                  <w:rFonts w:ascii="Times New Roman" w:cs="Times New Roman" w:eastAsia="Times New Roman" w:hAnsi="Times New Roman"/>
                  <w:sz w:val="13"/>
                  <w:szCs w:val="13"/>
                  <w:u w:val="single" w:color="auto"/>
                  <w:color w:val="0000EE"/>
                </w:rPr>
                <w:t>INE</w:t>
              </w:r>
              <w:r>
                <w:rPr>
                  <w:rFonts w:ascii="Times New Roman" w:cs="Times New Roman" w:eastAsia="Times New Roman" w:hAnsi="Times New Roman"/>
                  <w:sz w:val="18"/>
                  <w:szCs w:val="18"/>
                  <w:u w:val="single" w:color="auto"/>
                  <w:color w:val="0000EE"/>
                </w:rPr>
                <w:t xml:space="preserve"> S</w:t>
              </w:r>
              <w:r>
                <w:rPr>
                  <w:rFonts w:ascii="Times New Roman" w:cs="Times New Roman" w:eastAsia="Times New Roman" w:hAnsi="Times New Roman"/>
                  <w:sz w:val="13"/>
                  <w:szCs w:val="13"/>
                  <w:u w:val="single" w:color="auto"/>
                  <w:color w:val="0000EE"/>
                </w:rPr>
                <w:t>AFETY</w:t>
              </w:r>
              <w:r>
                <w:rPr>
                  <w:rFonts w:ascii="Times New Roman" w:cs="Times New Roman" w:eastAsia="Times New Roman" w:hAnsi="Times New Roman"/>
                  <w:sz w:val="18"/>
                  <w:szCs w:val="18"/>
                  <w:u w:val="single" w:color="auto"/>
                  <w:color w:val="0000EE"/>
                </w:rPr>
                <w:t xml:space="preserve"> D</w:t>
              </w:r>
              <w:r>
                <w:rPr>
                  <w:rFonts w:ascii="Times New Roman" w:cs="Times New Roman" w:eastAsia="Times New Roman" w:hAnsi="Times New Roman"/>
                  <w:sz w:val="13"/>
                  <w:szCs w:val="13"/>
                  <w:u w:val="single" w:color="auto"/>
                  <w:color w:val="0000EE"/>
                </w:rPr>
                <w:t>ISCLOSURES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5.</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M</w:t>
              </w:r>
              <w:r>
                <w:rPr>
                  <w:rFonts w:ascii="Times New Roman" w:cs="Times New Roman" w:eastAsia="Times New Roman" w:hAnsi="Times New Roman"/>
                  <w:sz w:val="13"/>
                  <w:szCs w:val="13"/>
                  <w:u w:val="single" w:color="auto"/>
                  <w:color w:val="0000EE"/>
                </w:rPr>
                <w:t>ARKET FOR THE</w:t>
              </w:r>
              <w:r>
                <w:rPr>
                  <w:rFonts w:ascii="Times New Roman" w:cs="Times New Roman" w:eastAsia="Times New Roman" w:hAnsi="Times New Roman"/>
                  <w:sz w:val="18"/>
                  <w:szCs w:val="18"/>
                  <w:u w:val="single" w:color="auto"/>
                  <w:color w:val="0000EE"/>
                </w:rPr>
                <w:t xml:space="preserve"> R</w:t>
              </w:r>
              <w:r>
                <w:rPr>
                  <w:rFonts w:ascii="Times New Roman" w:cs="Times New Roman" w:eastAsia="Times New Roman" w:hAnsi="Times New Roman"/>
                  <w:sz w:val="13"/>
                  <w:szCs w:val="13"/>
                  <w:u w:val="single" w:color="auto"/>
                  <w:color w:val="0000EE"/>
                </w:rPr>
                <w:t>EGISTRANT</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3"/>
                  <w:szCs w:val="13"/>
                  <w:u w:val="single" w:color="auto"/>
                  <w:color w:val="0000EE"/>
                </w:rPr>
                <w:t>S</w:t>
              </w:r>
              <w:r>
                <w:rPr>
                  <w:rFonts w:ascii="Times New Roman" w:cs="Times New Roman" w:eastAsia="Times New Roman" w:hAnsi="Times New Roman"/>
                  <w:sz w:val="18"/>
                  <w:szCs w:val="18"/>
                  <w:u w:val="single" w:color="auto"/>
                  <w:color w:val="0000EE"/>
                </w:rPr>
                <w:t xml:space="preserve"> C</w:t>
              </w:r>
              <w:r>
                <w:rPr>
                  <w:rFonts w:ascii="Times New Roman" w:cs="Times New Roman" w:eastAsia="Times New Roman" w:hAnsi="Times New Roman"/>
                  <w:sz w:val="13"/>
                  <w:szCs w:val="13"/>
                  <w:u w:val="single" w:color="auto"/>
                  <w:color w:val="0000EE"/>
                </w:rPr>
                <w:t>OMMON</w:t>
              </w:r>
              <w:r>
                <w:rPr>
                  <w:rFonts w:ascii="Times New Roman" w:cs="Times New Roman" w:eastAsia="Times New Roman" w:hAnsi="Times New Roman"/>
                  <w:sz w:val="18"/>
                  <w:szCs w:val="18"/>
                  <w:u w:val="single" w:color="auto"/>
                  <w:color w:val="0000EE"/>
                </w:rPr>
                <w:t xml:space="preserve"> E</w:t>
              </w:r>
              <w:r>
                <w:rPr>
                  <w:rFonts w:ascii="Times New Roman" w:cs="Times New Roman" w:eastAsia="Times New Roman" w:hAnsi="Times New Roman"/>
                  <w:sz w:val="13"/>
                  <w:szCs w:val="13"/>
                  <w:u w:val="single" w:color="auto"/>
                  <w:color w:val="0000EE"/>
                </w:rPr>
                <w:t>QUITY</w:t>
              </w:r>
              <w:r>
                <w:rPr>
                  <w:rFonts w:ascii="Times New Roman" w:cs="Times New Roman" w:eastAsia="Times New Roman" w:hAnsi="Times New Roman"/>
                  <w:sz w:val="18"/>
                  <w:szCs w:val="18"/>
                  <w:u w:val="single" w:color="auto"/>
                  <w:color w:val="0000EE"/>
                </w:rPr>
                <w:t>, R</w:t>
              </w:r>
              <w:r>
                <w:rPr>
                  <w:rFonts w:ascii="Times New Roman" w:cs="Times New Roman" w:eastAsia="Times New Roman" w:hAnsi="Times New Roman"/>
                  <w:sz w:val="13"/>
                  <w:szCs w:val="13"/>
                  <w:u w:val="single" w:color="auto"/>
                  <w:color w:val="0000EE"/>
                </w:rPr>
                <w:t>ELATED</w:t>
              </w:r>
              <w:r>
                <w:rPr>
                  <w:rFonts w:ascii="Times New Roman" w:cs="Times New Roman" w:eastAsia="Times New Roman" w:hAnsi="Times New Roman"/>
                  <w:sz w:val="18"/>
                  <w:szCs w:val="18"/>
                  <w:u w:val="single" w:color="auto"/>
                  <w:color w:val="0000EE"/>
                </w:rPr>
                <w:t xml:space="preserve"> S</w:t>
              </w:r>
              <w:r>
                <w:rPr>
                  <w:rFonts w:ascii="Times New Roman" w:cs="Times New Roman" w:eastAsia="Times New Roman" w:hAnsi="Times New Roman"/>
                  <w:sz w:val="13"/>
                  <w:szCs w:val="13"/>
                  <w:u w:val="single" w:color="auto"/>
                  <w:color w:val="0000EE"/>
                </w:rPr>
                <w:t>TOCKHOLDER</w:t>
              </w:r>
              <w:r>
                <w:rPr>
                  <w:rFonts w:ascii="Times New Roman" w:cs="Times New Roman" w:eastAsia="Times New Roman" w:hAnsi="Times New Roman"/>
                  <w:sz w:val="18"/>
                  <w:szCs w:val="18"/>
                  <w:u w:val="single" w:color="auto"/>
                  <w:color w:val="0000EE"/>
                </w:rPr>
                <w:t xml:space="preserve"> M</w:t>
              </w:r>
              <w:r>
                <w:rPr>
                  <w:rFonts w:ascii="Times New Roman" w:cs="Times New Roman" w:eastAsia="Times New Roman" w:hAnsi="Times New Roman"/>
                  <w:sz w:val="13"/>
                  <w:szCs w:val="13"/>
                  <w:u w:val="single" w:color="auto"/>
                  <w:color w:val="0000EE"/>
                </w:rPr>
                <w:t>ATTERS AND</w:t>
              </w:r>
              <w:r>
                <w:rPr>
                  <w:rFonts w:ascii="Times New Roman" w:cs="Times New Roman" w:eastAsia="Times New Roman" w:hAnsi="Times New Roman"/>
                  <w:sz w:val="18"/>
                  <w:szCs w:val="18"/>
                  <w:u w:val="single" w:color="auto"/>
                  <w:color w:val="0000EE"/>
                </w:rPr>
                <w:t xml:space="preserve"> I</w:t>
              </w:r>
              <w:r>
                <w:rPr>
                  <w:rFonts w:ascii="Times New Roman" w:cs="Times New Roman" w:eastAsia="Times New Roman" w:hAnsi="Times New Roman"/>
                  <w:sz w:val="13"/>
                  <w:szCs w:val="13"/>
                  <w:u w:val="single" w:color="auto"/>
                  <w:color w:val="0000EE"/>
                </w:rPr>
                <w:t>SSUER</w:t>
              </w:r>
              <w:r>
                <w:rPr>
                  <w:rFonts w:ascii="Times New Roman" w:cs="Times New Roman" w:eastAsia="Times New Roman" w:hAnsi="Times New Roman"/>
                  <w:sz w:val="18"/>
                  <w:szCs w:val="18"/>
                  <w:u w:val="single" w:color="auto"/>
                  <w:color w:val="0000EE"/>
                </w:rPr>
                <w:t xml:space="preserve"> P</w:t>
              </w:r>
              <w:r>
                <w:rPr>
                  <w:rFonts w:ascii="Times New Roman" w:cs="Times New Roman" w:eastAsia="Times New Roman" w:hAnsi="Times New Roman"/>
                  <w:sz w:val="13"/>
                  <w:szCs w:val="13"/>
                  <w:u w:val="single" w:color="auto"/>
                  <w:color w:val="0000EE"/>
                </w:rPr>
                <w:t>URCHASES OF</w:t>
              </w:r>
              <w:r>
                <w:rPr>
                  <w:rFonts w:ascii="Times New Roman" w:cs="Times New Roman" w:eastAsia="Times New Roman" w:hAnsi="Times New Roman"/>
                  <w:sz w:val="18"/>
                  <w:szCs w:val="18"/>
                  <w:u w:val="single" w:color="auto"/>
                  <w:color w:val="0000EE"/>
                </w:rPr>
                <w:t xml:space="preserve"> E</w:t>
              </w:r>
              <w:r>
                <w:rPr>
                  <w:rFonts w:ascii="Times New Roman" w:cs="Times New Roman" w:eastAsia="Times New Roman" w:hAnsi="Times New Roman"/>
                  <w:sz w:val="13"/>
                  <w:szCs w:val="13"/>
                  <w:u w:val="single" w:color="auto"/>
                  <w:color w:val="0000EE"/>
                </w:rPr>
                <w:t>QUITY</w:t>
              </w:r>
              <w:r>
                <w:rPr>
                  <w:rFonts w:ascii="Times New Roman" w:cs="Times New Roman" w:eastAsia="Times New Roman" w:hAnsi="Times New Roman"/>
                  <w:sz w:val="18"/>
                  <w:szCs w:val="18"/>
                  <w:u w:val="single" w:color="auto"/>
                  <w:color w:val="0000EE"/>
                </w:rPr>
                <w:t xml:space="preserve"> S</w:t>
              </w:r>
              <w:r>
                <w:rPr>
                  <w:rFonts w:ascii="Times New Roman" w:cs="Times New Roman" w:eastAsia="Times New Roman" w:hAnsi="Times New Roman"/>
                  <w:sz w:val="13"/>
                  <w:szCs w:val="13"/>
                  <w:u w:val="single" w:color="auto"/>
                  <w:color w:val="0000EE"/>
                </w:rPr>
                <w:t>ECURITIES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6.</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S</w:t>
              </w:r>
              <w:r>
                <w:rPr>
                  <w:rFonts w:ascii="Times New Roman" w:cs="Times New Roman" w:eastAsia="Times New Roman" w:hAnsi="Times New Roman"/>
                  <w:sz w:val="13"/>
                  <w:szCs w:val="13"/>
                  <w:u w:val="single" w:color="auto"/>
                  <w:color w:val="0000EE"/>
                </w:rPr>
                <w:t>ELECTED</w:t>
              </w:r>
              <w:r>
                <w:rPr>
                  <w:rFonts w:ascii="Times New Roman" w:cs="Times New Roman" w:eastAsia="Times New Roman" w:hAnsi="Times New Roman"/>
                  <w:sz w:val="18"/>
                  <w:szCs w:val="18"/>
                  <w:u w:val="single" w:color="auto"/>
                  <w:color w:val="0000EE"/>
                </w:rPr>
                <w:t xml:space="preserve"> F</w:t>
              </w:r>
              <w:r>
                <w:rPr>
                  <w:rFonts w:ascii="Times New Roman" w:cs="Times New Roman" w:eastAsia="Times New Roman" w:hAnsi="Times New Roman"/>
                  <w:sz w:val="13"/>
                  <w:szCs w:val="13"/>
                  <w:u w:val="single" w:color="auto"/>
                  <w:color w:val="0000EE"/>
                </w:rPr>
                <w:t>INANCIAL</w:t>
              </w:r>
              <w:r>
                <w:rPr>
                  <w:rFonts w:ascii="Times New Roman" w:cs="Times New Roman" w:eastAsia="Times New Roman" w:hAnsi="Times New Roman"/>
                  <w:sz w:val="18"/>
                  <w:szCs w:val="18"/>
                  <w:u w:val="single" w:color="auto"/>
                  <w:color w:val="0000EE"/>
                </w:rPr>
                <w:t xml:space="preserve"> D</w:t>
              </w:r>
              <w:r>
                <w:rPr>
                  <w:rFonts w:ascii="Times New Roman" w:cs="Times New Roman" w:eastAsia="Times New Roman" w:hAnsi="Times New Roman"/>
                  <w:sz w:val="13"/>
                  <w:szCs w:val="13"/>
                  <w:u w:val="single" w:color="auto"/>
                  <w:color w:val="0000EE"/>
                </w:rPr>
                <w:t>ATA</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7.</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M</w:t>
              </w:r>
              <w:r>
                <w:rPr>
                  <w:rFonts w:ascii="Times New Roman" w:cs="Times New Roman" w:eastAsia="Times New Roman" w:hAnsi="Times New Roman"/>
                  <w:sz w:val="13"/>
                  <w:szCs w:val="13"/>
                  <w:u w:val="single" w:color="auto"/>
                  <w:color w:val="0000EE"/>
                </w:rPr>
                <w:t>ANAGEMENT</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3"/>
                  <w:szCs w:val="13"/>
                  <w:u w:val="single" w:color="auto"/>
                  <w:color w:val="0000EE"/>
                </w:rPr>
                <w:t>S</w:t>
              </w:r>
              <w:r>
                <w:rPr>
                  <w:rFonts w:ascii="Times New Roman" w:cs="Times New Roman" w:eastAsia="Times New Roman" w:hAnsi="Times New Roman"/>
                  <w:sz w:val="18"/>
                  <w:szCs w:val="18"/>
                  <w:u w:val="single" w:color="auto"/>
                  <w:color w:val="0000EE"/>
                </w:rPr>
                <w:t xml:space="preserve"> D</w:t>
              </w:r>
              <w:r>
                <w:rPr>
                  <w:rFonts w:ascii="Times New Roman" w:cs="Times New Roman" w:eastAsia="Times New Roman" w:hAnsi="Times New Roman"/>
                  <w:sz w:val="13"/>
                  <w:szCs w:val="13"/>
                  <w:u w:val="single" w:color="auto"/>
                  <w:color w:val="0000EE"/>
                </w:rPr>
                <w:t>ISCUSSION AND</w:t>
              </w:r>
              <w:r>
                <w:rPr>
                  <w:rFonts w:ascii="Times New Roman" w:cs="Times New Roman" w:eastAsia="Times New Roman" w:hAnsi="Times New Roman"/>
                  <w:sz w:val="18"/>
                  <w:szCs w:val="18"/>
                  <w:u w:val="single" w:color="auto"/>
                  <w:color w:val="0000EE"/>
                </w:rPr>
                <w:t xml:space="preserve"> A</w:t>
              </w:r>
              <w:r>
                <w:rPr>
                  <w:rFonts w:ascii="Times New Roman" w:cs="Times New Roman" w:eastAsia="Times New Roman" w:hAnsi="Times New Roman"/>
                  <w:sz w:val="13"/>
                  <w:szCs w:val="13"/>
                  <w:u w:val="single" w:color="auto"/>
                  <w:color w:val="0000EE"/>
                </w:rPr>
                <w:t>NALYSIS OF</w:t>
              </w:r>
              <w:r>
                <w:rPr>
                  <w:rFonts w:ascii="Times New Roman" w:cs="Times New Roman" w:eastAsia="Times New Roman" w:hAnsi="Times New Roman"/>
                  <w:sz w:val="18"/>
                  <w:szCs w:val="18"/>
                  <w:u w:val="single" w:color="auto"/>
                  <w:color w:val="0000EE"/>
                </w:rPr>
                <w:t xml:space="preserve"> F</w:t>
              </w:r>
              <w:r>
                <w:rPr>
                  <w:rFonts w:ascii="Times New Roman" w:cs="Times New Roman" w:eastAsia="Times New Roman" w:hAnsi="Times New Roman"/>
                  <w:sz w:val="13"/>
                  <w:szCs w:val="13"/>
                  <w:u w:val="single" w:color="auto"/>
                  <w:color w:val="0000EE"/>
                </w:rPr>
                <w:t>INANCIAL</w:t>
              </w:r>
              <w:r>
                <w:rPr>
                  <w:rFonts w:ascii="Times New Roman" w:cs="Times New Roman" w:eastAsia="Times New Roman" w:hAnsi="Times New Roman"/>
                  <w:sz w:val="18"/>
                  <w:szCs w:val="18"/>
                  <w:u w:val="single" w:color="auto"/>
                  <w:color w:val="0000EE"/>
                </w:rPr>
                <w:t xml:space="preserve"> C</w:t>
              </w:r>
              <w:r>
                <w:rPr>
                  <w:rFonts w:ascii="Times New Roman" w:cs="Times New Roman" w:eastAsia="Times New Roman" w:hAnsi="Times New Roman"/>
                  <w:sz w:val="13"/>
                  <w:szCs w:val="13"/>
                  <w:u w:val="single" w:color="auto"/>
                  <w:color w:val="0000EE"/>
                </w:rPr>
                <w:t>ONDITION AND</w:t>
              </w:r>
              <w:r>
                <w:rPr>
                  <w:rFonts w:ascii="Times New Roman" w:cs="Times New Roman" w:eastAsia="Times New Roman" w:hAnsi="Times New Roman"/>
                  <w:sz w:val="18"/>
                  <w:szCs w:val="18"/>
                  <w:u w:val="single" w:color="auto"/>
                  <w:color w:val="0000EE"/>
                </w:rPr>
                <w:t xml:space="preserve"> R</w:t>
              </w:r>
              <w:r>
                <w:rPr>
                  <w:rFonts w:ascii="Times New Roman" w:cs="Times New Roman" w:eastAsia="Times New Roman" w:hAnsi="Times New Roman"/>
                  <w:sz w:val="13"/>
                  <w:szCs w:val="13"/>
                  <w:u w:val="single" w:color="auto"/>
                  <w:color w:val="0000EE"/>
                </w:rPr>
                <w:t>ESULTS OF</w:t>
              </w:r>
              <w:r>
                <w:rPr>
                  <w:rFonts w:ascii="Times New Roman" w:cs="Times New Roman" w:eastAsia="Times New Roman" w:hAnsi="Times New Roman"/>
                  <w:sz w:val="18"/>
                  <w:szCs w:val="18"/>
                  <w:u w:val="single" w:color="auto"/>
                  <w:color w:val="0000EE"/>
                </w:rPr>
                <w:t xml:space="preserve"> O</w:t>
              </w:r>
              <w:r>
                <w:rPr>
                  <w:rFonts w:ascii="Times New Roman" w:cs="Times New Roman" w:eastAsia="Times New Roman" w:hAnsi="Times New Roman"/>
                  <w:sz w:val="13"/>
                  <w:szCs w:val="13"/>
                  <w:u w:val="single" w:color="auto"/>
                  <w:color w:val="0000EE"/>
                </w:rPr>
                <w:t>PERATIONS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7A.</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Q</w:t>
              </w:r>
              <w:r>
                <w:rPr>
                  <w:rFonts w:ascii="Times New Roman" w:cs="Times New Roman" w:eastAsia="Times New Roman" w:hAnsi="Times New Roman"/>
                  <w:sz w:val="13"/>
                  <w:szCs w:val="13"/>
                  <w:u w:val="single" w:color="auto"/>
                  <w:color w:val="0000EE"/>
                </w:rPr>
                <w:t>UANTITATIVE AND</w:t>
              </w:r>
              <w:r>
                <w:rPr>
                  <w:rFonts w:ascii="Times New Roman" w:cs="Times New Roman" w:eastAsia="Times New Roman" w:hAnsi="Times New Roman"/>
                  <w:sz w:val="18"/>
                  <w:szCs w:val="18"/>
                  <w:u w:val="single" w:color="auto"/>
                  <w:color w:val="0000EE"/>
                </w:rPr>
                <w:t xml:space="preserve"> Q</w:t>
              </w:r>
              <w:r>
                <w:rPr>
                  <w:rFonts w:ascii="Times New Roman" w:cs="Times New Roman" w:eastAsia="Times New Roman" w:hAnsi="Times New Roman"/>
                  <w:sz w:val="13"/>
                  <w:szCs w:val="13"/>
                  <w:u w:val="single" w:color="auto"/>
                  <w:color w:val="0000EE"/>
                </w:rPr>
                <w:t>UALITATIVE</w:t>
              </w:r>
              <w:r>
                <w:rPr>
                  <w:rFonts w:ascii="Times New Roman" w:cs="Times New Roman" w:eastAsia="Times New Roman" w:hAnsi="Times New Roman"/>
                  <w:sz w:val="18"/>
                  <w:szCs w:val="18"/>
                  <w:u w:val="single" w:color="auto"/>
                  <w:color w:val="0000EE"/>
                </w:rPr>
                <w:t xml:space="preserve"> D</w:t>
              </w:r>
              <w:r>
                <w:rPr>
                  <w:rFonts w:ascii="Times New Roman" w:cs="Times New Roman" w:eastAsia="Times New Roman" w:hAnsi="Times New Roman"/>
                  <w:sz w:val="13"/>
                  <w:szCs w:val="13"/>
                  <w:u w:val="single" w:color="auto"/>
                  <w:color w:val="0000EE"/>
                </w:rPr>
                <w:t>ISCLOSURES</w:t>
              </w:r>
              <w:r>
                <w:rPr>
                  <w:rFonts w:ascii="Times New Roman" w:cs="Times New Roman" w:eastAsia="Times New Roman" w:hAnsi="Times New Roman"/>
                  <w:sz w:val="18"/>
                  <w:szCs w:val="18"/>
                  <w:u w:val="single" w:color="auto"/>
                  <w:color w:val="0000EE"/>
                </w:rPr>
                <w:t xml:space="preserve"> A</w:t>
              </w:r>
              <w:r>
                <w:rPr>
                  <w:rFonts w:ascii="Times New Roman" w:cs="Times New Roman" w:eastAsia="Times New Roman" w:hAnsi="Times New Roman"/>
                  <w:sz w:val="13"/>
                  <w:szCs w:val="13"/>
                  <w:u w:val="single" w:color="auto"/>
                  <w:color w:val="0000EE"/>
                </w:rPr>
                <w:t>BOUT</w:t>
              </w:r>
              <w:r>
                <w:rPr>
                  <w:rFonts w:ascii="Times New Roman" w:cs="Times New Roman" w:eastAsia="Times New Roman" w:hAnsi="Times New Roman"/>
                  <w:sz w:val="18"/>
                  <w:szCs w:val="18"/>
                  <w:u w:val="single" w:color="auto"/>
                  <w:color w:val="0000EE"/>
                </w:rPr>
                <w:t xml:space="preserve"> M</w:t>
              </w:r>
              <w:r>
                <w:rPr>
                  <w:rFonts w:ascii="Times New Roman" w:cs="Times New Roman" w:eastAsia="Times New Roman" w:hAnsi="Times New Roman"/>
                  <w:sz w:val="13"/>
                  <w:szCs w:val="13"/>
                  <w:u w:val="single" w:color="auto"/>
                  <w:color w:val="0000EE"/>
                </w:rPr>
                <w:t>ARKET</w:t>
              </w:r>
              <w:r>
                <w:rPr>
                  <w:rFonts w:ascii="Times New Roman" w:cs="Times New Roman" w:eastAsia="Times New Roman" w:hAnsi="Times New Roman"/>
                  <w:sz w:val="18"/>
                  <w:szCs w:val="18"/>
                  <w:u w:val="single" w:color="auto"/>
                  <w:color w:val="0000EE"/>
                </w:rPr>
                <w:t xml:space="preserve"> R</w:t>
              </w:r>
              <w:r>
                <w:rPr>
                  <w:rFonts w:ascii="Times New Roman" w:cs="Times New Roman" w:eastAsia="Times New Roman" w:hAnsi="Times New Roman"/>
                  <w:sz w:val="13"/>
                  <w:szCs w:val="13"/>
                  <w:u w:val="single" w:color="auto"/>
                  <w:color w:val="0000EE"/>
                </w:rPr>
                <w:t>ISK</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8.</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F</w:t>
              </w:r>
              <w:r>
                <w:rPr>
                  <w:rFonts w:ascii="Times New Roman" w:cs="Times New Roman" w:eastAsia="Times New Roman" w:hAnsi="Times New Roman"/>
                  <w:sz w:val="13"/>
                  <w:szCs w:val="13"/>
                  <w:u w:val="single" w:color="auto"/>
                  <w:color w:val="0000EE"/>
                </w:rPr>
                <w:t>INANCIAL</w:t>
              </w:r>
              <w:r>
                <w:rPr>
                  <w:rFonts w:ascii="Times New Roman" w:cs="Times New Roman" w:eastAsia="Times New Roman" w:hAnsi="Times New Roman"/>
                  <w:sz w:val="18"/>
                  <w:szCs w:val="18"/>
                  <w:u w:val="single" w:color="auto"/>
                  <w:color w:val="0000EE"/>
                </w:rPr>
                <w:t xml:space="preserve"> S</w:t>
              </w:r>
              <w:r>
                <w:rPr>
                  <w:rFonts w:ascii="Times New Roman" w:cs="Times New Roman" w:eastAsia="Times New Roman" w:hAnsi="Times New Roman"/>
                  <w:sz w:val="13"/>
                  <w:szCs w:val="13"/>
                  <w:u w:val="single" w:color="auto"/>
                  <w:color w:val="0000EE"/>
                </w:rPr>
                <w:t>TATEMENTS AND</w:t>
              </w:r>
              <w:r>
                <w:rPr>
                  <w:rFonts w:ascii="Times New Roman" w:cs="Times New Roman" w:eastAsia="Times New Roman" w:hAnsi="Times New Roman"/>
                  <w:sz w:val="18"/>
                  <w:szCs w:val="18"/>
                  <w:u w:val="single" w:color="auto"/>
                  <w:color w:val="0000EE"/>
                </w:rPr>
                <w:t xml:space="preserve"> S</w:t>
              </w:r>
              <w:r>
                <w:rPr>
                  <w:rFonts w:ascii="Times New Roman" w:cs="Times New Roman" w:eastAsia="Times New Roman" w:hAnsi="Times New Roman"/>
                  <w:sz w:val="13"/>
                  <w:szCs w:val="13"/>
                  <w:u w:val="single" w:color="auto"/>
                  <w:color w:val="0000EE"/>
                </w:rPr>
                <w:t>UPPLEMENTARY</w:t>
              </w:r>
              <w:r>
                <w:rPr>
                  <w:rFonts w:ascii="Times New Roman" w:cs="Times New Roman" w:eastAsia="Times New Roman" w:hAnsi="Times New Roman"/>
                  <w:sz w:val="18"/>
                  <w:szCs w:val="18"/>
                  <w:u w:val="single" w:color="auto"/>
                  <w:color w:val="0000EE"/>
                </w:rPr>
                <w:t xml:space="preserve"> D</w:t>
              </w:r>
              <w:r>
                <w:rPr>
                  <w:rFonts w:ascii="Times New Roman" w:cs="Times New Roman" w:eastAsia="Times New Roman" w:hAnsi="Times New Roman"/>
                  <w:sz w:val="13"/>
                  <w:szCs w:val="13"/>
                  <w:u w:val="single" w:color="auto"/>
                  <w:color w:val="0000EE"/>
                </w:rPr>
                <w:t>ATA</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9.</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3"/>
                  <w:szCs w:val="13"/>
                  <w:u w:val="single" w:color="auto"/>
                  <w:color w:val="0000EE"/>
                </w:rPr>
                <w:t>HANGES IN AND</w:t>
              </w:r>
              <w:r>
                <w:rPr>
                  <w:rFonts w:ascii="Times New Roman" w:cs="Times New Roman" w:eastAsia="Times New Roman" w:hAnsi="Times New Roman"/>
                  <w:sz w:val="18"/>
                  <w:szCs w:val="18"/>
                  <w:u w:val="single" w:color="auto"/>
                  <w:color w:val="0000EE"/>
                </w:rPr>
                <w:t xml:space="preserve"> D</w:t>
              </w:r>
              <w:r>
                <w:rPr>
                  <w:rFonts w:ascii="Times New Roman" w:cs="Times New Roman" w:eastAsia="Times New Roman" w:hAnsi="Times New Roman"/>
                  <w:sz w:val="13"/>
                  <w:szCs w:val="13"/>
                  <w:u w:val="single" w:color="auto"/>
                  <w:color w:val="0000EE"/>
                </w:rPr>
                <w:t>ISAGREEMENTS WITH</w:t>
              </w:r>
              <w:r>
                <w:rPr>
                  <w:rFonts w:ascii="Times New Roman" w:cs="Times New Roman" w:eastAsia="Times New Roman" w:hAnsi="Times New Roman"/>
                  <w:sz w:val="18"/>
                  <w:szCs w:val="18"/>
                  <w:u w:val="single" w:color="auto"/>
                  <w:color w:val="0000EE"/>
                </w:rPr>
                <w:t xml:space="preserve"> A</w:t>
              </w:r>
              <w:r>
                <w:rPr>
                  <w:rFonts w:ascii="Times New Roman" w:cs="Times New Roman" w:eastAsia="Times New Roman" w:hAnsi="Times New Roman"/>
                  <w:sz w:val="13"/>
                  <w:szCs w:val="13"/>
                  <w:u w:val="single" w:color="auto"/>
                  <w:color w:val="0000EE"/>
                </w:rPr>
                <w:t>CCOUNTANTS ON</w:t>
              </w:r>
              <w:r>
                <w:rPr>
                  <w:rFonts w:ascii="Times New Roman" w:cs="Times New Roman" w:eastAsia="Times New Roman" w:hAnsi="Times New Roman"/>
                  <w:sz w:val="18"/>
                  <w:szCs w:val="18"/>
                  <w:u w:val="single" w:color="auto"/>
                  <w:color w:val="0000EE"/>
                </w:rPr>
                <w:t xml:space="preserve"> A</w:t>
              </w:r>
              <w:r>
                <w:rPr>
                  <w:rFonts w:ascii="Times New Roman" w:cs="Times New Roman" w:eastAsia="Times New Roman" w:hAnsi="Times New Roman"/>
                  <w:sz w:val="13"/>
                  <w:szCs w:val="13"/>
                  <w:u w:val="single" w:color="auto"/>
                  <w:color w:val="0000EE"/>
                </w:rPr>
                <w:t>CCOUNTING AND</w:t>
              </w:r>
              <w:r>
                <w:rPr>
                  <w:rFonts w:ascii="Times New Roman" w:cs="Times New Roman" w:eastAsia="Times New Roman" w:hAnsi="Times New Roman"/>
                  <w:sz w:val="18"/>
                  <w:szCs w:val="18"/>
                  <w:u w:val="single" w:color="auto"/>
                  <w:color w:val="0000EE"/>
                </w:rPr>
                <w:t xml:space="preserve"> F</w:t>
              </w:r>
              <w:r>
                <w:rPr>
                  <w:rFonts w:ascii="Times New Roman" w:cs="Times New Roman" w:eastAsia="Times New Roman" w:hAnsi="Times New Roman"/>
                  <w:sz w:val="13"/>
                  <w:szCs w:val="13"/>
                  <w:u w:val="single" w:color="auto"/>
                  <w:color w:val="0000EE"/>
                </w:rPr>
                <w:t>INANCIAL</w:t>
              </w:r>
              <w:r>
                <w:rPr>
                  <w:rFonts w:ascii="Times New Roman" w:cs="Times New Roman" w:eastAsia="Times New Roman" w:hAnsi="Times New Roman"/>
                  <w:sz w:val="18"/>
                  <w:szCs w:val="18"/>
                  <w:u w:val="single" w:color="auto"/>
                  <w:color w:val="0000EE"/>
                </w:rPr>
                <w:t xml:space="preserve"> D</w:t>
              </w:r>
              <w:r>
                <w:rPr>
                  <w:rFonts w:ascii="Times New Roman" w:cs="Times New Roman" w:eastAsia="Times New Roman" w:hAnsi="Times New Roman"/>
                  <w:sz w:val="13"/>
                  <w:szCs w:val="13"/>
                  <w:u w:val="single" w:color="auto"/>
                  <w:color w:val="0000EE"/>
                </w:rPr>
                <w:t>ISCLOSURE</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9A.</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3"/>
                  <w:szCs w:val="13"/>
                  <w:u w:val="single" w:color="auto"/>
                  <w:color w:val="0000EE"/>
                </w:rPr>
                <w:t>ONTROLS AND</w:t>
              </w:r>
              <w:r>
                <w:rPr>
                  <w:rFonts w:ascii="Times New Roman" w:cs="Times New Roman" w:eastAsia="Times New Roman" w:hAnsi="Times New Roman"/>
                  <w:sz w:val="18"/>
                  <w:szCs w:val="18"/>
                  <w:u w:val="single" w:color="auto"/>
                  <w:color w:val="0000EE"/>
                </w:rPr>
                <w:t xml:space="preserve"> P</w:t>
              </w:r>
              <w:r>
                <w:rPr>
                  <w:rFonts w:ascii="Times New Roman" w:cs="Times New Roman" w:eastAsia="Times New Roman" w:hAnsi="Times New Roman"/>
                  <w:sz w:val="13"/>
                  <w:szCs w:val="13"/>
                  <w:u w:val="single" w:color="auto"/>
                  <w:color w:val="0000EE"/>
                </w:rPr>
                <w:t>ROCEDURES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9B.</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O</w:t>
              </w:r>
              <w:r>
                <w:rPr>
                  <w:rFonts w:ascii="Times New Roman" w:cs="Times New Roman" w:eastAsia="Times New Roman" w:hAnsi="Times New Roman"/>
                  <w:sz w:val="13"/>
                  <w:szCs w:val="13"/>
                  <w:u w:val="single" w:color="auto"/>
                  <w:color w:val="0000EE"/>
                </w:rPr>
                <w:t>THER</w:t>
              </w:r>
              <w:r>
                <w:rPr>
                  <w:rFonts w:ascii="Times New Roman" w:cs="Times New Roman" w:eastAsia="Times New Roman" w:hAnsi="Times New Roman"/>
                  <w:sz w:val="18"/>
                  <w:szCs w:val="18"/>
                  <w:u w:val="single" w:color="auto"/>
                  <w:color w:val="0000EE"/>
                </w:rPr>
                <w:t xml:space="preserve"> I</w:t>
              </w:r>
              <w:r>
                <w:rPr>
                  <w:rFonts w:ascii="Times New Roman" w:cs="Times New Roman" w:eastAsia="Times New Roman" w:hAnsi="Times New Roman"/>
                  <w:sz w:val="13"/>
                  <w:szCs w:val="13"/>
                  <w:u w:val="single" w:color="auto"/>
                  <w:color w:val="0000EE"/>
                </w:rPr>
                <w:t>NFORMATION</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8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10.</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D</w:t>
              </w:r>
              <w:r>
                <w:rPr>
                  <w:rFonts w:ascii="Times New Roman" w:cs="Times New Roman" w:eastAsia="Times New Roman" w:hAnsi="Times New Roman"/>
                  <w:sz w:val="13"/>
                  <w:szCs w:val="13"/>
                  <w:u w:val="single" w:color="auto"/>
                  <w:color w:val="0000EE"/>
                </w:rPr>
                <w:t>IRECTORS</w:t>
              </w:r>
              <w:r>
                <w:rPr>
                  <w:rFonts w:ascii="Times New Roman" w:cs="Times New Roman" w:eastAsia="Times New Roman" w:hAnsi="Times New Roman"/>
                  <w:sz w:val="18"/>
                  <w:szCs w:val="18"/>
                  <w:u w:val="single" w:color="auto"/>
                  <w:color w:val="0000EE"/>
                </w:rPr>
                <w:t>, E</w:t>
              </w:r>
              <w:r>
                <w:rPr>
                  <w:rFonts w:ascii="Times New Roman" w:cs="Times New Roman" w:eastAsia="Times New Roman" w:hAnsi="Times New Roman"/>
                  <w:sz w:val="13"/>
                  <w:szCs w:val="13"/>
                  <w:u w:val="single" w:color="auto"/>
                  <w:color w:val="0000EE"/>
                </w:rPr>
                <w:t>XECUTIVE</w:t>
              </w:r>
              <w:r>
                <w:rPr>
                  <w:rFonts w:ascii="Times New Roman" w:cs="Times New Roman" w:eastAsia="Times New Roman" w:hAnsi="Times New Roman"/>
                  <w:sz w:val="18"/>
                  <w:szCs w:val="18"/>
                  <w:u w:val="single" w:color="auto"/>
                  <w:color w:val="0000EE"/>
                </w:rPr>
                <w:t xml:space="preserve"> O</w:t>
              </w:r>
              <w:r>
                <w:rPr>
                  <w:rFonts w:ascii="Times New Roman" w:cs="Times New Roman" w:eastAsia="Times New Roman" w:hAnsi="Times New Roman"/>
                  <w:sz w:val="13"/>
                  <w:szCs w:val="13"/>
                  <w:u w:val="single" w:color="auto"/>
                  <w:color w:val="0000EE"/>
                </w:rPr>
                <w:t>FFICERS</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3"/>
                  <w:szCs w:val="13"/>
                  <w:u w:val="single" w:color="auto"/>
                  <w:color w:val="0000EE"/>
                </w:rPr>
                <w:t>AND</w:t>
              </w:r>
              <w:r>
                <w:rPr>
                  <w:rFonts w:ascii="Times New Roman" w:cs="Times New Roman" w:eastAsia="Times New Roman" w:hAnsi="Times New Roman"/>
                  <w:sz w:val="18"/>
                  <w:szCs w:val="18"/>
                  <w:u w:val="single" w:color="auto"/>
                  <w:color w:val="0000EE"/>
                </w:rPr>
                <w:t xml:space="preserve"> C</w:t>
              </w:r>
              <w:r>
                <w:rPr>
                  <w:rFonts w:ascii="Times New Roman" w:cs="Times New Roman" w:eastAsia="Times New Roman" w:hAnsi="Times New Roman"/>
                  <w:sz w:val="13"/>
                  <w:szCs w:val="13"/>
                  <w:u w:val="single" w:color="auto"/>
                  <w:color w:val="0000EE"/>
                </w:rPr>
                <w:t>ORPORATE</w:t>
              </w:r>
              <w:r>
                <w:rPr>
                  <w:rFonts w:ascii="Times New Roman" w:cs="Times New Roman" w:eastAsia="Times New Roman" w:hAnsi="Times New Roman"/>
                  <w:sz w:val="18"/>
                  <w:szCs w:val="18"/>
                  <w:u w:val="single" w:color="auto"/>
                  <w:color w:val="0000EE"/>
                </w:rPr>
                <w:t xml:space="preserve"> G</w:t>
              </w:r>
              <w:r>
                <w:rPr>
                  <w:rFonts w:ascii="Times New Roman" w:cs="Times New Roman" w:eastAsia="Times New Roman" w:hAnsi="Times New Roman"/>
                  <w:sz w:val="13"/>
                  <w:szCs w:val="13"/>
                  <w:u w:val="single" w:color="auto"/>
                  <w:color w:val="0000EE"/>
                </w:rPr>
                <w:t>OVERNANCE</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11.</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E</w:t>
              </w:r>
              <w:r>
                <w:rPr>
                  <w:rFonts w:ascii="Times New Roman" w:cs="Times New Roman" w:eastAsia="Times New Roman" w:hAnsi="Times New Roman"/>
                  <w:sz w:val="13"/>
                  <w:szCs w:val="13"/>
                  <w:u w:val="single" w:color="auto"/>
                  <w:color w:val="0000EE"/>
                </w:rPr>
                <w:t>XECUTIVE</w:t>
              </w:r>
              <w:r>
                <w:rPr>
                  <w:rFonts w:ascii="Times New Roman" w:cs="Times New Roman" w:eastAsia="Times New Roman" w:hAnsi="Times New Roman"/>
                  <w:sz w:val="18"/>
                  <w:szCs w:val="18"/>
                  <w:u w:val="single" w:color="auto"/>
                  <w:color w:val="0000EE"/>
                </w:rPr>
                <w:t xml:space="preserve"> C</w:t>
              </w:r>
              <w:r>
                <w:rPr>
                  <w:rFonts w:ascii="Times New Roman" w:cs="Times New Roman" w:eastAsia="Times New Roman" w:hAnsi="Times New Roman"/>
                  <w:sz w:val="13"/>
                  <w:szCs w:val="13"/>
                  <w:u w:val="single" w:color="auto"/>
                  <w:color w:val="0000EE"/>
                </w:rPr>
                <w:t>OMPENSATION</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12.</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S</w:t>
              </w:r>
              <w:r>
                <w:rPr>
                  <w:rFonts w:ascii="Times New Roman" w:cs="Times New Roman" w:eastAsia="Times New Roman" w:hAnsi="Times New Roman"/>
                  <w:sz w:val="13"/>
                  <w:szCs w:val="13"/>
                  <w:u w:val="single" w:color="auto"/>
                  <w:color w:val="0000EE"/>
                </w:rPr>
                <w:t>ECURITY</w:t>
              </w:r>
              <w:r>
                <w:rPr>
                  <w:rFonts w:ascii="Times New Roman" w:cs="Times New Roman" w:eastAsia="Times New Roman" w:hAnsi="Times New Roman"/>
                  <w:sz w:val="18"/>
                  <w:szCs w:val="18"/>
                  <w:u w:val="single" w:color="auto"/>
                  <w:color w:val="0000EE"/>
                </w:rPr>
                <w:t xml:space="preserve"> O</w:t>
              </w:r>
              <w:r>
                <w:rPr>
                  <w:rFonts w:ascii="Times New Roman" w:cs="Times New Roman" w:eastAsia="Times New Roman" w:hAnsi="Times New Roman"/>
                  <w:sz w:val="13"/>
                  <w:szCs w:val="13"/>
                  <w:u w:val="single" w:color="auto"/>
                  <w:color w:val="0000EE"/>
                </w:rPr>
                <w:t>WNERSHIP OF</w:t>
              </w:r>
              <w:r>
                <w:rPr>
                  <w:rFonts w:ascii="Times New Roman" w:cs="Times New Roman" w:eastAsia="Times New Roman" w:hAnsi="Times New Roman"/>
                  <w:sz w:val="18"/>
                  <w:szCs w:val="18"/>
                  <w:u w:val="single" w:color="auto"/>
                  <w:color w:val="0000EE"/>
                </w:rPr>
                <w:t xml:space="preserve"> C</w:t>
              </w:r>
              <w:r>
                <w:rPr>
                  <w:rFonts w:ascii="Times New Roman" w:cs="Times New Roman" w:eastAsia="Times New Roman" w:hAnsi="Times New Roman"/>
                  <w:sz w:val="13"/>
                  <w:szCs w:val="13"/>
                  <w:u w:val="single" w:color="auto"/>
                  <w:color w:val="0000EE"/>
                </w:rPr>
                <w:t>ERTAIN</w:t>
              </w:r>
              <w:r>
                <w:rPr>
                  <w:rFonts w:ascii="Times New Roman" w:cs="Times New Roman" w:eastAsia="Times New Roman" w:hAnsi="Times New Roman"/>
                  <w:sz w:val="18"/>
                  <w:szCs w:val="18"/>
                  <w:u w:val="single" w:color="auto"/>
                  <w:color w:val="0000EE"/>
                </w:rPr>
                <w:t xml:space="preserve"> B</w:t>
              </w:r>
              <w:r>
                <w:rPr>
                  <w:rFonts w:ascii="Times New Roman" w:cs="Times New Roman" w:eastAsia="Times New Roman" w:hAnsi="Times New Roman"/>
                  <w:sz w:val="13"/>
                  <w:szCs w:val="13"/>
                  <w:u w:val="single" w:color="auto"/>
                  <w:color w:val="0000EE"/>
                </w:rPr>
                <w:t>ENEFICIAL</w:t>
              </w:r>
              <w:r>
                <w:rPr>
                  <w:rFonts w:ascii="Times New Roman" w:cs="Times New Roman" w:eastAsia="Times New Roman" w:hAnsi="Times New Roman"/>
                  <w:sz w:val="18"/>
                  <w:szCs w:val="18"/>
                  <w:u w:val="single" w:color="auto"/>
                  <w:color w:val="0000EE"/>
                </w:rPr>
                <w:t xml:space="preserve"> O</w:t>
              </w:r>
              <w:r>
                <w:rPr>
                  <w:rFonts w:ascii="Times New Roman" w:cs="Times New Roman" w:eastAsia="Times New Roman" w:hAnsi="Times New Roman"/>
                  <w:sz w:val="13"/>
                  <w:szCs w:val="13"/>
                  <w:u w:val="single" w:color="auto"/>
                  <w:color w:val="0000EE"/>
                </w:rPr>
                <w:t>WNERS AND</w:t>
              </w:r>
              <w:r>
                <w:rPr>
                  <w:rFonts w:ascii="Times New Roman" w:cs="Times New Roman" w:eastAsia="Times New Roman" w:hAnsi="Times New Roman"/>
                  <w:sz w:val="18"/>
                  <w:szCs w:val="18"/>
                  <w:u w:val="single" w:color="auto"/>
                  <w:color w:val="0000EE"/>
                </w:rPr>
                <w:t xml:space="preserve"> M</w:t>
              </w:r>
              <w:r>
                <w:rPr>
                  <w:rFonts w:ascii="Times New Roman" w:cs="Times New Roman" w:eastAsia="Times New Roman" w:hAnsi="Times New Roman"/>
                  <w:sz w:val="13"/>
                  <w:szCs w:val="13"/>
                  <w:u w:val="single" w:color="auto"/>
                  <w:color w:val="0000EE"/>
                </w:rPr>
                <w:t>ANAGEMENT AND</w:t>
              </w:r>
              <w:r>
                <w:rPr>
                  <w:rFonts w:ascii="Times New Roman" w:cs="Times New Roman" w:eastAsia="Times New Roman" w:hAnsi="Times New Roman"/>
                  <w:sz w:val="18"/>
                  <w:szCs w:val="18"/>
                  <w:u w:val="single" w:color="auto"/>
                  <w:color w:val="0000EE"/>
                </w:rPr>
                <w:t xml:space="preserve"> R</w:t>
              </w:r>
              <w:r>
                <w:rPr>
                  <w:rFonts w:ascii="Times New Roman" w:cs="Times New Roman" w:eastAsia="Times New Roman" w:hAnsi="Times New Roman"/>
                  <w:sz w:val="13"/>
                  <w:szCs w:val="13"/>
                  <w:u w:val="single" w:color="auto"/>
                  <w:color w:val="0000EE"/>
                </w:rPr>
                <w:t>ELATED</w:t>
              </w:r>
              <w:r>
                <w:rPr>
                  <w:rFonts w:ascii="Times New Roman" w:cs="Times New Roman" w:eastAsia="Times New Roman" w:hAnsi="Times New Roman"/>
                  <w:sz w:val="18"/>
                  <w:szCs w:val="18"/>
                  <w:u w:val="single" w:color="auto"/>
                  <w:color w:val="0000EE"/>
                </w:rPr>
                <w:t xml:space="preserve"> S</w:t>
              </w:r>
              <w:r>
                <w:rPr>
                  <w:rFonts w:ascii="Times New Roman" w:cs="Times New Roman" w:eastAsia="Times New Roman" w:hAnsi="Times New Roman"/>
                  <w:sz w:val="13"/>
                  <w:szCs w:val="13"/>
                  <w:u w:val="single" w:color="auto"/>
                  <w:color w:val="0000EE"/>
                </w:rPr>
                <w:t>TOCKHOLDERS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13.</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3"/>
                  <w:szCs w:val="13"/>
                  <w:u w:val="single" w:color="auto"/>
                  <w:color w:val="0000EE"/>
                </w:rPr>
                <w:t>ERTAIN</w:t>
              </w:r>
              <w:r>
                <w:rPr>
                  <w:rFonts w:ascii="Times New Roman" w:cs="Times New Roman" w:eastAsia="Times New Roman" w:hAnsi="Times New Roman"/>
                  <w:sz w:val="18"/>
                  <w:szCs w:val="18"/>
                  <w:u w:val="single" w:color="auto"/>
                  <w:color w:val="0000EE"/>
                </w:rPr>
                <w:t xml:space="preserve"> R</w:t>
              </w:r>
              <w:r>
                <w:rPr>
                  <w:rFonts w:ascii="Times New Roman" w:cs="Times New Roman" w:eastAsia="Times New Roman" w:hAnsi="Times New Roman"/>
                  <w:sz w:val="13"/>
                  <w:szCs w:val="13"/>
                  <w:u w:val="single" w:color="auto"/>
                  <w:color w:val="0000EE"/>
                </w:rPr>
                <w:t>ELATIONSHIPS</w:t>
              </w:r>
              <w:r>
                <w:rPr>
                  <w:rFonts w:ascii="Times New Roman" w:cs="Times New Roman" w:eastAsia="Times New Roman" w:hAnsi="Times New Roman"/>
                  <w:sz w:val="18"/>
                  <w:szCs w:val="18"/>
                  <w:u w:val="single" w:color="auto"/>
                  <w:color w:val="0000EE"/>
                </w:rPr>
                <w:t>, R</w:t>
              </w:r>
              <w:r>
                <w:rPr>
                  <w:rFonts w:ascii="Times New Roman" w:cs="Times New Roman" w:eastAsia="Times New Roman" w:hAnsi="Times New Roman"/>
                  <w:sz w:val="13"/>
                  <w:szCs w:val="13"/>
                  <w:u w:val="single" w:color="auto"/>
                  <w:color w:val="0000EE"/>
                </w:rPr>
                <w:t>ELATED</w:t>
              </w:r>
              <w:r>
                <w:rPr>
                  <w:rFonts w:ascii="Times New Roman" w:cs="Times New Roman" w:eastAsia="Times New Roman" w:hAnsi="Times New Roman"/>
                  <w:sz w:val="18"/>
                  <w:szCs w:val="18"/>
                  <w:u w:val="single" w:color="auto"/>
                  <w:color w:val="0000EE"/>
                </w:rPr>
                <w:t xml:space="preserve"> T</w:t>
              </w:r>
              <w:r>
                <w:rPr>
                  <w:rFonts w:ascii="Times New Roman" w:cs="Times New Roman" w:eastAsia="Times New Roman" w:hAnsi="Times New Roman"/>
                  <w:sz w:val="13"/>
                  <w:szCs w:val="13"/>
                  <w:u w:val="single" w:color="auto"/>
                  <w:color w:val="0000EE"/>
                </w:rPr>
                <w:t>RANSACTIONS AND</w:t>
              </w:r>
              <w:r>
                <w:rPr>
                  <w:rFonts w:ascii="Times New Roman" w:cs="Times New Roman" w:eastAsia="Times New Roman" w:hAnsi="Times New Roman"/>
                  <w:sz w:val="18"/>
                  <w:szCs w:val="18"/>
                  <w:u w:val="single" w:color="auto"/>
                  <w:color w:val="0000EE"/>
                </w:rPr>
                <w:t xml:space="preserve"> D</w:t>
              </w:r>
              <w:r>
                <w:rPr>
                  <w:rFonts w:ascii="Times New Roman" w:cs="Times New Roman" w:eastAsia="Times New Roman" w:hAnsi="Times New Roman"/>
                  <w:sz w:val="13"/>
                  <w:szCs w:val="13"/>
                  <w:u w:val="single" w:color="auto"/>
                  <w:color w:val="0000EE"/>
                </w:rPr>
                <w:t>IRECTORS</w:t>
              </w:r>
              <w:r>
                <w:rPr>
                  <w:rFonts w:ascii="Times New Roman" w:cs="Times New Roman" w:eastAsia="Times New Roman" w:hAnsi="Times New Roman"/>
                  <w:sz w:val="18"/>
                  <w:szCs w:val="18"/>
                  <w:u w:val="single" w:color="auto"/>
                  <w:color w:val="0000EE"/>
                </w:rPr>
                <w:t xml:space="preserve"> I</w:t>
              </w:r>
              <w:r>
                <w:rPr>
                  <w:rFonts w:ascii="Times New Roman" w:cs="Times New Roman" w:eastAsia="Times New Roman" w:hAnsi="Times New Roman"/>
                  <w:sz w:val="13"/>
                  <w:szCs w:val="13"/>
                  <w:u w:val="single" w:color="auto"/>
                  <w:color w:val="0000EE"/>
                </w:rPr>
                <w:t>NDEPENDENCE</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14.</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P</w:t>
              </w:r>
              <w:r>
                <w:rPr>
                  <w:rFonts w:ascii="Times New Roman" w:cs="Times New Roman" w:eastAsia="Times New Roman" w:hAnsi="Times New Roman"/>
                  <w:sz w:val="13"/>
                  <w:szCs w:val="13"/>
                  <w:u w:val="single" w:color="auto"/>
                  <w:color w:val="0000EE"/>
                </w:rPr>
                <w:t>RINCIPAL</w:t>
              </w:r>
              <w:r>
                <w:rPr>
                  <w:rFonts w:ascii="Times New Roman" w:cs="Times New Roman" w:eastAsia="Times New Roman" w:hAnsi="Times New Roman"/>
                  <w:sz w:val="18"/>
                  <w:szCs w:val="18"/>
                  <w:u w:val="single" w:color="auto"/>
                  <w:color w:val="0000EE"/>
                </w:rPr>
                <w:t xml:space="preserve"> A</w:t>
              </w:r>
              <w:r>
                <w:rPr>
                  <w:rFonts w:ascii="Times New Roman" w:cs="Times New Roman" w:eastAsia="Times New Roman" w:hAnsi="Times New Roman"/>
                  <w:sz w:val="13"/>
                  <w:szCs w:val="13"/>
                  <w:u w:val="single" w:color="auto"/>
                  <w:color w:val="0000EE"/>
                </w:rPr>
                <w:t>CCOUNTANT</w:t>
              </w:r>
              <w:r>
                <w:rPr>
                  <w:rFonts w:ascii="Times New Roman" w:cs="Times New Roman" w:eastAsia="Times New Roman" w:hAnsi="Times New Roman"/>
                  <w:sz w:val="18"/>
                  <w:szCs w:val="18"/>
                  <w:u w:val="single" w:color="auto"/>
                  <w:color w:val="0000EE"/>
                </w:rPr>
                <w:t xml:space="preserve"> F</w:t>
              </w:r>
              <w:r>
                <w:rPr>
                  <w:rFonts w:ascii="Times New Roman" w:cs="Times New Roman" w:eastAsia="Times New Roman" w:hAnsi="Times New Roman"/>
                  <w:sz w:val="13"/>
                  <w:szCs w:val="13"/>
                  <w:u w:val="single" w:color="auto"/>
                  <w:color w:val="0000EE"/>
                </w:rPr>
                <w:t>EES AND</w:t>
              </w:r>
              <w:r>
                <w:rPr>
                  <w:rFonts w:ascii="Times New Roman" w:cs="Times New Roman" w:eastAsia="Times New Roman" w:hAnsi="Times New Roman"/>
                  <w:sz w:val="18"/>
                  <w:szCs w:val="18"/>
                  <w:u w:val="single" w:color="auto"/>
                  <w:color w:val="0000EE"/>
                </w:rPr>
                <w:t xml:space="preserve"> S</w:t>
              </w:r>
              <w:r>
                <w:rPr>
                  <w:rFonts w:ascii="Times New Roman" w:cs="Times New Roman" w:eastAsia="Times New Roman" w:hAnsi="Times New Roman"/>
                  <w:sz w:val="13"/>
                  <w:szCs w:val="13"/>
                  <w:u w:val="single" w:color="auto"/>
                  <w:color w:val="0000EE"/>
                </w:rPr>
                <w:t>ERVICES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8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TEM</w:t>
            </w:r>
            <w:r>
              <w:rPr>
                <w:rFonts w:ascii="Times New Roman" w:cs="Times New Roman" w:eastAsia="Times New Roman" w:hAnsi="Times New Roman"/>
                <w:sz w:val="18"/>
                <w:szCs w:val="18"/>
                <w:color w:val="auto"/>
              </w:rPr>
              <w:t xml:space="preserve"> 15.</w:t>
            </w:r>
          </w:p>
        </w:tc>
        <w:tc>
          <w:tcPr>
            <w:tcW w:w="9820" w:type="dxa"/>
            <w:vAlign w:val="bottom"/>
          </w:tcPr>
          <w:p>
            <w:pPr>
              <w:ind w:left="120"/>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E</w:t>
              </w:r>
              <w:r>
                <w:rPr>
                  <w:rFonts w:ascii="Times New Roman" w:cs="Times New Roman" w:eastAsia="Times New Roman" w:hAnsi="Times New Roman"/>
                  <w:sz w:val="13"/>
                  <w:szCs w:val="13"/>
                  <w:u w:val="single" w:color="auto"/>
                  <w:color w:val="0000EE"/>
                </w:rPr>
                <w:t>XHIBITS AND</w:t>
              </w:r>
              <w:r>
                <w:rPr>
                  <w:rFonts w:ascii="Times New Roman" w:cs="Times New Roman" w:eastAsia="Times New Roman" w:hAnsi="Times New Roman"/>
                  <w:sz w:val="18"/>
                  <w:szCs w:val="18"/>
                  <w:u w:val="single" w:color="auto"/>
                  <w:color w:val="0000EE"/>
                </w:rPr>
                <w:t xml:space="preserve"> F</w:t>
              </w:r>
              <w:r>
                <w:rPr>
                  <w:rFonts w:ascii="Times New Roman" w:cs="Times New Roman" w:eastAsia="Times New Roman" w:hAnsi="Times New Roman"/>
                  <w:sz w:val="13"/>
                  <w:szCs w:val="13"/>
                  <w:u w:val="single" w:color="auto"/>
                  <w:color w:val="0000EE"/>
                </w:rPr>
                <w:t>INANCIAL</w:t>
              </w:r>
              <w:r>
                <w:rPr>
                  <w:rFonts w:ascii="Times New Roman" w:cs="Times New Roman" w:eastAsia="Times New Roman" w:hAnsi="Times New Roman"/>
                  <w:sz w:val="18"/>
                  <w:szCs w:val="18"/>
                  <w:u w:val="single" w:color="auto"/>
                  <w:color w:val="0000EE"/>
                </w:rPr>
                <w:t xml:space="preserve"> S</w:t>
              </w:r>
              <w:r>
                <w:rPr>
                  <w:rFonts w:ascii="Times New Roman" w:cs="Times New Roman" w:eastAsia="Times New Roman" w:hAnsi="Times New Roman"/>
                  <w:sz w:val="13"/>
                  <w:szCs w:val="13"/>
                  <w:u w:val="single" w:color="auto"/>
                  <w:color w:val="0000EE"/>
                </w:rPr>
                <w:t>TATEMENT</w:t>
              </w:r>
              <w:r>
                <w:rPr>
                  <w:rFonts w:ascii="Times New Roman" w:cs="Times New Roman" w:eastAsia="Times New Roman" w:hAnsi="Times New Roman"/>
                  <w:sz w:val="18"/>
                  <w:szCs w:val="18"/>
                  <w:u w:val="single" w:color="auto"/>
                  <w:color w:val="0000EE"/>
                </w:rPr>
                <w:t xml:space="preserve"> S</w:t>
              </w:r>
              <w:r>
                <w:rPr>
                  <w:rFonts w:ascii="Times New Roman" w:cs="Times New Roman" w:eastAsia="Times New Roman" w:hAnsi="Times New Roman"/>
                  <w:sz w:val="13"/>
                  <w:szCs w:val="13"/>
                  <w:u w:val="single" w:color="auto"/>
                  <w:color w:val="0000EE"/>
                </w:rPr>
                <w:t>CHEDULES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10660" w:type="dxa"/>
            <w:vAlign w:val="bottom"/>
            <w:gridSpan w:val="2"/>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SIGNATURE</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32"/>
        </w:trPr>
        <w:tc>
          <w:tcPr>
            <w:tcW w:w="10660" w:type="dxa"/>
            <w:vAlign w:val="bottom"/>
            <w:gridSpan w:val="2"/>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INDEX TO FINANCIAL STATEMENTS AND SCHEDULES</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331"/>
        </w:trPr>
        <w:tc>
          <w:tcPr>
            <w:tcW w:w="84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3"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(5) the term “Preferred Stock” refers to Arrowhead’s Preferred Stock and (6) the term “Stockholder(s)” refers to the holders of Arrowhead Common Stock.</w:t>
      </w:r>
    </w:p>
    <w:p>
      <w:pPr>
        <w:spacing w:after="0" w:line="289" w:lineRule="exact"/>
        <w:rPr>
          <w:sz w:val="20"/>
          <w:szCs w:val="20"/>
          <w:color w:val="auto"/>
        </w:rPr>
      </w:pPr>
    </w:p>
    <w:p>
      <w:pPr>
        <w:ind w:left="5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Arrowhead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Pipeline Overview</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Arrowhead is focused on developing innovative drugs for diseases with a genetic basis, typically characterized by the overproduction of one or more proteins that are involved with disease. The depth and versatility of our RNAi technologies enables us to potentially address conditions in virtually any therapeutic area and pursue disease targets that are not otherwise addressable by small molecules and biologics. Arrowhead is leading the field in bringing the promise of RNAi to address diseases outside of the liver, and our pipeline now includes disease targets in the liver, lung, and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125730</wp:posOffset>
            </wp:positionV>
            <wp:extent cx="5340350" cy="4063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0350" cy="406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ARO-AAT</w:t>
      </w:r>
    </w:p>
    <w:p>
      <w:pPr>
        <w:spacing w:after="0" w:line="121" w:lineRule="exact"/>
        <w:rPr>
          <w:sz w:val="20"/>
          <w:szCs w:val="20"/>
          <w:color w:val="auto"/>
        </w:rPr>
      </w:pPr>
    </w:p>
    <w:p>
      <w:pPr>
        <w:ind w:right="60" w:firstLine="510"/>
        <w:spacing w:after="0" w:line="274" w:lineRule="auto"/>
        <w:rPr>
          <w:sz w:val="20"/>
          <w:szCs w:val="20"/>
          <w:color w:val="auto"/>
        </w:rPr>
      </w:pPr>
      <w:r>
        <w:rPr>
          <w:rFonts w:ascii="Times New Roman" w:cs="Times New Roman" w:eastAsia="Times New Roman" w:hAnsi="Times New Roman"/>
          <w:sz w:val="17"/>
          <w:szCs w:val="17"/>
          <w:color w:val="auto"/>
        </w:rPr>
        <w:t>ARO-AAT is the Company’s second generation subcutaneously administered RNAi therapeutic being developed as a treatment for liver disease associated with alpha-1 antitrypsin deficiency (AATD), which is a rare genetic disorder that severely damages the liver and lungs of affected individuals. ARO-AAT is designed to reduce production of the mutant Z-AAT protein by silencing the AAT gene in order to prevent accumulation of Z-AAT in the liver, allow clearance of the accumulated Z-AAT protein, prevent repeated cycles of cellular damage, and possibly prevent or even reverse the progression of liver fibrosis. In October 2020, Arrowhead signed an agreement with the Takeda Pharmaceuticals U.S.A., Inc. to co-develop and co-commercialize ARO-AAT, pending completion of review under antitrust laws, including the Hart-Scott-Rodino Antitrust Improvements Act of 1976 in the United States.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Arrowhead is currently investigating ARO-AAT in two clinical studies:</w:t>
      </w:r>
    </w:p>
    <w:p>
      <w:pPr>
        <w:spacing w:after="0" w:line="117" w:lineRule="exact"/>
        <w:rPr>
          <w:sz w:val="20"/>
          <w:szCs w:val="20"/>
          <w:color w:val="auto"/>
        </w:rPr>
      </w:pPr>
    </w:p>
    <w:p>
      <w:pPr>
        <w:ind w:left="1260" w:right="380" w:hanging="375"/>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SEQUOIA (AROAAT2001), which is a multi-center, multi-dose, placebo-controlled, adaptive Phase 2/3 study to evaluate the safety, efficacy and tolerability of ARO-AAT, administered subcutaneously to patients with alpha-1 antitrypsin deficiency.</w:t>
      </w:r>
    </w:p>
    <w:p>
      <w:pPr>
        <w:spacing w:after="0" w:line="53" w:lineRule="exact"/>
        <w:rPr>
          <w:rFonts w:ascii="Times New Roman" w:cs="Times New Roman" w:eastAsia="Times New Roman" w:hAnsi="Times New Roman"/>
          <w:sz w:val="18"/>
          <w:szCs w:val="18"/>
          <w:color w:val="auto"/>
        </w:rPr>
      </w:pPr>
    </w:p>
    <w:p>
      <w:pPr>
        <w:ind w:left="1260" w:right="120" w:hanging="375"/>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AROAAT2002, which is a pilot open-label, multi-dose, Phase 2 study to assess changes in a novel histological activity scale in response to ARO-AAT over time in patients with alpha-1 antitrypsin deficiency associated liver disease.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Goal of ARO-AAT Treatment</w:t>
      </w:r>
    </w:p>
    <w:p>
      <w:pPr>
        <w:spacing w:after="0" w:line="121"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The goal of ARO-AAT treatment is prevention and potential reversal of Z-AAT accumulation-related liver injury and fibrosis. Reduction of inflammatory Z-AAT protein, which has been clearly defined as the cause of progressive liver disease in AATD patients, is important as it is expected to halt the progression of liver disease and allow fibrotic tissue repair.</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Alpha-1 Antitrypsin Deficiency (AATD)</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AATD is a genetic disorder associated with liver disease in children and adults, and pulmonary disease in adults. AAT is a circulating glycoprotein protease inhibitor that is primarily synthesized and secreted by liver hepatocytes. Its physiologic function is the inhibition of neutrophil proteases to protect healthy lung tissues during inflammation and prevent tissue damage. The most common disease variant, the Z mutant, has a single amino acid substitution that results in improper folding of the protein. The mutant protein cannot be effectively secreted and accumulates in globules in the hepatocytes. This triggers continuous hepatocyte injury, leading to fibrosis, cirrhosis, and increased risk of hepatocellular carcinoma.</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Current Treatments</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Individuals with the homozygous PiZZ genotype have severe deficiency of functional AAT leading to pulmonary disease and hepatocyte injury and liver disease. Lung disease in this patient population is frequently treated with AAT augmentation therapy. However, augmentation therapy does nothing to treat liver disease, and there is no specific therapy for hepatic manifestations. There is a significant unmet need as liver transplant, with its attendant morbidity and mortality, is currently the only available cure.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Study of ARO-AAT in Normal Adult Volunteers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Phase 1 Single and Multiple Dose-Escalating Study to Evaluate the Safety, Tolerability, Pharmacokinetics and Effect of ARO-AAT on Serum</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Alpha-1 Antitrypsin Levels in Normal Adult Volunteers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NCT03362242</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Assessment of Changes in a Novel Histological Activity Scale in Response to ARO-AAT</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Pilot Open Label, Multi-dose, Phase 2 Study to Assess Changes in a Novel Histological Activity Scale in Response to ARO-AAT in Patients with</w:t>
      </w:r>
    </w:p>
    <w:p>
      <w:pPr>
        <w:spacing w:after="0" w:line="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Alpha-1 Antitrypsin Deficiency Associated Liver Disease (AATD)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NCT03946449</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Safety, Tolerability and Effect on Liver Histologic Parameters of ARO-AAT (SEQUOIA)</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Placebo-Controlled, Multi-dose, Phase 2/3 Study to Determine the Safety, Tolerability and Effect on Liver Histologic Parameters in Response to</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ARO-AAT in Patients with Alpha-1 Antitrypsin Deficiency (AATD)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NCT03945292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ARO-APOC3</w:t>
      </w:r>
    </w:p>
    <w:p>
      <w:pPr>
        <w:spacing w:after="0" w:line="121"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ARO-APOC3 is designed to reduce production of Apolipoprotein C-III (apoC-III), a component of triglyceride rich lipoproteins (TRLs) including VLDL and chylomicrons and a key regulator of triglyceride metabolism. We believe that knocking down the hepatic</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sectPr>
      </w:pPr>
    </w:p>
    <w:bookmarkStart w:id="5" w:name="page6"/>
    <w:bookmarkEnd w:id="5"/>
    <w:p>
      <w:pPr>
        <w:ind w:right="940"/>
        <w:spacing w:after="0" w:line="282" w:lineRule="auto"/>
        <w:rPr>
          <w:sz w:val="20"/>
          <w:szCs w:val="20"/>
          <w:color w:val="auto"/>
        </w:rPr>
      </w:pPr>
      <w:r>
        <w:rPr>
          <w:rFonts w:ascii="Times New Roman" w:cs="Times New Roman" w:eastAsia="Times New Roman" w:hAnsi="Times New Roman"/>
          <w:sz w:val="18"/>
          <w:szCs w:val="18"/>
          <w:color w:val="auto"/>
        </w:rPr>
        <w:t>production of apoC-III may result in reduced VLDL synthesis and assembly, enhanced breakdown of TRLs, and better clearance of VLDL and chylomicron remnants. Arrowhead is currently investigating ARO-APOC3 in a Phase 1/2 clinical trial.</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Hypertriglyceridemia</w:t>
      </w:r>
    </w:p>
    <w:p>
      <w:pPr>
        <w:spacing w:after="0" w:line="121"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Elevated triglyceride levels are an independent risk factor for cardiovascular disease. Severely elevated triglycerides (often over 2,000 mg/dL) in patients with familial chylomicronemia syndrome (FCS), a rare genetic disorder, can result in potentially fatal acute pancreatitis.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17" w:lineRule="exact"/>
        <w:rPr>
          <w:sz w:val="20"/>
          <w:szCs w:val="20"/>
          <w:color w:val="auto"/>
        </w:rPr>
      </w:pPr>
    </w:p>
    <w:p>
      <w:pPr>
        <w:ind w:left="520" w:right="300"/>
        <w:spacing w:after="0" w:line="263" w:lineRule="auto"/>
        <w:rPr>
          <w:sz w:val="20"/>
          <w:szCs w:val="20"/>
          <w:color w:val="auto"/>
        </w:rPr>
      </w:pPr>
      <w:r>
        <w:rPr>
          <w:rFonts w:ascii="Times New Roman" w:cs="Times New Roman" w:eastAsia="Times New Roman" w:hAnsi="Times New Roman"/>
          <w:sz w:val="18"/>
          <w:szCs w:val="18"/>
          <w:b w:val="1"/>
          <w:bCs w:val="1"/>
          <w:color w:val="auto"/>
        </w:rPr>
        <w:t>Study Name: Study of ARO-APOC3 in Healthy Volunteers, Hypertriglyceridemic Patients and Patients with Familial Chylomicronemia Syndrome (FCS)</w:t>
      </w:r>
    </w:p>
    <w:p>
      <w:pPr>
        <w:spacing w:after="0" w:line="1"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A Phase 1 Single and Multiple Dose-Escalating Study to Evaluate the Safety, Tolerability, Pharmacokinetics and Pharmacodynamic Effects of ARO-APOC3 in Adult Healthy Volunteers as Well as in Severely Hypertriglyceridemic Patients and Patients With Familial Chylomicronemia Syndrome ClinicalTrials.gov Identifier: NCT03783377</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ARO-ANG3</w:t>
      </w:r>
    </w:p>
    <w:p>
      <w:pPr>
        <w:spacing w:after="0" w:line="121"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ARO-ANG3 is designed to reduce production of angiopoietin-like protein 3 (ANGPTL3), a liver synthesized inhibitor of lipoprotein lipase and endothelial lipase. ANGPTL3 inhibition has been shown to lower serum LDL, serum and liver triglyceride and has genetic validation as a novel target for cardiovascular disease. Arrowhead is currently investigating ARO-ANG3 in a Phase 1/2 clinical trial.</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Dyslipidemia and Hypertriglyceridemia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Dyslipidemia and hypertriglyceridemia are risk factors for atherosclerotic coronary heart disease and cardiovascular events.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Study of ARO-ANG3 in Healthy Volunteers and in Dyslipidemic Patients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Phase 1 Single and Multiple Dose Study to Evaluate the Safety, Tolerability, Pharmacokinetics and Pharmacodynamic Effects of ARO-ANG3 in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Adult Healthy Volunteers and in Dyslipidemic Patients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NCT03747224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ARO-HSD</w:t>
      </w:r>
    </w:p>
    <w:p>
      <w:pPr>
        <w:spacing w:after="0" w:line="121"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ARO-HSD is designed to reduce production of HSD17B13, a hydroxysteroid dehydrogenase involved in the metabolism of hormones, fatty acids and bile acids. Published human genetic data indicate that a loss of function mutation in HSD17B13 provides strong protection against nonalcoholic steatohepatitis (NASH) cirrhosis and alcoholic hepatitis and cirrhosis. Arrowhead is currently investigating ARO-HSD in a Phase 1/2 clinical trial.</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Nonalcoholic steatohepatitis</w:t>
      </w:r>
    </w:p>
    <w:p>
      <w:pPr>
        <w:spacing w:after="0" w:line="121"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Nonalcoholic steatohepatitis (NASH) is liver inflammation and damage caused by a buildup of fat in the liver. This can cause scarring of the liver and in advanced cases can lead to cirrhosis.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17" w:lineRule="exact"/>
        <w:rPr>
          <w:sz w:val="20"/>
          <w:szCs w:val="20"/>
          <w:color w:val="auto"/>
        </w:rPr>
      </w:pPr>
    </w:p>
    <w:p>
      <w:pPr>
        <w:ind w:left="520"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Study Name: Study of ARO-HSD in Healthy Volunteers and Patients With Non-Alcoholic Steatohepatitis (NASH) or Suspected NASH </w:t>
      </w:r>
      <w:r>
        <w:rPr>
          <w:rFonts w:ascii="Times New Roman" w:cs="Times New Roman" w:eastAsia="Times New Roman" w:hAnsi="Times New Roman"/>
          <w:sz w:val="18"/>
          <w:szCs w:val="18"/>
          <w:color w:val="auto"/>
        </w:rPr>
        <w:t>A Phase 1/2a Single and Multiple Dose-Escalating Study to Evaluate the Safety, Tolerability, Pharmacokinetics and Pharmacodynamic Effects of ARO-HSD in Normal Healthy Volunteers as Well as in Patients With NASH or Suspected NASH ClinicalTrials.gov Identifier: NCT04202354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ARO-ENaC</w:t>
      </w:r>
    </w:p>
    <w:p>
      <w:pPr>
        <w:spacing w:after="0" w:line="12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ARO-ENaC is designed to reduce production of the epithelial sodium channel alpha subunit (αENaC) in the airways of the lung. In cystic fibrosis patients, increased ENaC activity contributes to airway dehydration and reduced mucociliary transport. Arrowhead is currently investigating ARO-ENaC in a Phase 1/2 clinical trial.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ind w:left="520"/>
        <w:spacing w:after="0"/>
        <w:rPr>
          <w:sz w:val="20"/>
          <w:szCs w:val="20"/>
          <w:color w:val="auto"/>
        </w:rPr>
      </w:pPr>
      <w:r>
        <w:rPr>
          <w:rFonts w:ascii="Times New Roman" w:cs="Times New Roman" w:eastAsia="Times New Roman" w:hAnsi="Times New Roman"/>
          <w:sz w:val="18"/>
          <w:szCs w:val="18"/>
          <w:b w:val="1"/>
          <w:bCs w:val="1"/>
          <w:color w:val="auto"/>
        </w:rPr>
        <w:t>Cystic Fibrosis</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Cystic fibrosis (CF) is a rare disease caused by a genetic mutation that leads to mucus buildup in the lungs and pancreas. In CF lung disease, patients can have difficulty breathing and experience frequent and persistent lung infections.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Study of ARO-ENaC in Healthy Volunteers and in Patients With Cystic Fibrosis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Phase 1/2a Dose-Escalating Study to Evaluate the Safety, Tolerability and Pharmacokinetic Effects of ARO-ENaC in Normal Healthy Volunteers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and Safety, Tolerability and Efficacy in Patients With Cystic Fibrosis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NCT04375514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ARO-Lung2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ARO-Lung2 is being developed against an undisclosed target as a potential treatment for chronic obstructive pulmonary disorder (COPD).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Arrowhead intends to file a clinical trial application at the end of 2020 to begin a Phase 1/2 clinical trial.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ARO-COV</w:t>
      </w:r>
    </w:p>
    <w:p>
      <w:pPr>
        <w:spacing w:after="0" w:line="121" w:lineRule="exact"/>
        <w:rPr>
          <w:sz w:val="20"/>
          <w:szCs w:val="20"/>
          <w:color w:val="auto"/>
        </w:rPr>
      </w:pPr>
    </w:p>
    <w:p>
      <w:pPr>
        <w:ind w:right="780" w:firstLine="510"/>
        <w:spacing w:after="0" w:line="282" w:lineRule="auto"/>
        <w:rPr>
          <w:sz w:val="20"/>
          <w:szCs w:val="20"/>
          <w:color w:val="auto"/>
        </w:rPr>
      </w:pPr>
      <w:r>
        <w:rPr>
          <w:rFonts w:ascii="Times New Roman" w:cs="Times New Roman" w:eastAsia="Times New Roman" w:hAnsi="Times New Roman"/>
          <w:sz w:val="18"/>
          <w:szCs w:val="18"/>
          <w:color w:val="auto"/>
        </w:rPr>
        <w:t>ARO-COV is being developed to address the current novel coronavirus that causes COVID-19 and other possible future pulmonary-borne pathogens.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ARO-HIF2</w:t>
      </w:r>
    </w:p>
    <w:p>
      <w:pPr>
        <w:spacing w:after="0" w:line="12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ARO-HIF2 is being developed for the treatment of clear cell renal cell carcinoma (ccRCC). ARO-HIF2 is designed to inhibit the production of HIF-2α, which has been linked to tumor progression and metastasis in ccRCC. Arrowhead believes it is an important target for intervention because over 90% of ccRCC tumors express a mutant form of the Von Hippel-Landau protein that is unable to degrade HIF-2α, leading to its accumulation during tumor hypoxia and promoting tumor growth. Arrowhead is currently investigating ARO-HIF2 in a Phase 1b clinical trial.</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Renal Cell Carcinoma</w:t>
      </w:r>
    </w:p>
    <w:p>
      <w:pPr>
        <w:spacing w:after="0" w:line="12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Renal Cell Carcinoma (“RCC”) is a type of kidney cancer that originates in the cells that line the small tubes that filter waste material from the blood. RCC is the most common type of kidney cancer accounting for more than 90% of cases with approximately 50,000 diagnoses in the United States each year. Unfortunately, patients with advanced stages of RCC have a 5-year survival rate of only 12-25%. Surgical resection is the mainstay of current treatment while chemotherapy and radiation have not been successful at prolonging survival. The treatment options for patients with metastatic disease are extremely limited.</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Study of ARO-HIF2 in Patients With Advanced Clear Cell Renal Cell Carcinoma</w:t>
      </w:r>
    </w:p>
    <w:p>
      <w:pPr>
        <w:spacing w:after="0" w:line="31" w:lineRule="exact"/>
        <w:rPr>
          <w:sz w:val="20"/>
          <w:szCs w:val="20"/>
          <w:color w:val="auto"/>
        </w:rPr>
      </w:pPr>
    </w:p>
    <w:p>
      <w:pPr>
        <w:ind w:left="520" w:right="2240"/>
        <w:spacing w:after="0" w:line="260" w:lineRule="auto"/>
        <w:rPr>
          <w:sz w:val="20"/>
          <w:szCs w:val="20"/>
          <w:color w:val="auto"/>
        </w:rPr>
      </w:pPr>
      <w:r>
        <w:rPr>
          <w:rFonts w:ascii="Times New Roman" w:cs="Times New Roman" w:eastAsia="Times New Roman" w:hAnsi="Times New Roman"/>
          <w:sz w:val="18"/>
          <w:szCs w:val="18"/>
          <w:color w:val="auto"/>
        </w:rPr>
        <w:t>A Phase 1b Adaptive Dose-Finding Study of ARO-HIF2 in Patients With Advanced Clear Cell Renal Cell Carcinoma ClinicalTrials.gov Identifier: NCT04169711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Partnered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Janssen Pharmaceuticals, Inc.</w:t>
      </w:r>
    </w:p>
    <w:p>
      <w:pPr>
        <w:spacing w:after="0" w:line="121" w:lineRule="exact"/>
        <w:rPr>
          <w:sz w:val="20"/>
          <w:szCs w:val="20"/>
          <w:color w:val="auto"/>
        </w:rPr>
      </w:pPr>
    </w:p>
    <w:p>
      <w:pPr>
        <w:ind w:right="340" w:firstLine="510"/>
        <w:spacing w:after="0" w:line="289" w:lineRule="auto"/>
        <w:rPr>
          <w:sz w:val="20"/>
          <w:szCs w:val="20"/>
          <w:color w:val="auto"/>
        </w:rPr>
      </w:pPr>
      <w:r>
        <w:rPr>
          <w:rFonts w:ascii="Times New Roman" w:cs="Times New Roman" w:eastAsia="Times New Roman" w:hAnsi="Times New Roman"/>
          <w:sz w:val="17"/>
          <w:szCs w:val="17"/>
          <w:color w:val="auto"/>
        </w:rPr>
        <w:t>Arrowhead entered into a license agreement in October 2018 with Janssen Pharmaceuticals, Inc. (“Janssen”), part of the Janssen Pharmaceutical Companies of Johnson &amp; Johnson, to develop and commercialize ARO-HBV. In addition, Arrowhead entered into a research collaboration and option agreement with Janssen to potentially collaborate for up to three additional RNAi therapeutics against new targets to be selected by Janssen.</w:t>
      </w:r>
    </w:p>
    <w:p>
      <w:pPr>
        <w:spacing w:after="0" w:line="158"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Under the terms of the license agreement, Arrowhead received $175 million as an upfront payment. Separately, Johnson &amp; Johnson Innovation – JJDC, Inc. (JJDC) made a $75.0 million equity investment in Arrowhead at a price of $23.00 per share of Arrowhead Common Stock.</w:t>
      </w:r>
    </w:p>
    <w:p>
      <w:pPr>
        <w:spacing w:after="0" w:line="162"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Arrowhead is eligible to receive up to approximately $1.6 billion in milestone payments under the license agreement. Arrowhead is also eligible to receive approximately $1.9 billion in option and milestone payments for the collaboration and option agreement related to up to three additional targets. Arrowhead is further eligible to receive tiered royalties up to mid-teens under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 w:name="page8"/>
    <w:bookmarkEnd w:id="7"/>
    <w:p>
      <w:pPr>
        <w:ind w:right="80"/>
        <w:spacing w:after="0" w:line="282" w:lineRule="auto"/>
        <w:rPr>
          <w:sz w:val="20"/>
          <w:szCs w:val="20"/>
          <w:color w:val="auto"/>
        </w:rPr>
      </w:pPr>
      <w:r>
        <w:rPr>
          <w:rFonts w:ascii="Times New Roman" w:cs="Times New Roman" w:eastAsia="Times New Roman" w:hAnsi="Times New Roman"/>
          <w:sz w:val="18"/>
          <w:szCs w:val="18"/>
          <w:color w:val="auto"/>
        </w:rPr>
        <w:t>license agreement and up to low teens under the collaboration and option agreement on product sales. Since signing the license agreement, Arrowhead has received $50.0 million in developmental milestone payments from Janssen.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JNJ-3989 (also referred to as JNJ-73763989 and formerly referred to as ARO-HBV)</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JNJ-3989 is being developed in collaboration with Janssen as a potential therapy for patients with chronic hepatitis B infection, when used in combination with other therapeutic modalities. JNJ-3989 is a subcutaneous, RNAi therapy candidate which is designed to silence all HBV gene products and intervenes upstream of the reverse transcription process where current standard-of-care nucleotide and nucleoside analogues act. The company believes this, especially the elimination of hepatitis B surface antigen (HBsAg), may allow the body’s natural immune defenses to clear the virus and potentially lead to a functional cure. JNJ-3989 (ARO-HBV) is currently being investigated in multiple Phase 2 clinical trials being conducted by Janssen. The phase 1/2a study and its preceding studies were conducted by Arrowhead.</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Study of ARO-HBV in Normal Adult Volunteers and Patients With Hepatitis B Virus (HBV)</w:t>
      </w:r>
    </w:p>
    <w:p>
      <w:pPr>
        <w:spacing w:after="0" w:line="31" w:lineRule="exact"/>
        <w:rPr>
          <w:sz w:val="20"/>
          <w:szCs w:val="20"/>
          <w:color w:val="auto"/>
        </w:rPr>
      </w:pPr>
    </w:p>
    <w:p>
      <w:pPr>
        <w:ind w:left="520" w:right="620"/>
        <w:spacing w:after="0" w:line="255" w:lineRule="auto"/>
        <w:rPr>
          <w:sz w:val="20"/>
          <w:szCs w:val="20"/>
          <w:color w:val="auto"/>
        </w:rPr>
      </w:pPr>
      <w:r>
        <w:rPr>
          <w:rFonts w:ascii="Times New Roman" w:cs="Times New Roman" w:eastAsia="Times New Roman" w:hAnsi="Times New Roman"/>
          <w:sz w:val="18"/>
          <w:szCs w:val="18"/>
          <w:color w:val="auto"/>
        </w:rPr>
        <w:t>A Phase 1/2a Single Dose-Escalating Study to Evaluate the Safety, Tolerability and Pharmacokinetic Effects of ARO-HBV in Normal Adult Volunteers and Multiple Escalating Doses Evaluating Safety, Tolerability and Pharmacodynamic Effects in HBV Patients ClinicalTrials.gov Identifier: NCT03365947</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A Study of JNJ-73763989 in Healthy Japanese Adult Participants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Double-blind, Placebo-controlled, Randomized, Parallel, Single Dose Study to Investigate Pharmacokinetics, Safety, and Tolerability of JNJ-</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73763989 in Healthy Japanese Adult Participants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NCT04002752</w:t>
      </w:r>
    </w:p>
    <w:p>
      <w:pPr>
        <w:spacing w:after="0" w:line="311" w:lineRule="exact"/>
        <w:rPr>
          <w:sz w:val="20"/>
          <w:szCs w:val="20"/>
          <w:color w:val="auto"/>
        </w:rPr>
      </w:pPr>
    </w:p>
    <w:p>
      <w:pPr>
        <w:ind w:left="520" w:right="360"/>
        <w:spacing w:after="0" w:line="263" w:lineRule="auto"/>
        <w:rPr>
          <w:sz w:val="20"/>
          <w:szCs w:val="20"/>
          <w:color w:val="auto"/>
        </w:rPr>
      </w:pPr>
      <w:r>
        <w:rPr>
          <w:rFonts w:ascii="Times New Roman" w:cs="Times New Roman" w:eastAsia="Times New Roman" w:hAnsi="Times New Roman"/>
          <w:sz w:val="18"/>
          <w:szCs w:val="18"/>
          <w:b w:val="1"/>
          <w:bCs w:val="1"/>
          <w:color w:val="auto"/>
        </w:rPr>
        <w:t>Study Name: A Study of Different Combination Regimens Including JNJ-73763989 and/or JNJ-56136379 for the Treatment of Chronic Hepatitis B Virus Infection (REEF-1)</w:t>
      </w:r>
    </w:p>
    <w:p>
      <w:pPr>
        <w:spacing w:after="0" w:line="1" w:lineRule="exact"/>
        <w:rPr>
          <w:sz w:val="20"/>
          <w:szCs w:val="20"/>
          <w:color w:val="auto"/>
        </w:rPr>
      </w:pPr>
    </w:p>
    <w:p>
      <w:pPr>
        <w:ind w:left="520" w:right="460"/>
        <w:spacing w:after="0" w:line="255" w:lineRule="auto"/>
        <w:rPr>
          <w:sz w:val="20"/>
          <w:szCs w:val="20"/>
          <w:color w:val="auto"/>
        </w:rPr>
      </w:pPr>
      <w:r>
        <w:rPr>
          <w:rFonts w:ascii="Times New Roman" w:cs="Times New Roman" w:eastAsia="Times New Roman" w:hAnsi="Times New Roman"/>
          <w:sz w:val="18"/>
          <w:szCs w:val="18"/>
          <w:color w:val="auto"/>
        </w:rPr>
        <w:t>A Phase 2b, Multicenter, Double-blind, Active-controlled, Randomized Study to Investigate the Efficacy and Safety of Different Combination Regimens Including JNJ-73763989 and/or JNJ-56136379 for the Treatment of Chronic Hepatitis B Virus Infection ClinicalTrials.gov Identifier: NCT03982186</w:t>
      </w:r>
    </w:p>
    <w:p>
      <w:pPr>
        <w:spacing w:after="0" w:line="290" w:lineRule="exact"/>
        <w:rPr>
          <w:sz w:val="20"/>
          <w:szCs w:val="20"/>
          <w:color w:val="auto"/>
        </w:rPr>
      </w:pPr>
    </w:p>
    <w:p>
      <w:pPr>
        <w:ind w:left="520" w:right="120"/>
        <w:spacing w:after="0" w:line="263" w:lineRule="auto"/>
        <w:rPr>
          <w:sz w:val="20"/>
          <w:szCs w:val="20"/>
          <w:color w:val="auto"/>
        </w:rPr>
      </w:pPr>
      <w:r>
        <w:rPr>
          <w:rFonts w:ascii="Times New Roman" w:cs="Times New Roman" w:eastAsia="Times New Roman" w:hAnsi="Times New Roman"/>
          <w:sz w:val="18"/>
          <w:szCs w:val="18"/>
          <w:b w:val="1"/>
          <w:bCs w:val="1"/>
          <w:color w:val="auto"/>
        </w:rPr>
        <w:t>Study Name: A Study of JNJ 73763989+JNJ 56136379+Nucleos(t)Ide Analog (NA) Regimen Compared to NA Alone in e Antigen Negative Virologically Suppressed Participants With Chronic Hepatitis B Virus Infection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Randomized, Double Blind, Placebo-controlled Phase 2b Study to Evaluate Efficacy, Pharmacokinetics, and Safety of 48-week Study</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Intervention With JNJ 73763989+JNJ 56136379+Nucleos(t)Ide Analog (NA) Regimen Compared to NA Alone in e Antigen Negative Virologically</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Suppressed Participants With Chronic Hepatitis B Virus Infection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NCT04129554</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A Study of JNJ-73763989 in Healthy Chinese Adult Participants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Randomized, Open-Label, Parallel, Single Dose Study to Investigate Pharmacokinetics, Safety, and Tolerability of JNJ-73763989 in Healthy</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Chinese Adult Participants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NCT04586439</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A Study to Evaluate the Effect of Hepatic Impairment on JNJ-73763989</w:t>
      </w:r>
    </w:p>
    <w:p>
      <w:pPr>
        <w:spacing w:after="0" w:line="31" w:lineRule="exact"/>
        <w:rPr>
          <w:sz w:val="20"/>
          <w:szCs w:val="20"/>
          <w:color w:val="auto"/>
        </w:rPr>
      </w:pPr>
    </w:p>
    <w:p>
      <w:pPr>
        <w:ind w:left="520" w:right="20"/>
        <w:spacing w:after="0" w:line="260" w:lineRule="auto"/>
        <w:rPr>
          <w:sz w:val="20"/>
          <w:szCs w:val="20"/>
          <w:color w:val="auto"/>
        </w:rPr>
      </w:pPr>
      <w:r>
        <w:rPr>
          <w:rFonts w:ascii="Times New Roman" w:cs="Times New Roman" w:eastAsia="Times New Roman" w:hAnsi="Times New Roman"/>
          <w:sz w:val="18"/>
          <w:szCs w:val="18"/>
          <w:color w:val="auto"/>
        </w:rPr>
        <w:t>A Phase 1, Single-Dose, Open-Label, Parallel-Group Study to Evaluate the Effect of Hepatic Impairment on the Pharmacokinetics of JNJ-73763989 ClinicalTrials.gov Identifier: NCT04208386</w:t>
      </w:r>
    </w:p>
    <w:p>
      <w:pPr>
        <w:spacing w:after="0" w:line="285" w:lineRule="exact"/>
        <w:rPr>
          <w:sz w:val="20"/>
          <w:szCs w:val="20"/>
          <w:color w:val="auto"/>
        </w:rPr>
      </w:pPr>
    </w:p>
    <w:p>
      <w:pPr>
        <w:ind w:left="520" w:right="40"/>
        <w:spacing w:after="0" w:line="263" w:lineRule="auto"/>
        <w:rPr>
          <w:sz w:val="20"/>
          <w:szCs w:val="20"/>
          <w:color w:val="auto"/>
        </w:rPr>
      </w:pPr>
      <w:r>
        <w:rPr>
          <w:rFonts w:ascii="Times New Roman" w:cs="Times New Roman" w:eastAsia="Times New Roman" w:hAnsi="Times New Roman"/>
          <w:sz w:val="18"/>
          <w:szCs w:val="18"/>
          <w:b w:val="1"/>
          <w:bCs w:val="1"/>
          <w:color w:val="auto"/>
        </w:rPr>
        <w:t>Study Name: A Study of JNJ-73763989 + Nucleos(t)Ide Analog in Participants Co-Infected With Hepatitis B and Hepatitis D Virus (REEF-D)</w:t>
      </w:r>
    </w:p>
    <w:p>
      <w:pPr>
        <w:spacing w:after="0" w:line="1" w:lineRule="exact"/>
        <w:rPr>
          <w:sz w:val="20"/>
          <w:szCs w:val="20"/>
          <w:color w:val="auto"/>
        </w:rPr>
      </w:pPr>
    </w:p>
    <w:p>
      <w:pPr>
        <w:ind w:left="520" w:right="160"/>
        <w:spacing w:after="0" w:line="255" w:lineRule="auto"/>
        <w:rPr>
          <w:sz w:val="20"/>
          <w:szCs w:val="20"/>
          <w:color w:val="auto"/>
        </w:rPr>
      </w:pPr>
      <w:r>
        <w:rPr>
          <w:rFonts w:ascii="Times New Roman" w:cs="Times New Roman" w:eastAsia="Times New Roman" w:hAnsi="Times New Roman"/>
          <w:sz w:val="18"/>
          <w:szCs w:val="18"/>
          <w:color w:val="auto"/>
        </w:rPr>
        <w:t>A Phase 2, Multicenter, Randomized, Double-blind, Placebo-Controlled Study With Deferred Active Treatment to Investigate the Efficacy, Safety, and Pharmacokinetics of JNJ-73763989 + Nucleos(t)Ide Analog in Participants Co-Infected With Hepatitis B and Hepatitis D Virus ClinicalTrials.gov Identifier: NCT04535544</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 w:name="page9"/>
    <w:bookmarkEnd w:id="8"/>
    <w:p>
      <w:pPr>
        <w:ind w:left="520" w:right="300"/>
        <w:spacing w:after="0" w:line="259" w:lineRule="auto"/>
        <w:rPr>
          <w:sz w:val="20"/>
          <w:szCs w:val="20"/>
          <w:color w:val="auto"/>
        </w:rPr>
      </w:pPr>
      <w:r>
        <w:rPr>
          <w:rFonts w:ascii="Times New Roman" w:cs="Times New Roman" w:eastAsia="Times New Roman" w:hAnsi="Times New Roman"/>
          <w:sz w:val="18"/>
          <w:szCs w:val="18"/>
          <w:b w:val="1"/>
          <w:bCs w:val="1"/>
          <w:color w:val="auto"/>
        </w:rPr>
        <w:t>Study Name: A Study of JNJ-73763989 + JNJ-56136379 + Nucleos(t)Ide Analog (NA) Regimen With or Without Pegylated Interferon Alpha-2a (PegIFN-α2a) in Treatment-Naive Participants With Hepatitis B e Antigen (HBeAg) Positive Chronic Hepatitis B Virus (HBV) Infection and Normal Alanine Aminotransferase (ALT)</w:t>
      </w:r>
    </w:p>
    <w:p>
      <w:pPr>
        <w:ind w:left="520" w:right="340"/>
        <w:spacing w:after="0" w:line="253" w:lineRule="auto"/>
        <w:rPr>
          <w:sz w:val="20"/>
          <w:szCs w:val="20"/>
          <w:color w:val="auto"/>
        </w:rPr>
      </w:pPr>
      <w:r>
        <w:rPr>
          <w:rFonts w:ascii="Times New Roman" w:cs="Times New Roman" w:eastAsia="Times New Roman" w:hAnsi="Times New Roman"/>
          <w:sz w:val="18"/>
          <w:szCs w:val="18"/>
          <w:color w:val="auto"/>
        </w:rPr>
        <w:t>A Phase 2, Randomized, Open-label, Multicenter Study to Evaluate Efficacy, Pharmacokinetics, Safety, and Tolerability of Response-guided Treatment With JNJ-73763989 + JNJ-56136379 + Nucleos(t)Ide Analog Regimen With or Without Pegylated Interferon Alpha-2a in Treatment-naive Patients With HBeAg Positive Chronic Hepatitis B Virus Infection and Normal ALT ClinicalTrials.gov Identifier: NCT04439539</w:t>
      </w:r>
    </w:p>
    <w:p>
      <w:pPr>
        <w:spacing w:after="0" w:line="293" w:lineRule="exact"/>
        <w:rPr>
          <w:sz w:val="20"/>
          <w:szCs w:val="20"/>
          <w:color w:val="auto"/>
        </w:rPr>
      </w:pPr>
    </w:p>
    <w:p>
      <w:pPr>
        <w:ind w:left="520" w:right="120"/>
        <w:spacing w:after="0" w:line="263" w:lineRule="auto"/>
        <w:rPr>
          <w:sz w:val="20"/>
          <w:szCs w:val="20"/>
          <w:color w:val="auto"/>
        </w:rPr>
      </w:pPr>
      <w:r>
        <w:rPr>
          <w:rFonts w:ascii="Times New Roman" w:cs="Times New Roman" w:eastAsia="Times New Roman" w:hAnsi="Times New Roman"/>
          <w:sz w:val="18"/>
          <w:szCs w:val="18"/>
          <w:b w:val="1"/>
          <w:bCs w:val="1"/>
          <w:color w:val="auto"/>
        </w:rPr>
        <w:t>Study Name: A Study to Assess Intrahepatic and Peripheral Changes of Immunologic and Virologic Markers in Chronic Hepatitis B Virus Infection (INSIGHT)</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Phase 2 Randomized, Open-label, Parallel-group, Multicenter Study to Assess Intrahepatic and Peripheral Changes of Immunologic and Virologic</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Markers in Response to Combination Regimens Containing JNJ-73763989 and Nucleos(t)Ide Analog With or Without JNJ-56136379 in Patients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Chronic Hepatitis B Virus Infection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ClinicalTrials.gov Identifier: NCT04585789</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ARO-JNJ1, ARO-JNJ2, and ARO-JNJ3</w:t>
      </w:r>
    </w:p>
    <w:p>
      <w:pPr>
        <w:spacing w:after="0" w:line="121" w:lineRule="exact"/>
        <w:rPr>
          <w:sz w:val="20"/>
          <w:szCs w:val="20"/>
          <w:color w:val="auto"/>
        </w:rPr>
      </w:pPr>
    </w:p>
    <w:p>
      <w:pPr>
        <w:ind w:right="900" w:firstLine="510"/>
        <w:spacing w:after="0" w:line="282" w:lineRule="auto"/>
        <w:rPr>
          <w:sz w:val="20"/>
          <w:szCs w:val="20"/>
          <w:color w:val="auto"/>
        </w:rPr>
      </w:pPr>
      <w:r>
        <w:rPr>
          <w:rFonts w:ascii="Times New Roman" w:cs="Times New Roman" w:eastAsia="Times New Roman" w:hAnsi="Times New Roman"/>
          <w:sz w:val="18"/>
          <w:szCs w:val="18"/>
          <w:color w:val="auto"/>
        </w:rPr>
        <w:t>ARO-JNJ1, ARO-JNJ2, and ARO-JNJ3 are being developed against undisclosed liver-expressed targets as part of Arrowhead’s research collaboration and option agreement with Janssen.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Amgen Inc. (“Amgen”) acquired a worldwide, exclusive license in September 2016 to develop and commercialize Olpasiran (previously referred to as AMG 890 or ARO-LPA). Under the terms of the agreements taken together for Olpasiran and ARO-AMG1, the Company received $35.0 million in upfront payments and $21.5 million in the form of an equity investment by Amgen in the Company’s Common Stock, and the Company was eligible to receive up to $617.0 million in option payments and development, regulatory and sales milestone payments. The Company remains eligible to receive up to an additional $400.0 million in remaining development, regulatory and sales milestone payments under the Olpasiran (ARO-LPA) agreement. Since signing the agreements, Arrowhead has received $30.0 million in developmental milestone payments from Amgen. The Company is further eligible to receive up to low double-digit royalties for sales of products under the Olpasiran (AMG 890, ARO-LPA) agreement.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Olpasiran (formerly AMG 890 and ARO-LPA)</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Olpasiran is designed to reduce production of apolipoprotein A, a key component of lipoprotein(a), which has been genetically linked with increased risk of cardiovascular diseases, independent of cholesterol and LDL levels. Amgen started a Phase 2 clinical study in July 2020 evaluating the efficacy, safety, and tolerability of Olpasiran in subjects with elevated levels of lipoprotein(a), triggering a $20 million milestone payment to Arrowhead. Amgen also reported Phase 1 clinical results at the American Heart Association Scientific Sessions conference in November 2020.</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17" w:lineRule="exact"/>
        <w:rPr>
          <w:sz w:val="20"/>
          <w:szCs w:val="20"/>
          <w:color w:val="auto"/>
        </w:rPr>
      </w:pPr>
    </w:p>
    <w:p>
      <w:pPr>
        <w:ind w:left="520" w:right="740"/>
        <w:spacing w:after="0" w:line="263" w:lineRule="auto"/>
        <w:rPr>
          <w:sz w:val="20"/>
          <w:szCs w:val="20"/>
          <w:color w:val="auto"/>
        </w:rPr>
      </w:pPr>
      <w:r>
        <w:rPr>
          <w:rFonts w:ascii="Times New Roman" w:cs="Times New Roman" w:eastAsia="Times New Roman" w:hAnsi="Times New Roman"/>
          <w:sz w:val="18"/>
          <w:szCs w:val="18"/>
          <w:b w:val="1"/>
          <w:bCs w:val="1"/>
          <w:color w:val="auto"/>
        </w:rPr>
        <w:t>Study Name: Safety, Tolerability, Pharmacokinetics and Pharmacodynamics Study of AMG 890 in Subjects With Elevated Plasma Lipoprotein(a)</w:t>
      </w:r>
    </w:p>
    <w:p>
      <w:pPr>
        <w:spacing w:after="0" w:line="1" w:lineRule="exact"/>
        <w:rPr>
          <w:sz w:val="20"/>
          <w:szCs w:val="20"/>
          <w:color w:val="auto"/>
        </w:rPr>
      </w:pPr>
    </w:p>
    <w:p>
      <w:pPr>
        <w:ind w:left="520" w:right="40"/>
        <w:spacing w:after="0" w:line="260" w:lineRule="auto"/>
        <w:rPr>
          <w:sz w:val="20"/>
          <w:szCs w:val="20"/>
          <w:color w:val="auto"/>
        </w:rPr>
      </w:pPr>
      <w:r>
        <w:rPr>
          <w:rFonts w:ascii="Times New Roman" w:cs="Times New Roman" w:eastAsia="Times New Roman" w:hAnsi="Times New Roman"/>
          <w:sz w:val="18"/>
          <w:szCs w:val="18"/>
          <w:color w:val="auto"/>
        </w:rPr>
        <w:t>A Phase 1, Randomized, Double-blind, Placebo-controlled, Single Ascending Dose Study to Evaluate the Safety, Tolerability, Pharmacokinetics and Pharmacodynamics of AMG 890 in Subjects With Elevated Plasma Lipoprotein(a) ClinicalTrials.gov Identifier: NCT03626662</w:t>
      </w:r>
    </w:p>
    <w:p>
      <w:pPr>
        <w:spacing w:after="0" w:line="200" w:lineRule="exact"/>
        <w:rPr>
          <w:sz w:val="20"/>
          <w:szCs w:val="20"/>
          <w:color w:val="auto"/>
        </w:rPr>
      </w:pP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Study Name: Randomized Study to Evaluate Efficacy, Safety, and Tolerability of AMG 890 in Subjects With Elevated Lipoprotein(a)</w:t>
      </w:r>
    </w:p>
    <w:p>
      <w:pPr>
        <w:spacing w:after="0" w:line="31" w:lineRule="exact"/>
        <w:rPr>
          <w:sz w:val="20"/>
          <w:szCs w:val="20"/>
          <w:color w:val="auto"/>
        </w:rPr>
      </w:pPr>
    </w:p>
    <w:p>
      <w:pPr>
        <w:ind w:left="520" w:right="160"/>
        <w:spacing w:after="0" w:line="260" w:lineRule="auto"/>
        <w:rPr>
          <w:sz w:val="20"/>
          <w:szCs w:val="20"/>
          <w:color w:val="auto"/>
        </w:rPr>
      </w:pPr>
      <w:r>
        <w:rPr>
          <w:rFonts w:ascii="Times New Roman" w:cs="Times New Roman" w:eastAsia="Times New Roman" w:hAnsi="Times New Roman"/>
          <w:sz w:val="18"/>
          <w:szCs w:val="18"/>
          <w:color w:val="auto"/>
        </w:rPr>
        <w:t>A Double-blind, Randomized, Placebo-controlled Phase 2 Study to Evaluate Efficacy, Safety, and Tolerability of AMG 890 (a GalNAc-conjugated Small Interfering RNA [siRNA]) in Subjects With Elevated Lipoprotein(a) ClinicalTrials.gov Identifier: NCT04270760</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RNA Interference &amp; the Benefits of RNAi Therapeutics</w:t>
      </w:r>
    </w:p>
    <w:p>
      <w:pPr>
        <w:spacing w:after="0" w:line="121"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RNAi-based therapeutics may leverage this natural pathway of gene silencing to target and shut down specific disease-causing genes.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p>
      <w:pPr>
        <w:ind w:firstLine="510"/>
        <w:spacing w:after="0" w:line="261" w:lineRule="auto"/>
        <w:rPr>
          <w:sz w:val="20"/>
          <w:szCs w:val="20"/>
          <w:color w:val="auto"/>
        </w:rPr>
      </w:pPr>
      <w:r>
        <w:rPr>
          <w:rFonts w:ascii="Times New Roman" w:cs="Times New Roman" w:eastAsia="Times New Roman" w:hAnsi="Times New Roman"/>
          <w:sz w:val="18"/>
          <w:szCs w:val="18"/>
          <w:color w:val="auto"/>
        </w:rPr>
        <w:t>Small molecule and antibody drugs have proven effective at inhibiting certain cell surface, intracellular, and extracellular targets. However, other drug targets have proven difficult to inhibit with traditional drug-based and biologic therapeutics. Developing effective drugs for these targets would have the potential to address large underserved markets for the treatment of many diseases. Using the ability to specifically silence any gene, RNAi therapeutics may be able to address previously “undruggable” targets, unlocking the market potential of such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125730</wp:posOffset>
            </wp:positionV>
            <wp:extent cx="4345940" cy="2905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594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0" w:name="page11"/>
    <w:bookmarkEnd w:id="10"/>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This figure depicts the mechanism by which gene silencing occurs. Double stranded RNAi triggers are introduced into a cell and get loaded into the RNA-induced silencing complex, (“RISC”). The strands are then separated, leaving an active RISC/RNAi trigger complex. This complex can then pair with and degrade the complementary messenger RNAs (“mRNA”) and stop the production of the target proteins. RNAi is a catalytic process, so each RNAi trigger can degrade mRNA hundreds of times, which results in a relatively long duration of effect for RNAi therapeutics.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Key Advantages of RNAi as a Therapeutic Modality</w:t>
      </w:r>
    </w:p>
    <w:p>
      <w:pPr>
        <w:spacing w:after="0" w:line="121" w:lineRule="exact"/>
        <w:rPr>
          <w:sz w:val="20"/>
          <w:szCs w:val="20"/>
          <w:color w:val="auto"/>
        </w:rPr>
      </w:pPr>
    </w:p>
    <w:p>
      <w:pPr>
        <w:ind w:left="880" w:hanging="37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Silences the expression of disease associated genes;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to address any target in the transcriptome including previously "undruggable" targets;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lead identification;</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specificity;</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use multiple RNA sequences in one drug product for synergistic silencing of related targets;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RNAi therapeutics are uniquely suited for personalized medicine through target and cell specific delivery and gene knockdown.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RNAi Molecule (TRiM</w:t>
      </w:r>
      <w:r>
        <w:rPr>
          <w:rFonts w:ascii="Times New Roman" w:cs="Times New Roman" w:eastAsia="Times New Roman" w:hAnsi="Times New Roman"/>
          <w:sz w:val="15"/>
          <w:szCs w:val="15"/>
          <w:b w:val="1"/>
          <w:bCs w:val="1"/>
          <w:i w:val="1"/>
          <w:iCs w:val="1"/>
          <w:color w:val="auto"/>
        </w:rPr>
        <w:t>TM</w:t>
      </w:r>
      <w:r>
        <w:rPr>
          <w:rFonts w:ascii="Times New Roman" w:cs="Times New Roman" w:eastAsia="Times New Roman" w:hAnsi="Times New Roman"/>
          <w:sz w:val="18"/>
          <w:szCs w:val="18"/>
          <w:b w:val="1"/>
          <w:bCs w:val="1"/>
          <w:i w:val="1"/>
          <w:iCs w:val="1"/>
          <w:color w:val="auto"/>
        </w:rPr>
        <w:t>) Platform</w:t>
      </w:r>
    </w:p>
    <w:p>
      <w:pPr>
        <w:spacing w:after="0" w:line="121"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Arrowhead’s Targeted RNAi Molecule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platform utilizes ligand-mediated delivery and is designed to enable tissue-specific targeting while being structurally simple. Targeting has been core to Arrowhead’s development philosophy and the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builds on more than a decade of work on actively targeted drug delivery vehicles. Arrowhead scientists have discovered ways to progressively “TRiM” away extraneous features and chemistries and retain optimal pharmacologic activity.</w:t>
      </w:r>
    </w:p>
    <w:p>
      <w:pPr>
        <w:spacing w:after="0" w:line="180"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comprises a highly potent RNA trigger identified using Arrowhead’s proprietary trigger selection rules and algorithms with the following components optimized, as needed, for each drug candidate: a high affinity targeting ligand; various linker and chemistries; structures that enhance pharmacokinetics; and highly potent RNAi triggers with sequence specific stabilization chemistries.</w:t>
      </w:r>
    </w:p>
    <w:p>
      <w:pPr>
        <w:spacing w:after="0" w:line="17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Therapeutics developed with the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offer several advantages: simplified manufacturing and reduced costs; multiple routes of administration; and potential for improved safety because there are less metabolites from smaller molecules, thereby reducing the risk of intracellular buildup. At Arrowhead, we also believe that for RNAi to reach its true potential, it must target organs outside the liver. Arrowhead is leading this expansion with the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which has shown the potential to reach multiple tissues, including liver, lung, tumor, muscle and others.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88900</wp:posOffset>
            </wp:positionV>
            <wp:extent cx="5340350" cy="3754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40350"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RNA Chemistries</w:t>
      </w:r>
    </w:p>
    <w:p>
      <w:pPr>
        <w:spacing w:after="0" w:line="121"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structure and chemistries of the oligonucleotide molecules used to trigger the RNAi mechanism can be tailored for optimal activity. Arrowhead’s broad portfolio of RNA trigger structures and chemistries, including some proprietary structures, enable the company to optimize each drug candidate on a target-by-target basis and utilize the combination of structure and chemical modifications that yield the most potent RNAi trigger.</w:t>
      </w:r>
    </w:p>
    <w:p>
      <w:pPr>
        <w:spacing w:after="0" w:line="17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As a component of the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Arrowhead’s design philosophy for RNA chemical modifications is to start with a structurally simple molecule and add only selective modification and stabilization chemistries as necessary to achieve the desired level of target knockdown and duration of effect. The conceptual framework for the stabilization strategy starts with a more sophisticated RNAi trigger screening and selection process that identifies potent sequences rapidly in locations that others may miss.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Facility</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Arrowhead’s research and development operations are primarily located in Madison, Wisconsin, and San Diego, California. Substantially all of the Company’s assets are located either in these facilities or in our corporate headquarters in Pasadena. A summary of our research and development resources is provided below:</w:t>
      </w:r>
    </w:p>
    <w:p>
      <w:pPr>
        <w:spacing w:after="0" w:line="68" w:lineRule="exact"/>
        <w:rPr>
          <w:sz w:val="20"/>
          <w:szCs w:val="20"/>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 R&amp;D personnel as of September 30, 2020;</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State-of-the-art laboratories consisting of 121,000 total sq. ft.;</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small animal facilities;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Primate colony housed at the Wisconsin National Primate Research Center, an affiliate of the University of Wisconsin;</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histopathology capabilities;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models for cardio metabolic, viral, lung, and oncologic diseases;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efficacy and safety assessment;</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drug manufacturing capabilities to produce GMP material;</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Polymer, peptide, oligonucleotide and small molecule synthesis and analytics capabilities (HPLC, NMR, MS, etc.);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 w:name="page13"/>
    <w:bookmarkEnd w:id="12"/>
    <w:p>
      <w:pPr>
        <w:ind w:left="880" w:hanging="373"/>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Polymer, peptide and oligonucleotide PK, biodistribution, clearance methodologies;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Conventional and confocal microscopy, flow cytometry, Luminex platform, qRT-PCR and clinical chemistry analytics.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and Key Agreements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Company controls approximately 398 issued patents (including 250 directed to RNAi trigger molecules; 35 directed to targeting groups or targeting compounds; and 5 for hydrodynamic gene delivery), including European validations, and approximately 548 currently pending patent applications worldwide from 57 different patent families. The Company’s patent applications have been filed throughout the world, including, in the United States, Argentina, ARIPO (Africa Regional Intellectual Property Organization), Australia, Brazil, Canada, Chile, China, Eurasian Patent Organization, Europe, GCC (Gulf Cooperation Council), Hong Kong, Israel, India, Indonesia, Iraq, Jordan, Japan, Republic of Korea, Lebanon, Mexico, New Zealand, OAPI (African Intellectual Property Organization), Peru, Philippines, Russian Federation, Saudi Arabia, Singapore, Thailand, Taiwan, Uruguay, Venezuela, Vietnam, and South Africa.</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RNAi Triggers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owns issued patents or has filed patent applications directed to RNAi trigger molecules, which serve as the foundation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Arrowhead’s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and are targeted to reduce expression of various gene targets, including the following:</w:t>
      </w:r>
    </w:p>
    <w:p>
      <w:pPr>
        <w:spacing w:after="0" w:line="232" w:lineRule="exact"/>
        <w:rPr>
          <w:sz w:val="20"/>
          <w:szCs w:val="20"/>
          <w:color w:val="auto"/>
        </w:rPr>
      </w:pPr>
    </w:p>
    <w:tbl>
      <w:tblPr>
        <w:tblLayout w:type="fixed"/>
        <w:tblInd w:w="530" w:type="dxa"/>
        <w:tblCellMar>
          <w:top w:w="0" w:type="dxa"/>
          <w:left w:w="0" w:type="dxa"/>
          <w:bottom w:w="0" w:type="dxa"/>
          <w:right w:w="0" w:type="dxa"/>
        </w:tblCellMar>
      </w:tblPr>
      <w:tr>
        <w:trPr>
          <w:trHeight w:val="229"/>
        </w:trPr>
        <w:tc>
          <w:tcPr>
            <w:tcW w:w="534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Patent Group</w:t>
            </w:r>
          </w:p>
        </w:tc>
        <w:tc>
          <w:tcPr>
            <w:tcW w:w="370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Estimated Year(s) of Expiration*</w:t>
            </w:r>
          </w:p>
        </w:tc>
      </w:tr>
      <w:tr>
        <w:trPr>
          <w:trHeight w:val="209"/>
        </w:trPr>
        <w:tc>
          <w:tcPr>
            <w:tcW w:w="5340" w:type="dxa"/>
            <w:vAlign w:val="bottom"/>
            <w:tcBorders>
              <w:left w:val="single" w:sz="8" w:color="auto"/>
              <w:bottom w:val="single" w:sz="8" w:color="auto"/>
              <w:right w:val="single" w:sz="8" w:color="EEECE1"/>
            </w:tcBorders>
            <w:shd w:val="clear" w:color="auto" w:fill="EEECE1"/>
          </w:tcPr>
          <w:p>
            <w:pPr>
              <w:ind w:left="540"/>
              <w:spacing w:after="0"/>
              <w:rPr>
                <w:sz w:val="20"/>
                <w:szCs w:val="20"/>
                <w:color w:val="auto"/>
              </w:rPr>
            </w:pPr>
            <w:r>
              <w:rPr>
                <w:rFonts w:ascii="Times New Roman" w:cs="Times New Roman" w:eastAsia="Times New Roman" w:hAnsi="Times New Roman"/>
                <w:sz w:val="18"/>
                <w:szCs w:val="18"/>
                <w:b w:val="1"/>
                <w:bCs w:val="1"/>
                <w:color w:val="auto"/>
              </w:rPr>
              <w:t>RNAi Triggers Gene Target</w:t>
            </w:r>
          </w:p>
        </w:tc>
        <w:tc>
          <w:tcPr>
            <w:tcW w:w="370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HBV</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2032, 2036, 2037</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AAT</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2035, 2038</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LPA</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2036</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Factor 12</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2036, 2038</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HIF2α</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2034, 2036, 2040</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RRM2</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2031</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APOC3</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2035, 2038</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ANGPTL3</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2038</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HSD17B13</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2039</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α-ENaC</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2028, 2038</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β-ENaC</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β-Catenin</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2033</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Cx43</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2029</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HCV</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HIF1A</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2026</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HRH1</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2027</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HSF1</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2030, 2032</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FRP-1</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2026</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KRAS</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2033</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PDtype4</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2026</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PI4Kinase</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2028</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SYK</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2027</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TNF-α</w:t>
            </w:r>
          </w:p>
        </w:tc>
        <w:tc>
          <w:tcPr>
            <w:tcW w:w="37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2027, 2028</w:t>
            </w: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*Assuming issuance of any pending patent applications.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Delivery Technologies</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delivery technology-related patents and patent applications, which include components used in Arrowhead’s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have been filed and/or issued in various jurisdictions worldwide including the United States, Argentina, Australia, Brazil, Canada, China, Eurasian Patent Organization, Europe (including validations in France, Germany, Italy, Spain, Switzerland, United Kingdom), GCC (Gulf Cooperation Council), Israel, India, Japan, Lebanon, Mexico, New Zealand, Philippines, Russia, South Korea, Singapore, Taiwan, Uruguay, and South Africa. The Company also controls a number of patents directed to hydrodynamic nucleic acid delivery, which issued in the United States, Australia and Europe (validated in Austria, Belgium, Switzerland, Germany,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right="80"/>
        <w:spacing w:after="0" w:line="282" w:lineRule="auto"/>
        <w:rPr>
          <w:sz w:val="20"/>
          <w:szCs w:val="20"/>
          <w:color w:val="auto"/>
        </w:rPr>
      </w:pPr>
      <w:r>
        <w:rPr>
          <w:rFonts w:ascii="Times New Roman" w:cs="Times New Roman" w:eastAsia="Times New Roman" w:hAnsi="Times New Roman"/>
          <w:sz w:val="18"/>
          <w:szCs w:val="18"/>
          <w:color w:val="auto"/>
        </w:rPr>
        <w:t>Denmark, Spain, Finland, France, the United Kingdom, Hungary, Ireland, Italy, Netherlands and Sweden). The approximate year of expiration for each of these various groups of patents are set forth below:</w:t>
      </w:r>
    </w:p>
    <w:p>
      <w:pPr>
        <w:spacing w:after="0" w:line="187" w:lineRule="exact"/>
        <w:rPr>
          <w:sz w:val="20"/>
          <w:szCs w:val="20"/>
          <w:color w:val="auto"/>
        </w:rPr>
      </w:pPr>
    </w:p>
    <w:tbl>
      <w:tblPr>
        <w:tblLayout w:type="fixed"/>
        <w:tblInd w:w="530" w:type="dxa"/>
        <w:tblCellMar>
          <w:top w:w="0" w:type="dxa"/>
          <w:left w:w="0" w:type="dxa"/>
          <w:bottom w:w="0" w:type="dxa"/>
          <w:right w:w="0" w:type="dxa"/>
        </w:tblCellMar>
      </w:tblPr>
      <w:tr>
        <w:trPr>
          <w:trHeight w:val="229"/>
        </w:trPr>
        <w:tc>
          <w:tcPr>
            <w:tcW w:w="532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Patent Group</w:t>
            </w:r>
          </w:p>
        </w:tc>
        <w:tc>
          <w:tcPr>
            <w:tcW w:w="372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Estimated Year(s) of Expiration*</w:t>
            </w:r>
          </w:p>
        </w:tc>
      </w:tr>
      <w:tr>
        <w:trPr>
          <w:trHeight w:val="210"/>
        </w:trPr>
        <w:tc>
          <w:tcPr>
            <w:tcW w:w="5320" w:type="dxa"/>
            <w:vAlign w:val="bottom"/>
            <w:tcBorders>
              <w:left w:val="single" w:sz="8" w:color="auto"/>
              <w:bottom w:val="single" w:sz="8" w:color="auto"/>
              <w:right w:val="single" w:sz="8" w:color="EEECE1"/>
            </w:tcBorders>
            <w:shd w:val="clear" w:color="auto" w:fill="EEECE1"/>
          </w:tcPr>
          <w:p>
            <w:pPr>
              <w:ind w:left="540"/>
              <w:spacing w:after="0"/>
              <w:rPr>
                <w:sz w:val="20"/>
                <w:szCs w:val="20"/>
                <w:color w:val="auto"/>
              </w:rPr>
            </w:pPr>
            <w:r>
              <w:rPr>
                <w:rFonts w:ascii="Times New Roman" w:cs="Times New Roman" w:eastAsia="Times New Roman" w:hAnsi="Times New Roman"/>
                <w:sz w:val="18"/>
                <w:szCs w:val="18"/>
                <w:b w:val="1"/>
                <w:bCs w:val="1"/>
                <w:color w:val="auto"/>
              </w:rPr>
              <w:t>Targeting ligands and other RNAi delivery technologies</w:t>
            </w:r>
          </w:p>
        </w:tc>
        <w:tc>
          <w:tcPr>
            <w:tcW w:w="372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09"/>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 xml:space="preserve">Targeting groups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Galactose derivative trimer-PK</w:t>
            </w:r>
            <w:r>
              <w:rPr>
                <w:rFonts w:ascii="Times New Roman" w:cs="Times New Roman" w:eastAsia="Times New Roman" w:hAnsi="Times New Roman"/>
                <w:sz w:val="18"/>
                <w:szCs w:val="18"/>
                <w:i w:val="1"/>
                <w:iCs w:val="1"/>
                <w:color w:val="auto"/>
              </w:rPr>
              <w:t>)</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Targeting groups (αvβ3 integrin)</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2034, 2039, 2039</w:t>
            </w:r>
          </w:p>
        </w:tc>
      </w:tr>
      <w:tr>
        <w:trPr>
          <w:trHeight w:val="209"/>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Targeting groups (αvβ6 integrin)</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2037, 2038</w:t>
            </w:r>
          </w:p>
        </w:tc>
      </w:tr>
      <w:tr>
        <w:trPr>
          <w:trHeight w:val="209"/>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Targeting groups (Galactose derivative ligands)</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2037, 2037</w:t>
            </w:r>
          </w:p>
        </w:tc>
      </w:tr>
      <w:tr>
        <w:trPr>
          <w:trHeight w:val="210"/>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RNAi agent design (5′-phosphate mimic)</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2037</w:t>
            </w:r>
          </w:p>
        </w:tc>
      </w:tr>
      <w:tr>
        <w:trPr>
          <w:trHeight w:val="209"/>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Physiologically labile linkers</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2036</w:t>
            </w:r>
          </w:p>
        </w:tc>
      </w:tr>
      <w:tr>
        <w:trPr>
          <w:trHeight w:val="209"/>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Biologically cleavable linkers</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2036</w:t>
            </w:r>
          </w:p>
        </w:tc>
      </w:tr>
      <w:tr>
        <w:trPr>
          <w:trHeight w:val="210"/>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Trialkyne linkers</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2039</w:t>
            </w:r>
          </w:p>
        </w:tc>
      </w:tr>
      <w:tr>
        <w:trPr>
          <w:trHeight w:val="209"/>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Transferrin targeting</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2028</w:t>
            </w:r>
          </w:p>
        </w:tc>
      </w:tr>
      <w:tr>
        <w:trPr>
          <w:trHeight w:val="210"/>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LDLR targeting</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2028</w:t>
            </w:r>
          </w:p>
        </w:tc>
      </w:tr>
      <w:tr>
        <w:trPr>
          <w:trHeight w:val="209"/>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Peptide targeting (CPP-Arg)</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2028</w:t>
            </w:r>
          </w:p>
        </w:tc>
      </w:tr>
      <w:tr>
        <w:trPr>
          <w:trHeight w:val="209"/>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Peptide targeting (YM3-10H)</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2032</w:t>
            </w:r>
          </w:p>
        </w:tc>
      </w:tr>
      <w:tr>
        <w:trPr>
          <w:trHeight w:val="210"/>
        </w:trPr>
        <w:tc>
          <w:tcPr>
            <w:tcW w:w="5320" w:type="dxa"/>
            <w:vAlign w:val="bottom"/>
            <w:tcBorders>
              <w:left w:val="single" w:sz="8" w:color="auto"/>
              <w:bottom w:val="single" w:sz="8" w:color="auto"/>
            </w:tcBorders>
          </w:tcPr>
          <w:p>
            <w:pPr>
              <w:spacing w:after="0"/>
              <w:rPr>
                <w:sz w:val="18"/>
                <w:szCs w:val="18"/>
                <w:color w:val="auto"/>
              </w:rPr>
            </w:pPr>
          </w:p>
        </w:tc>
        <w:tc>
          <w:tcPr>
            <w:tcW w:w="3720" w:type="dxa"/>
            <w:vAlign w:val="bottom"/>
            <w:tcBorders>
              <w:bottom w:val="single" w:sz="8" w:color="auto"/>
              <w:right w:val="single" w:sz="8" w:color="auto"/>
            </w:tcBorders>
          </w:tcPr>
          <w:p>
            <w:pPr>
              <w:spacing w:after="0"/>
              <w:rPr>
                <w:sz w:val="18"/>
                <w:szCs w:val="18"/>
                <w:color w:val="auto"/>
              </w:rPr>
            </w:pPr>
          </w:p>
        </w:tc>
      </w:tr>
      <w:tr>
        <w:trPr>
          <w:trHeight w:val="209"/>
        </w:trPr>
        <w:tc>
          <w:tcPr>
            <w:tcW w:w="5320" w:type="dxa"/>
            <w:vAlign w:val="bottom"/>
            <w:tcBorders>
              <w:left w:val="single" w:sz="8" w:color="auto"/>
              <w:bottom w:val="single" w:sz="8" w:color="auto"/>
              <w:right w:val="single" w:sz="8" w:color="EEECE1"/>
            </w:tcBorders>
            <w:shd w:val="clear" w:color="auto" w:fill="EEECE1"/>
          </w:tcPr>
          <w:p>
            <w:pPr>
              <w:ind w:left="540"/>
              <w:spacing w:after="0"/>
              <w:rPr>
                <w:sz w:val="20"/>
                <w:szCs w:val="20"/>
                <w:color w:val="auto"/>
              </w:rPr>
            </w:pPr>
            <w:r>
              <w:rPr>
                <w:rFonts w:ascii="Times New Roman" w:cs="Times New Roman" w:eastAsia="Times New Roman" w:hAnsi="Times New Roman"/>
                <w:sz w:val="18"/>
                <w:szCs w:val="18"/>
                <w:b w:val="1"/>
                <w:bCs w:val="1"/>
                <w:color w:val="auto"/>
              </w:rPr>
              <w:t>Hydrodynamic delivery</w:t>
            </w:r>
          </w:p>
        </w:tc>
        <w:tc>
          <w:tcPr>
            <w:tcW w:w="372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Second iteration</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2020</w:t>
            </w:r>
          </w:p>
        </w:tc>
      </w:tr>
      <w:tr>
        <w:trPr>
          <w:trHeight w:val="210"/>
        </w:trPr>
        <w:tc>
          <w:tcPr>
            <w:tcW w:w="5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Third iteration</w:t>
            </w:r>
          </w:p>
        </w:tc>
        <w:tc>
          <w:tcPr>
            <w:tcW w:w="37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2024</w:t>
            </w: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*Assuming issuance of any pending patent applications.</w:t>
      </w:r>
    </w:p>
    <w:p>
      <w:pPr>
        <w:spacing w:after="0" w:line="225"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RNAi and drug delivery patent landscapes are complex and rapidly evolving. As such, we may need to obtain additional patent licenses prior to commercialization of our candidates. You should review the factors identified in “Risk Factors” in Part I, Item 1A of this Annual Report on Form 10-K.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Non-Exclusively Licensed Patent Rights obtained from Roche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21, 2011, Arrowhead acquired the RNAi therapeutics business of Hoffmann-La Roche, Inc. and F. Hoffmann-La Roche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“Roche”). The acquisition provided us with two primary sources of value:</w:t>
      </w:r>
    </w:p>
    <w:p>
      <w:pPr>
        <w:spacing w:after="0" w:line="99" w:lineRule="exact"/>
        <w:rPr>
          <w:sz w:val="20"/>
          <w:szCs w:val="20"/>
          <w:color w:val="auto"/>
        </w:rPr>
      </w:pPr>
    </w:p>
    <w:p>
      <w:pPr>
        <w:ind w:left="880" w:right="260" w:hanging="373"/>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freedom to operate with respect to key patents directed to the primary RNAi-trigger formats: canonical, UNA, meroduplex, and dicer substrate structures;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team of scientists experienced in RNAi and oligonucleotide delivery.</w:t>
      </w:r>
    </w:p>
    <w:p>
      <w:pPr>
        <w:spacing w:after="0" w:line="22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Pursuant to this acquisition, Roche assigned to Arrowhead its entire rights under certain licenses including: the License and Collaboration Agreement between Roche and Alnylam Pharmaceuticals, Inc. (“Alnylam”) dated July 8, 2007 (the “Alnylam License”); the Non-Exclusive Patent License Agreement between Roche and MDRNA, Inc. dated February 12, 2009 (“MDRNA License”); and the Non-Exclusive License Agreement between Roche and City of Hope dated September 19, 2011 (the “COH License”) (collectively the “RNAi Licenses”).</w:t>
      </w:r>
    </w:p>
    <w:p>
      <w:pPr>
        <w:spacing w:after="0" w:line="180"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The RNAi Licenses include licenses to patents related to modifications of double-stranded oligonucleotides, including modifications to the base, sugar, or internucleoside linkage, nucleotide mimetics, and end modifications, which do not abolish the RNAi activity of the double-stranded oligonucleotides. Also included are patents relating to modified double-stranded oligonucleotides, such as meroduplexes described in U.S. Patent No. 9,074,205 assigned to Marina Biotech (f/k/a MDRNA, Inc.), as well as U.S. Patent Nos. 8,314,227, 9,051,570, and 9,303,260 related to unlocked nucleotide analogs (“UNA”). The UNA patents were assigned by Marina Biotech to Arcturus Therapeutics, Inc., but remain part of the MDRNA License. The RNAi Licenses further include patents related to dicer substrates and uses of the double-stranded oligonucleotides that function through the mechanism of RNA interference, such as described in City of Hope’s U.S. Patent Nos. 8,084,599, 8,658,356, 8,691,786, 8,796,444, 8,809,515, and 9,518,262.</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2012 License to Alnylam</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 consideration for licenses obtained from Alnylam to certain RNAi intellectual property, in January 2012, we granted Alnylam a worldwide non-exclusive, sublicensable royalty-bearing license under our broad and target-specific DPC intellectual property rights to research, develop and commercialize RNAi-based products against a single undisclosed target in combination with DPC technology. Under the license to Alnylam, Alnylam may be obligated to pay us development and sales milestone payments of up 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4" w:name="page15"/>
    <w:bookmarkEnd w:id="14"/>
    <w:p>
      <w:pPr>
        <w:ind w:right="80"/>
        <w:spacing w:after="0" w:line="282" w:lineRule="auto"/>
        <w:rPr>
          <w:sz w:val="20"/>
          <w:szCs w:val="20"/>
          <w:color w:val="auto"/>
        </w:rPr>
      </w:pPr>
      <w:r>
        <w:rPr>
          <w:rFonts w:ascii="Times New Roman" w:cs="Times New Roman" w:eastAsia="Times New Roman" w:hAnsi="Times New Roman"/>
          <w:sz w:val="18"/>
          <w:szCs w:val="18"/>
          <w:color w:val="auto"/>
        </w:rPr>
        <w:t>the low double-digit millions of dollars for each licensed product that progresses through clinical trials, receives marketing approval and is the subject of a first commercial sale. Additionally, Alnylam may be obligated to pay us low single-digit percentage royalties on sales of such products.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of Assets from Novartis</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On March 3, 2015, the Company entered into an Asset Purchase and Exclusive License Agreement (the “RNAi Purchase Agreement”) with Novartis pursuant to which the Company acquired Novartis’ RNAi assets and rights thereunder. Pursuant to the RNAi Purchase Agreement, the Company acquired or was granted a license to certain patents and patent applications owned or controlled by Novartis related to RNAi therapeutics, was assigned Novartis’s rights under a license from Alnylam (the “Alnylam-Novartis License”) and acquired a license to certain additional Novartis assets (the “Licensed Novartis Assets”). The patents acquired from Novartis include multiple patent families covering delivery technologies and RNAi-trigger design rules and modifications. The Licensed Novartis Assets include an exclusive, worldwide right and license, solely in the RNAi field, with the right to grant sublicenses through multiple tiers under or with respect to certain patent rights and know how relating to delivery technologies and RNAi-trigger design rules and modifications. Under the assigned Alnylam-Novartis License, the Company acquired a worldwide, royalty-bearing, exclusive license with limited sublicensing rights to existing and future Alnylam intellectual property (including intellectual property that came under Alnylam’s control on or before March 31, 2016), excluding intellectual property concerning delivery technology, to research, develop and commercialize 30 undisclosed gene targets.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Cardiovascular Collaboration and License Agreements with Amgen</w:t>
      </w:r>
    </w:p>
    <w:p>
      <w:pPr>
        <w:spacing w:after="0" w:line="121" w:lineRule="exact"/>
        <w:rPr>
          <w:sz w:val="20"/>
          <w:szCs w:val="20"/>
          <w:color w:val="auto"/>
        </w:rPr>
      </w:pPr>
    </w:p>
    <w:p>
      <w:pPr>
        <w:ind w:right="20" w:firstLine="510"/>
        <w:spacing w:after="0" w:line="267" w:lineRule="auto"/>
        <w:rPr>
          <w:sz w:val="20"/>
          <w:szCs w:val="20"/>
          <w:color w:val="auto"/>
        </w:rPr>
      </w:pPr>
      <w:r>
        <w:rPr>
          <w:rFonts w:ascii="Times New Roman" w:cs="Times New Roman" w:eastAsia="Times New Roman" w:hAnsi="Times New Roman"/>
          <w:sz w:val="17"/>
          <w:szCs w:val="17"/>
          <w:color w:val="auto"/>
        </w:rPr>
        <w:t>On September 28, 2016, the Company entered into two Collaboration and License agreements and a Common Stock Purchase Agreement with Amgen. Under the First Collaboration and License Agreement, Amgen received an option to a worldwide, exclusive license to ARO-AMG1</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an RNAi therapy for an undisclosed genetically validated cardiovascular target. Under the Second Collaboration and License agreement, Amgen received a worldwide, exclusive license to Arrowhead’s novel, RNAi AMG 890 (ARO-LPA) program, now referred to as Olpasiran. The Olpasiran RNAi molecules are designed to reduce elevated lipoprotein(a), which is a genetically validated, independent risk factor for atherosclerotic cardiovascular disease. In both agreements, Amgen is wholly responsible for clinical development and commercialization. Under the terms of the agreements taken together, the Company has received $35 million in upfront payments and $21.5 million in the form of an equity investment by Amgen in the Company’s Common Stock. The Company was eligible to receive up to $617.0 million in option payments and development, regulatory and sales milestone payments. In August 2018, the Company received a $10.0 million milestone payment from Amgen following the administration of the first dose of Olpasiran in a phase 1 clinical</w:t>
      </w:r>
    </w:p>
    <w:p>
      <w:pPr>
        <w:spacing w:after="0" w:line="5" w:lineRule="exact"/>
        <w:rPr>
          <w:sz w:val="20"/>
          <w:szCs w:val="20"/>
          <w:color w:val="auto"/>
        </w:rPr>
      </w:pPr>
    </w:p>
    <w:p>
      <w:pPr>
        <w:ind w:right="540"/>
        <w:spacing w:after="0" w:line="253" w:lineRule="auto"/>
        <w:rPr>
          <w:sz w:val="20"/>
          <w:szCs w:val="20"/>
          <w:color w:val="auto"/>
        </w:rPr>
      </w:pPr>
      <w:r>
        <w:rPr>
          <w:rFonts w:ascii="Times New Roman" w:cs="Times New Roman" w:eastAsia="Times New Roman" w:hAnsi="Times New Roman"/>
          <w:sz w:val="18"/>
          <w:szCs w:val="18"/>
          <w:color w:val="auto"/>
        </w:rPr>
        <w:t>study. In July 2020, the Company received a $20.0 million milestone payment from Amgen following the initiation of a Phase 2 clinical study of Olpasiran. The Company remains eligible to receive up to an additional $400.0 million in remaining development, regulatory and sales milestone payments under the Olpasiran agreement. The Company is further eligible to receive up to low double-digit royalties for sales of products under the Olpasiran agreement.</w:t>
      </w:r>
    </w:p>
    <w:p>
      <w:pPr>
        <w:spacing w:after="0" w:line="18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In August 2018, Arrowhead delivered to Amgen a candidate that met or exceeded the activity and safety requirements stipulated in the ARO-AMG1 collaboration agreement. The option period expired on August 7, 2019 and Amgen advised Arrowhead that it did not intend to exercise its option.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License and Research Collaboration Agreements with Janssen Pharmaceuticals, Inc.</w:t>
      </w:r>
    </w:p>
    <w:p>
      <w:pPr>
        <w:spacing w:after="0" w:line="121" w:lineRule="exact"/>
        <w:rPr>
          <w:sz w:val="20"/>
          <w:szCs w:val="20"/>
          <w:color w:val="auto"/>
        </w:rPr>
      </w:pPr>
    </w:p>
    <w:p>
      <w:pPr>
        <w:jc w:val="both"/>
        <w:ind w:right="400" w:firstLine="510"/>
        <w:spacing w:after="0" w:line="266" w:lineRule="auto"/>
        <w:rPr>
          <w:sz w:val="20"/>
          <w:szCs w:val="20"/>
          <w:color w:val="auto"/>
        </w:rPr>
      </w:pPr>
      <w:r>
        <w:rPr>
          <w:rFonts w:ascii="Times New Roman" w:cs="Times New Roman" w:eastAsia="Times New Roman" w:hAnsi="Times New Roman"/>
          <w:sz w:val="18"/>
          <w:szCs w:val="18"/>
          <w:color w:val="auto"/>
        </w:rPr>
        <w:t>On October 3, 2018, the Company entered into a License Agreement (“Janssen License Agreement”) and a Research Collaboration and Option Agreement (“Janssen Collaboration Agreement”) with Janssen. The Company also entered into a Stock Purchase Agreement (“JJDC Stock Purchase Agreement”) with JJDC.</w:t>
      </w:r>
    </w:p>
    <w:p>
      <w:pPr>
        <w:spacing w:after="0" w:line="176" w:lineRule="exact"/>
        <w:rPr>
          <w:sz w:val="20"/>
          <w:szCs w:val="20"/>
          <w:color w:val="auto"/>
        </w:rPr>
      </w:pPr>
    </w:p>
    <w:p>
      <w:pPr>
        <w:ind w:right="380" w:firstLine="510"/>
        <w:spacing w:after="0" w:line="261" w:lineRule="auto"/>
        <w:rPr>
          <w:sz w:val="20"/>
          <w:szCs w:val="20"/>
          <w:color w:val="auto"/>
        </w:rPr>
      </w:pPr>
      <w:r>
        <w:rPr>
          <w:rFonts w:ascii="Times New Roman" w:cs="Times New Roman" w:eastAsia="Times New Roman" w:hAnsi="Times New Roman"/>
          <w:sz w:val="18"/>
          <w:szCs w:val="18"/>
          <w:color w:val="auto"/>
        </w:rPr>
        <w:t>Under the Janssen License Agreement, Janssen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Janssen is wholly responsible for further clinical development and commercialization of JNJ-3989 (ARO-HBV).</w:t>
      </w:r>
    </w:p>
    <w:p>
      <w:pPr>
        <w:spacing w:after="0" w:line="180"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Under the Janssen Collaboration Agreement, Janssen will be able to select up to three new targets against which the Company will develop clinical candidates. These candidates are subject to certain restrictions and do not include candidates that were already in the Company’s pipeline. The Company will perform discovery, optimization and preclinical development on selected targets, entirely funded by Janssen, which on its own or in combination with Janssen development work, is sufficient to allow the filing of a U.S. Investigational New Drug application or equivalent, at which time Janssen will have the option to take an exclusive license to the Company’s intellectual property rights covering that compound. If the option is exercised, Janssen will be wholly responsible for clinical development and commercialization of each optioned compound.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5" w:name="page16"/>
    <w:bookmarkEnd w:id="15"/>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Under the terms of the agreements taken together, the Company has received (i) $175.0 million as an upfront payment, (ii) $75.0 million in the form of an equity investment by JJDC in the Company’s common stock at a price of $23.00 per share, (iii) two developmental milestone payments of $25 million each for clinical study programs achieved, and may receive (iv) up to $1.6 billion in development and sales milestones payments for the Janssen License Agreement, and (v) up to $1.9 billion in development and sales milestone payments for the three additional targets covered under the Janssen Collaboration Agreement. The Company is further eligible to receive tiered royalties up to mid-teens under the Janssen License agreement and up to low teens under the Janssen Collaboration Agreement on product sales.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Research Collaboration Agreements with Takeda Pharmaceuticals U.S.A., Inc.</w:t>
      </w:r>
    </w:p>
    <w:p>
      <w:pPr>
        <w:spacing w:after="0" w:line="12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On October 7, 2020, the Company entered into an Exclusive License and Co-Funding Agreement (the “Takeda License Agreement”) with Takeda Pharmaceuticals U.S.A., Inc.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The Company will receive $300.0 million as an upfront payment and is eligible to receive potential development, regulatory and commercial milestones of up to $740.0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levels, and in other countries and jurisdictions, including the European Union, extensively regulate, among other things, the research, development, testing, product approval, manufacture, quality control, manufacturing changes, packaging, storage, recordkeeping, labeling, promotion, advertising, sales, distribution, marketing, and import and export of drugs and biologic products. All of our foreseeable product candidates are expected to be regulated as drugs. The processes for obtaining regulatory approval in the United States and in foreign countries and jurisdictions, along with compliance with applicable statutes and regulations and other regulatory authorities both pre-and post-commercialization, are a significant factor in the production and marketing of our products and our R&amp;D activities and require the expenditure of substantial time and financial resources.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Review and Approval of Drugs in the United States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the United States, the FDA and other government entities regulate drugs under the Federal Food, Drug, and Cosmetic Act (the “FDCA”), the Public Health Service Act, and the regulations promulgated under those statutes, as well as other federal and state statutes and regulations. Failure to comply with applicable legal and regulatory requirements in the United States at any time during the product development process, approval process, or after approval, may subject us to a variety of administrative or judicial sanctions, such as a delay in approving or refusal by the FDA to approve pending applications, withdrawal of approvals, delay or suspension of clinical trials, issuance of warning letters and other types of regulatory letters, product recalls, product seizures, total or partial suspension of production or distribution, injunctions, fines, civil monetary penalties, refusals of or debarment from government contracts, exclusion from the federal healthcare programs, restitution, disgorgement of profits, civil or criminal investigations by the FDA, U.S. Department of Justice, State Attorneys General, and/or other agencies, False Claims Act suits and/or other litigation, and/or criminal prosecutions.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applicant seeking approval to market and distribute a new drug in the United States must typically undertake the following:</w:t>
      </w:r>
    </w:p>
    <w:p>
      <w:pPr>
        <w:spacing w:after="0" w:line="225" w:lineRule="exact"/>
        <w:rPr>
          <w:sz w:val="20"/>
          <w:szCs w:val="20"/>
          <w:color w:val="auto"/>
        </w:rPr>
      </w:pPr>
    </w:p>
    <w:p>
      <w:pPr>
        <w:ind w:right="520" w:firstLine="518"/>
        <w:spacing w:after="0" w:line="282" w:lineRule="auto"/>
        <w:tabs>
          <w:tab w:leader="none" w:pos="7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(“GLP”) regulations;</w:t>
      </w:r>
    </w:p>
    <w:p>
      <w:pPr>
        <w:spacing w:after="0" w:line="161" w:lineRule="exact"/>
        <w:rPr>
          <w:rFonts w:ascii="Times New Roman" w:cs="Times New Roman" w:eastAsia="Times New Roman" w:hAnsi="Times New Roman"/>
          <w:sz w:val="18"/>
          <w:szCs w:val="18"/>
          <w:color w:val="auto"/>
        </w:rPr>
      </w:pPr>
    </w:p>
    <w:p>
      <w:pPr>
        <w:ind w:right="240" w:firstLine="518"/>
        <w:spacing w:after="0" w:line="282" w:lineRule="auto"/>
        <w:tabs>
          <w:tab w:leader="none" w:pos="7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for human clinical testing, which must become effective without FDA objection before human clinical trials may begin;</w:t>
      </w:r>
    </w:p>
    <w:p>
      <w:pPr>
        <w:spacing w:after="0" w:line="161"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site before each clinical trial may be initiated;</w:t>
      </w:r>
    </w:p>
    <w:p>
      <w:pPr>
        <w:spacing w:after="0" w:line="225" w:lineRule="exact"/>
        <w:rPr>
          <w:rFonts w:ascii="Times New Roman" w:cs="Times New Roman" w:eastAsia="Times New Roman" w:hAnsi="Times New Roman"/>
          <w:sz w:val="18"/>
          <w:szCs w:val="18"/>
          <w:color w:val="auto"/>
        </w:rPr>
      </w:pPr>
    </w:p>
    <w:p>
      <w:pPr>
        <w:ind w:right="620" w:firstLine="518"/>
        <w:spacing w:after="0" w:line="282" w:lineRule="auto"/>
        <w:tabs>
          <w:tab w:leader="none" w:pos="7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the FDA’s current good clinical practice (“cGCP”) regulations, to establish the safety and effectiveness of the proposed drug product for each indication for which approval is sought;</w:t>
      </w:r>
    </w:p>
    <w:p>
      <w:pPr>
        <w:spacing w:after="0" w:line="161"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(“NDA”);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ind w:left="780" w:hanging="262"/>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review of the NDA by an FDA advisory committee, where appropriate or if applicable,</w:t>
      </w:r>
    </w:p>
    <w:p>
      <w:pPr>
        <w:spacing w:after="0" w:line="225" w:lineRule="exact"/>
        <w:rPr>
          <w:rFonts w:ascii="Times New Roman" w:cs="Times New Roman" w:eastAsia="Times New Roman" w:hAnsi="Times New Roman"/>
          <w:sz w:val="18"/>
          <w:szCs w:val="18"/>
          <w:color w:val="auto"/>
        </w:rPr>
      </w:pPr>
    </w:p>
    <w:p>
      <w:pPr>
        <w:ind w:right="20" w:firstLine="518"/>
        <w:spacing w:after="0" w:line="266" w:lineRule="auto"/>
        <w:tabs>
          <w:tab w:leader="none" w:pos="7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drug product, and the active pharmaceutical ingredient or ingredients thereof, are produced to assess compliance with current good manufacturing practice (“cGMP”) regulations and to assure that the facilities, methods, and controls are adequate to ensure the product’s identity, strength, quality, and purity;</w:t>
      </w:r>
    </w:p>
    <w:p>
      <w:pPr>
        <w:spacing w:after="0" w:line="175"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as applicable, and securing FDA approval of the NDA; and</w:t>
      </w:r>
    </w:p>
    <w:p>
      <w:pPr>
        <w:spacing w:after="0" w:line="225" w:lineRule="exact"/>
        <w:rPr>
          <w:rFonts w:ascii="Times New Roman" w:cs="Times New Roman" w:eastAsia="Times New Roman" w:hAnsi="Times New Roman"/>
          <w:sz w:val="18"/>
          <w:szCs w:val="18"/>
          <w:color w:val="auto"/>
        </w:rPr>
      </w:pPr>
    </w:p>
    <w:p>
      <w:pPr>
        <w:ind w:right="360" w:firstLine="518"/>
        <w:spacing w:after="0" w:line="282" w:lineRule="auto"/>
        <w:tabs>
          <w:tab w:leader="none" w:pos="7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such as any Risk Evaluation and Mitigation Strategies (“REMS”) or post-approval studies required by the FDA.</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Studies and an IND</w:t>
      </w:r>
    </w:p>
    <w:p>
      <w:pPr>
        <w:spacing w:after="0" w:line="11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 xml:space="preserve">Preclinical studies can include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potential for adverse events and, in some cases, to establish a rationale for therapeutic use. The conduct of preclinical studies is subject to federal regulations and requirements, including GLP regulations. Other studies include laboratory evaluation of the purity, stability and physical form of the manufactured drug substance or active pharmaceutical ingredient and the physical properties, stability and reproducibility of the formulated drug or drug product. An IND sponsor must submit the results of the preclinical tests, together with manufacturing information, analytical data, any available clinical data or literature and plans for clinical studies, among other things, to the FDA as part of an IND. Some preclinical testing, such as longer-term toxicity testing, animal tests of reproductive adverse events and carcinogenicity, may continue after the IND is submitted.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9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place a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Human Clinical Studies in Support of an NDA</w:t>
      </w:r>
    </w:p>
    <w:p>
      <w:pPr>
        <w:spacing w:after="0" w:line="11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cGCP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NIH for public dissemination on its ClinicalTrials.gov website.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225"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62"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62"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approval, to establish the overall risk-benefit profile of the product, and to provide adequate information for the labeling of the product.</w:t>
      </w:r>
    </w:p>
    <w:p>
      <w:pPr>
        <w:spacing w:after="0" w:line="225"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in late-stage clinical trials to assure compliance with cGCP and the integrity of the clinical data submitted.</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Submission of an NDA to the FDA</w:t>
      </w:r>
    </w:p>
    <w:p>
      <w:pPr>
        <w:spacing w:after="0" w:line="119"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required clinical testing and other requirements, the results of the preclinical and clinical studies,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currently $2.876 million for fiscal year 2021, for applications requiring clinical data, and the sponsor of an approved NDA is also subject to an annual program fee, currently $336,432 for fiscal year 2021. These fees are adjusted annually.</w:t>
      </w:r>
    </w:p>
    <w:p>
      <w:pPr>
        <w:spacing w:after="0" w:line="183"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Under certain circumstances, the FDA will waive the application fee for the first human drug application that a small business, defined as a company with less than 500 employees, including employees of affiliates, submits for review. An affiliate is defined as a business entity that has a relationship with a second business entity if one business entity controls, or has the power to control, the other business entity, or a third-party controls, or has the power to control, both entities. In addition, an application to market a prescription drug product that has received orphan designation is not subject to a prescription drug user fee unless the application includes an indication for other than the rare disease or condition for which the drug was designated.</w:t>
      </w:r>
    </w:p>
    <w:p>
      <w:pPr>
        <w:spacing w:after="0" w:line="183"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92"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cGCP.</w:t>
      </w:r>
    </w:p>
    <w:p>
      <w:pPr>
        <w:spacing w:after="0" w:line="180" w:lineRule="exact"/>
        <w:rPr>
          <w:sz w:val="20"/>
          <w:szCs w:val="20"/>
          <w:color w:val="auto"/>
        </w:rPr>
      </w:pPr>
    </w:p>
    <w:p>
      <w:pPr>
        <w:ind w:right="460" w:firstLine="510"/>
        <w:spacing w:after="0" w:line="266" w:lineRule="auto"/>
        <w:rPr>
          <w:sz w:val="20"/>
          <w:szCs w:val="20"/>
          <w:color w:val="auto"/>
        </w:rPr>
      </w:pPr>
      <w:r>
        <w:rPr>
          <w:rFonts w:ascii="Times New Roman" w:cs="Times New Roman" w:eastAsia="Times New Roman" w:hAnsi="Times New Roman"/>
          <w:sz w:val="18"/>
          <w:szCs w:val="18"/>
          <w:color w:val="auto"/>
        </w:rPr>
        <w:t>The FDA also may require submission of a REMS plan to mitigate any identified or suspected serious risks. The REMS plan could include medication guides, physician communication plans, assessment plans, and elements to assure safe use, such as restricted distribution methods, patient registries, or other risk minimization tools.</w:t>
      </w:r>
    </w:p>
    <w:p>
      <w:pPr>
        <w:spacing w:after="0" w:line="176" w:lineRule="exact"/>
        <w:rPr>
          <w:sz w:val="20"/>
          <w:szCs w:val="20"/>
          <w:color w:val="auto"/>
        </w:rPr>
      </w:pPr>
    </w:p>
    <w:p>
      <w:pPr>
        <w:ind w:right="400" w:firstLine="510"/>
        <w:spacing w:after="0" w:line="261" w:lineRule="auto"/>
        <w:rPr>
          <w:sz w:val="20"/>
          <w:szCs w:val="20"/>
          <w:color w:val="auto"/>
        </w:rPr>
      </w:pPr>
      <w:r>
        <w:rPr>
          <w:rFonts w:ascii="Times New Roman" w:cs="Times New Roman" w:eastAsia="Times New Roman" w:hAnsi="Times New Roman"/>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i w:val="1"/>
          <w:iCs w:val="1"/>
          <w:color w:val="auto"/>
        </w:rPr>
        <w:t>The FDA’s Decision on an NDA</w:t>
      </w:r>
    </w:p>
    <w:p>
      <w:pPr>
        <w:spacing w:after="0" w:line="11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89"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If the FDA approves a product, it may limit the approved indications for use for the product, require that contraindications, warnings or precautions be included in the product labeling, require that post-approval studies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After approval, the FDA may seek to prevent or limit further marketing of a product based on the results of post-market studies or surveillance programs. Some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and effectiveness of drug products.</w:t>
      </w:r>
    </w:p>
    <w:p>
      <w:pPr>
        <w:spacing w:after="0" w:line="183"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U.S. and for which there is no reasonable expectation that the cost of developing and making available in the U.S. a drug for this type of disease or condition will be recovered from sales in the U.S. for that drug. Orphan drug designation entitles the applicant to incentives such as grant funding towards clinical study costs, tax advantages, and waivers of FDA user fees. Orphan drug designation must be requested before submitting an NDA, and both the drug and the disease or condition must meet certain criteria specified in the Orphan Drug Act and FDA’s implementing regulations at 21 C.F.R. Part 316. The granting of an orphan drug designation does not alter the standard regulatory requirements and process for obtaining marketing approval. Safety and effectiveness of a drug must be established through adequate and well-controlled studies.</w:t>
      </w:r>
    </w:p>
    <w:p>
      <w:pPr>
        <w:spacing w:after="0" w:line="19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 FDA may not approve any other application to market the same drug for the same indication, except in very limited circumstances, for seven years. Orphan drug exclusivity does not prevent the FDA from approving a different drug for the same disease or condition, or the same drug for a different disease or condition.</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Expedited Review and Accelerated Approval Programs</w:t>
      </w:r>
    </w:p>
    <w:p>
      <w:pPr>
        <w:spacing w:after="0" w:line="11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A sponsor may seek approval of its product candidate under programs designed to accelerate the FDA’s review and approval of NDAs. For example, Fast Track Designation may be granted to a drug intended for treatment of a serious or life-threatening disease or condition and data demonstrate its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relevant criteria are met. The FDA may grant the NDA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Priority review designation does not change the scientific/medical standard for approval or the quality of evidence necessary to support approval.</w:t>
      </w:r>
    </w:p>
    <w:p>
      <w:pPr>
        <w:spacing w:after="0" w:line="192"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FDA may approve an NDA under the accelerated approval program if the drug treats a serious condition, provides a meaningful advantage over available therapies, and demonstrates an effect on either (1) a surrogate endpoint that is reasonably likely to predict clinical benefit, or (2)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9" w:name="page20"/>
    <w:bookmarkEnd w:id="19"/>
    <w:p>
      <w:pPr>
        <w:ind w:right="340"/>
        <w:spacing w:after="0" w:line="282" w:lineRule="auto"/>
        <w:rPr>
          <w:sz w:val="20"/>
          <w:szCs w:val="20"/>
          <w:color w:val="auto"/>
        </w:rPr>
      </w:pPr>
      <w:r>
        <w:rPr>
          <w:rFonts w:ascii="Times New Roman" w:cs="Times New Roman" w:eastAsia="Times New Roman" w:hAnsi="Times New Roman"/>
          <w:sz w:val="18"/>
          <w:szCs w:val="18"/>
          <w:color w:val="auto"/>
        </w:rPr>
        <w:t>ongoing studies after marketing approval are generally required to verify the drug’s clinical benefit in relationship to the surrogate endpoint or ultimate outcome in relationship to the clinical benefit.</w:t>
      </w:r>
    </w:p>
    <w:p>
      <w:pPr>
        <w:spacing w:after="0" w:line="162"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addition, the Food and Drug Administration Safety and Innovation Act of 2012 (“FDASIA”) established the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breakthrough therapy, FDA will provide more intensive guidance on the drug development program and expedite its review.</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or problems with manufacturing processes of unanticipated severity or frequency,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880" w:hanging="373"/>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0"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119"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In 1984, with passage of the Drug Price Competition and Patent Term Restoration Act of 1984 (commonly referred to as the “Hatch-Waxman Amendments”) amending the FDCA,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ind w:right="100"/>
        <w:spacing w:after="0" w:line="261" w:lineRule="auto"/>
        <w:rPr>
          <w:sz w:val="20"/>
          <w:szCs w:val="20"/>
          <w:color w:val="auto"/>
        </w:rPr>
      </w:pPr>
      <w:r>
        <w:rPr>
          <w:rFonts w:ascii="Times New Roman" w:cs="Times New Roman" w:eastAsia="Times New Roman" w:hAnsi="Times New Roman"/>
          <w:sz w:val="18"/>
          <w:szCs w:val="18"/>
          <w:color w:val="auto"/>
        </w:rPr>
        <w:t>the reference listed drug, or RLD. To reference that information, however, the ANDA applicant must demonstrate, and the FDA must conclude, that the generic drug does, in fact, perform in the same way as the RLD it purports to copy. Specifically, in order for an ANDA to be approved, the FDA must find that the generic version is identical to the RLD with respect to the active ingredients, the route of administration, the dosage form, and the strength of the drug.</w:t>
      </w:r>
    </w:p>
    <w:p>
      <w:pPr>
        <w:spacing w:after="0" w:line="180"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At the same time, the FDA must also determine that the generic drug is “bioequivalent” to the innovator drug. Under the statute, a generic drug is bioequivalent to a RLD if “the rate and extent of absorption of the generic drug do not show a significant difference from the rate and extent of absorption of the RLD.” 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w:t>
      </w:r>
    </w:p>
    <w:p>
      <w:pPr>
        <w:spacing w:after="0" w:line="189"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data exclusivity for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 Month Stay</w:t>
      </w:r>
    </w:p>
    <w:p>
      <w:pPr>
        <w:spacing w:after="0" w:line="119"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117" w:lineRule="exact"/>
        <w:rPr>
          <w:sz w:val="20"/>
          <w:szCs w:val="20"/>
          <w:color w:val="auto"/>
        </w:rPr>
      </w:pPr>
    </w:p>
    <w:p>
      <w:pPr>
        <w:ind w:left="880" w:hanging="37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225"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9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 and Exclusivity</w:t>
      </w:r>
    </w:p>
    <w:p>
      <w:pPr>
        <w:spacing w:after="0" w:line="11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the enactment of FDASIA,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8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0"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Amendments. Those Amendments permit a patent restoration of up to five years for patent term lost during product development and the FDA regulatory review. The restoration period granted is typically one-half the time between the effective date of an IND and the submission date of a NDA, plus the time between the submission date of a NDA and ultimate approval.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The U.S. Patent and Trademark Office reviews and approves the application for any patent term extension or restoration in consultation with the FDA.</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Legislative Developments</w:t>
      </w:r>
    </w:p>
    <w:p>
      <w:pPr>
        <w:spacing w:after="0" w:line="11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21st Century Cures Act (the “Cures Act”), which was signed into law in December 2016, includes provisions to accelerate the development and delivery of new treatments. For example, the Cures Act requires the FDA to establish a program to evaluate the potential use of real world evidence to help to support the approval of a new indication for an approved drug and to help to support or satisfy post-approval study requirements, to issue guidance on adaptive and novel clinical trial designs for new drugs, and to establish a process for qualifying drug development tools used to support FDA approval for marketing or investigational use of a drug. The Cures Act also permits the FDA to rely on qualified data summaries to support the approval of a supplemental application for an already approved drug. The FDA is in the process of implementing the Cures Act requirements.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color w:val="auto"/>
        </w:rPr>
        <w:t>Review and Approval of Drug Products in the European Union</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order to market any pharmaceutical product outside of the United States, a company must also comply with numerous and varying regulatory requirements of other countries and jurisdictions governing, among other things, research and development, testing, manufacturing, quality control, safety, efficacy, clinical trials, marketing authorization, packaging, storage, record keeping, reporting, export and import, advertising and other promotional practices involving pharmaceutical products, as well as commercial sales, distribution and post-approval monitoring and reporting of our products. Whether or not it obtains FDA approval for a pharmaceutical product, the company would need to obtain the necessary approvals by the comparable foreign regulatory authorities before it can commence clinical trials or marketing of the pharmaceutical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Drug and Biologic Development Process</w:t>
      </w:r>
    </w:p>
    <w:p>
      <w:pPr>
        <w:spacing w:after="0" w:line="119"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Pursuant to the EU Clinical Trial Directive 2001/20/EC (“Clinical Trials Directive”), a system for the approval of clinical trials in the European Union has been implemented through national legislation of the EU Member States. Under this system, before a clinical trial can be initiated, an applicant must obtain approval in each EU Member State in which the clinical trial is to be conducted by two separate entities: The National Competent Authority (“NCA”), and one or more Ethics Committees. The NCA of the EU Member States in which the clinical trial will be conducted must authorize the conduct of the trial, and the independent Ethics Committee must grant a positive opinion in relation to the conduct of the clinical trial in the relevant EU Member State before the commencement of the trial. Any substantial changes to trial protocol or other information submitted with the clinical trial applications must be submitted to or approved by the relevant NCA and Ethics Committees. Under the current regime all suspected unexpected serious adverse reactions to the investigated drug that occur during the clinical trial must be reported to the NCA and to the Ethics Committees of the EU Member State where they occur. Clinical trial applications (“CTAs”) must also be accompanied by an investigational pharmaceutical product dossier with supporting information prescribed by the corresponding national laws of the Member States and further detailed in applicable guidance documents. However, the EU Member States have transposed and applied the provisions of the Clinical Trials Directive in a manner that is not always uniform. This has led to variations in the rules governing the conduct of clinical trials in the individual EU Member States. The EU has, therefore, adopted Regulation (EU) No 536/2014 (“Clinical Trials Regulation”). The Clinical Trials Regulation, which will replace the Clinical Trials Directive, introduces a complete overhaul of the existing regulation of clinical trials for pharmaceutical products in the EU, including a new coordinated procedure for authorization of clinical trials that is reminiscent of the mutual recognition procedure for marketing authorization of pharmaceutical products, and increased obligations on sponsors to publish clinical trial results. The coming into effect of the Clinical Trials Regulation has been postponed several times due to technical difficulties with the underlying IT systems that are still ongoing. Currently it is expected to come into force not before December 2021.</w:t>
      </w:r>
    </w:p>
    <w:p>
      <w:pPr>
        <w:spacing w:after="0" w:line="8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new Clinical Trials Regulation seeks to simplify and streamline the approval of clinical trials in the European Union, in particular through a harmonized electronic submission and assessment process for clinical trials conducted in multiple EU Member States. For example, the sponsor will submit a single application for approval of a clinical trial via the clinical trials information system. As part of the application process, the sponsor shall propose a reporting EU Member State, which will coordinate the validation and evaluation of the application. The reporting EU Member State shall consult and coordinate with the other concerned EU Member States. If an application is rejected, it can be amended and resubmitted through the EU portal. If an approval is issued, the sponsor can start the clinical trial in all concerned EU Member States. However, a concerned EU Member State can in limited circumstances declare an “opt-out” from an approval. In such a case, the clinical trial cannot be conducted in that EU Member State. The Clinical Trials Regulation also aims to streamline and simplify the rules on safety reporting and introduces enhanced transparency requirements such as mandatory submission of a summary of the clinical trial results to the EU database. Information stored in the EU database will be made publicly available subject to transparency rules.</w:t>
      </w:r>
    </w:p>
    <w:p>
      <w:pPr>
        <w:spacing w:after="0" w:line="8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National laws, regulations, and the applicable Good Clinical Practice and Good Laboratory Practice standards must also be respected during the conduct of the trials, including the International Council for Harmonization of Technical Requirements for Pharmaceuticals for Human Use (“ICH”) guidelines on Good Clinical Practice (“GCP”).</w:t>
      </w:r>
    </w:p>
    <w:p>
      <w:pPr>
        <w:spacing w:after="0" w:line="6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During the development of a pharmaceutical product, the European Medicines Agency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(“SAWP”). A fee is incurred with each scientific advice procedure.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w:t>
      </w:r>
    </w:p>
    <w:p>
      <w:pPr>
        <w:spacing w:after="0" w:line="7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the EU, pediatric data or an approved Pediatric Investigation Plan (“PIP”), or deferral or waiver, must be approved by the EMA, prior to submission of a MAA to the EMA or to the competent authorities of the EU Member States; an application has to include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the results of studies as described in an approved PIP, unless the pharmaceutical product is exempt because of a deferral or waiver. In most EU Member States, companies are also required to have an approved PIP before enrolling pediatric patients in a clinical trial.</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Marketing Authorization Procedures</w:t>
      </w:r>
    </w:p>
    <w:p>
      <w:pPr>
        <w:spacing w:after="0" w:line="119" w:lineRule="exact"/>
        <w:rPr>
          <w:sz w:val="20"/>
          <w:szCs w:val="20"/>
          <w:color w:val="auto"/>
        </w:rPr>
      </w:pPr>
    </w:p>
    <w:p>
      <w:pPr>
        <w:ind w:right="520" w:firstLine="510"/>
        <w:spacing w:after="0" w:line="266" w:lineRule="auto"/>
        <w:rPr>
          <w:sz w:val="20"/>
          <w:szCs w:val="20"/>
          <w:color w:val="auto"/>
        </w:rPr>
      </w:pPr>
      <w:r>
        <w:rPr>
          <w:rFonts w:ascii="Times New Roman" w:cs="Times New Roman" w:eastAsia="Times New Roman" w:hAnsi="Times New Roman"/>
          <w:sz w:val="18"/>
          <w:szCs w:val="18"/>
          <w:color w:val="auto"/>
        </w:rPr>
        <w:t>In the EU and in Iceland, Norway and Liechtenstein (together the European Economic Area or “EEA”), pharmaceutical products may only be placed on the market after obtaining a Marketing Authorization (“MA”). To obtain an MA of a drug under European Union regulatory systems, an applicant can submit an MAA through, amongst others, a centralized or decentralized procedure.</w:t>
      </w:r>
    </w:p>
    <w:p>
      <w:pPr>
        <w:spacing w:after="0" w:line="68"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 Member States and, after national implementing decisions, the three additional member states of the European Economic Area. The centralized procedure is compulsory for specific pharmaceutical products, including for medicines produced by certain biotechnological processes, products designated as orphan pharmaceutical products, advanced therapy pharmaceutical products and pharmaceutical products with a new active substance indicated for the treatment of certain diseases (AIDS, cancer, neurodegenerative disorders, diabetes, auto-immune and viral diseases). For pharmaceutical products containing a new active substance not yet authorized in the European Economic Area before May 20, 2004 and indicated for the treatment of other diseases, pharmaceutical products that constitute significant therapeutic, scientific or technical innovations or for which the grant of a marketing authorization through the centralized procedure would be in the interest of public health at EU level, an applicant may voluntarily submit an application for a marketing authorization through the centralized procedure.</w:t>
      </w:r>
    </w:p>
    <w:p>
      <w:pPr>
        <w:spacing w:after="0" w:line="80"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CHMP established at the EMA is responsible for conducting the initial assessment of a drug. The CHMP is also responsible for several post-authorization and maintenance activities, such as the assessment of modifications or extensions to an existing marketing authorization.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Accelerated evaluation might be granted by the CHMP in exceptional cases when a pharmaceutical product is of major interest from the point of view of public health and in particular from the viewpoint of therapeutic innovation. On request, the CHMP can reduce the time frame to 150 days if the applicant provides sufficient justification for an accelerated assessment. The CHMP will provide a positive opinion regarding the application only if it meets certain quality, safety and efficacy requirements. However, the European Commission has final authority for granting the MA within 67 days after receipt of the CHMP opinion. Although the United Kingdom has left the European Union on January 31, 2020, the relevant EU laws on marketing authorization procedures and other pharmaceutical laws still apply until the end of the transition period, which is currently expected to last until the end of 2020. Further changes may be forthcoming in the scope of the centralized approval procedure as the terms of the future relationship are still being negotiated between the United Kingdom and the European Union.</w:t>
      </w:r>
    </w:p>
    <w:p>
      <w:pPr>
        <w:spacing w:after="0" w:line="82" w:lineRule="exact"/>
        <w:rPr>
          <w:sz w:val="20"/>
          <w:szCs w:val="20"/>
          <w:color w:val="auto"/>
        </w:rPr>
      </w:pPr>
    </w:p>
    <w:p>
      <w:pPr>
        <w:ind w:right="180" w:firstLine="508"/>
        <w:spacing w:after="0" w:line="254" w:lineRule="auto"/>
        <w:rPr>
          <w:sz w:val="20"/>
          <w:szCs w:val="20"/>
          <w:color w:val="auto"/>
        </w:rPr>
      </w:pPr>
      <w:r>
        <w:rPr>
          <w:rFonts w:ascii="Times New Roman" w:cs="Times New Roman" w:eastAsia="Times New Roman" w:hAnsi="Times New Roman"/>
          <w:sz w:val="18"/>
          <w:szCs w:val="18"/>
          <w:color w:val="auto"/>
        </w:rPr>
        <w:t>The decentralized procedure permits companies to file identical MA applications for a pharmaceutical product to the competent authorities in various EU Member States simultaneously if such pharmaceutical product has not received marketing approval in any EU Member State before. This procedure is available for pharmaceutical products not falling within the mandatory scope of the centralized procedure. The decentralized procedure provides for approval by one or more other, or concerned, EU Member States of an assessment of an application performed by one-member state designated by the applicant, known as the reference EU Member State. Under this procedure, an applicant submits an application based on identical dossiers and related materials, including a draft summary of product characteristics, and draft labeling and package leaflet, to the reference EU Member State and concerned EU Member States. The reference EU Member State prepares a draft assessment report and drafts of the related materials within 120 days after receipt of a valid application. Within 90 days of receiving the reference EU Member State’s assessment report and related materials, each concerned EU Member State must decide whether to approve the assessment report and related materials.</w:t>
      </w:r>
    </w:p>
    <w:p>
      <w:pPr>
        <w:spacing w:after="0" w:line="80" w:lineRule="exact"/>
        <w:rPr>
          <w:sz w:val="20"/>
          <w:szCs w:val="20"/>
          <w:color w:val="auto"/>
        </w:rPr>
      </w:pPr>
    </w:p>
    <w:p>
      <w:pPr>
        <w:ind w:right="160" w:firstLine="508"/>
        <w:spacing w:after="0" w:line="266" w:lineRule="auto"/>
        <w:rPr>
          <w:sz w:val="20"/>
          <w:szCs w:val="20"/>
          <w:color w:val="auto"/>
        </w:rPr>
      </w:pPr>
      <w:r>
        <w:rPr>
          <w:rFonts w:ascii="Times New Roman" w:cs="Times New Roman" w:eastAsia="Times New Roman" w:hAnsi="Times New Roman"/>
          <w:sz w:val="18"/>
          <w:szCs w:val="18"/>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EU Member States.</w:t>
      </w:r>
    </w:p>
    <w:p>
      <w:pPr>
        <w:spacing w:after="0" w:line="6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RMPs and Periodic Safety Update Reports (“PSURs”) are routinely available to third parties requesting access, subject to limited redactions.</w:t>
      </w:r>
    </w:p>
    <w:p>
      <w:pPr>
        <w:spacing w:after="0" w:line="72" w:lineRule="exact"/>
        <w:rPr>
          <w:sz w:val="20"/>
          <w:szCs w:val="20"/>
          <w:color w:val="auto"/>
        </w:rPr>
      </w:pPr>
    </w:p>
    <w:p>
      <w:pPr>
        <w:ind w:right="40" w:firstLine="508"/>
        <w:spacing w:after="0" w:line="261" w:lineRule="auto"/>
        <w:rPr>
          <w:sz w:val="20"/>
          <w:szCs w:val="20"/>
          <w:color w:val="auto"/>
        </w:rPr>
      </w:pPr>
      <w:r>
        <w:rPr>
          <w:rFonts w:ascii="Times New Roman" w:cs="Times New Roman" w:eastAsia="Times New Roman" w:hAnsi="Times New Roman"/>
          <w:sz w:val="18"/>
          <w:szCs w:val="18"/>
          <w:color w:val="auto"/>
        </w:rPr>
        <w:t>Marketing Authorizations have an initial duration of five years. After these five years, the authorization may be renewed on the basis of a reevaluation of the risk-benefit balance. Once renewed, the MA is valid for an unlimited period unless the European Commission or the national competent authority decides, on justified grounds relating to pharmacovigilance, to proceed with one additional five-year renewal. Applications for renewal must be made to the EMA at least nine months before the five-year period expires.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European Union</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ind w:right="60" w:firstLine="508"/>
        <w:spacing w:after="0" w:line="254" w:lineRule="auto"/>
        <w:rPr>
          <w:sz w:val="20"/>
          <w:szCs w:val="20"/>
          <w:color w:val="auto"/>
        </w:rPr>
      </w:pPr>
      <w:r>
        <w:rPr>
          <w:rFonts w:ascii="Times New Roman" w:cs="Times New Roman" w:eastAsia="Times New Roman" w:hAnsi="Times New Roman"/>
          <w:sz w:val="18"/>
          <w:szCs w:val="18"/>
          <w:color w:val="auto"/>
        </w:rPr>
        <w:t>As in the United States, it may be possible to obtain a period of market and / or data exclusivity in the European Union that would have the effect of postponing the entry into the marketplace of a competitor’s generic, hybrid or biosimilar product (even if the pharmaceutical product has already received an MA) and prohibiting another applicant from relying on the MA holder’s pharmacological, toxicological and clinical data in support of another MA for the purposes of submitting an application, obtaining MA or placing the product on the market. In the European Union, new chemical entities qualify for eight years of data exclusivity upon marketing authorization and an additional two years of market exclusivity.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84" w:lineRule="exact"/>
        <w:rPr>
          <w:sz w:val="20"/>
          <w:szCs w:val="20"/>
          <w:color w:val="auto"/>
        </w:rPr>
      </w:pPr>
    </w:p>
    <w:p>
      <w:pPr>
        <w:ind w:right="40" w:firstLine="508"/>
        <w:spacing w:after="0" w:line="254" w:lineRule="auto"/>
        <w:rPr>
          <w:sz w:val="20"/>
          <w:szCs w:val="20"/>
          <w:color w:val="auto"/>
        </w:rPr>
      </w:pPr>
      <w:r>
        <w:rPr>
          <w:rFonts w:ascii="Times New Roman" w:cs="Times New Roman" w:eastAsia="Times New Roman" w:hAnsi="Times New Roman"/>
          <w:sz w:val="18"/>
          <w:szCs w:val="18"/>
          <w:color w:val="auto"/>
        </w:rPr>
        <w:t>The data exclusivity period begins on the date of the product’s first MA in the European Union. After eight years, a generic product application may be submitted and generic companies may rely on the MA holder’s data. 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new indication. Another year of data exclusivity may be added to the eight years, where a change of classification of a pharmaceutical product has been authorized on the basis of significant pre-trial tests or clinical trials (when examining an application by another applicant for or holder of market authorization for a change of classification of the same substance the competent authority will not refer to the results of those tests or trials for one year after the initial chance was authorized).</w:t>
      </w:r>
    </w:p>
    <w:p>
      <w:pPr>
        <w:spacing w:after="0" w:line="80" w:lineRule="exact"/>
        <w:rPr>
          <w:sz w:val="20"/>
          <w:szCs w:val="20"/>
          <w:color w:val="auto"/>
        </w:rPr>
      </w:pPr>
    </w:p>
    <w:p>
      <w:pPr>
        <w:ind w:firstLine="508"/>
        <w:spacing w:after="0" w:line="266" w:lineRule="auto"/>
        <w:rPr>
          <w:sz w:val="20"/>
          <w:szCs w:val="20"/>
          <w:color w:val="auto"/>
        </w:rPr>
      </w:pPr>
      <w:r>
        <w:rPr>
          <w:rFonts w:ascii="Times New Roman" w:cs="Times New Roman" w:eastAsia="Times New Roman" w:hAnsi="Times New Roman"/>
          <w:sz w:val="18"/>
          <w:szCs w:val="18"/>
          <w:color w:val="auto"/>
        </w:rPr>
        <w:t>Even if a compound is considered to be a new chemical entity and the sponsor is able to gain the prescribed period of data exclusivity, another company nevertheless could also market another version of the drug if such company can complete a full MAA with a complete database of pharmaceutical test, preclinical tests and clinical trials and obtain marketing approval of its pharmaceutical product.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19" w:lineRule="exact"/>
        <w:rPr>
          <w:sz w:val="20"/>
          <w:szCs w:val="20"/>
          <w:color w:val="auto"/>
        </w:rPr>
      </w:pPr>
    </w:p>
    <w:p>
      <w:pPr>
        <w:ind w:right="20" w:firstLine="508"/>
        <w:spacing w:after="0" w:line="254" w:lineRule="auto"/>
        <w:rPr>
          <w:sz w:val="20"/>
          <w:szCs w:val="20"/>
          <w:color w:val="auto"/>
        </w:rPr>
      </w:pPr>
      <w:r>
        <w:rPr>
          <w:rFonts w:ascii="Times New Roman" w:cs="Times New Roman" w:eastAsia="Times New Roman" w:hAnsi="Times New Roman"/>
          <w:sz w:val="18"/>
          <w:szCs w:val="18"/>
          <w:color w:val="auto"/>
        </w:rPr>
        <w:t xml:space="preserve">In the European Union, companies developing a new pharmaceutical product are obligated to study their product in children and must therefore agree on a PIP with the EMA’s Pediatric Committee (“PDCO”). These companies must conduct pediatric clinical trials in accordance with that PIP, unless a waiver applies,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because the relevant disease or condition occurs only in adults. The marketing authorization application for the pharmaceutical product must include the results of pediatric clinical trials conducted in accordance with the PIP, unless a waiver applies, or a deferral has been granted, in which case the pediatric clinical trials must be completed at a later date. Pharmaceutical products that are granted a marketing authorization on the basis of the pediatric clinical trials conducted in accordance with the PIP are eligible for a six month extension of the protection under a supplementary protection certificate (if any is in effect at the time of approval) or, in the case of orphan pharmaceutical products, a two year extension of the orphan market exclusivity. This pediatric reward is subject to specific conditions and is not automatically available when data in compliance with the PIP are developed and submitted.</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right="140" w:firstLine="508"/>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marketing authorization holders and manufacturers of pharmaceutical products are subject to comprehensive regulatory oversight by the EMA, the European Commission and/or the competent regulatory authorities of the EU Member States. This oversight applies both before and after grant of manufacturing licenses and marketing authorizations. It includes control of compliance with EU good manufacturing practices rules, manufacturing authorizations, pharmacovigilance rules and requirements governing advertising, promotion, sale, and distribution, recordkeeping, importing and exporting of pharmaceutical products.</w:t>
      </w:r>
    </w:p>
    <w:p>
      <w:pPr>
        <w:spacing w:after="0" w:line="75" w:lineRule="exact"/>
        <w:rPr>
          <w:sz w:val="20"/>
          <w:szCs w:val="20"/>
          <w:color w:val="auto"/>
        </w:rPr>
      </w:pPr>
    </w:p>
    <w:p>
      <w:pPr>
        <w:ind w:right="80" w:firstLine="508"/>
        <w:spacing w:after="0" w:line="254" w:lineRule="auto"/>
        <w:rPr>
          <w:sz w:val="20"/>
          <w:szCs w:val="20"/>
          <w:color w:val="auto"/>
        </w:rPr>
      </w:pPr>
      <w:r>
        <w:rPr>
          <w:rFonts w:ascii="Times New Roman" w:cs="Times New Roman" w:eastAsia="Times New Roman" w:hAnsi="Times New Roman"/>
          <w:sz w:val="18"/>
          <w:szCs w:val="18"/>
          <w:color w:val="auto"/>
        </w:rPr>
        <w:t>Failure by us or by any of our third-party partners, including suppliers, manufacturers and distributors to comply with EU laws and the EU Member State laws implementing Directive 2001/83/EC on pharmaceutical products for human use and other core legislation relating to pharmaceutical products, and other EU Member State laws that apply to the conduct of clinical trials, manufacturing approval, marketing authorization of pharmaceutical products and marketing of such products, both before and after grant of marketing authorization,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84" w:lineRule="exact"/>
        <w:rPr>
          <w:sz w:val="20"/>
          <w:szCs w:val="20"/>
          <w:color w:val="auto"/>
        </w:rPr>
      </w:pPr>
    </w:p>
    <w:p>
      <w:pPr>
        <w:ind w:right="140" w:firstLine="508"/>
        <w:spacing w:after="0" w:line="266" w:lineRule="auto"/>
        <w:rPr>
          <w:sz w:val="20"/>
          <w:szCs w:val="20"/>
          <w:color w:val="auto"/>
        </w:rPr>
      </w:pPr>
      <w:r>
        <w:rPr>
          <w:rFonts w:ascii="Times New Roman" w:cs="Times New Roman" w:eastAsia="Times New Roman" w:hAnsi="Times New Roman"/>
          <w:sz w:val="18"/>
          <w:szCs w:val="18"/>
          <w:color w:val="auto"/>
        </w:rPr>
        <w:t>The holder of an EU marketing authorization for a pharmaceutical product must also comply with EU pharmacovigilance legislation and its related regulations and guidelines, which entail many requirements for conducting pharmacovigilance, or the assessment and monitoring of the safety of pharmaceutical products.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ind w:right="100" w:firstLine="508"/>
        <w:spacing w:after="0" w:line="253" w:lineRule="auto"/>
        <w:rPr>
          <w:sz w:val="20"/>
          <w:szCs w:val="20"/>
          <w:color w:val="auto"/>
        </w:rPr>
      </w:pPr>
      <w:r>
        <w:rPr>
          <w:rFonts w:ascii="Times New Roman" w:cs="Times New Roman" w:eastAsia="Times New Roman" w:hAnsi="Times New Roman"/>
          <w:sz w:val="18"/>
          <w:szCs w:val="18"/>
          <w:color w:val="auto"/>
        </w:rPr>
        <w:t>These pharmacovigilance rules can impose on holders of marketing authorizations the obligation to conduct a labor intensive collection of data regarding the risks and benefits of marketed pharmaceutical products and to engage in ongoing assessments of those risks and benefits, including the possible requirement to conduct additional clinical studies or post-authorization safety studies to obtain further information on a medicine’s safety, or to measure the effectiveness of risk-management measures, which may be time consuming and expensive and could impact our profitability. Marketing authorization holders must establish and maintain a pharmacovigilance system and appoint an individual qualified person for pharmacovigilance who is responsible for oversight of that system. Key obligations include expedited reporting of suspected serious adverse reactions and submission of PSURs in relation to pharmaceutical products for which they hold marketing authorizations The EMA reviews PSURs for pharmaceutical products authorized through the centralized procedure. If the EMA has concerns that the risk-benefit profile of a product has varied, it can adopt an opinion advising that the existing marketing authorization for the product be suspended, withdrawn or varied. The Agency can advise that the marketing authorization holder be obliged to conduct post-authorization Phase 4 safety studies. The EMA opinion is submitted to the European Commission for its consideration. If the Commission agrees with the opinion, it can adopt a decision varying the existing marketing authorization. Failure by the marketing authorization holder to fulfill the obligations for which the European Commission’s decision provides can undermine the on-going validity of the marketing authorization.</w:t>
      </w:r>
    </w:p>
    <w:p>
      <w:pPr>
        <w:spacing w:after="0" w:line="82" w:lineRule="exact"/>
        <w:rPr>
          <w:sz w:val="20"/>
          <w:szCs w:val="20"/>
          <w:color w:val="auto"/>
        </w:rPr>
      </w:pPr>
    </w:p>
    <w:p>
      <w:pPr>
        <w:ind w:right="820" w:firstLine="508"/>
        <w:spacing w:after="0" w:line="282" w:lineRule="auto"/>
        <w:rPr>
          <w:sz w:val="20"/>
          <w:szCs w:val="20"/>
          <w:color w:val="auto"/>
        </w:rPr>
      </w:pPr>
      <w:r>
        <w:rPr>
          <w:rFonts w:ascii="Times New Roman" w:cs="Times New Roman" w:eastAsia="Times New Roman" w:hAnsi="Times New Roman"/>
          <w:sz w:val="18"/>
          <w:szCs w:val="18"/>
          <w:color w:val="auto"/>
        </w:rPr>
        <w:t>More generally, non-compliance with pharmacovigilance obligations can lead to the variation, suspension or withdrawal of the marketing authorization for the pharmaceutical product or imposition of financial penalties or other enforcement measures.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Advertising and Promotion</w:t>
      </w:r>
    </w:p>
    <w:p>
      <w:pPr>
        <w:spacing w:after="0" w:line="119" w:lineRule="exact"/>
        <w:rPr>
          <w:sz w:val="20"/>
          <w:szCs w:val="20"/>
          <w:color w:val="auto"/>
        </w:rPr>
      </w:pPr>
    </w:p>
    <w:p>
      <w:pPr>
        <w:ind w:firstLine="508"/>
        <w:spacing w:after="0" w:line="253" w:lineRule="auto"/>
        <w:rPr>
          <w:sz w:val="20"/>
          <w:szCs w:val="20"/>
          <w:color w:val="auto"/>
        </w:rPr>
      </w:pPr>
      <w:r>
        <w:rPr>
          <w:rFonts w:ascii="Times New Roman" w:cs="Times New Roman" w:eastAsia="Times New Roman" w:hAnsi="Times New Roman"/>
          <w:sz w:val="18"/>
          <w:szCs w:val="18"/>
          <w:color w:val="auto"/>
        </w:rPr>
        <w:t>The advertising and promotion of our products is also subject to EU laws concerning promotion of pharmaceutical products, interactions with physicians, misleading and comparative advertising and unfair commercial practices. In addition, other national legislation of individual EU Member States may apply to the advertising and promotion of pharmaceutical products and may differ from one country to another. These laws require that promotional materials and advertising in relation to pharmaceutical products comply with the product’s SmPC as approved by the competent regulatory authorities. The SmPC is the document that provides information to physicians concerning the safe and effective use of the pharmaceutical product. It forms an intrinsic and integral part of the marketing authorization granted for the pharmaceutical product. Promotion of a pharmaceutical product that does not comply with the SmPC is considered to constitute off-label promotion. The off-label promotion of pharmaceutical products is prohibited in the European Union. The applicable laws at the EU level and in the individual EU Member States also prohibit the direct-to-consumer advertising of prescription-only pharmaceutical products. Violations of the rules governing the promotion of pharmaceutical products in the European Union could be penalized by administrative measures, fines and imprisonment. These laws may further limit or restrict the advertising and promotion of our products to the general public and may also impose limitations on its promotional activities with healthcare professionals.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Pricing and Reimbursement Environment</w:t>
      </w:r>
    </w:p>
    <w:p>
      <w:pPr>
        <w:spacing w:after="0" w:line="119" w:lineRule="exact"/>
        <w:rPr>
          <w:sz w:val="20"/>
          <w:szCs w:val="20"/>
          <w:color w:val="auto"/>
        </w:rPr>
      </w:pPr>
    </w:p>
    <w:p>
      <w:pPr>
        <w:ind w:right="120" w:firstLine="508"/>
        <w:spacing w:after="0" w:line="256" w:lineRule="auto"/>
        <w:rPr>
          <w:sz w:val="20"/>
          <w:szCs w:val="20"/>
          <w:color w:val="auto"/>
        </w:rPr>
      </w:pPr>
      <w:r>
        <w:rPr>
          <w:rFonts w:ascii="Times New Roman" w:cs="Times New Roman" w:eastAsia="Times New Roman" w:hAnsi="Times New Roman"/>
          <w:sz w:val="18"/>
          <w:szCs w:val="18"/>
          <w:color w:val="auto"/>
        </w:rPr>
        <w:t>Even if a pharmaceutical product obtains a marketing authorization in the European Union, there can be no assurance that reimbursement for such product will be secured on a timely basis or at all. The EU Member States are free to restrict the range of pharmaceutical products for which their national health insurance systems provide reimbursement, and to control the prices and reimbursement levels of pharmaceutical products for human use. An EU Member State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w:t>
      </w:r>
    </w:p>
    <w:p>
      <w:pPr>
        <w:spacing w:after="0" w:line="79" w:lineRule="exact"/>
        <w:rPr>
          <w:sz w:val="20"/>
          <w:szCs w:val="20"/>
          <w:color w:val="auto"/>
        </w:rPr>
      </w:pPr>
    </w:p>
    <w:p>
      <w:pPr>
        <w:ind w:right="40" w:firstLine="508"/>
        <w:spacing w:after="0" w:line="255" w:lineRule="auto"/>
        <w:rPr>
          <w:sz w:val="20"/>
          <w:szCs w:val="20"/>
          <w:color w:val="auto"/>
        </w:rPr>
      </w:pPr>
      <w:r>
        <w:rPr>
          <w:rFonts w:ascii="Times New Roman" w:cs="Times New Roman" w:eastAsia="Times New Roman" w:hAnsi="Times New Roman"/>
          <w:sz w:val="18"/>
          <w:szCs w:val="18"/>
          <w:color w:val="auto"/>
        </w:rPr>
        <w:t>Reference pricing used by various EU Member States and parallel distribution, or arbitrage between low-priced and high-priced member states, can further reduce prices. In some countries, we may be required to conduct a clinical study or other studies that compare the cost-effectiveness of our product candidates, if any,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pharmaceutical products launched in the European Union do not follow price structures of the United States and generally published and actual prices tend to be significantly lower. Publication of discounts by third party payers or authorities may lead to further pressure on the prices or reimbursement levels within the country of publication and other countries.</w:t>
      </w:r>
    </w:p>
    <w:p>
      <w:pPr>
        <w:spacing w:after="0" w:line="81" w:lineRule="exact"/>
        <w:rPr>
          <w:sz w:val="20"/>
          <w:szCs w:val="20"/>
          <w:color w:val="auto"/>
        </w:rPr>
      </w:pPr>
    </w:p>
    <w:p>
      <w:pPr>
        <w:ind w:right="60" w:firstLine="508"/>
        <w:spacing w:after="0" w:line="254" w:lineRule="auto"/>
        <w:rPr>
          <w:sz w:val="20"/>
          <w:szCs w:val="20"/>
          <w:color w:val="auto"/>
        </w:rPr>
      </w:pPr>
      <w:r>
        <w:rPr>
          <w:rFonts w:ascii="Times New Roman" w:cs="Times New Roman" w:eastAsia="Times New Roman" w:hAnsi="Times New Roman"/>
          <w:sz w:val="18"/>
          <w:szCs w:val="18"/>
          <w:color w:val="auto"/>
        </w:rPr>
        <w:t>The so-called health technology assessment (“HTA”) of pharmaceutical products is becoming an increasingly common part of the pricing and reimbursement procedures in some EU Member States, including France, Germany, Ireland, Italy and Sweden. The HTA process, which is governed by the national laws of these countries, is the procedure according to which the assessment of the public health impact, therapeutic impact, and the economic and societal impact of use of a given pharmaceutical product in the national healthcare systems of the individual country is conducted. HTA generally focuses on the clinical efficacy and effectiveness, safety, cost, and cost-effectiveness of individual pharmaceutical products as well as their potential implications for the healthcare system. Those elements of pharmaceutical products are compared with other treatment options available on the market. The outcome of HTA regarding specific pharmaceutical products will often influence the pricing and reimbursement status granted to pharmaceutical products by the regulatory authorities of individual EU Member States. A negative HTA of one of our products by a leading and recognized HTA body could not only undermine our ability to obtain reimbursement for such product in the EU Member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ind w:right="360"/>
        <w:spacing w:after="0" w:line="266" w:lineRule="auto"/>
        <w:rPr>
          <w:sz w:val="20"/>
          <w:szCs w:val="20"/>
          <w:color w:val="auto"/>
        </w:rPr>
      </w:pPr>
      <w:r>
        <w:rPr>
          <w:rFonts w:ascii="Times New Roman" w:cs="Times New Roman" w:eastAsia="Times New Roman" w:hAnsi="Times New Roman"/>
          <w:sz w:val="18"/>
          <w:szCs w:val="18"/>
          <w:color w:val="auto"/>
        </w:rPr>
        <w:t>State in which such negative assessment was issued, but also in other EU Member States. For example, EU Member States that have not yet developed HTA mechanisms could rely to some extent on the HTA performed in other countries with a developed HTA framework, when adopting decisions concerning the pricing and reimbursement of a specific pharmaceutical product.</w:t>
      </w:r>
    </w:p>
    <w:p>
      <w:pPr>
        <w:spacing w:after="0" w:line="68" w:lineRule="exact"/>
        <w:rPr>
          <w:sz w:val="20"/>
          <w:szCs w:val="20"/>
          <w:color w:val="auto"/>
        </w:rPr>
      </w:pPr>
    </w:p>
    <w:p>
      <w:pPr>
        <w:ind w:firstLine="508"/>
        <w:spacing w:after="0" w:line="253" w:lineRule="auto"/>
        <w:rPr>
          <w:sz w:val="20"/>
          <w:szCs w:val="20"/>
          <w:color w:val="auto"/>
        </w:rPr>
      </w:pPr>
      <w:r>
        <w:rPr>
          <w:rFonts w:ascii="Times New Roman" w:cs="Times New Roman" w:eastAsia="Times New Roman" w:hAnsi="Times New Roman"/>
          <w:sz w:val="18"/>
          <w:szCs w:val="18"/>
          <w:color w:val="auto"/>
        </w:rPr>
        <w:t>On January 31, 2018, the European Commission adopted a proposal for a regulation on health technology assessment. This legislative proposal is intended to boost cooperation among EU Member States in assessing health technologies, including new pharmaceutical products, and providing the basis for cooperation at the EU level for joint clinical assessments in these areas. The proposal provides that EU Member States will be able to use common HTA tools, methodologies and procedures across the European Union,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economic, social, ethical) aspects of health technology, and making decisions on pricing and reimbursement. The European Commission has stated that the role of the draft HTA regulation is not to influence pricing and reimbursement decisions in the individual EU Member States, but there can be no assurance that the draft HTA regulation will not have effects on pricing and reimbursement decisions if and when the draft HTA regulation comes into force.</w:t>
      </w:r>
    </w:p>
    <w:p>
      <w:pPr>
        <w:spacing w:after="0" w:line="86" w:lineRule="exact"/>
        <w:rPr>
          <w:sz w:val="20"/>
          <w:szCs w:val="20"/>
          <w:color w:val="auto"/>
        </w:rPr>
      </w:pPr>
    </w:p>
    <w:p>
      <w:pPr>
        <w:ind w:right="280" w:firstLine="508"/>
        <w:spacing w:after="0" w:line="261" w:lineRule="auto"/>
        <w:rPr>
          <w:sz w:val="20"/>
          <w:szCs w:val="20"/>
          <w:color w:val="auto"/>
        </w:rPr>
      </w:pPr>
      <w:r>
        <w:rPr>
          <w:rFonts w:ascii="Times New Roman" w:cs="Times New Roman" w:eastAsia="Times New Roman" w:hAnsi="Times New Roman"/>
          <w:sz w:val="18"/>
          <w:szCs w:val="18"/>
          <w:color w:val="auto"/>
        </w:rPr>
        <w:t>To obtain reimbursement or pricing approval in some countries, including the EU Member States, we may be required to conduct studies that compare the cost-effectiveness of our product candidates to other therapies that are considered the local standard of care. There can be no assurance that any country will allow favorable pricing, reimbursement and market access conditions for any of our products, or that we will be feasible to conduct additional cost-effectiveness studies, if required.</w:t>
      </w:r>
    </w:p>
    <w:p>
      <w:pPr>
        <w:spacing w:after="0" w:line="72" w:lineRule="exact"/>
        <w:rPr>
          <w:sz w:val="20"/>
          <w:szCs w:val="20"/>
          <w:color w:val="auto"/>
        </w:rPr>
      </w:pPr>
    </w:p>
    <w:p>
      <w:pPr>
        <w:jc w:val="both"/>
        <w:ind w:right="300" w:firstLine="508"/>
        <w:spacing w:after="0" w:line="312" w:lineRule="auto"/>
        <w:rPr>
          <w:sz w:val="20"/>
          <w:szCs w:val="20"/>
          <w:color w:val="auto"/>
        </w:rPr>
      </w:pPr>
      <w:r>
        <w:rPr>
          <w:rFonts w:ascii="Times New Roman" w:cs="Times New Roman" w:eastAsia="Times New Roman" w:hAnsi="Times New Roman"/>
          <w:sz w:val="17"/>
          <w:szCs w:val="17"/>
          <w:color w:val="auto"/>
        </w:rPr>
        <w:t>In certain of the EU Member States, pharmaceutical products that are designated as orphan pharmaceutical products may be exempted or waived from having to provide certain clinical, cost-effectiveness and other economic data in connection with their filings for pricing/reimbursement approval.</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European Data Laws</w:t>
      </w:r>
    </w:p>
    <w:p>
      <w:pPr>
        <w:spacing w:after="0" w:line="119" w:lineRule="exact"/>
        <w:rPr>
          <w:sz w:val="20"/>
          <w:szCs w:val="20"/>
          <w:color w:val="auto"/>
        </w:rPr>
      </w:pPr>
    </w:p>
    <w:p>
      <w:pPr>
        <w:ind w:right="60" w:firstLine="508"/>
        <w:spacing w:after="0" w:line="253" w:lineRule="auto"/>
        <w:rPr>
          <w:sz w:val="20"/>
          <w:szCs w:val="20"/>
          <w:color w:val="auto"/>
        </w:rPr>
      </w:pPr>
      <w:r>
        <w:rPr>
          <w:rFonts w:ascii="Times New Roman" w:cs="Times New Roman" w:eastAsia="Times New Roman" w:hAnsi="Times New Roman"/>
          <w:sz w:val="18"/>
          <w:szCs w:val="18"/>
          <w:color w:val="auto"/>
        </w:rPr>
        <w:t>The collection and use of personal health data and other personal information in the European Union is governed by the provisions of the GDPR, which came into force in May 2018 and related implementing laws in individual EU Member States. In addition, following the United Kingdom’s formal departure from the European Union on January 31, 2020, the United Kingdom entered a transition period until December 31, 2020, during which time the GDPR will remain applicable to the United Kingdom. At the end of the transition period, there is uncertainty regarding the future relationship between the United Kingdom and the European Union in relation to data protection. Once the United Kingdom leaves the European Union and the transition period has expired, the United Kingdom will become a “third country” for the purposes of data protection law. A “third country” is a country other than the EU Member States and the three additional European Economic Area countries (Norway, Iceland and Liechtenstein) that have adopted a national law implementing the GDPR. Under the GDPR, personal data can only be transferred to third countries in compliance with specific conditions for cross-border data transfers. Appropriate safeguards are required to enable transfers of personal data from the EU and EEA Member States. This status has a number of significant practical consequences, in particular for international data transfers, competent supervisory authorities and enforcement of the GDPR. The GDPR increased responsibility and liability in relation to personal data that we process.</w:t>
      </w:r>
    </w:p>
    <w:p>
      <w:pPr>
        <w:spacing w:after="0" w:line="84" w:lineRule="exact"/>
        <w:rPr>
          <w:sz w:val="20"/>
          <w:szCs w:val="20"/>
          <w:color w:val="auto"/>
        </w:rPr>
      </w:pPr>
    </w:p>
    <w:p>
      <w:pPr>
        <w:ind w:right="100" w:firstLine="508"/>
        <w:spacing w:after="0" w:line="253" w:lineRule="auto"/>
        <w:rPr>
          <w:sz w:val="20"/>
          <w:szCs w:val="20"/>
          <w:color w:val="auto"/>
        </w:rPr>
      </w:pPr>
      <w:r>
        <w:rPr>
          <w:rFonts w:ascii="Times New Roman" w:cs="Times New Roman" w:eastAsia="Times New Roman" w:hAnsi="Times New Roman"/>
          <w:sz w:val="18"/>
          <w:szCs w:val="18"/>
          <w:color w:val="auto"/>
        </w:rPr>
        <w:t>The GDPR imposes a number of strict obligations and restrictions on the ability to process (processing includes collection, analysis and transfer of) personal data, including health data from clinical trials and adverse event reporting. The GDPR also includes requirements relating to the consent of the individuals to whom the personal data relates, the information provided to the individuals prior to processing their personal data or personal health data, notification of data processing obligations to the national data protection authorities and the security and confidentiality of the personal data. The GDPR also prohibits the transfer of personal data to countries outside of the European Union that are not considered by the European Commission to provide an adequate level of data protection, except if the data controller meets very specific requirements. These countries include the United States, and following the end of the transition period, it may include the United Kingdom if no adequacy decision is given prior to this. Following the Schrems II decision of the Court of Justice of the European Union on July 16, 2020, there is uncertainty as to the general permissibility of international data transfers under the GDPR. In light of the implications of this decision we may face difficulties regarding the transfer of personal data from the European Union to third countries. The European Data Protection Board has adopted draft recommendations for data controllers and processors who export personal data to third countries regarding supplementary measures to ensure compliance with the GDPR when transferring personal data outside of the European Union. These recommendations were submitted to public consultation until November 30, 2020, however it is unclear when and in which form these recommendations will be published in final form.</w:t>
      </w:r>
    </w:p>
    <w:p>
      <w:pPr>
        <w:spacing w:after="0" w:line="79" w:lineRule="exact"/>
        <w:rPr>
          <w:sz w:val="20"/>
          <w:szCs w:val="20"/>
          <w:color w:val="auto"/>
        </w:rPr>
      </w:pPr>
    </w:p>
    <w:p>
      <w:pPr>
        <w:ind w:right="20" w:firstLine="508"/>
        <w:spacing w:after="0" w:line="256" w:lineRule="auto"/>
        <w:rPr>
          <w:sz w:val="20"/>
          <w:szCs w:val="20"/>
          <w:color w:val="auto"/>
        </w:rPr>
      </w:pPr>
      <w:r>
        <w:rPr>
          <w:rFonts w:ascii="Times New Roman" w:cs="Times New Roman" w:eastAsia="Times New Roman" w:hAnsi="Times New Roman"/>
          <w:sz w:val="18"/>
          <w:szCs w:val="18"/>
          <w:color w:val="auto"/>
        </w:rPr>
        <w:t>Failure to comply with the requirements of the GDPR and the related national data protection laws of the EU Member States and the United Kingdom may result in significant monetary fines, other administrative penalties and a number of criminal offenses (punishable by uncapped fines) for organizations and in certain cases their directors and officers as well as civil liability claims from individuals whose personal data was processed. Data protection authorities from the different EU Member States and the United Kingdom may still implement certain variations, enforce the GDPR and national data protection laws differently, and introduce additional national regulations and guidelines, which adds to the complexity of processing personal data in the European Union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ind w:right="160"/>
        <w:spacing w:after="0" w:line="282" w:lineRule="auto"/>
        <w:rPr>
          <w:sz w:val="20"/>
          <w:szCs w:val="20"/>
          <w:color w:val="auto"/>
        </w:rPr>
      </w:pPr>
      <w:r>
        <w:rPr>
          <w:rFonts w:ascii="Times New Roman" w:cs="Times New Roman" w:eastAsia="Times New Roman" w:hAnsi="Times New Roman"/>
          <w:sz w:val="18"/>
          <w:szCs w:val="18"/>
          <w:color w:val="auto"/>
        </w:rPr>
        <w:t>the United Kingdom. Guidance developed at both EU level and at the national level in individual EU Member States and the United Kingdom concerning implementation and compliance practices are often updated or otherwise revised.</w:t>
      </w:r>
    </w:p>
    <w:p>
      <w:pPr>
        <w:spacing w:after="0" w:line="54" w:lineRule="exact"/>
        <w:rPr>
          <w:sz w:val="20"/>
          <w:szCs w:val="20"/>
          <w:color w:val="auto"/>
        </w:rPr>
      </w:pPr>
    </w:p>
    <w:p>
      <w:pPr>
        <w:jc w:val="both"/>
        <w:ind w:firstLine="508"/>
        <w:spacing w:after="0" w:line="256" w:lineRule="auto"/>
        <w:rPr>
          <w:sz w:val="20"/>
          <w:szCs w:val="20"/>
          <w:color w:val="auto"/>
        </w:rPr>
      </w:pPr>
      <w:r>
        <w:rPr>
          <w:rFonts w:ascii="Times New Roman" w:cs="Times New Roman" w:eastAsia="Times New Roman" w:hAnsi="Times New Roman"/>
          <w:sz w:val="18"/>
          <w:szCs w:val="18"/>
          <w:color w:val="auto"/>
        </w:rPr>
        <w:t>There is, moreover, a growing trend towards required public disclosure of clinical trial data in the European Union which adds to the complexity of obligations relating to processing health data from clinical trials. Such public disclosure obligations are provided in the new EU Clinical Trials Regulation, EMA disclosure initiatives and voluntary commitments by industry. Failing to comply with these obligations could lead to government enforcement actions and significant penalties against us, harm to our reputation, and adversely impact our business and operating results. The uncertainty regarding the interplay between different regulatory frameworks, such as the Clinical Trials Regulation and the General Data Protection Regulation, further adds to the complexity that we face with regard to data protection regulation.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Promotional Activities</w:t>
      </w:r>
    </w:p>
    <w:p>
      <w:pPr>
        <w:spacing w:after="0" w:line="119" w:lineRule="exact"/>
        <w:rPr>
          <w:sz w:val="20"/>
          <w:szCs w:val="20"/>
          <w:color w:val="auto"/>
        </w:rPr>
      </w:pPr>
    </w:p>
    <w:p>
      <w:pPr>
        <w:ind w:right="180" w:firstLine="508"/>
        <w:spacing w:after="0" w:line="255" w:lineRule="auto"/>
        <w:rPr>
          <w:sz w:val="20"/>
          <w:szCs w:val="20"/>
          <w:color w:val="auto"/>
        </w:rPr>
      </w:pPr>
      <w:r>
        <w:rPr>
          <w:rFonts w:ascii="Times New Roman" w:cs="Times New Roman" w:eastAsia="Times New Roman" w:hAnsi="Times New Roman"/>
          <w:sz w:val="18"/>
          <w:szCs w:val="18"/>
          <w:color w:val="auto"/>
        </w:rPr>
        <w:t>In the European Union,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European Union. The provision of benefits or advantages to physicians is also governed by the national anti-bribery laws of the EU Member States. One example is the UK Bribery Act 2010. This Act applies to any company incorporated in or “carrying on business” in the United Kingdom, irrespective of where in the world the alleged bribery activity occurs. Violation of these laws could result in substantial fines and imprisonment.</w:t>
      </w:r>
    </w:p>
    <w:p>
      <w:pPr>
        <w:spacing w:after="0" w:line="81" w:lineRule="exact"/>
        <w:rPr>
          <w:sz w:val="20"/>
          <w:szCs w:val="20"/>
          <w:color w:val="auto"/>
        </w:rPr>
      </w:pPr>
    </w:p>
    <w:p>
      <w:pPr>
        <w:ind w:right="140" w:firstLine="508"/>
        <w:spacing w:after="0" w:line="281" w:lineRule="auto"/>
        <w:rPr>
          <w:sz w:val="20"/>
          <w:szCs w:val="20"/>
          <w:color w:val="auto"/>
        </w:rPr>
      </w:pPr>
      <w:r>
        <w:rPr>
          <w:rFonts w:ascii="Times New Roman" w:cs="Times New Roman" w:eastAsia="Times New Roman" w:hAnsi="Times New Roman"/>
          <w:sz w:val="17"/>
          <w:szCs w:val="17"/>
          <w:color w:val="auto"/>
        </w:rPr>
        <w:t>Payments made to physicians in certain EU Member States must be publicly disclosed. Moreover, agreements with physicians must often be the subject of prior notification and approval by the physician’s employer, his/her regulatory professional organization, and/or the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Legislation Regarding Marketing, Authorization and Pricing of Pharmaceutical Products in the European Union</w:t>
      </w:r>
    </w:p>
    <w:p>
      <w:pPr>
        <w:spacing w:after="0" w:line="119" w:lineRule="exact"/>
        <w:rPr>
          <w:sz w:val="20"/>
          <w:szCs w:val="20"/>
          <w:color w:val="auto"/>
        </w:rPr>
      </w:pPr>
    </w:p>
    <w:p>
      <w:pPr>
        <w:ind w:right="780" w:firstLine="590"/>
        <w:spacing w:after="0" w:line="282" w:lineRule="auto"/>
        <w:rPr>
          <w:sz w:val="20"/>
          <w:szCs w:val="20"/>
          <w:color w:val="auto"/>
        </w:rPr>
      </w:pPr>
      <w:r>
        <w:rPr>
          <w:rFonts w:ascii="Times New Roman" w:cs="Times New Roman" w:eastAsia="Times New Roman" w:hAnsi="Times New Roman"/>
          <w:sz w:val="18"/>
          <w:szCs w:val="18"/>
          <w:color w:val="auto"/>
        </w:rPr>
        <w:t>Other core legislation relating to the marketing, authorization and pricing of pharmaceutical products in the European Union includes the following:</w:t>
      </w:r>
    </w:p>
    <w:p>
      <w:pPr>
        <w:spacing w:after="0" w:line="54" w:lineRule="exact"/>
        <w:rPr>
          <w:sz w:val="20"/>
          <w:szCs w:val="20"/>
          <w:color w:val="auto"/>
        </w:rPr>
      </w:pPr>
    </w:p>
    <w:p>
      <w:pPr>
        <w:ind w:left="1500" w:right="80" w:hanging="372"/>
        <w:spacing w:after="0" w:line="255"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2001/83/EC, establishing the requirements and procedures governing the marketing authorization for medicinal products for human use, as well as the rules for the constant supervision of products following authorization. This Directive has been amended several times, most recently by Directive 2012/26/EU regarding pharmacovigilance, and the Falsified Medicines Directive 2011/62/EU.</w:t>
      </w:r>
    </w:p>
    <w:p>
      <w:pPr>
        <w:spacing w:after="0" w:line="2" w:lineRule="exact"/>
        <w:rPr>
          <w:rFonts w:ascii="Times New Roman" w:cs="Times New Roman" w:eastAsia="Times New Roman" w:hAnsi="Times New Roman"/>
          <w:sz w:val="18"/>
          <w:szCs w:val="18"/>
          <w:color w:val="auto"/>
        </w:rPr>
      </w:pPr>
    </w:p>
    <w:p>
      <w:pPr>
        <w:ind w:left="1500" w:right="20" w:hanging="372"/>
        <w:spacing w:after="0" w:line="250"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(EC) 726/2004, as amended, establishing procedures for the authorization, supervision and pharmacovigilance of medicinal products for human and veterinary use and establishing the EMA.</w:t>
      </w:r>
    </w:p>
    <w:p>
      <w:pPr>
        <w:ind w:left="1500" w:right="240" w:hanging="372"/>
        <w:spacing w:after="0" w:line="250"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(EC) 469/2009, establishing the requirements necessary to obtain a Supplementary Protection Certificate, which extends the period of patent protection applicable to medicinal products at the EU-level.</w:t>
      </w:r>
    </w:p>
    <w:p>
      <w:pPr>
        <w:ind w:left="1500" w:right="20" w:hanging="372"/>
        <w:spacing w:after="0" w:line="250"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89/105/EEC, ensuring the transparency of measures taken by the European Union member states to set the prices and reimbursements of medicinal products. Specifically, while each member state has competence over the pricing and reimbursement of medicines for human use, they must also comply with this Directive, which establishes procedures to ensure that member state decisions and policies do not obstruct trade in medicinal products. The European Commission proposed to repeal and replace Directive 89/105/EEC, but this proposal was withdrawn in 2015.</w:t>
      </w:r>
    </w:p>
    <w:p>
      <w:pPr>
        <w:spacing w:after="0" w:line="1" w:lineRule="exact"/>
        <w:rPr>
          <w:rFonts w:ascii="Times New Roman" w:cs="Times New Roman" w:eastAsia="Times New Roman" w:hAnsi="Times New Roman"/>
          <w:sz w:val="18"/>
          <w:szCs w:val="18"/>
          <w:color w:val="auto"/>
        </w:rPr>
      </w:pPr>
    </w:p>
    <w:p>
      <w:pPr>
        <w:ind w:left="1500" w:right="80" w:hanging="372"/>
        <w:spacing w:after="0" w:line="250"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2003/94/EC, laying down the principles of good manufacturing practice in respect of medicinal products and investigational medicinal products for human use (the "GMP Directive").</w:t>
      </w:r>
    </w:p>
    <w:p>
      <w:pPr>
        <w:ind w:left="1500" w:right="80" w:hanging="372"/>
        <w:spacing w:after="0" w:line="263"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2005/28/EC of April 8, 2005, laying down principles and detailed guidelines for good clinical practice as regards investigational medicinal products for human use, as well as the requirements for authorization of the manufacturing or importation of such products" (the "GCP Directive").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New Legislation and Regulations</w:t>
      </w:r>
    </w:p>
    <w:p>
      <w:pPr>
        <w:spacing w:after="0" w:line="119" w:lineRule="exact"/>
        <w:rPr>
          <w:sz w:val="20"/>
          <w:szCs w:val="20"/>
          <w:color w:val="auto"/>
        </w:rPr>
      </w:pPr>
    </w:p>
    <w:p>
      <w:pPr>
        <w:ind w:right="80" w:firstLine="442"/>
        <w:spacing w:after="0" w:line="261"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the European Union, its member states and other states of Europe that could significantly change the statutory provisions governing the testing, approval, manufacturing, marketing, coverage and reimbursement of pharmaceutical products. In addition to new legislation, pharmaceutical regulations and policies are often revised or interpreted by the EMA and national agencies in ways that may significantly affect our business and our products.</w:t>
      </w:r>
    </w:p>
    <w:p>
      <w:pPr>
        <w:spacing w:after="0" w:line="7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Following the United Kingdom’s formal departure from the European Union on January 31, 2020, the United Kingdom entered a transition period until December 31, 2020, during which time EU pharmaceutical laws will remain applicable to the United Kingdom as if it remained an EU Member State. After the transition period, however, changes may be forthcoming depending on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ind w:right="240"/>
        <w:spacing w:after="0" w:line="266" w:lineRule="auto"/>
        <w:rPr>
          <w:sz w:val="20"/>
          <w:szCs w:val="20"/>
          <w:color w:val="auto"/>
        </w:rPr>
      </w:pPr>
      <w:r>
        <w:rPr>
          <w:rFonts w:ascii="Times New Roman" w:cs="Times New Roman" w:eastAsia="Times New Roman" w:hAnsi="Times New Roman"/>
          <w:sz w:val="18"/>
          <w:szCs w:val="18"/>
          <w:color w:val="auto"/>
        </w:rPr>
        <w:t>terms of the United Kingdom and European Union’s future relationship that are negotiated, if any. As of the date of this filing, we cannot predict the regulatory implications of the United Kingdom’s departure from the European Union in the (i) enforcement of EU pharmaceutical laws in the UK before December 31, 2020 (which might be less stringent); and / or (ii) the UK regime on market authorizations following the transition period.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such as, in the United States,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w:t>
      </w:r>
    </w:p>
    <w:p>
      <w:pPr>
        <w:spacing w:after="0" w:line="187"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necessarily imply that an adequate reimbursement rate will be approved. Third-party reimbursement may not be sufficient to maintain price levels high enough to realize an appropriate return on our investment in product development.</w:t>
      </w:r>
    </w:p>
    <w:p>
      <w:pPr>
        <w:spacing w:after="0" w:line="183"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a product to be cost effective compared to other available therapies, they may not cover the product after approval as a benefit under their plans or, if they do, the level of payment may not be sufficient to allow a company to sell its products at a profit. The U.S. government, state legislatures and foreign governments have shown significant interest in implementing cost containment programs to limit the growth of government-paid health care costs, including price controls, risk sharing,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As a result, the marketability of any product which receives regulatory approval for commercial sale may suffer if the government and third-party payors fail to provide adequate coverage and reimbursement.</w:t>
      </w:r>
    </w:p>
    <w:p>
      <w:pPr>
        <w:spacing w:after="0" w:line="194"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In addition, an increasing emphasis on managed care in the United States has increased and will continue to increase the pressure on drug pricing. Coverage policies, third-party reimbursement rates and drug pricing regulation may change at any time. In particular, the Patient Protection and Affordable Care Act, as amended by the Health Care and Education Affordability Reconciliation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Even if favorable coverage and reimbursement status is attained for one or more products that receive regulatory approval, less favorable coverage policies and reimbursement rates may be implemented in the future.</w:t>
      </w:r>
    </w:p>
    <w:p>
      <w:pPr>
        <w:spacing w:after="0" w:line="18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 for any of our products.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Healthcare Laws and Regulations</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drug products that are granted marketing approval. Arrangements with healthcare providers, physicians, third-party payors and customers are subject to broadly applicable fraud and abuse and other healthcare laws and regulations that may constrain the business or financial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ind w:right="720"/>
        <w:spacing w:after="0" w:line="282" w:lineRule="auto"/>
        <w:rPr>
          <w:sz w:val="20"/>
          <w:szCs w:val="20"/>
          <w:color w:val="auto"/>
        </w:rPr>
      </w:pPr>
      <w:r>
        <w:rPr>
          <w:rFonts w:ascii="Times New Roman" w:cs="Times New Roman" w:eastAsia="Times New Roman" w:hAnsi="Times New Roman"/>
          <w:sz w:val="18"/>
          <w:szCs w:val="18"/>
          <w:color w:val="auto"/>
        </w:rPr>
        <w:t>arrangements and relationships through which we market, sell and distribute products for which we obtain marketing approval. Restrictions under applicable federal and state healthcare laws and regulations, include the following:</w:t>
      </w:r>
    </w:p>
    <w:p>
      <w:pPr>
        <w:spacing w:after="0" w:line="54" w:lineRule="exact"/>
        <w:rPr>
          <w:sz w:val="20"/>
          <w:szCs w:val="20"/>
          <w:color w:val="auto"/>
        </w:rPr>
      </w:pPr>
    </w:p>
    <w:p>
      <w:pPr>
        <w:ind w:left="880" w:right="100" w:hanging="373"/>
        <w:spacing w:after="0" w:line="261"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prohibits, among other things, persons from soliciting, offering, receiving or providing any remuneration (in cash or in kind), directly or indirectly, to induce or reward either the referral of an individual for, or the purchase, lease, order or recommendation of, any item, facility or service for which payment may be made in whole or in part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jc w:val="both"/>
        <w:ind w:left="880" w:right="240" w:hanging="373"/>
        <w:spacing w:after="0" w:line="289" w:lineRule="auto"/>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Foreign Corrupt Practices Act (“FCPA”) prohibits, among other things, U.S. corporations and persons acting on their behalf from offering, promising, authorizing or making payments to any foreign government official (including certain healthcare professionals in many countries), political party, or political candidate in an attempt to obtain or retain business or otherwise seek preferential treatment abroad;</w:t>
      </w:r>
    </w:p>
    <w:p>
      <w:pPr>
        <w:spacing w:after="0" w:line="49" w:lineRule="exact"/>
        <w:rPr>
          <w:rFonts w:ascii="Times New Roman" w:cs="Times New Roman" w:eastAsia="Times New Roman" w:hAnsi="Times New Roman"/>
          <w:sz w:val="17"/>
          <w:szCs w:val="17"/>
          <w:color w:val="auto"/>
        </w:rPr>
      </w:pPr>
    </w:p>
    <w:p>
      <w:pPr>
        <w:ind w:left="880" w:right="20" w:hanging="373"/>
        <w:spacing w:after="0" w:line="258"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may be enforced by the U.S. Department of Justice or private whistleblowers to bring civil actions (qui tam actions) on behalf of the federal government, imposes civil penalties, as well as liability for treble damages and for attorneys’ fees and costs, on individuals or entities for knowingly presenting, or causing to be presented, to the federal government, claims for payment that are false or fraudulent, making a false statement material to a false or fraudulent claim, or improperly avoiding, decreasing, or concealing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880" w:right="100" w:hanging="373"/>
        <w:spacing w:after="0" w:line="266"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Department of Health and Human Services’ Civil Monetary Penalties authorities, which imposes administrative sanctions for, among other things, presenting or causing to be presented false claims for government payment and providing remuneration to government health program beneficiaries to influence them to order or receive healthcare items or services;</w:t>
      </w:r>
    </w:p>
    <w:p>
      <w:pPr>
        <w:spacing w:after="0" w:line="67" w:lineRule="exact"/>
        <w:rPr>
          <w:rFonts w:ascii="Times New Roman" w:cs="Times New Roman" w:eastAsia="Times New Roman" w:hAnsi="Times New Roman"/>
          <w:sz w:val="18"/>
          <w:szCs w:val="18"/>
          <w:color w:val="auto"/>
        </w:rPr>
      </w:pPr>
    </w:p>
    <w:p>
      <w:pPr>
        <w:ind w:left="880" w:right="560" w:hanging="373"/>
        <w:spacing w:after="0" w:line="312" w:lineRule="auto"/>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(“HIPAA”) imposes criminal and civil liability for, among other conduct, executing a scheme to defraud any healthcare benefit program and making false statements relating to healthcare matters;</w:t>
      </w:r>
    </w:p>
    <w:p>
      <w:pPr>
        <w:spacing w:after="0" w:line="31" w:lineRule="exact"/>
        <w:rPr>
          <w:rFonts w:ascii="Times New Roman" w:cs="Times New Roman" w:eastAsia="Times New Roman" w:hAnsi="Times New Roman"/>
          <w:sz w:val="17"/>
          <w:szCs w:val="17"/>
          <w:color w:val="auto"/>
        </w:rPr>
      </w:pPr>
    </w:p>
    <w:p>
      <w:pPr>
        <w:jc w:val="both"/>
        <w:ind w:left="880" w:right="520" w:hanging="373"/>
        <w:spacing w:after="0" w:line="266"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criminal and civil liability and penalties on those who violate requirements, including mandatory contractual terms, intended to safeguard the privacy, security, transmission and use of individually identifiable health information;</w:t>
      </w:r>
    </w:p>
    <w:p>
      <w:pPr>
        <w:spacing w:after="0" w:line="67" w:lineRule="exact"/>
        <w:rPr>
          <w:rFonts w:ascii="Times New Roman" w:cs="Times New Roman" w:eastAsia="Times New Roman" w:hAnsi="Times New Roman"/>
          <w:sz w:val="18"/>
          <w:szCs w:val="18"/>
          <w:color w:val="auto"/>
        </w:rPr>
      </w:pPr>
    </w:p>
    <w:p>
      <w:pPr>
        <w:ind w:left="880" w:right="220" w:hanging="373"/>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relating to healthcare matters prohibits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880" w:right="120" w:hanging="373"/>
        <w:spacing w:after="0" w:line="266"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manufacturers of drugs (among other products) to report to the Centers for Medicare and Medicaid Services within the U.S. Department of Health and Human Services information related to payments and other transfers of value to physicians and teaching hospitals, as well as physician ownership and investment interests in the reporting manufacturers;</w:t>
      </w:r>
    </w:p>
    <w:p>
      <w:pPr>
        <w:spacing w:after="0" w:line="67" w:lineRule="exact"/>
        <w:rPr>
          <w:rFonts w:ascii="Times New Roman" w:cs="Times New Roman" w:eastAsia="Times New Roman" w:hAnsi="Times New Roman"/>
          <w:sz w:val="18"/>
          <w:szCs w:val="18"/>
          <w:color w:val="auto"/>
        </w:rPr>
      </w:pPr>
    </w:p>
    <w:p>
      <w:pPr>
        <w:ind w:left="880" w:right="100" w:hanging="373"/>
        <w:spacing w:after="0" w:line="312" w:lineRule="auto"/>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similar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31" w:lineRule="exact"/>
        <w:rPr>
          <w:rFonts w:ascii="Times New Roman" w:cs="Times New Roman" w:eastAsia="Times New Roman" w:hAnsi="Times New Roman"/>
          <w:sz w:val="17"/>
          <w:szCs w:val="17"/>
          <w:color w:val="auto"/>
        </w:rPr>
      </w:pPr>
    </w:p>
    <w:p>
      <w:pPr>
        <w:ind w:left="880" w:hanging="373"/>
        <w:spacing w:after="0" w:line="261"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laws require pharmaceutical companies to comply with voluntary compliance guidelines promulgated by a pharmaceutical industry association and relevant compliance guidance issues by HHS Office of Inspector General; bar drug manufacturers from offering or providing certain types of payments or gifts to physicians and other health care providers; and/or require disclosure of gifts or payments to physicians and other healthcare providers.</w:t>
      </w:r>
    </w:p>
    <w:p>
      <w:pPr>
        <w:spacing w:after="0" w:line="180"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Various state and foreign laws also govern the privacy and security of health information in some circumstances; many of these laws differ from each other in significant ways and often are not preempted by HIPAA, thus complicating compliance efforts.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Financial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information required in this Item 1 is included in Part II, Item 6 and Part IV, Item 15 of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Arrowhead Employees</w:t>
      </w:r>
    </w:p>
    <w:p>
      <w:pPr>
        <w:spacing w:after="0" w:line="227" w:lineRule="exact"/>
        <w:rPr>
          <w:sz w:val="20"/>
          <w:szCs w:val="20"/>
          <w:color w:val="auto"/>
        </w:rPr>
      </w:pPr>
    </w:p>
    <w:p>
      <w:pPr>
        <w:jc w:val="both"/>
        <w:ind w:right="200" w:firstLine="300"/>
        <w:spacing w:after="0" w:line="266" w:lineRule="auto"/>
        <w:rPr>
          <w:sz w:val="20"/>
          <w:szCs w:val="20"/>
          <w:color w:val="auto"/>
        </w:rPr>
      </w:pPr>
      <w:r>
        <w:rPr>
          <w:rFonts w:ascii="Times New Roman" w:cs="Times New Roman" w:eastAsia="Times New Roman" w:hAnsi="Times New Roman"/>
          <w:sz w:val="18"/>
          <w:szCs w:val="18"/>
          <w:color w:val="auto"/>
        </w:rPr>
        <w:t>As of September 30, 2020, Arrowhead employed 232 fulltime employees at three facilities in the US, including Pasadena, CA, Madison, WI and San Diego, CA. During FY2020, we grew our capabilities across the three sites by adding 98 new employees. The new employees were hired to support and extend our clinical and preclinical pipeline, with hires in commercial, clinical development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ind w:right="200"/>
        <w:spacing w:after="0" w:line="282" w:lineRule="auto"/>
        <w:rPr>
          <w:sz w:val="20"/>
          <w:szCs w:val="20"/>
          <w:color w:val="auto"/>
        </w:rPr>
      </w:pPr>
      <w:r>
        <w:rPr>
          <w:rFonts w:ascii="Times New Roman" w:cs="Times New Roman" w:eastAsia="Times New Roman" w:hAnsi="Times New Roman"/>
          <w:sz w:val="18"/>
          <w:szCs w:val="18"/>
          <w:color w:val="auto"/>
        </w:rPr>
        <w:t>and operations, research, manufacturing, and general and administrative functions. In FY2020, we added a site in San Diego to increase our access to the large talent pool of academic and industry experienced personnel in the area.</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Arrowhead Pharmaceuticals, Inc. Employees by Geography</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30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Employees as of</w:t>
            </w:r>
          </w:p>
        </w:tc>
      </w:tr>
      <w:tr>
        <w:trPr>
          <w:trHeight w:val="238"/>
        </w:trPr>
        <w:tc>
          <w:tcPr>
            <w:tcW w:w="546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773"/>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Site</w:t>
            </w:r>
          </w:p>
        </w:tc>
        <w:tc>
          <w:tcPr>
            <w:tcW w:w="16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Pasadena, CA</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9"/>
                <w:szCs w:val="19"/>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Madison, WI</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San Diego, CA</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00"/>
        <w:spacing w:after="0" w:line="255" w:lineRule="auto"/>
        <w:rPr>
          <w:sz w:val="20"/>
          <w:szCs w:val="20"/>
          <w:color w:val="auto"/>
        </w:rPr>
      </w:pPr>
      <w:r>
        <w:rPr>
          <w:rFonts w:ascii="Times New Roman" w:cs="Times New Roman" w:eastAsia="Times New Roman" w:hAnsi="Times New Roman"/>
          <w:sz w:val="18"/>
          <w:szCs w:val="18"/>
          <w:color w:val="auto"/>
        </w:rPr>
        <w:t>We expect to continue to add additional employees in FY2021 with a focus on expanding our inhouse manufacturing capacity, as well as increasing expertise and bandwidth in clinical and preclinical research and development. The Company continually evaluates the business need and opportunity and balances in house expertise and capacity with outsourced expertise and capacity. Currently, we outsource substantial clinical trial work to clinical research organizations and certain drug manufacturing to contract manufacturers.</w:t>
      </w:r>
    </w:p>
    <w:p>
      <w:pPr>
        <w:spacing w:after="0" w:line="3"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Drug development is a complex endeavor which requires deep expertise and experience across a broad array of disciplines. Pharmaceutical companies both large and small compete for a limited number qualified applicants to fill specialized positions. To attract qualified applicants to the Company, Arrowhead offers a total rewards package consisting of base salary and cash target bonus targeting the 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to 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of market based on geography, a comprehensive benefit package and equity compensation for every employee. Bonus opportunity and equity compensation increase as a percentage of total compensation based on level of responsibility. Actual bonus payout is based on performance.</w:t>
      </w:r>
    </w:p>
    <w:p>
      <w:pPr>
        <w:spacing w:after="0" w:line="187" w:lineRule="exact"/>
        <w:rPr>
          <w:sz w:val="20"/>
          <w:szCs w:val="20"/>
          <w:color w:val="auto"/>
        </w:rPr>
      </w:pPr>
    </w:p>
    <w:p>
      <w:pPr>
        <w:ind w:right="260" w:firstLine="300"/>
        <w:spacing w:after="0" w:line="266" w:lineRule="auto"/>
        <w:rPr>
          <w:sz w:val="20"/>
          <w:szCs w:val="20"/>
          <w:color w:val="auto"/>
        </w:rPr>
      </w:pPr>
      <w:r>
        <w:rPr>
          <w:rFonts w:ascii="Times New Roman" w:cs="Times New Roman" w:eastAsia="Times New Roman" w:hAnsi="Times New Roman"/>
          <w:sz w:val="18"/>
          <w:szCs w:val="18"/>
          <w:color w:val="auto"/>
        </w:rPr>
        <w:t>A large majority of Arrowhead’s employees have obtained advanced degrees in their professions. Arrowhead supports our employees’ further development with individualized development plans, mentoring, coaching, group training, conference attendance and financial support including tuition reimbursement.</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Response to COVID-19</w:t>
      </w:r>
    </w:p>
    <w:p>
      <w:pPr>
        <w:spacing w:after="0" w:line="227" w:lineRule="exact"/>
        <w:rPr>
          <w:sz w:val="20"/>
          <w:szCs w:val="20"/>
          <w:color w:val="auto"/>
        </w:rPr>
      </w:pPr>
    </w:p>
    <w:p>
      <w:pPr>
        <w:ind w:right="220" w:firstLine="300"/>
        <w:spacing w:after="0" w:line="282" w:lineRule="auto"/>
        <w:rPr>
          <w:sz w:val="20"/>
          <w:szCs w:val="20"/>
          <w:color w:val="auto"/>
        </w:rPr>
      </w:pPr>
      <w:r>
        <w:rPr>
          <w:rFonts w:ascii="Times New Roman" w:cs="Times New Roman" w:eastAsia="Times New Roman" w:hAnsi="Times New Roman"/>
          <w:sz w:val="18"/>
          <w:szCs w:val="18"/>
          <w:color w:val="auto"/>
        </w:rPr>
        <w:t>Beginning in March 2020, Arrowhead has supported our employees and government efforts to curb the COVID-19 pandemic through a multifaceted communication, infrastructure, and behavior modification and enforcement effort:</w:t>
      </w:r>
    </w:p>
    <w:p>
      <w:pPr>
        <w:spacing w:after="0" w:line="54" w:lineRule="exact"/>
        <w:rPr>
          <w:sz w:val="20"/>
          <w:szCs w:val="20"/>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clear and regular COVID-19 policies, safety protocols, and updates to all employees;</w:t>
      </w:r>
    </w:p>
    <w:p>
      <w:pPr>
        <w:spacing w:after="0" w:line="27" w:lineRule="exact"/>
        <w:rPr>
          <w:rFonts w:ascii="Times New Roman" w:cs="Times New Roman" w:eastAsia="Times New Roman" w:hAnsi="Times New Roman"/>
          <w:sz w:val="18"/>
          <w:szCs w:val="18"/>
          <w:color w:val="auto"/>
        </w:rPr>
      </w:pPr>
    </w:p>
    <w:p>
      <w:pPr>
        <w:ind w:left="740" w:right="120" w:hanging="368"/>
        <w:spacing w:after="0" w:line="250"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density and increasing physical distancing in workspaces for employees working onsite by scheduling adjustments and adding work from home flexibility;</w:t>
      </w: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attendance policies to encourage those who are sick to stay home;</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cleaning protocols across all locations;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additional personal protective equipment and cleaning supplies;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protocols to address actual and suspected COVID-19 cases and potential exposure;</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all domestic and international non-essential travel for all employees; and</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masks to be worn in all locations.</w:t>
      </w:r>
    </w:p>
    <w:p>
      <w:pPr>
        <w:spacing w:after="0" w:line="139" w:lineRule="exact"/>
        <w:rPr>
          <w:sz w:val="20"/>
          <w:szCs w:val="20"/>
          <w:color w:val="auto"/>
        </w:rPr>
      </w:pPr>
    </w:p>
    <w:p>
      <w:pPr>
        <w:ind w:right="80" w:firstLine="300"/>
        <w:spacing w:after="0" w:line="282" w:lineRule="auto"/>
        <w:rPr>
          <w:sz w:val="20"/>
          <w:szCs w:val="20"/>
          <w:color w:val="auto"/>
        </w:rPr>
      </w:pPr>
      <w:r>
        <w:rPr>
          <w:rFonts w:ascii="Times New Roman" w:cs="Times New Roman" w:eastAsia="Times New Roman" w:hAnsi="Times New Roman"/>
          <w:sz w:val="18"/>
          <w:szCs w:val="18"/>
          <w:color w:val="auto"/>
        </w:rPr>
        <w:t>Additionally, we established a childcare subsidy fund to support employees who incurred additional expenses related to the loss of in person schooling and childcare.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Arrowhead was originally incorporated in South Dakota in 1989 and was reincorporated in Delaware in 2000. In April 2016, Arrowhead changed its name from Arrowhead Research Corporation to Arrowhead Pharmaceuticals, Inc. The Company’s principal executive offices are located at 177 E. Colorado Blvd, Suite 700, Pasadena, California 91105, and its telephone number is (626) 304-3400. We also operate research and development facilities in Madison, Wisconsin and San Diego, California.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Information</w:t>
      </w:r>
    </w:p>
    <w:p>
      <w:pPr>
        <w:spacing w:after="0" w:line="121"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u w:val="single" w:color="auto"/>
          <w:color w:val="auto"/>
        </w:rPr>
        <w:t>http://www.arrowheadpharmaceuticals.com.</w:t>
      </w:r>
      <w:r>
        <w:rPr>
          <w:rFonts w:ascii="Times New Roman" w:cs="Times New Roman" w:eastAsia="Times New Roman" w:hAnsi="Times New Roman"/>
          <w:sz w:val="18"/>
          <w:szCs w:val="18"/>
          <w:color w:val="auto"/>
        </w:rPr>
        <w:t xml:space="preserve"> Our reports filed or furnished pursuant to Section 13(a) or 15(d) of the Securities Exchange Act of 1934, as amended, including our annual reports on Form 10-K, our quarterly reports on Form 10-Q and our current reports on Form 8-K, and amendments to those reports, are accessible through our website, free of charge, as soon as reasonably practicable after these reports are filed electronically with, or otherwise furnished to, the SEC. These SEC reports can be accessed through the “Investors” section of our website.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ind w:firstLine="510"/>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an Internet website that contains reports, proxy and information statements, and other information regarding Arrowhead and other issuers that file electronically with the SEC. The SEC’s Internet website address is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337" w:right="679" w:bottom="1440" w:gutter="0" w:footer="0" w:header="0"/>
        </w:sectPr>
      </w:pPr>
    </w:p>
    <w:bookmarkStart w:id="32" w:name="page33"/>
    <w:bookmarkEnd w:id="32"/>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discussed below and all of the other information contained in this report in evaluating us and an investment in our securities. If any of the following risks and uncertainties should occur, they could have a material adverse effect on our business, financial condition or results of operations. In that case, the trading price of our Common Stock could decline. Many of the following risks and uncertainties may be exacerbated by the COVID-19 pandemic and any worsening of the global business and economic environment as a result. Additionally, we note that we have accrued net losses annually since inception given the stage of our drug development. We urge you to consider our likelihood of success and prospects in light of the risks, expenses and difficulties frequently encountered by entities at similar stages of development.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Discovery, Development, and Commercialization of Medicines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may be adversely affected by the novel coronavirus (COVID-19) pandemic and other public health epidemics.</w:t>
      </w:r>
    </w:p>
    <w:p>
      <w:pPr>
        <w:spacing w:after="0" w:line="51"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Our business and its operations, including but not limited to our research and development activities and our supply chain, could be adversely affected by health epidemics in regions where we have business operations, and such health epidemics could cause significant disruption in the operations of third parties upon whom we rely. In December 2019, a novel strain of coronavirus, SARS-CoV-2, causing a disease referred to as COVID-19, was reported to have surfaced in Wuhan, China. In response to public health directives and orders related to COVID-19, we have implemented work-from-home policies for substantially all of our employees to the extent work can be performed effectively at home. The effects of executive and similar government orders, shelter-in-place orders and our work-from-home policies may negatively impact our productivity, disrupt our business, increase our expenses, including costs associated with preventive and precautionary measures that we, companies with which we conduct business, and governments are taking, and delay our clinical trials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results of operations and financial condition.</w:t>
      </w:r>
    </w:p>
    <w:p>
      <w:pPr>
        <w:spacing w:after="0" w:line="86" w:lineRule="exact"/>
        <w:rPr>
          <w:sz w:val="20"/>
          <w:szCs w:val="20"/>
          <w:color w:val="auto"/>
        </w:rPr>
      </w:pPr>
    </w:p>
    <w:p>
      <w:pPr>
        <w:ind w:right="80" w:firstLine="578"/>
        <w:spacing w:after="0" w:line="261" w:lineRule="auto"/>
        <w:rPr>
          <w:sz w:val="20"/>
          <w:szCs w:val="20"/>
          <w:color w:val="auto"/>
        </w:rPr>
      </w:pPr>
      <w:r>
        <w:rPr>
          <w:rFonts w:ascii="Times New Roman" w:cs="Times New Roman" w:eastAsia="Times New Roman" w:hAnsi="Times New Roman"/>
          <w:sz w:val="18"/>
          <w:szCs w:val="18"/>
          <w:color w:val="auto"/>
        </w:rPr>
        <w:t>Quarantines, shelter-in-place, executive and similar government orders, or the perception that such orders, shutdowns or other restrictions on the conduct of business operations could occur, related to COVID-19 or other infectious diseases, have impacted and may continue to impact personnel at our business partners in the United States and other countries, or our access to raw materials for our research and development facility discovery efforts, which would disrupt our supply chain.</w:t>
      </w:r>
    </w:p>
    <w:p>
      <w:pPr>
        <w:spacing w:after="0" w:line="72"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In addition, our clinical trials have been and may continue to be affected by the COVID-19 pandemic. For example, during fiscal year 2020, we temporarily paused enrollment in our two ARO-AAT studies: SEQUOIA and the ARO-AAT 2002 study but resumed the process of screening and enrolling patients during the year ended September 30, 2020. During the pause in enrollment, patients already enrolled in these studies continued to be dosed per protocol and continued to come in for their follow up visits. Additional delays have occurred in the Company’s earlier stage programs, but we do not expect a material impact to any program’s anticipated timelines. Several of the Company’s other clinical candidates are in the start-up stage (ARO-HSD, ARO-HIF2 and ARO-ENaC), during which significant clinical costs will continue to be incurred.</w:t>
      </w:r>
    </w:p>
    <w:p>
      <w:pPr>
        <w:spacing w:after="0" w:line="79" w:lineRule="exact"/>
        <w:rPr>
          <w:sz w:val="20"/>
          <w:szCs w:val="20"/>
          <w:color w:val="auto"/>
        </w:rPr>
      </w:pPr>
    </w:p>
    <w:p>
      <w:pPr>
        <w:ind w:firstLine="578"/>
        <w:spacing w:after="0" w:line="255" w:lineRule="auto"/>
        <w:rPr>
          <w:sz w:val="20"/>
          <w:szCs w:val="20"/>
          <w:color w:val="auto"/>
        </w:rPr>
      </w:pPr>
      <w:r>
        <w:rPr>
          <w:rFonts w:ascii="Times New Roman" w:cs="Times New Roman" w:eastAsia="Times New Roman" w:hAnsi="Times New Roman"/>
          <w:sz w:val="18"/>
          <w:szCs w:val="18"/>
          <w:color w:val="auto"/>
        </w:rPr>
        <w:t>Additionally, the Company’s operations at its research and development facilities in Madison, Wisconsin and San Diego, California, as well as its corporate headquarters in Pasadena, California have continued to operate with limited impact, other than for enhanced safety measures, including work from home policies. However, the Company cannot predict the impact of the progression of COVID-19 will have on future financial results due to a variety of factors including the ability of the Company’s clinical sites to continue to enroll subjects, the ability of the Company’s suppliers to continue to operate, the continued good health and safety of the Company’s employees, and ultimately the length of the COVID-19 pandemic. If COVID-19 continues to spread in the United States and elsewhere, we may experience additional disruptions that could severely impact our business, preclinical studies and clinical trials, including:</w:t>
      </w:r>
    </w:p>
    <w:p>
      <w:pPr>
        <w:spacing w:after="0" w:line="81"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authorization from local regulatory authorities to initiate any planned clinical trials;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7" w:lineRule="exact"/>
        <w:rPr>
          <w:sz w:val="20"/>
          <w:szCs w:val="20"/>
          <w:color w:val="auto"/>
        </w:rPr>
      </w:pPr>
    </w:p>
    <w:p>
      <w:pPr>
        <w:ind w:right="360" w:firstLine="8"/>
        <w:spacing w:after="0" w:line="282" w:lineRule="auto"/>
        <w:tabs>
          <w:tab w:leader="none" w:pos="3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337"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53" w:lineRule="exact"/>
        <w:rPr>
          <w:rFonts w:ascii="Times New Roman" w:cs="Times New Roman" w:eastAsia="Times New Roman" w:hAnsi="Times New Roman"/>
          <w:sz w:val="18"/>
          <w:szCs w:val="18"/>
          <w:color w:val="auto"/>
        </w:rPr>
      </w:pPr>
    </w:p>
    <w:p>
      <w:pPr>
        <w:ind w:right="360" w:firstLine="8"/>
        <w:spacing w:after="0" w:line="282" w:lineRule="auto"/>
        <w:tabs>
          <w:tab w:leader="none" w:pos="3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ind w:right="120" w:firstLine="8"/>
        <w:spacing w:after="0" w:line="282" w:lineRule="auto"/>
        <w:tabs>
          <w:tab w:leader="none" w:pos="3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and data entry and verification, due to limitations on travel imposed or recommended by federal or state governments, employers and others, or interruption of clinical trial subject visits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ind w:right="100"/>
        <w:spacing w:after="0" w:line="282" w:lineRule="auto"/>
        <w:rPr>
          <w:sz w:val="20"/>
          <w:szCs w:val="20"/>
          <w:color w:val="auto"/>
        </w:rPr>
      </w:pPr>
      <w:r>
        <w:rPr>
          <w:rFonts w:ascii="Times New Roman" w:cs="Times New Roman" w:eastAsia="Times New Roman" w:hAnsi="Times New Roman"/>
          <w:sz w:val="18"/>
          <w:szCs w:val="18"/>
          <w:color w:val="auto"/>
        </w:rPr>
        <w:t>and study procedures, the occurrence of which could affect the completeness and integrity of clinical trial data and, as a result, the determine the outcomes of the trial;</w:t>
      </w:r>
    </w:p>
    <w:p>
      <w:pPr>
        <w:spacing w:after="0" w:line="337" w:lineRule="exact"/>
        <w:rPr>
          <w:sz w:val="20"/>
          <w:szCs w:val="20"/>
          <w:color w:val="auto"/>
        </w:rPr>
      </w:pPr>
    </w:p>
    <w:p>
      <w:pPr>
        <w:ind w:right="380" w:firstLine="8"/>
        <w:spacing w:after="0" w:line="282" w:lineRule="auto"/>
        <w:tabs>
          <w:tab w:leader="none" w:pos="3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53" w:lineRule="exact"/>
        <w:rPr>
          <w:rFonts w:ascii="Times New Roman" w:cs="Times New Roman" w:eastAsia="Times New Roman" w:hAnsi="Times New Roman"/>
          <w:sz w:val="18"/>
          <w:szCs w:val="18"/>
          <w:color w:val="auto"/>
        </w:rPr>
      </w:pPr>
    </w:p>
    <w:p>
      <w:pPr>
        <w:ind w:right="480" w:firstLine="8"/>
        <w:spacing w:after="0" w:line="282" w:lineRule="auto"/>
        <w:tabs>
          <w:tab w:leader="none" w:pos="3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not be able to travel to our clinical trial sites as a result of quarantines or other restrictions resulting from COVID-19;</w:t>
      </w:r>
    </w:p>
    <w:p>
      <w:pPr>
        <w:spacing w:after="0" w:line="337" w:lineRule="exact"/>
        <w:rPr>
          <w:rFonts w:ascii="Times New Roman" w:cs="Times New Roman" w:eastAsia="Times New Roman" w:hAnsi="Times New Roman"/>
          <w:sz w:val="18"/>
          <w:szCs w:val="18"/>
          <w:color w:val="auto"/>
        </w:rPr>
      </w:pPr>
    </w:p>
    <w:p>
      <w:pPr>
        <w:ind w:right="260" w:firstLine="8"/>
        <w:spacing w:after="0" w:line="282" w:lineRule="auto"/>
        <w:tabs>
          <w:tab w:leader="none" w:pos="3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not be able to comply with clinical trial protocols if quarantines impede patient movement or interrupt healthcare services;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preclinical studies due to restricted or limited operations at our research and development laboratory facilities;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right="180" w:firstLine="8"/>
        <w:spacing w:after="0" w:line="282" w:lineRule="auto"/>
        <w:tabs>
          <w:tab w:leader="none" w:pos="3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53" w:lineRule="exact"/>
        <w:rPr>
          <w:rFonts w:ascii="Times New Roman" w:cs="Times New Roman" w:eastAsia="Times New Roman" w:hAnsi="Times New Roman"/>
          <w:sz w:val="18"/>
          <w:szCs w:val="18"/>
          <w:color w:val="auto"/>
        </w:rPr>
      </w:pPr>
    </w:p>
    <w:p>
      <w:pPr>
        <w:ind w:right="80" w:firstLine="8"/>
        <w:spacing w:after="0" w:line="282" w:lineRule="auto"/>
        <w:tabs>
          <w:tab w:leader="none" w:pos="3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33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clinical activities.</w:t>
      </w:r>
    </w:p>
    <w:p>
      <w:pPr>
        <w:spacing w:after="0" w:line="117"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may materially affect us economically. While the potential economic impact brought by COVID-19, and the duration of such impact, may be difficult to assess or predict, the widespread pandemic has resulted in significant disruption of global financial markets, which could reduce our ability to access capital and negatively affect our future liquidity. In addition, a recession or market correction resulting from the spread of COVID-19 and related government orders and restrictions could materially affect our business and the value of our common stock.</w:t>
      </w:r>
    </w:p>
    <w:p>
      <w:pPr>
        <w:spacing w:after="0" w:line="75" w:lineRule="exact"/>
        <w:rPr>
          <w:sz w:val="20"/>
          <w:szCs w:val="20"/>
          <w:color w:val="auto"/>
        </w:rPr>
      </w:pPr>
    </w:p>
    <w:p>
      <w:pPr>
        <w:ind w:right="280" w:firstLine="578"/>
        <w:spacing w:after="0" w:line="261" w:lineRule="auto"/>
        <w:rPr>
          <w:sz w:val="20"/>
          <w:szCs w:val="20"/>
          <w:color w:val="auto"/>
        </w:rPr>
      </w:pPr>
      <w:r>
        <w:rPr>
          <w:rFonts w:ascii="Times New Roman" w:cs="Times New Roman" w:eastAsia="Times New Roman" w:hAnsi="Times New Roman"/>
          <w:sz w:val="18"/>
          <w:szCs w:val="18"/>
          <w:color w:val="auto"/>
        </w:rPr>
        <w:t>The COVID-19 pandemic continues to evolve rapidly. The ultimate impact of the COVID-19 pandemic or a similar public health emergency is highly uncertain and subject to change. We do not yet know the full extent of potential delays or impacts on our business, our clinical trials, healthcare systems, or the global economy as a whole. However, any one or a combination of these events could have an adverse effect on our results of operations and financial condition.</w:t>
      </w:r>
    </w:p>
    <w:p>
      <w:pPr>
        <w:spacing w:after="0" w:line="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substantial risks inherent in attempting to commercialize our new drugs, and, as a result, we may not be able to successfully develop products for commercial use.</w:t>
      </w:r>
    </w:p>
    <w:p>
      <w:pPr>
        <w:spacing w:after="0" w:line="51"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Our research and development efforts involve therapeutics based on RNA interference and our delivery systems, which are largely unproven technologies. Our scientists and engineers are working on developing technology in the early stages. However, such technology’s commercial feasibility and acceptance are unknown. Scientific research and development requires significant amounts of capital and takes a long time to reach commercial viability if it can be achieved at all. To date, our research and development projects have not produced commercially viable drugs and may never do so. During the research and development process, we may experience technological barriers that we may be unable to overcome. Further, certain underlying premises in our development programs are not proven. For instance, the reduction of the production of mutant alpha-1 antitrypsin in the liver may not lead to a reduction of globules in the liver, and even if it leads to a reduction in such globules, this may not lead to other beneficial hepatic changes. It is also unknown at this time what changes in the liver may be required to gain regulatory approval and/or favorable reimbursement for a drug that reduces the production of mutant alpha-1 antitrypsin in the liver. Similar uncertainties and risks exist that are specific to each of our development programs. Because of these and similar uncertainties, it is possible that no commercial products will be successfully developed. If we are unable to successfully develop commercial products, we will be unable to generate revenue or build a sustainable or profitable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product candidates will obtain regulatory approval.</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sale of human therapeutic products in the United States and foreign jurisdictions is subject to extensive and time consuming regulatory approval which requires, among other things:</w:t>
      </w:r>
    </w:p>
    <w:p>
      <w:pPr>
        <w:spacing w:after="0" w:line="54" w:lineRule="exact"/>
        <w:rPr>
          <w:sz w:val="20"/>
          <w:szCs w:val="20"/>
          <w:color w:val="auto"/>
        </w:rPr>
      </w:pPr>
    </w:p>
    <w:p>
      <w:pPr>
        <w:ind w:left="880" w:hanging="373"/>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research and human clinical testing;</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safety and efficacy of the product;</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review and approval of a submission containing manufacturing, pre-clinical and clinical data;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adherence to cGMP regulations during production and storage.</w:t>
      </w:r>
    </w:p>
    <w:p>
      <w:pPr>
        <w:spacing w:after="0" w:line="225"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product candidates we currently have under development will require significant development, pre-clinical and clinical testing and investment of significant funds to gain regulatory approval before they can be commercialized. The results of our research</w:t>
      </w:r>
    </w:p>
    <w:p>
      <w:pPr>
        <w:sectPr>
          <w:pgSz w:w="11900" w:h="16838" w:orient="portrait"/>
          <w:cols w:equalWidth="0" w:num="1">
            <w:col w:w="11240"/>
          </w:cols>
          <w:pgMar w:left="320" w:top="22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4" w:name="page35"/>
    <w:bookmarkEnd w:id="34"/>
    <w:p>
      <w:pPr>
        <w:ind w:right="20"/>
        <w:spacing w:after="0" w:line="258" w:lineRule="auto"/>
        <w:rPr>
          <w:sz w:val="20"/>
          <w:szCs w:val="20"/>
          <w:color w:val="auto"/>
        </w:rPr>
      </w:pPr>
      <w:r>
        <w:rPr>
          <w:rFonts w:ascii="Times New Roman" w:cs="Times New Roman" w:eastAsia="Times New Roman" w:hAnsi="Times New Roman"/>
          <w:sz w:val="18"/>
          <w:szCs w:val="18"/>
          <w:color w:val="auto"/>
        </w:rPr>
        <w:t>and human clinical testing of our products may not meet regulatory requirements. Some of our product candidates, if approved, will require the completion of post-market studies. There can be no assurance that any of our products will be further developed and approved. The process of completing clinical testing and obtaining required approvals will take a number of years and require the use of substantial resources. Further, there can be no assurance that product candidates employing a new technology will be shown to be safe and effective in clinical trials or receive applicable regulatory approvals. If we fail to obtain regulatory approvals for any or all of our products, we will not be able to market such product and our operations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testing of a particular product candidate does not yield successful results, then we will be unable to commercialize that product candidate.</w:t>
      </w:r>
    </w:p>
    <w:p>
      <w:pPr>
        <w:spacing w:after="0" w:line="121" w:lineRule="exact"/>
        <w:rPr>
          <w:sz w:val="20"/>
          <w:szCs w:val="20"/>
          <w:color w:val="auto"/>
        </w:rPr>
      </w:pPr>
    </w:p>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We must demonstrate our product candidates’ safety and efficacy in humans through extensive clinical testing. Our research and development programs are at an early stage of development. We may experience numerous unforeseen events during, or as a result of, the testing process that could delay or prevent commercialization of any products, including the following:</w:t>
      </w:r>
    </w:p>
    <w:p>
      <w:pPr>
        <w:spacing w:after="0" w:line="68" w:lineRule="exact"/>
        <w:rPr>
          <w:sz w:val="20"/>
          <w:szCs w:val="20"/>
          <w:color w:val="auto"/>
        </w:rPr>
      </w:pPr>
    </w:p>
    <w:p>
      <w:pPr>
        <w:ind w:left="880" w:hanging="37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may be inconclusive, or they may not be indicative of results that will be obtained in human clinical trials;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attained in early human clinical trials may not be indicative of results that are obtained in later clinical trials;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test results, we may abandon projects that we might previously have believed to be promising;</w:t>
      </w:r>
    </w:p>
    <w:p>
      <w:pPr>
        <w:spacing w:after="0" w:line="117" w:lineRule="exact"/>
        <w:rPr>
          <w:rFonts w:ascii="Times New Roman" w:cs="Times New Roman" w:eastAsia="Times New Roman" w:hAnsi="Times New Roman"/>
          <w:sz w:val="18"/>
          <w:szCs w:val="18"/>
          <w:color w:val="auto"/>
        </w:rPr>
      </w:pPr>
    </w:p>
    <w:p>
      <w:pPr>
        <w:ind w:left="880" w:right="260" w:hanging="373"/>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regulators may suspend or terminate clinical trials because the participating subjects or patients are being exposed to unacceptable health risks; and</w:t>
      </w:r>
    </w:p>
    <w:p>
      <w:pPr>
        <w:spacing w:after="0" w:line="53" w:lineRule="exact"/>
        <w:rPr>
          <w:rFonts w:ascii="Times New Roman" w:cs="Times New Roman" w:eastAsia="Times New Roman" w:hAnsi="Times New Roman"/>
          <w:sz w:val="18"/>
          <w:szCs w:val="18"/>
          <w:color w:val="auto"/>
        </w:rPr>
      </w:pPr>
    </w:p>
    <w:p>
      <w:pPr>
        <w:ind w:left="880" w:right="60" w:hanging="373"/>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have the desired effects or may include undesirable side effects or other characteristics that preclude regulatory approval or limit their commercial use if approved.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data may not accurately reflect the complete results of a particular study or trial.</w:t>
      </w:r>
    </w:p>
    <w:p>
      <w:pPr>
        <w:spacing w:after="0" w:line="12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may publicly disclose topline or interim data from time to time, which is based on a preliminary analysis of then-available efficacy and safety data such as the data reported from the AROAAT2002, AROANG31001, and AROAPOC31001 clinical studies which are based on preliminary analysis of key efficacy and safety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may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 future analysis of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take us longer than we project to complete clinical trials, and we may not be able to complete them at all.</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Although for planning purposes, we project the commencement, continuation and completion of our clinical trials, a number of factors, including scheduling conflicts with participating clinicians and clinical institutions, and difficulties in identifying or enrolling patients who meet trial eligibility criteria, may cause significant delays. Enrollment of clinical trials may be particularly difficult in orphan diseases or limited-sized patient populations. The FDA or other regulatory bodies may require additional, longer or broader clinical trials to establish safety and effectiveness, notwithstanding guidance the Company may have received from those bodies during clinical trial planning and execution. Further, the cost for conducting clinical trials is significant and if our cash resources become limited we may not be able to commence, continue, and/or complete our clinical trials. We may not commence or complete clinical trials involving any of our product candidates as projected or may not conduct them successfully.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designation for ARO-AAT may not lead to a faster development or review process.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have been granted a Fast Track designation for ARO-AAT in the United States for the treatment of liver disease associated with AATD. Fast Track designation is intended to facilitate the development and expedite the review of new therapies to treat serious conditions with unmet medical needs by providing sponsors with the opportunity for frequent interactions with the FDA. Fast Track designation applies to the combination of the drug candidate and the specific indication for which it is being studied. Product candidates that receive Fast Track designation may receive more frequent interactions with the FDA regarding the product candidate’s development plan and clinical trials and may be eligible for the FDA’s Rolling Review.</w:t>
      </w:r>
    </w:p>
    <w:p>
      <w:pPr>
        <w:spacing w:after="0" w:line="183"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Despite receiving Fast Track designation, ARO-AAT may not actually receive faster clinical development or regulatory review or approval any sooner than other product candidates that do not have such designation, or at all. Furthermore, such a designation does not increase the likelihood that ARO-AAT will receive marketing approval in the United States. The FDA may also withdraw Fast Track if it determines that ARO-AAT no longer meets the relevant criteria.</w:t>
      </w:r>
    </w:p>
    <w:p>
      <w:pPr>
        <w:spacing w:after="0" w:line="2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are approved for commercialization, failure to comply with regulatory requirements or unanticipated problems with our products may result in various adverse actions such as the suspension or withdrawal of one or more of our products, closure of a facility or enforcement of substantial penalties or fines.</w:t>
      </w:r>
    </w:p>
    <w:p>
      <w:pPr>
        <w:spacing w:after="0" w:line="67" w:lineRule="exact"/>
        <w:rPr>
          <w:sz w:val="20"/>
          <w:szCs w:val="20"/>
          <w:color w:val="auto"/>
        </w:rPr>
      </w:pPr>
    </w:p>
    <w:p>
      <w:pPr>
        <w:ind w:right="160" w:firstLine="578"/>
        <w:spacing w:after="0" w:line="254" w:lineRule="auto"/>
        <w:rPr>
          <w:sz w:val="20"/>
          <w:szCs w:val="20"/>
          <w:color w:val="auto"/>
        </w:rPr>
      </w:pPr>
      <w:r>
        <w:rPr>
          <w:rFonts w:ascii="Times New Roman" w:cs="Times New Roman" w:eastAsia="Times New Roman" w:hAnsi="Times New Roman"/>
          <w:sz w:val="18"/>
          <w:szCs w:val="18"/>
          <w:color w:val="auto"/>
        </w:rPr>
        <w:t>If regulatory approval to sell any of our product candidates is received, regulatory agencies will subject any marketed product(s), as well as the manufacturing facilities, to continual review and periodic inspection. If previously unknown problems with a product or with regulatory requirements are discovered, such as adverse events of unanticipated severity or frequency, problems with a manufacturing process or laboratory facility, or failure to comply with applicable regulatory approval requirements, a regulatory agency may impose restrictions or penalties on that product or on us. Such restrictions or penalties may include, among other things:</w:t>
      </w:r>
    </w:p>
    <w:p>
      <w:pPr>
        <w:spacing w:after="0" w:line="3"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the withdrawal of the product from the market, or product recalls;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holds on clinical trials;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 of the facility, enforcement of substantial fines, injunctions, or the imposition of civil or criminal penalties.</w:t>
      </w:r>
    </w:p>
    <w:p>
      <w:pPr>
        <w:spacing w:after="0" w:line="20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are approved for commercialization, future regulatory reviews or inspections may result in the suspension or withdrawal of one or more of our products, closure of a facility or enforcement of substantial fines.</w:t>
      </w:r>
    </w:p>
    <w:p>
      <w:pPr>
        <w:spacing w:after="0" w:line="51" w:lineRule="exact"/>
        <w:rPr>
          <w:sz w:val="20"/>
          <w:szCs w:val="20"/>
          <w:color w:val="auto"/>
        </w:rPr>
      </w:pPr>
    </w:p>
    <w:p>
      <w:pPr>
        <w:ind w:right="40" w:firstLine="578"/>
        <w:spacing w:after="0" w:line="261" w:lineRule="auto"/>
        <w:rPr>
          <w:sz w:val="20"/>
          <w:szCs w:val="20"/>
          <w:color w:val="auto"/>
        </w:rPr>
      </w:pPr>
      <w:r>
        <w:rPr>
          <w:rFonts w:ascii="Times New Roman" w:cs="Times New Roman" w:eastAsia="Times New Roman" w:hAnsi="Times New Roman"/>
          <w:sz w:val="18"/>
          <w:szCs w:val="18"/>
          <w:color w:val="auto"/>
        </w:rPr>
        <w:t>If regulatory approval to sell any of our product candidates is received, regulatory agencies will subject any marketed product(s), as well as the manufacturing facilities, to continual review and periodic inspection. If previously unknown problems with a product or manufacturing and laboratory facility are discovered, or we fail to comply with applicable regulatory approval requirements, a regulatory agency may impose restrictions on that product or on us. The agency may require the withdrawal of the product from the market, closure of the facility or enforcement of substantial fines.</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for a product candidate and may have to limit its commercialization.</w:t>
      </w:r>
    </w:p>
    <w:p>
      <w:pPr>
        <w:spacing w:after="0" w:line="51" w:lineRule="exact"/>
        <w:rPr>
          <w:sz w:val="20"/>
          <w:szCs w:val="20"/>
          <w:color w:val="auto"/>
        </w:rPr>
      </w:pPr>
    </w:p>
    <w:p>
      <w:pPr>
        <w:ind w:right="20" w:firstLine="578"/>
        <w:spacing w:after="0" w:line="261"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 us to the risk of product liability claims. Product liability claims might be brought against us by clinical trial participants, consumers, health-care providers, pharmaceutical companies, or others selling our products. If we cannot successfully defend ourselves against these claims, we may incur substantial liabilities. Regardless of merit or eventual outcomes of such claims, product liability claims may result in:</w:t>
      </w:r>
    </w:p>
    <w:p>
      <w:pPr>
        <w:spacing w:after="0" w:line="72"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 and</w:t>
      </w:r>
    </w:p>
    <w:p>
      <w:pPr>
        <w:spacing w:after="0" w:line="36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200" w:lineRule="exact"/>
        <w:rPr>
          <w:sz w:val="20"/>
          <w:szCs w:val="20"/>
          <w:color w:val="auto"/>
        </w:rPr>
      </w:pPr>
    </w:p>
    <w:p>
      <w:pPr>
        <w:spacing w:after="0" w:line="349" w:lineRule="exact"/>
        <w:rPr>
          <w:sz w:val="20"/>
          <w:szCs w:val="20"/>
          <w:color w:val="auto"/>
        </w:rPr>
      </w:pPr>
    </w:p>
    <w:p>
      <w:pPr>
        <w:ind w:right="100" w:firstLine="578"/>
        <w:spacing w:after="0" w:line="266" w:lineRule="auto"/>
        <w:rPr>
          <w:sz w:val="20"/>
          <w:szCs w:val="20"/>
          <w:color w:val="auto"/>
        </w:rPr>
      </w:pPr>
      <w:r>
        <w:rPr>
          <w:rFonts w:ascii="Times New Roman" w:cs="Times New Roman" w:eastAsia="Times New Roman" w:hAnsi="Times New Roman"/>
          <w:sz w:val="18"/>
          <w:szCs w:val="18"/>
          <w:color w:val="auto"/>
        </w:rPr>
        <w:t>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w:t>
      </w:r>
    </w:p>
    <w:p>
      <w:pPr>
        <w:sectPr>
          <w:pgSz w:w="11900" w:h="16838" w:orient="portrait"/>
          <w:cols w:equalWidth="0" w:num="1">
            <w:col w:w="11200"/>
          </w:cols>
          <w:pgMar w:left="320" w:top="441" w:right="379" w:bottom="1440" w:gutter="0" w:footer="0" w:header="0"/>
        </w:sectPr>
      </w:pP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type w:val="continuous"/>
        </w:sectPr>
      </w:pPr>
    </w:p>
    <w:bookmarkStart w:id="36" w:name="page37"/>
    <w:bookmarkEnd w:id="36"/>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if approved, will depend in part on the extent to which government authorities and health insurers establish adequate reimbursement levels and pricing policies.</w:t>
      </w:r>
    </w:p>
    <w:p>
      <w:pPr>
        <w:spacing w:after="0" w:line="51" w:lineRule="exact"/>
        <w:rPr>
          <w:sz w:val="20"/>
          <w:szCs w:val="20"/>
          <w:color w:val="auto"/>
        </w:rPr>
      </w:pPr>
    </w:p>
    <w:p>
      <w:pPr>
        <w:ind w:right="60" w:firstLine="578"/>
        <w:spacing w:after="0" w:line="253" w:lineRule="auto"/>
        <w:rPr>
          <w:sz w:val="20"/>
          <w:szCs w:val="20"/>
          <w:color w:val="auto"/>
        </w:rPr>
      </w:pPr>
      <w:r>
        <w:rPr>
          <w:rFonts w:ascii="Times New Roman" w:cs="Times New Roman" w:eastAsia="Times New Roman" w:hAnsi="Times New Roman"/>
          <w:sz w:val="18"/>
          <w:szCs w:val="18"/>
          <w:color w:val="auto"/>
        </w:rPr>
        <w:t>Sales of any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 Accordingly, coverage and reimbursement may be uncertain. Adoption of any drug by the medical community may be limited if third-party payers will not offer coverage. Additionally, significant uncertainty exists as to the reimbursement status of newly approved drugs.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 If we partner with third parties with respect to any of our product candidates, we may be reliant on that partner to obtain reimbursement from government and private payors for the drug, if approved, and any failure of that partner to establish adequate reimbursement could have a negative impact on our revenues and profitability.</w:t>
      </w:r>
    </w:p>
    <w:p>
      <w:pPr>
        <w:spacing w:after="0" w:line="86"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There may be future changes that result in reductions in potential coverage and reimbursement levels for our product candidates, if approved and commercialized, and we cannot predict the scope of any future changes or the impact that those changes would have on our operations.</w:t>
      </w:r>
    </w:p>
    <w:p>
      <w:pPr>
        <w:spacing w:after="0" w:line="79" w:lineRule="exact"/>
        <w:rPr>
          <w:sz w:val="20"/>
          <w:szCs w:val="20"/>
          <w:color w:val="auto"/>
        </w:rPr>
      </w:pPr>
    </w:p>
    <w:p>
      <w:pPr>
        <w:ind w:right="40" w:firstLine="578"/>
        <w:spacing w:after="0" w:line="282" w:lineRule="auto"/>
        <w:rPr>
          <w:sz w:val="20"/>
          <w:szCs w:val="20"/>
          <w:color w:val="auto"/>
        </w:rPr>
      </w:pPr>
      <w:r>
        <w:rPr>
          <w:rFonts w:ascii="Times New Roman" w:cs="Times New Roman" w:eastAsia="Times New Roman" w:hAnsi="Times New Roman"/>
          <w:sz w:val="18"/>
          <w:szCs w:val="18"/>
          <w:color w:val="auto"/>
        </w:rPr>
        <w:t>If future reimbursement for approved product candidates, if any, is substantially less than we project, or rebate obligations associated with them are substantially greater than we expect, our future net revenue and profitability could be materially diminished.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enjoy the market exclusivity benefits of our orphan drug designations.</w:t>
      </w:r>
    </w:p>
    <w:p>
      <w:pPr>
        <w:spacing w:after="0" w:line="121" w:lineRule="exact"/>
        <w:rPr>
          <w:sz w:val="20"/>
          <w:szCs w:val="20"/>
          <w:color w:val="auto"/>
        </w:rPr>
      </w:pPr>
    </w:p>
    <w:p>
      <w:pPr>
        <w:ind w:right="20" w:firstLine="584"/>
        <w:spacing w:after="0" w:line="269" w:lineRule="auto"/>
        <w:rPr>
          <w:sz w:val="20"/>
          <w:szCs w:val="20"/>
          <w:color w:val="auto"/>
        </w:rPr>
      </w:pPr>
      <w:r>
        <w:rPr>
          <w:rFonts w:ascii="Times New Roman" w:cs="Times New Roman" w:eastAsia="Times New Roman" w:hAnsi="Times New Roman"/>
          <w:sz w:val="17"/>
          <w:szCs w:val="17"/>
          <w:color w:val="auto"/>
        </w:rPr>
        <w:t>Although we may obtain orphan designations in the treatment of certain diseases our products are intended to treat, the designation may not be applicable to any particular product we might get approved and that product may not be the first product to receive approval for that indication. Under the Orphan Drug Act, the first product with an orphan designation receives market exclusivity, which prohibits the FDA from approving the “same” drug for the same indication. The FDA has stated that drugs can be the “same” even when they are not identical but has not provided guidance with respect to how it will determine “sameness” for RNAi drugs. It is possible that another RNAi drug could be approved for the treatment of a disease one of our orphan products is intended to treat before our product is approved, which means that we may not obtain orphan drug exclusivity and could also potentially be blocked from approval until the first product’s orphan drug exclusivity period expires or we demonstrate, if we can, that our product is superior. Further, even if we obtain orphan drug exclusivity for a product, that exclusivity may not effectively protect the product from competition because different drugs can be approved for the same condition. Even after an orphan drug is approved and granted orphan drug exclusivity, the FDA can subsequently approve the same drug for the same condition if the FDA concludes that the later drug is safer, more effective or makes a major contribution to patient care. Further, orphan drug exclusivity can be lost if the FDA later determines that the request for designation was materially defective or if the applicant is unable to assure the availability of sufficient quantities of the drug to meet the needs of patients with the disease or condition for which the drug was designated.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attraction and retention of senior management and scientists with relevant expertise.</w:t>
      </w:r>
    </w:p>
    <w:p>
      <w:pPr>
        <w:spacing w:after="0" w:line="121"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Our future success depends to a significant extent on the continued services of our key employees, including our senior scientific, technical and managerial personnel. We do not maintain key person life insurance for any of our executives and we do not maintain employment agreements with many senior employees. Competition for qualified employees in the pharmaceutical industry is high, and our ability to execute our strategy will depend in part on our ability to continue to attract and retain qualified scientists and management. If we are unable to find, hire and retain qualified individuals, we will have difficulty implementing our business plan in a timely manner, or at all.</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patents and other proprietary rights is uncertain, exposing us to the possible loss of competitive advantage.</w:t>
      </w:r>
    </w:p>
    <w:p>
      <w:pPr>
        <w:spacing w:after="0" w:line="12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We have licensed rights to pending patents and have filed and expect to continue to file patent applications. Researchers sponsored by us may also file patent applications that we may need to license. Such patent applications may not be available for licensing or may not be economically feasible to license. Certain of our patents may not be granted or may not contain claims of the necessary breadth because, for example, prior patents exist. If a particular patent is not granted, the value of the invention described in the patent would be diminished. Further, even if these patents are granted, they may be difficult to enforce. Even if ultimately successful, efforts to enforce our patent rights could be expensive, distracting for management, cause our patents to be invalidated or held unenforceable, and thus frustrate commercialization of products. Even if patents are issued and are enforceable, others may develop similar, superior or parallel technologies to any technology developed by us and not infringe on our patents. Our technology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7" w:name="page38"/>
    <w:bookmarkEnd w:id="37"/>
    <w:p>
      <w:pPr>
        <w:ind w:right="400"/>
        <w:spacing w:after="0" w:line="266" w:lineRule="auto"/>
        <w:rPr>
          <w:sz w:val="20"/>
          <w:szCs w:val="20"/>
          <w:color w:val="auto"/>
        </w:rPr>
      </w:pPr>
      <w:r>
        <w:rPr>
          <w:rFonts w:ascii="Times New Roman" w:cs="Times New Roman" w:eastAsia="Times New Roman" w:hAnsi="Times New Roman"/>
          <w:sz w:val="18"/>
          <w:szCs w:val="18"/>
          <w:color w:val="auto"/>
        </w:rPr>
        <w:t>may prove to infringe upon patents or rights owned by others. Patent prosecution and maintenance is expensive, and we may be forced to curtail prosecution or maintenance if our cash resources are limited. Thus, the patents held by or licensed to us may not afford us any meaningful competitive advantage. If we are unable to derive value from our licensed or owned intellectual property, the value of your investment may decline.</w:t>
      </w:r>
    </w:p>
    <w:p>
      <w:pPr>
        <w:spacing w:after="0" w:line="2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party to technology license agreements with third parties that require us to satisfy obligations to keep them effective and, if these agreements are terminated, our technology and our business would be seriously and adversely affected.</w:t>
      </w:r>
    </w:p>
    <w:p>
      <w:pPr>
        <w:spacing w:after="0" w:line="51" w:lineRule="exact"/>
        <w:rPr>
          <w:sz w:val="20"/>
          <w:szCs w:val="20"/>
          <w:color w:val="auto"/>
        </w:rPr>
      </w:pPr>
    </w:p>
    <w:p>
      <w:pPr>
        <w:ind w:right="320" w:firstLine="510"/>
        <w:spacing w:after="0" w:line="261" w:lineRule="auto"/>
        <w:rPr>
          <w:sz w:val="20"/>
          <w:szCs w:val="20"/>
          <w:color w:val="auto"/>
        </w:rPr>
      </w:pPr>
      <w:r>
        <w:rPr>
          <w:rFonts w:ascii="Times New Roman" w:cs="Times New Roman" w:eastAsia="Times New Roman" w:hAnsi="Times New Roman"/>
          <w:sz w:val="18"/>
          <w:szCs w:val="18"/>
          <w:color w:val="auto"/>
        </w:rPr>
        <w:t>We are party to license agreements to incorporate third party proprietary technologies into our drug products under development. These license agreements require us to pay royalties and satisfy other conditions. If we fail to satisfy our obligations under these agreements, the terms of the licenses may be materially modified, such as by rendering currently exclusive licenses non-exclusive, or it may give our licensors the right to terminate their respective agreement with us, which could limit our ability to implement our current business plan and harm our business and financial condition.</w:t>
      </w:r>
    </w:p>
    <w:p>
      <w:pPr>
        <w:spacing w:after="0" w:line="28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Because the intellectual property landscape in the fields in which we participate is rapidly evolving and interdisciplinary, it is difficult to conclusively assess our freedom to operate without infringing on third party rights. However, if granted marketing approval, we are currently aware of certain patent rights held by third parties that, if found to be valid and enforceable, could be alleged to render one or more of our drug candidates infringing. If a claim should be brought and is successful, we may be required to pay substantial damages, be forced to abandon any affected drug candidates and/or seek a license from the patent holder. In addition, any 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will not be challenged, potentially successfully, by others.</w:t>
      </w:r>
    </w:p>
    <w:p>
      <w:pPr>
        <w:spacing w:after="0" w:line="189"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In addition, if our product candidates are found to infringe the intellectual property rights of third parties, these third parties may assert infringement claims against our customers, licensees, and other parties with whom we have business relationships and we may be required to indemnify those parties for any damages they suffer as a result of these claims. The claims may require us to initiate or defend protracted and costly litigation on behalf of customers, licensees, and other parties regardless of the merits of these claims. If any of these claims succeed, we may be forced to pay damages on behalf of those parties or may be required to obtain licenses for the products they use. If we cannot obtain all necessary licenses on commercially reasonable terms, we may be unable to continue selling such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patent rights from third-party owners and we rely on such owners to obtain, maintain and enforce the patents underlying such licenses.</w:t>
      </w:r>
    </w:p>
    <w:p>
      <w:pPr>
        <w:spacing w:after="0" w:line="121"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We are a party to a number of licenses that give us rights to third-party intellectual property that is necessary or useful for our business. We also expect to enter into additional licenses to third-party intellectual property in the future.</w:t>
      </w:r>
    </w:p>
    <w:p>
      <w:pPr>
        <w:spacing w:after="0" w:line="16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licensed from various third parties may be subject to retained rights.</w:t>
      </w:r>
    </w:p>
    <w:p>
      <w:pPr>
        <w:spacing w:after="0" w:line="121"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Our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other proprietary information.</w:t>
      </w:r>
    </w:p>
    <w:p>
      <w:pPr>
        <w:spacing w:after="0" w:line="121"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In order to protect our proprietary technology and processes, we rely in part on confidentiality agreements with our collaborators, employees, consultants, outside scientific collaborators and sponsored researchers, and other advisors. These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ind w:right="40"/>
        <w:spacing w:after="0" w:line="258" w:lineRule="auto"/>
        <w:rPr>
          <w:sz w:val="20"/>
          <w:szCs w:val="20"/>
          <w:color w:val="auto"/>
        </w:rPr>
      </w:pPr>
      <w:r>
        <w:rPr>
          <w:rFonts w:ascii="Times New Roman" w:cs="Times New Roman" w:eastAsia="Times New Roman" w:hAnsi="Times New Roman"/>
          <w:sz w:val="18"/>
          <w:szCs w:val="18"/>
          <w:color w:val="auto"/>
        </w:rPr>
        <w:t>agreements may not effectively prevent disclosure of confidential information and may not provide an adequate remedy in the event of unauthorized disclosure of confidential information. In addition, while the company undertakes efforts to protect its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secure first-tier technologies when competing against other companies or investors.</w:t>
      </w:r>
    </w:p>
    <w:p>
      <w:pPr>
        <w:spacing w:after="0" w:line="121"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Our future success may require that we acquire patent rights and know-how to new or complimentary technologies. However, we compete with a substantial number of other companies that may also compete for technologies we desire. 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Model</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assumes we will generate revenue by, among other activities, marketing or out-licensing the products we develop. Our drug candidates are in the early stages of development and because we have a short development history with both RNA interference and our delivery technologies, there is a limited amount of information about us upon which you can evaluate our business and prospects.</w:t>
      </w:r>
    </w:p>
    <w:p>
      <w:pPr>
        <w:spacing w:after="0" w:line="67"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have no approved drugs and thus have not begun to market or generate revenues from the commercialization of any products. We have only a limited history upon which one can evaluate our RNAi therapeutic business as our drug candidates are still at an early stage of development.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75" w:lineRule="exact"/>
        <w:rPr>
          <w:sz w:val="20"/>
          <w:szCs w:val="20"/>
          <w:color w:val="auto"/>
        </w:rPr>
      </w:pPr>
    </w:p>
    <w:p>
      <w:pPr>
        <w:ind w:left="880" w:hanging="37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product development activities using unproven technologies;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maintain, and protect a strong intellectual property portfolio;</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safety and efficacy of our drug candidates in multiple human clinical studies;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FDA approval and approval from similar foreign regulatory bodies;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the development and commercialization of any drugs we develop;</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our products are reimbursed by commercial and/or government payors at a rate that permits commercial viability;</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successful strategic relationships with suppliers, distributors, and commercial licensing partners;</w:t>
      </w:r>
    </w:p>
    <w:p>
      <w:pPr>
        <w:spacing w:after="0" w:line="117" w:lineRule="exact"/>
        <w:rPr>
          <w:rFonts w:ascii="Times New Roman" w:cs="Times New Roman" w:eastAsia="Times New Roman" w:hAnsi="Times New Roman"/>
          <w:sz w:val="18"/>
          <w:szCs w:val="18"/>
          <w:color w:val="auto"/>
        </w:rPr>
      </w:pPr>
    </w:p>
    <w:p>
      <w:pPr>
        <w:ind w:left="880" w:right="220" w:hanging="373"/>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and cash requirements as our expenses will increase in the near term if we add programs and additional preclinical and clinical trials;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any products for which we obtain marketing approval.</w:t>
      </w:r>
    </w:p>
    <w:p>
      <w:pPr>
        <w:spacing w:after="0" w:line="225"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develop products, raise capital, expand our business or continue our operations.</w:t>
      </w:r>
    </w:p>
    <w:p>
      <w:pPr>
        <w:spacing w:after="0" w:line="26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establish additional relationships with strategic and development partners to fully develop our drug candidates and market any approved products.</w:t>
      </w:r>
    </w:p>
    <w:p>
      <w:pPr>
        <w:spacing w:after="0" w:line="51" w:lineRule="exact"/>
        <w:rPr>
          <w:sz w:val="20"/>
          <w:szCs w:val="20"/>
          <w:color w:val="auto"/>
        </w:rPr>
      </w:pPr>
    </w:p>
    <w:p>
      <w:pPr>
        <w:ind w:right="180" w:firstLine="510"/>
        <w:spacing w:after="0" w:line="253" w:lineRule="auto"/>
        <w:rPr>
          <w:sz w:val="20"/>
          <w:szCs w:val="20"/>
          <w:color w:val="auto"/>
        </w:rPr>
      </w:pPr>
      <w:r>
        <w:rPr>
          <w:rFonts w:ascii="Times New Roman" w:cs="Times New Roman" w:eastAsia="Times New Roman" w:hAnsi="Times New Roman"/>
          <w:sz w:val="18"/>
          <w:szCs w:val="18"/>
          <w:color w:val="auto"/>
        </w:rPr>
        <w:t>Over the past three years we have entered into license and collaboration agreements with Takeda, Janssen and Amgen. Our business strategy includes obtaining additional collaborations with other pharmaceutical and biotech companies to support the development of our RNAi therapeutics and other drug candidates. We do not possess all of the financial and development resources necessary to develop and commercialize products that may result from our technologies. Unless we expand our product development capacity and enhance our internal marketing capability, we may need to make appropriate arrangements with strategic partners to develop and commercialize any drug candidates that may be approved. We may not be able to attract such partners, and even if we are able to enter into such partnerships, the terms may be less favorable than anticipated. Further, entering into partnership agreements may limit our commercialization options and/or require us to share revenues and profits with our partners.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will be beyond our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control. In addition, in the event we pursue our commercialization strategy through collaboration or licenses to third parties, there are a variety of technical, business and legal risks, including:</w:t>
      </w:r>
    </w:p>
    <w:p>
      <w:pPr>
        <w:spacing w:after="0" w:line="54" w:lineRule="exact"/>
        <w:rPr>
          <w:sz w:val="20"/>
          <w:szCs w:val="20"/>
          <w:color w:val="auto"/>
        </w:rPr>
      </w:pPr>
    </w:p>
    <w:p>
      <w:pPr>
        <w:ind w:left="880" w:hanging="373"/>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be willing or able to devote to the development or commercialization of our drug candidates or to their marketing and distribution; and</w:t>
      </w:r>
    </w:p>
    <w:p>
      <w:pPr>
        <w:spacing w:after="0" w:line="53" w:lineRule="exact"/>
        <w:rPr>
          <w:rFonts w:ascii="Times New Roman" w:cs="Times New Roman" w:eastAsia="Times New Roman" w:hAnsi="Times New Roman"/>
          <w:sz w:val="18"/>
          <w:szCs w:val="18"/>
          <w:color w:val="auto"/>
        </w:rPr>
      </w:pPr>
    </w:p>
    <w:p>
      <w:pPr>
        <w:ind w:left="880" w:right="120" w:hanging="373"/>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collaborators that result in the delay or termination of the research, development or commercialization of our drug candidates or that result in costly litigation or arbitration that diverts our management’s resources.</w:t>
      </w:r>
    </w:p>
    <w:p>
      <w:pPr>
        <w:spacing w:after="0" w:line="162"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 occurrence of any of the above events or other related events could impair our ability to generate revenues and harm our business and financial condition.</w:t>
      </w:r>
    </w:p>
    <w:p>
      <w:pPr>
        <w:spacing w:after="0" w:line="266"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ability to generate milestone and royalty payments under our current and potential future licensing and collaboration agreements is substantially controlled by our partners, and as such, we will likely need other sources of financing to continue to develop our internal drug candidates.</w:t>
      </w:r>
    </w:p>
    <w:p>
      <w:pPr>
        <w:spacing w:after="0" w:line="28"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For instance, under our licensing and collaboration agreements with Amgen, Janssen and Takeda, our partners substantially control clinical development and commercialization for all of the candidates discussed. To the extent that i) either of these partners interests in advancing these candidates or targets changes, ii) unforeseen scientific issues with the candidates arise or iii) the pace at which either moves the candidates through clinical trials toward commercialization slows, our ability to collect milestones and royalties may be significantly diminished. This would further cause us to rely upon other sources of financing to continue to develop our other internal drug candidates.</w:t>
      </w:r>
    </w:p>
    <w:p>
      <w:pPr>
        <w:spacing w:after="0" w:line="28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spacing w:after="0" w:line="51" w:lineRule="exact"/>
        <w:rPr>
          <w:sz w:val="20"/>
          <w:szCs w:val="20"/>
          <w:color w:val="auto"/>
        </w:rPr>
      </w:pPr>
    </w:p>
    <w:p>
      <w:pPr>
        <w:jc w:val="both"/>
        <w:ind w:right="300" w:firstLine="510"/>
        <w:spacing w:after="0" w:line="266" w:lineRule="auto"/>
        <w:rPr>
          <w:sz w:val="20"/>
          <w:szCs w:val="20"/>
          <w:color w:val="auto"/>
        </w:rPr>
      </w:pPr>
      <w:r>
        <w:rPr>
          <w:rFonts w:ascii="Times New Roman" w:cs="Times New Roman" w:eastAsia="Times New Roman" w:hAnsi="Times New Roman"/>
          <w:sz w:val="18"/>
          <w:szCs w:val="18"/>
          <w:color w:val="auto"/>
        </w:rPr>
        <w:t>Our business model has been to develop new technologies and to utilize the intellectual property created through the research and development process to develop commercially successful products. If the acquirers of our technologies fail to achieve performance milestones, we may not receive a significant portion of the total value of any sale, license or other strategic transaction.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achieve commercial acceptance of our drug candidates to generate revenues and achieve profitability.</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Even if our research and development efforts yield technologically feasible applications, we may not successfully develop commercial products. Drug development takes years of study in human clinical trials prior to regulatory approval, and, even if we are successful, it may not be on a timely basis. During our drug development period, superior competitive technologies may be introduced which could diminish or extinguish the potential commercial uses for our drug candidates. Additionally, the degree to which the medical community and consumers will adopt any product we develop is uncertain. The rate and degree of market acceptance of our products will depend on a number of factors, including the establishment and demonstration in the medical community of the clinical efficacy and safety of our products, their potential advantage over alternative treatments, and the costs to patients and third-party payors, including insurance companies and Medicare. Recent efforts in the United States and abroad to reduce overall healthcare spending has put significant pressure on the price of prescription drugs and certain companies have been publicly criticized for the relatively high cost of their</w:t>
      </w:r>
    </w:p>
    <w:p>
      <w:pPr>
        <w:spacing w:after="0" w:line="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therapies. These pressures may force us to sell any approved drugs at a lower price than we or analysts may anticipate or may result in lower levels of reimbursement and coverage from third parties.</w:t>
      </w:r>
    </w:p>
    <w:p>
      <w:pPr>
        <w:spacing w:after="0" w:line="181"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We cannot predict whether significant commercial market acceptance for our products, if approved, will ever develop, and we cannot reliably estimate the projected size of any such potential market. Our revenue growth and achievement of consistent profitability will depend substantially on our ability to introduce products that will be accepted by the medical community. If we are unable to cost-effectively achieve acceptance of our technology among the medical establishment and patients, or if the associated products do not achieve wide market acceptance, our business will be materially and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outside sources for various components and processes for our products.</w:t>
      </w:r>
    </w:p>
    <w:p>
      <w:pPr>
        <w:spacing w:after="0" w:line="121" w:lineRule="exact"/>
        <w:rPr>
          <w:sz w:val="20"/>
          <w:szCs w:val="20"/>
          <w:color w:val="auto"/>
        </w:rPr>
      </w:pPr>
    </w:p>
    <w:p>
      <w:pPr>
        <w:ind w:right="40" w:firstLine="510"/>
        <w:spacing w:after="0" w:line="274" w:lineRule="auto"/>
        <w:rPr>
          <w:sz w:val="20"/>
          <w:szCs w:val="20"/>
          <w:color w:val="auto"/>
        </w:rPr>
      </w:pPr>
      <w:r>
        <w:rPr>
          <w:rFonts w:ascii="Times New Roman" w:cs="Times New Roman" w:eastAsia="Times New Roman" w:hAnsi="Times New Roman"/>
          <w:sz w:val="17"/>
          <w:szCs w:val="17"/>
          <w:color w:val="auto"/>
        </w:rPr>
        <w:t>We rely on third parties for various components and processes for our product candidates. We may not be able to achieve multiple sourcing because there may be no acceptable second source, other companies may choose not to work with us, or the component or process sought may be so new that a second source does not exist or does not exist on acceptable terms. There may be a disruption or delay in the performance of our third-party contractors, suppliers or collaborators which is beyond our control. If such third parties are unable to satisfy their commitments to us, the development of our products would be adversely affected. Therefore, it is possible that our development plans will have to be slowed down or stopped completely at times due to our inability to obtain required raw materials, components, and outsourced processes at an acceptable cost, if at all, or to get a timely response from vendors.</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0" w:name="page41"/>
    <w:bookmarkEnd w:id="4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have limited manufacturing capabilities and experience. Our drug candidates are composed of multiple components and require specialized formulations for which scale-up and manufacturing could be difficult. We have limited experience in such scale-up and manufacturing requiring us to depend on a limited number of third parties, who may not be able to deliver in a timely manner, or at all. In order to develop products, apply for regulatory approvals, and commercialize our products, we will need to develop, contract for, or otherwise arrange for the necessary manufacturing capabilities. Our internal GMP manufacturing capabilities are limited to small-scale production of material. There are a limited number of manufacturers that supply synthetic oligonucleotides. There are risks inherent in pharmaceutical manufacturing that could affect the ability of our contract manufacturers to meet our delivery time requirements or provide adequate amounts of material to meet our needs. Included in these risks are synthesis and purification failures and contamination during the manufacturing process, which could result in unusable product and cause delays in our development process, as well as additional expense to us.</w:t>
      </w:r>
    </w:p>
    <w:p>
      <w:pPr>
        <w:spacing w:after="0" w:line="188"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Additionally, our product candidates have not yet been manufactured for commercial use. If any of our product candidates become approved for commercial sale, we will need to establish either internal or third-party manufacturing capacity. Manufacturing partner requirements may require us to fund capital improvements, perhaps on behalf of third parties, to support the scale-up of manufacturing and related activities. We may not be able to establish scaled manufacturing capacity for an approved product in a timely or economic manner, if at all. If we or our third-party manufacturers are unable to provide commercial quantities of such an approved product, we will have to successfully transfer manufacturing technology to a different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we or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 candidates or future approved drugs in sufficient quantities when needed would seriously harm our business.</w:t>
      </w:r>
    </w:p>
    <w:p>
      <w:pPr>
        <w:spacing w:after="0" w:line="192" w:lineRule="exact"/>
        <w:rPr>
          <w:sz w:val="20"/>
          <w:szCs w:val="20"/>
          <w:color w:val="auto"/>
        </w:rPr>
      </w:pPr>
    </w:p>
    <w:p>
      <w:pPr>
        <w:ind w:right="20" w:firstLine="578"/>
        <w:spacing w:after="0" w:line="253" w:lineRule="auto"/>
        <w:rPr>
          <w:sz w:val="20"/>
          <w:szCs w:val="20"/>
          <w:color w:val="auto"/>
        </w:rPr>
      </w:pPr>
      <w:r>
        <w:rPr>
          <w:rFonts w:ascii="Times New Roman" w:cs="Times New Roman" w:eastAsia="Times New Roman" w:hAnsi="Times New Roman"/>
          <w:sz w:val="18"/>
          <w:szCs w:val="18"/>
          <w:color w:val="auto"/>
        </w:rPr>
        <w:t>Manufacturers of our approved products, if any, must comply with cGMP requirements relating to methods, facilities and controls used in the manufacturing, processing and packaging of the product, which are intended to ensure that drug products are safe and that they consistently meet applicable requirements and specifications. These requirements include quality control, quality assurance, and the maintenance of records and documentation. Manufacturers of our approved products, if any, may be unable to comply with these cGMP requirements and with other FDA, state and foreign regulatory requirements. These requirements are enforced by the FDA and other health authorities through periodic announced and unannounced inspections of manufacturing facilities. A failure to comply with these requirements or to provide adequate and timely corrective actions in response to deficiencies identified in an inspection may result in enforcement action, including warning letters, fines and civil penalties, suspension of production, suspension or delay in product approval, product seizure or recall, plant shutdown, or the delay, withholding, or withdrawal of product approval. If the safety of any quantities supplied is compromised due to a manufacturer’s failure to adhere to applicable laws or for other reasons, we may not be able to obtain regulatory approval for or successfully commercialize our products, which would seriously harm our business.</w:t>
      </w:r>
    </w:p>
    <w:p>
      <w:pPr>
        <w:spacing w:after="0" w:line="29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if they fail to fulfill their obligations, the development of our products may be adversely affected.</w:t>
      </w:r>
    </w:p>
    <w:p>
      <w:pPr>
        <w:spacing w:after="0" w:line="5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rely on independent clinical investigators, contract research organizations and other third-party service providers to assist us in managing, monitoring and otherwise carrying out our clinical trials. We contract with certain third-parties to provide certain services, including site selection, enrollment, monitoring and data management services. We rely on these parties to carry out our clinical trials in compliance with GCP and other relevant requirements. Although we depend heavily on these parties, we do not control them and therefore we cannot be assured that these third-parties will adequately perform all of their contractual obligations to us. These third parties may face disruptions due to the COVID-19 pandemic that may affect our ability to initiate and complete our clinical studies. If our third-party service providers cannot adequately and timely fulfill their obligations to us, or if the quality and accuracy of our clinical trial data is compromised due to failure by such third parties to adhere to our protocols, GCP, or other regulatory requirements or if such third-parties otherwise fail to meet deadlines, our development plans may be delayed or terminated. Further, if clinical study results are compromised, then we may need to repeat the affected studies, which could result in significant additional costs and delays to us.</w:t>
      </w:r>
    </w:p>
    <w:p>
      <w:pPr>
        <w:spacing w:after="0" w:line="29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various entities including large pharmaceutical companies, small biotech companies, private companies, and research institutions.</w:t>
      </w:r>
    </w:p>
    <w:p>
      <w:pPr>
        <w:spacing w:after="0" w:line="51"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Many of our competitors have greater financial resources and may have more experience in research and development, manufacturing, managing clinical trials and/or regulatory compliance than we do. Our competitors may compete with us for lead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1" w:name="page42"/>
    <w:bookmarkEnd w:id="41"/>
    <w:p>
      <w:pPr>
        <w:spacing w:after="0" w:line="261" w:lineRule="auto"/>
        <w:rPr>
          <w:sz w:val="20"/>
          <w:szCs w:val="20"/>
          <w:color w:val="auto"/>
        </w:rPr>
      </w:pPr>
      <w:r>
        <w:rPr>
          <w:rFonts w:ascii="Times New Roman" w:cs="Times New Roman" w:eastAsia="Times New Roman" w:hAnsi="Times New Roman"/>
          <w:sz w:val="18"/>
          <w:szCs w:val="18"/>
          <w:color w:val="auto"/>
        </w:rPr>
        <w:t>clinical trial investigators, clinical trial site locations and patient enrollment. These competitors may also compete with us on recruiting scientific and management personnel. Because our products are in the early stages of development, along with many of the competing products, and given unpredictability inherent in drug development, it is difficult to predict which third parties may provide the most competition, and on what specific basis that competition may be based.</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expanding our operations successfully as we evolve from a company primarily involved in discovery and pre-clinical testing into one that develops and commercializes drugs.</w:t>
      </w:r>
    </w:p>
    <w:p>
      <w:pPr>
        <w:spacing w:after="0" w:line="5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We expect that as we increase the number of product candidates we are developing we will also need to expand our operations. This expected growth may place a strain on our administrative and operational infrastructure. As product candidates we develop enter and advance through clinical trials, we will need to expand our development, regulatory, manufacturing, marketing, and sales capabilities or contract with other organizations to provide these capabilities for us. As our operations expand due to our development progress, we expect that we will need to manage additional relationships with various collaborators,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information technology system failures.</w:t>
      </w:r>
    </w:p>
    <w:p>
      <w:pPr>
        <w:spacing w:after="0" w:line="121"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our contractors and consultants are vulnerable to damage from computer viruses, unauthorized access, ransomware and other cyber-attacks, human error, natural disasters, terrorism, war, and telecommunication and electrical failures. Such events could cause interruption of our operations and loss of intellectual property. For example, the loss of pre-clinical trial data or data from completed or ongoing clinical trials for our product candidates could result in delays in our regulatory filings and development efforts and significantly increase our costs. Further, cybersecurity breaches may allow hackers access to our preclinical compounds, strategies, discoveries, trade secrets, and/or other confidential information. To the extent that any disruption or security breach were to result in a loss of or damage to our data, or inappropriate disclosure of confidential, proprietary or private information, we could incur liability or regulatory penalties, including under laws and regulations governing the protection of health and other personally identifiable information, we could lose valuable trade secret rights, the development of our product candidates could be delayed, and we could suffer reputational damage and damage to key business relationships. The risk of a cyber-security breach or other informational technology disruption, particularly through cyber-attacks, has generally increased as the number, intensity and sophistication of attempted attacks and intrusions from around the world have increased. We have experienced cyber-security attacks in the past, which to date have not had a material impact on our operations or development programs; however; there is no assurance that such impacts will not be material in the future.</w:t>
      </w:r>
    </w:p>
    <w:p>
      <w:pPr>
        <w:spacing w:after="0" w:line="29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use biological materials, hazardous materials, chemicals and radioactive compounds, if we do not comply with laws regulating the protection of the environment and health and human safety, our business could be adversely affected.</w:t>
      </w:r>
    </w:p>
    <w:p>
      <w:pPr>
        <w:spacing w:after="0" w:line="51"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Our research, development and manufacturing activities involve the use of potentially harmful biological materials as well as materials, chemicals and various radioactive compounds that could be hazardous to human health and safety or the environment. We store most of these materials and various wastes resulting from their use at our facility in Madison, Wisconsin pending ultimate use and disposal. We cannot completely eliminate the risk of contamination, which could cause interruption to our research and development and manufacturing efforts, injury to our employees and others, environmental damage, and liabilities under federal, state and local law. In such an event, we may be held liable for any resulting damages, and any liability could exceed our resources. Although we carry insurance in amounts and types that we consider commercially reasonable, we do not have insurance coverage for losses relating to an interruption of our research, development or manufacturing efforts caused by contamination, and the coverage or coverage limits of our insurance policies may not be adequate. If our losses exceed our insurance coverage, our financial condition would be affected.</w:t>
      </w:r>
    </w:p>
    <w:p>
      <w:pPr>
        <w:spacing w:after="0" w:line="296"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natural or man-made disaster strikes our research and development facility or otherwise affects our business, it could delay our progress developing our product candidates.</w:t>
      </w:r>
    </w:p>
    <w:p>
      <w:pPr>
        <w:spacing w:after="0" w:line="51" w:lineRule="exact"/>
        <w:rPr>
          <w:sz w:val="20"/>
          <w:szCs w:val="20"/>
          <w:color w:val="auto"/>
        </w:rPr>
      </w:pPr>
    </w:p>
    <w:p>
      <w:pPr>
        <w:jc w:val="both"/>
        <w:ind w:right="200" w:firstLine="510"/>
        <w:spacing w:after="0" w:line="257" w:lineRule="auto"/>
        <w:rPr>
          <w:sz w:val="20"/>
          <w:szCs w:val="20"/>
          <w:color w:val="auto"/>
        </w:rPr>
      </w:pPr>
      <w:r>
        <w:rPr>
          <w:rFonts w:ascii="Times New Roman" w:cs="Times New Roman" w:eastAsia="Times New Roman" w:hAnsi="Times New Roman"/>
          <w:sz w:val="18"/>
          <w:szCs w:val="18"/>
          <w:color w:val="auto"/>
        </w:rPr>
        <w:t>We conduct research and development in facilities in Madison, Wisconsin and San Diego, California. The facilities and the equipment we use are costly to replace and require substantial lead time to repair or replace. Our facilities may be harmed by natural or man-made disasters, including, without limitation, earthquakes, floods, fires and acts of terrorism; and if our facilities are affected by a disaster, our development efforts would be</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delayed. Significant delays in our development efforts could materially impact our ability to obtain regulatory approval and to commercialize our products. Any insurance we maintain against damage to our property and the disruption of our business due to disaster may not be sufficient to cover all of our potential losses and may not continue to be available to us on acceptable terms, or at all. In addition, our development activities could be harmed or delayed by a shutdown of the U.S. government, including the FDA.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may result in financial losses or harm our reputation and may divert management resources.</w:t>
      </w:r>
    </w:p>
    <w:p>
      <w:pPr>
        <w:spacing w:after="0" w:line="12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When the market price of a stock is volatile, holders of that stock have often initiated securities class action litigation against the company that issued the stock. We cannot predict with certainty the eventual outcome of such litigation, arbitration or third-party inquiry. We may not be successful in defending ourselves or asserting our rights in current or future lawsuits, investigations, or claims that have been or may be brought against us and, as a result, our business could be materially harmed. These lawsuits, arbitrations, investigations or claims may result in large judgments or settlements against us, any of which could have a negative effect on our financial performance and business. Additionally, lawsuits, arbitrations and investigations can be expensive to defend, whether or not the lawsuit, arbitration or investigation has merit, and the defense of these actions may divert the attention of our management and other resources that would otherwise be engaged in running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net losses and may not achieve or maintain profitability.</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our inception and we expect that our operating losses will continue for the foreseeable future as we continue our drug development and discovery efforts. To achieve profitability, we must, either directly or through licensing and/or partnering relationships, meet certain milestones, successfully develop and obtain regulatory approval for one or more drug candidates and effectively manufacture, market and sell any drugs we successfully develop. Even if we successfully commercialize drug candidates that receive regulatory approval, we may not be able to realize revenues at a level that would allow us to achieve or sustain profitability. Accordingly, we may never generate significant revenue and, even if we do generate significant revenue, we may never achieve consistent profitability.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funds to complete our research and development activities.</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Our business currently does not generate the cash that is necessary to finance our operations. Subject to the success of the research and development programs of our company and our partners, and potential licensing or partnering transactions, we may need to raise additional capital to:</w:t>
      </w:r>
    </w:p>
    <w:p>
      <w:pPr>
        <w:spacing w:after="0" w:line="54" w:lineRule="exact"/>
        <w:rPr>
          <w:sz w:val="20"/>
          <w:szCs w:val="20"/>
          <w:color w:val="auto"/>
        </w:rPr>
      </w:pPr>
    </w:p>
    <w:p>
      <w:pPr>
        <w:ind w:left="880" w:right="420" w:hanging="373"/>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research and development infrastructure and activities relating to the development of our drug candidates, including pre-clinical and clinical trials and manufacturing to support these efforts;</w:t>
      </w:r>
    </w:p>
    <w:p>
      <w:pPr>
        <w:spacing w:after="0" w:line="53" w:lineRule="exact"/>
        <w:rPr>
          <w:rFonts w:ascii="Times New Roman" w:cs="Times New Roman" w:eastAsia="Times New Roman" w:hAnsi="Times New Roman"/>
          <w:sz w:val="18"/>
          <w:szCs w:val="18"/>
          <w:color w:val="auto"/>
        </w:rPr>
      </w:pPr>
    </w:p>
    <w:p>
      <w:pPr>
        <w:ind w:left="880" w:right="100" w:hanging="373"/>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 commercialization infrastructure and activities related to the sale, marketing, customer support, and distribution of our drug products if and when they become approved;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general and administrative infrastructure and activities;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business development opportunities for our technologies;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and protect our intellectual property;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our management and technical staff.</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needs depend on many factors, including:</w:t>
      </w:r>
    </w:p>
    <w:p>
      <w:pPr>
        <w:spacing w:after="0" w:line="117" w:lineRule="exact"/>
        <w:rPr>
          <w:sz w:val="20"/>
          <w:szCs w:val="20"/>
          <w:color w:val="auto"/>
        </w:rPr>
      </w:pPr>
    </w:p>
    <w:p>
      <w:pPr>
        <w:ind w:left="880" w:hanging="37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duration, and expenditures associated with our research and development;</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for our clinical trials;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research and development and clinical efforts are successful;</w:t>
      </w:r>
    </w:p>
    <w:p>
      <w:pPr>
        <w:spacing w:after="0" w:line="117" w:lineRule="exact"/>
        <w:rPr>
          <w:rFonts w:ascii="Times New Roman" w:cs="Times New Roman" w:eastAsia="Times New Roman" w:hAnsi="Times New Roman"/>
          <w:sz w:val="18"/>
          <w:szCs w:val="18"/>
          <w:color w:val="auto"/>
        </w:rPr>
      </w:pPr>
    </w:p>
    <w:p>
      <w:pPr>
        <w:ind w:left="880" w:right="380" w:hanging="373"/>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potential partnering or licensing transactions, if any, and the extent to which our business development efforts result in the acquisition of new programs or technologies;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developments;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positions, if any, in our products;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and regulatory standards for our drug candidates.</w:t>
      </w:r>
    </w:p>
    <w:p>
      <w:pPr>
        <w:spacing w:after="0" w:line="225"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will need to raise additional funds through public or private equity offerings, debt financings or additional strategic alliances and licensing arrangements in the future to continue our operations. We may not be able to obtain additional financing on terms favorable to us, if at all. General market conditions may make it very difficult for us to seek financing from the capital markets, and the terms of any financing may adversely affect the holdings or the rights of our stockholders. For example, if we raise additional funds by issuing equity securities, further dilution to our stockholders will result, which may substantially dilute the value of your investment. In addition, as a condition to providing additional funds to us, future investors may demand, and may be granted, rights superior to those of existing stockholders. Debt financing, if available, may involve restrictive covenants that could limit our flexibility in conducting future business activities and, in the event of insolvency, would be paid before holders of equity securities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43" w:name="page44"/>
    <w:bookmarkEnd w:id="43"/>
    <w:p>
      <w:pPr>
        <w:ind w:right="240"/>
        <w:spacing w:after="0" w:line="261" w:lineRule="auto"/>
        <w:rPr>
          <w:sz w:val="20"/>
          <w:szCs w:val="20"/>
          <w:color w:val="auto"/>
        </w:rPr>
      </w:pPr>
      <w:r>
        <w:rPr>
          <w:rFonts w:ascii="Times New Roman" w:cs="Times New Roman" w:eastAsia="Times New Roman" w:hAnsi="Times New Roman"/>
          <w:sz w:val="18"/>
          <w:szCs w:val="18"/>
          <w:color w:val="auto"/>
        </w:rPr>
        <w:t>received any distribution of corporate assets. In order to raise additional funds through alliance, joint venture or licensing arrangements, we may be required to relinquish rights to our technologies or drug candidates or grant licenses on terms that are not favorable to us. If adequate funds are not available, we may have to further delay, reduce or eliminate one or more of our planned activities. These actions would likely reduce the market price of our common stock.</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consolidated financial statements prove inaccurate, our actual results may vary from those reflected in our accruals.</w:t>
      </w:r>
    </w:p>
    <w:p>
      <w:pPr>
        <w:spacing w:after="0" w:line="5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of America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of our cash, cash equivalents and fixed income marketable securities is subject to risks which may cause losses and affect the liquidity of these investments.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At September 30, 2020, we had $309.4 million in fixed income and equity marketable securities. These investments are primarily in corporate bonds and equity securities, but our investments may also include commercial paper, securities issued by the U.S. government obligations, certificates of deposit and money market funds meeting the criteria of our investment policy, which is focused on the preservation of our capital. These investments are subject to general credit, liquidity, and market and interest rate risks, particularly in the current economic environment. We may realize losses in the fair value of these investments or a complete loss of these investments, which would have a negative effect on our consolidated financial statements. In addition, should our investments cease paying or reduce the amount of interest paid to us, our interest income would suffer. The market risks associated with our investment portfolio may have an adverse effect on our results of operations, liquidity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net operating loss carryforwards and other tax benefits may be limited.</w:t>
      </w:r>
    </w:p>
    <w:p>
      <w:pPr>
        <w:spacing w:after="0" w:line="121"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We have historically incurred net losses. Under the Internal Revenue Code of 1986, as amended (the “Code”), a corporation is generally allowed a deduction for net operating losses (NOLs) carried forward from a prior taxable year. Under that provision, we can carryforward our NOLs to offset our future taxable income, if any, until such NOLs are used or expire. As of September 30, 2020, we had federal, and state NOL carryforwards of approximately $473 million and $497 million, respectively. As a result of the Coronavirus Aid, Relief, and Economic Security Act of 2020 (“CARES Act”) and legislation commonly referred to as the Tax Cuts and Jobs Act of 2017 (“2017 Tax Act”), NOLs arising before January 1, 2018, and NOLs arising after January 1, 2018, are subject to different rules. Under the CARES Act and 2017 Tax Act, federal NOLs incurred in 2018, 2019 and 2020 can generally be carried back five years, carried forward indefinitely and can offset 100% of future taxable income for tax years before January 1, 2021 and up to 80% of future taxable income for tax years after December 31, 2020. Any NOLs arising on or after January 1, 2021, cannot be carried back, can generally be carried forward indefinitely and can offset up to 80% of future taxable income. It is uncertain if and to what extent various states will conform to the newly enacted federal tax law. These NOL carryforwards could expire unused before offsetting potential future income tax liabilities.</w:t>
      </w:r>
    </w:p>
    <w:p>
      <w:pPr>
        <w:spacing w:after="0" w:line="86" w:lineRule="exact"/>
        <w:rPr>
          <w:sz w:val="20"/>
          <w:szCs w:val="20"/>
          <w:color w:val="auto"/>
        </w:rPr>
      </w:pPr>
    </w:p>
    <w:p>
      <w:pPr>
        <w:ind w:right="140" w:firstLine="578"/>
        <w:spacing w:after="0" w:line="256" w:lineRule="auto"/>
        <w:rPr>
          <w:sz w:val="20"/>
          <w:szCs w:val="20"/>
          <w:color w:val="auto"/>
        </w:rPr>
      </w:pPr>
      <w:r>
        <w:rPr>
          <w:rFonts w:ascii="Times New Roman" w:cs="Times New Roman" w:eastAsia="Times New Roman" w:hAnsi="Times New Roman"/>
          <w:sz w:val="18"/>
          <w:szCs w:val="18"/>
          <w:color w:val="auto"/>
        </w:rPr>
        <w:t>In addition, under Section 382 of the Code and corresponding provisions of state law, if a corporation undergoes an “ownership change,” which is generally defined as a greater than 50 percent change, by value, in its equity ownership over a three-year period, the corporation’s ability to use its pre-change NOL carryforwards and other pre-change tax attributes to offset its post-change income or taxes may be limited. It is possible that we have experienced an ownership change limitation. We may experience ownership changes in the future as a result of subsequent shifts in our stock ownership, some of which may be outside of our control. If an ownership change occurs and our ability to use our NOL carryforwards is materially limited, it would harm our future operating results by effectively increasing our future tax obligations.</w:t>
      </w:r>
    </w:p>
    <w:p>
      <w:pPr>
        <w:spacing w:after="0" w:line="29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changing regulations for corporate governance and public disclosure that has increased both our costs and the risk of noncompliance.</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Each year we are required to evaluate our internal controls systems in order to allow management to report on and our Independent Registered Public Accounting Firm to attest to, our internal controls as required by Section 404 of the Sarbanes-Oxley Act. As a result, we continue to incur additional expenses and divert our management's time to comply with these regulations. In addition, if we cannot continue to comply with the requirements of Section 404 in a timely manner, we might be subject to sanctions or investigation by regulatory authorities, such as the SEC, the Public Company Accounting Oversight Board (“PCAOB) or The Nasdaq Global Select Market. Any such action could adversely affect our financial results and the market price of our Common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additional tax liabilities.</w:t>
      </w:r>
    </w:p>
    <w:p>
      <w:pPr>
        <w:spacing w:after="0" w:line="121"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We are subject to U.S. federal, state, local and sales taxes in the United States and Australia. Significant judgment is required in evaluating our tax positions.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for which a determination is made.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Investment and Securities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has the authority to issue shares of “blank check” preferred stock, which may make an acquisition of the Company by another company more difficult.</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have adopted and may in the future adopt certain measures that may have the effect of delaying, deferring or preventing a takeover or other change in control of the Company that a holder of our Common Stock might consider in its best interest. For example,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These factors could also reduce the price that certain investors might be willing to pay for shares of our Common Stock and result in the market price being lower than it would be without these provisions.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declare cash dividends on our Common Stock.</w:t>
      </w:r>
    </w:p>
    <w:p>
      <w:pPr>
        <w:spacing w:after="0" w:line="121"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can be influenced by the research and reports that industry or securities analysts publish about our business. Currently, coverage of our Company by industry and securities analysts is limited. Investors have many investment opportunities and may limit their investments to companies that receive greater coverage from analysts. If additional industry or securities analysts do not commence coverage of the Company, the trading price of our stock could be negatively impacted. If one or more of the analysts downgrade our stock or comment negatively on our prospects, our stock price may decline. If one or more of these analysts cease to cover our industry or us or fail to publish reports about the Company regularly, our Common Stock could lose visibility in the financial markets, which could also cause our stock price or trading volume to decline. Further, incorrect judgments, estimates or assumptions made by research analysts may adversely affect our stock price, particularly if subsequent performance falls below the levels that were projected by the research analyst(s), even if we did not set or endorse such expectations. Any of these events could cause further volatility in our stock price and could result in substantial declines in the value of our stock.</w:t>
      </w:r>
    </w:p>
    <w:p>
      <w:pPr>
        <w:spacing w:after="0" w:line="29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purchases and sales of our Common Stock may be limited, and the sale of a limited number of shares could cause the price to fall sharply.</w:t>
      </w:r>
    </w:p>
    <w:p>
      <w:pPr>
        <w:spacing w:after="0" w:line="51"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Although our Common Stock is listed for trading on the Nasdaq Global Select Market, at various times our securities are relatively thinly traded. Investor trading patterns could serve to exacerbate the volatility of the price of our stock. For example, mandatory sales of our Common Stock by institutional holders could be triggered if an investment in our Common Stock no longer satisfies their investment standards and guidelines. It may be difficult to sell shares of our Common Stock quickly without significantly depressing the value of the stock. Unless we are successful in developing continued investor interest in our stock, sales of our stock could result in major fluctuations in the price of the stock.</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45" w:name="page46"/>
    <w:bookmarkEnd w:id="45"/>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5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Because we are early in the stage of our drug development, there are few objective metrics by which our progress may be measured. Consequently, we expect that the market price of our Common Stock will continue to fluctuate significantly. We may not continue to generate substantial revenue from the license or sale of our technology for several years, if at all. In the absence of product revenue as a measure of our operating performance, we anticipate that investors and market analysts will assess our performance by considering factors such as:</w:t>
      </w:r>
    </w:p>
    <w:p>
      <w:pPr>
        <w:spacing w:after="0" w:line="72" w:lineRule="exact"/>
        <w:rPr>
          <w:sz w:val="20"/>
          <w:szCs w:val="20"/>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related to our business;</w:t>
      </w:r>
    </w:p>
    <w:p>
      <w:pPr>
        <w:spacing w:after="0" w:line="117" w:lineRule="exact"/>
        <w:rPr>
          <w:rFonts w:ascii="Times New Roman" w:cs="Times New Roman" w:eastAsia="Times New Roman" w:hAnsi="Times New Roman"/>
          <w:sz w:val="18"/>
          <w:szCs w:val="18"/>
          <w:color w:val="auto"/>
        </w:rPr>
      </w:pPr>
    </w:p>
    <w:p>
      <w:pPr>
        <w:ind w:left="880" w:right="360" w:hanging="373"/>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extend investigation phase, development phase, commercialization phase and other agreements with new and/or existing partners;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status of any or all of our collaborations or products, including clinical trial results;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and/or investor sentiment regarding our technology;</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actions taken by regulatory authorities, such as the U.S. Food and Drug Administration;</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developments in the RNA interference or biotechnology fields in general;</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clinical trial results with our products or competitors’ products;</w:t>
      </w:r>
    </w:p>
    <w:p>
      <w:pPr>
        <w:spacing w:after="0" w:line="117" w:lineRule="exact"/>
        <w:rPr>
          <w:rFonts w:ascii="Times New Roman" w:cs="Times New Roman" w:eastAsia="Times New Roman" w:hAnsi="Times New Roman"/>
          <w:sz w:val="18"/>
          <w:szCs w:val="18"/>
          <w:color w:val="auto"/>
        </w:rPr>
      </w:pPr>
    </w:p>
    <w:p>
      <w:pPr>
        <w:ind w:left="880" w:right="20" w:hanging="373"/>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and/or announcements regarding other companies developing products in the field of biotechnology generally or specifically RNA interference;</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competitive patents or disallowance or loss of our patent rights;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departure of key executives;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w:t>
      </w:r>
    </w:p>
    <w:p>
      <w:pPr>
        <w:spacing w:after="0" w:line="225"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We will not have control over many of these factors but expect that they may influence our stock price. As a result, our stock price may be volatile and such volatility could result in the loss of all or part of your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equity interest may be substantially diluted in any additional equity issuances.</w:t>
      </w:r>
    </w:p>
    <w:p>
      <w:pPr>
        <w:spacing w:after="0" w:line="121"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145,000,000 shares of Common Stock and 5,000,000 shares of Preferred Stock, on such terms and at such prices as our Board of Directors may determine. The following serves as a summary of share issuance activity during the fiscal year ended September 30, 2020:</w:t>
      </w:r>
    </w:p>
    <w:p>
      <w:pPr>
        <w:spacing w:after="0" w:line="68" w:lineRule="exact"/>
        <w:rPr>
          <w:sz w:val="20"/>
          <w:szCs w:val="20"/>
          <w:color w:val="auto"/>
        </w:rPr>
      </w:pPr>
    </w:p>
    <w:p>
      <w:pPr>
        <w:ind w:left="880" w:hanging="373"/>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2,270,032 shares of Common Stock pursuant to the exercise of stock options and the vesting of restricted stock units.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4,600,000 shares of Common Stock were issued as part of the December 2019 securities offering</w:t>
      </w:r>
    </w:p>
    <w:p>
      <w:pPr>
        <w:spacing w:after="0" w:line="117"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As of September 30, 2020, we had 102,376,303 shares of Common Stock issued and outstanding. The issuance of additional securities in financing transactions by us or through the exercise of options or warrants will dilute the equity interests of our existing stockholders, perhaps substantially, and could result in dilution in the tangible net book value of a share of our Common Stock, depending upon the price and other terms on which the additional shares are issued.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Inherent in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is time consuming, expensive and risky.</w:t>
      </w:r>
    </w:p>
    <w:p>
      <w:pPr>
        <w:spacing w:after="0" w:line="121"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We are focused on technology related to new and improved pharmaceutical candidates. Product candidates that appear promising in the early phases of development, such as in animal and early human clinical trials, often fail to reach the market for a number of reasons, such as:</w:t>
      </w:r>
    </w:p>
    <w:p>
      <w:pPr>
        <w:spacing w:after="0" w:line="54" w:lineRule="exact"/>
        <w:rPr>
          <w:sz w:val="20"/>
          <w:szCs w:val="20"/>
          <w:color w:val="auto"/>
        </w:rPr>
      </w:pPr>
    </w:p>
    <w:p>
      <w:pPr>
        <w:ind w:left="880" w:hanging="373"/>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be unacceptable, even though preclinical trial results were promising;</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Inefficacy and/or harmful side effects in humans or animals;</w:t>
      </w:r>
    </w:p>
    <w:p>
      <w:pPr>
        <w:spacing w:after="0" w:line="117" w:lineRule="exact"/>
        <w:rPr>
          <w:rFonts w:ascii="Times New Roman" w:cs="Times New Roman" w:eastAsia="Times New Roman" w:hAnsi="Times New Roman"/>
          <w:sz w:val="18"/>
          <w:szCs w:val="18"/>
          <w:color w:val="auto"/>
        </w:rPr>
      </w:pPr>
    </w:p>
    <w:p>
      <w:pPr>
        <w:ind w:left="880" w:right="160" w:hanging="373"/>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regulatory bodies, such as the U.S. Food and Drug Administration, may not approve our potential product for the intended use, or at all;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distribution may be uneconomical.</w:t>
      </w:r>
    </w:p>
    <w:p>
      <w:pPr>
        <w:spacing w:after="0" w:line="225" w:lineRule="exact"/>
        <w:rPr>
          <w:sz w:val="20"/>
          <w:szCs w:val="20"/>
          <w:color w:val="auto"/>
        </w:rPr>
      </w:pPr>
    </w:p>
    <w:p>
      <w:pPr>
        <w:ind w:right="600" w:firstLine="510"/>
        <w:spacing w:after="0" w:line="282" w:lineRule="auto"/>
        <w:rPr>
          <w:sz w:val="20"/>
          <w:szCs w:val="20"/>
          <w:color w:val="auto"/>
        </w:rPr>
      </w:pPr>
      <w:r>
        <w:rPr>
          <w:rFonts w:ascii="Times New Roman" w:cs="Times New Roman" w:eastAsia="Times New Roman" w:hAnsi="Times New Roman"/>
          <w:sz w:val="18"/>
          <w:szCs w:val="18"/>
          <w:color w:val="auto"/>
        </w:rPr>
        <w:t>For example, any positive pre-clinical results in animals for our pre-clinical programs may not be replicated in human clinical studies. These programs may be also found to be unsafe in humans, particularly at higher doses needed to achieve the desired levels of</w:t>
      </w:r>
    </w:p>
    <w:p>
      <w:pPr>
        <w:sectPr>
          <w:pgSz w:w="11900" w:h="16838" w:orient="portrait"/>
          <w:cols w:equalWidth="0" w:num="1">
            <w:col w:w="11240"/>
          </w:cols>
          <w:pgMar w:left="320" w:top="44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46" w:name="page47"/>
    <w:bookmarkEnd w:id="46"/>
    <w:p>
      <w:pPr>
        <w:ind w:right="60"/>
        <w:spacing w:after="0" w:line="254" w:lineRule="auto"/>
        <w:rPr>
          <w:sz w:val="20"/>
          <w:szCs w:val="20"/>
          <w:color w:val="auto"/>
        </w:rPr>
      </w:pPr>
      <w:r>
        <w:rPr>
          <w:rFonts w:ascii="Times New Roman" w:cs="Times New Roman" w:eastAsia="Times New Roman" w:hAnsi="Times New Roman"/>
          <w:sz w:val="18"/>
          <w:szCs w:val="18"/>
          <w:color w:val="auto"/>
        </w:rPr>
        <w:t>efficacy. Also, the positive safety results from single dose human clinical studies may not be replicated in other human studies, including multiple dose studies. Clinical and pre-clinical study results are frequently susceptible to varying interpretations by scientists, medical personnel, regulatory personnel, statisticians and others, which often delays, limits, or prevents further clinical development or regulatory approvals of potential products. Clinical trials can take many years to complete, including the process of study design, clinical site selection and the recruitment of patients. As a result, we can experience significant delays in completing clinical studies, which can increase the cost of developing a drug candidate and shorten the time that an approved product may be protected by patents. If our drug candidates are not successful in human clinical trials, we may be forced to curtail or abandon certain development programs. If we experience significant delays in commencing or completing our clinical studies, we could suffer from significant cost overruns, which could negatively affect our capital resources and our ability to complete these studies.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healthcare system is under significant financial pressure to reduce costs, which could reduce payment and reimbursement rates for drugs.</w:t>
      </w:r>
    </w:p>
    <w:p>
      <w:pPr>
        <w:spacing w:after="0" w:line="121"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8"/>
          <w:szCs w:val="18"/>
          <w:color w:val="auto"/>
        </w:rPr>
        <w:t>Throughout the world and particularly in the United States the healthcare system is under significant financial pressure to reduce costs. The price of pharmaceuticals has been a topic of considerable public discussion that could lead to price controls or other price-limiting strategies by payors that have the effect of lowering payment and reimbursement rates for drugs or otherwise making the commercialization of pharmaceuticals less profitable. These effects could reduce or eliminate our ability to return value to our shareholders.</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standards are subject to change over time, making it difficult to accurately predict the likelihood of marketing approval even when clinical trials meet their endpoints.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Regulatory standards are promulgated by various government entities and are subject to change based on factors such as scientific developments, public perceptions of risk, and political forces. Because clinical trials often take years to complete, it is sometimes possible for standards that exist during the conception and initiation of a clinical trial to change before the clinical trial is completed or reviewed by government regulators. For example, we may initiate clinical trials that are designed to show benefits on relatively short-term endpoints, but ultimately be required to show benefits in longer-term outcome studies. While some government entities have safeguards intended to ensure standards agreed upon by sponsors and regulators at the outset of a clinical trial are applied during regulatory review processes, those safeguards generally permit regulators to apply more rigorous standards where regulators believe doing so is necessary. As such, there can be no assurance that regulatory standards that are appropriate at the outset of a clinical trial program will not become more rigorous during the regulatory approval process and could potentially result in a delayed approval or denial of marketing authorization.</w:t>
      </w:r>
    </w:p>
    <w:p>
      <w:pPr>
        <w:spacing w:after="0" w:line="29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own any real property. The following table summarizes the Company’s leased facilities as of September 30,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4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3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Lease Term</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4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0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20" w:type="dxa"/>
            <w:vAlign w:val="bottom"/>
            <w:gridSpan w:val="2"/>
            <w:vMerge w:val="continue"/>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Pasadena, California</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 sq. ft.</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65,736</w:t>
            </w:r>
          </w:p>
        </w:tc>
        <w:tc>
          <w:tcPr>
            <w:tcW w:w="2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Corp. Headqtrs.</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2027</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years</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Madison, Wisconsin</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 sq. ft.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101,315</w:t>
            </w:r>
          </w:p>
        </w:tc>
        <w:tc>
          <w:tcPr>
            <w:tcW w:w="24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Research Facility</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September 2031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years</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San Diego, California</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21,000 sq. ft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60,021</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Research Facility</w:t>
            </w:r>
          </w:p>
        </w:tc>
        <w:tc>
          <w:tcPr>
            <w:tcW w:w="14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January 2023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years</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520" w:firstLine="510"/>
        <w:spacing w:after="0" w:line="266" w:lineRule="auto"/>
        <w:rPr>
          <w:sz w:val="20"/>
          <w:szCs w:val="20"/>
          <w:color w:val="auto"/>
        </w:rPr>
      </w:pPr>
      <w:r>
        <w:rPr>
          <w:rFonts w:ascii="Times New Roman" w:cs="Times New Roman" w:eastAsia="Times New Roman" w:hAnsi="Times New Roman"/>
          <w:sz w:val="18"/>
          <w:szCs w:val="18"/>
          <w:color w:val="auto"/>
        </w:rPr>
        <w:t xml:space="preserve">Legal Proceedings are set forth in our financial statement schedules in Part IV, Item 15 of this Annual Report and are incorporated herein by reference. See Note 7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Notes to Consolidated Financial Statements of Part IV, Item 15. </w:t>
      </w:r>
      <w:r>
        <w:rPr>
          <w:rFonts w:ascii="Times New Roman" w:cs="Times New Roman" w:eastAsia="Times New Roman" w:hAnsi="Times New Roman"/>
          <w:sz w:val="18"/>
          <w:szCs w:val="18"/>
          <w:i w:val="1"/>
          <w:iCs w:val="1"/>
          <w:color w:val="auto"/>
        </w:rPr>
        <w:t>Exhibits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Schedules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160" w:right="180" w:hanging="1146"/>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5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“ARWR”. At November 16, 2020, 102,756,771 shares of the Company’s Common Stock were issued and outstanding, and were owned by 106 stockholders of record, based on information provided by the Company’s transfer agent.</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never paid dividends on its Common Stock and does not anticipate that it will do so in the foreseeable future.</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the Equity Compensation Plans</w:t>
      </w:r>
    </w:p>
    <w:p>
      <w:pPr>
        <w:spacing w:after="0" w:line="119"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The disclosure required under this item related to equity compensation plans is incorporated by reference from Item 12 of Part III of this Annual Report on Form 10-K.</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information under this Item has been previously reported on our Current Reports on Form 8-K.</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quarter ended September 30, 2020.</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1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following performance graph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 The graph compares the cumulative 5-year total return to shareholders on our Common Stock relative to the cumulative total returns of the Nasdaq Composite Index and the Nasdaq Biotechnology Index. We selected the Nasdaq Biotechnology Index because we believe the index reflects the market conditions within the industry in which we primarily operate. The comparison of total return on investment, defined as the change in year-end stock price plus reinvested dividends, for each of the periods assumes that $100 was invested on September 30,</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ind w:right="140"/>
        <w:spacing w:after="0" w:line="282" w:lineRule="auto"/>
        <w:rPr>
          <w:sz w:val="20"/>
          <w:szCs w:val="20"/>
          <w:color w:val="auto"/>
        </w:rPr>
      </w:pPr>
      <w:r>
        <w:rPr>
          <w:rFonts w:ascii="Times New Roman" w:cs="Times New Roman" w:eastAsia="Times New Roman" w:hAnsi="Times New Roman"/>
          <w:sz w:val="18"/>
          <w:szCs w:val="18"/>
          <w:color w:val="auto"/>
        </w:rPr>
        <w:t>2015, in each of our Common Stock, the Nasdaq Composite Index and the Nasdaq Biotechnology Index, with investment weighted on the basis of market capitalization.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comparisons in the following graph are based on historical data and are not intended to forecast the possible future performance of our Common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142875</wp:posOffset>
            </wp:positionV>
            <wp:extent cx="6163310" cy="3634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6331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$100 investment in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60" w:type="dxa"/>
            <w:vAlign w:val="bottom"/>
            <w:vMerge w:val="restart"/>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stock or index</w:t>
            </w:r>
          </w:p>
        </w:tc>
        <w:tc>
          <w:tcPr>
            <w:tcW w:w="60" w:type="dxa"/>
            <w:vAlign w:val="bottom"/>
            <w:tcBorders>
              <w:bottom w:val="single" w:sz="8" w:color="CCEC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CFF"/>
            </w:tcBorders>
            <w:vMerge w:val="continue"/>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CCEC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CCEC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CCECFF"/>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CEC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280" w:type="dxa"/>
            <w:vAlign w:val="bottom"/>
            <w:shd w:val="clear" w:color="auto" w:fill="CCECFF"/>
          </w:tcPr>
          <w:p>
            <w:pPr>
              <w:ind w:left="140"/>
              <w:spacing w:after="0" w:line="133" w:lineRule="exact"/>
              <w:rPr>
                <w:sz w:val="20"/>
                <w:szCs w:val="20"/>
                <w:color w:val="auto"/>
              </w:rPr>
            </w:pPr>
            <w:r>
              <w:rPr>
                <w:rFonts w:ascii="Times New Roman" w:cs="Times New Roman" w:eastAsia="Times New Roman" w:hAnsi="Times New Roman"/>
                <w:sz w:val="14"/>
                <w:szCs w:val="14"/>
                <w:color w:val="auto"/>
              </w:rPr>
              <w:t>Arrowhead</w:t>
            </w:r>
          </w:p>
        </w:tc>
        <w:tc>
          <w:tcPr>
            <w:tcW w:w="60" w:type="dxa"/>
            <w:vAlign w:val="bottom"/>
            <w:shd w:val="clear" w:color="auto" w:fill="CCECFF"/>
          </w:tcPr>
          <w:p>
            <w:pPr>
              <w:spacing w:after="0"/>
              <w:rPr>
                <w:sz w:val="11"/>
                <w:szCs w:val="11"/>
                <w:color w:val="auto"/>
              </w:rPr>
            </w:pPr>
          </w:p>
        </w:tc>
        <w:tc>
          <w:tcPr>
            <w:tcW w:w="580" w:type="dxa"/>
            <w:vAlign w:val="bottom"/>
            <w:gridSpan w:val="2"/>
            <w:vMerge w:val="restart"/>
            <w:shd w:val="clear" w:color="auto" w:fill="CCECFF"/>
          </w:tcPr>
          <w:p>
            <w:pPr>
              <w:jc w:val="center"/>
              <w:ind w:right="80"/>
              <w:spacing w:after="0"/>
              <w:rPr>
                <w:sz w:val="20"/>
                <w:szCs w:val="20"/>
                <w:color w:val="auto"/>
              </w:rPr>
            </w:pPr>
            <w:r>
              <w:rPr>
                <w:rFonts w:ascii="Times New Roman" w:cs="Times New Roman" w:eastAsia="Times New Roman" w:hAnsi="Times New Roman"/>
                <w:sz w:val="14"/>
                <w:szCs w:val="14"/>
                <w:color w:val="auto"/>
                <w:w w:val="99"/>
              </w:rPr>
              <w:t>ARWR</w:t>
            </w:r>
          </w:p>
        </w:tc>
        <w:tc>
          <w:tcPr>
            <w:tcW w:w="4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127.60</w:t>
            </w:r>
          </w:p>
        </w:tc>
        <w:tc>
          <w:tcPr>
            <w:tcW w:w="380" w:type="dxa"/>
            <w:vAlign w:val="bottom"/>
            <w:shd w:val="clear" w:color="auto" w:fill="CCECFF"/>
          </w:tcPr>
          <w:p>
            <w:pPr>
              <w:spacing w:after="0"/>
              <w:rPr>
                <w:sz w:val="11"/>
                <w:szCs w:val="11"/>
                <w:color w:val="auto"/>
              </w:rPr>
            </w:pPr>
          </w:p>
        </w:tc>
        <w:tc>
          <w:tcPr>
            <w:tcW w:w="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75.17</w:t>
            </w:r>
          </w:p>
        </w:tc>
        <w:tc>
          <w:tcPr>
            <w:tcW w:w="360" w:type="dxa"/>
            <w:vAlign w:val="bottom"/>
            <w:shd w:val="clear" w:color="auto" w:fill="CCECFF"/>
          </w:tcPr>
          <w:p>
            <w:pPr>
              <w:spacing w:after="0"/>
              <w:rPr>
                <w:sz w:val="11"/>
                <w:szCs w:val="11"/>
                <w:color w:val="auto"/>
              </w:rPr>
            </w:pPr>
          </w:p>
        </w:tc>
        <w:tc>
          <w:tcPr>
            <w:tcW w:w="44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332.81</w:t>
            </w:r>
          </w:p>
        </w:tc>
        <w:tc>
          <w:tcPr>
            <w:tcW w:w="440" w:type="dxa"/>
            <w:vAlign w:val="bottom"/>
            <w:gridSpan w:val="2"/>
            <w:vMerge w:val="restart"/>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489.24</w:t>
            </w:r>
          </w:p>
        </w:tc>
        <w:tc>
          <w:tcPr>
            <w:tcW w:w="40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747.57</w:t>
            </w:r>
          </w:p>
        </w:tc>
        <w:tc>
          <w:tcPr>
            <w:tcW w:w="3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Pharmaceuticals,</w:t>
            </w:r>
          </w:p>
        </w:tc>
        <w:tc>
          <w:tcPr>
            <w:tcW w:w="580" w:type="dxa"/>
            <w:vAlign w:val="bottom"/>
            <w:gridSpan w:val="2"/>
            <w:vMerge w:val="continue"/>
            <w:shd w:val="clear" w:color="auto" w:fill="CCECFF"/>
          </w:tcPr>
          <w:p>
            <w:pPr>
              <w:spacing w:after="0"/>
              <w:rPr>
                <w:sz w:val="12"/>
                <w:szCs w:val="12"/>
                <w:color w:val="auto"/>
              </w:rPr>
            </w:pPr>
          </w:p>
        </w:tc>
        <w:tc>
          <w:tcPr>
            <w:tcW w:w="460" w:type="dxa"/>
            <w:vAlign w:val="bottom"/>
            <w:vMerge w:val="continue"/>
            <w:shd w:val="clear" w:color="auto" w:fill="CCECFF"/>
          </w:tcPr>
          <w:p>
            <w:pPr>
              <w:spacing w:after="0"/>
              <w:rPr>
                <w:sz w:val="12"/>
                <w:szCs w:val="12"/>
                <w:color w:val="auto"/>
              </w:rPr>
            </w:pPr>
          </w:p>
        </w:tc>
        <w:tc>
          <w:tcPr>
            <w:tcW w:w="780" w:type="dxa"/>
            <w:vAlign w:val="bottom"/>
            <w:vMerge w:val="continue"/>
            <w:shd w:val="clear" w:color="auto" w:fill="CCECFF"/>
          </w:tcPr>
          <w:p>
            <w:pPr>
              <w:spacing w:after="0"/>
              <w:rPr>
                <w:sz w:val="12"/>
                <w:szCs w:val="12"/>
                <w:color w:val="auto"/>
              </w:rPr>
            </w:pPr>
          </w:p>
        </w:tc>
        <w:tc>
          <w:tcPr>
            <w:tcW w:w="480" w:type="dxa"/>
            <w:vAlign w:val="bottom"/>
            <w:gridSpan w:val="2"/>
            <w:vMerge w:val="continue"/>
            <w:shd w:val="clear" w:color="auto" w:fill="CCECFF"/>
          </w:tcPr>
          <w:p>
            <w:pPr>
              <w:spacing w:after="0"/>
              <w:rPr>
                <w:sz w:val="12"/>
                <w:szCs w:val="12"/>
                <w:color w:val="auto"/>
              </w:rPr>
            </w:pPr>
          </w:p>
        </w:tc>
        <w:tc>
          <w:tcPr>
            <w:tcW w:w="1040" w:type="dxa"/>
            <w:vAlign w:val="bottom"/>
            <w:vMerge w:val="continue"/>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100" w:type="dxa"/>
            <w:vAlign w:val="bottom"/>
            <w:vMerge w:val="continue"/>
            <w:shd w:val="clear" w:color="auto" w:fill="CCECFF"/>
          </w:tcPr>
          <w:p>
            <w:pPr>
              <w:spacing w:after="0"/>
              <w:rPr>
                <w:sz w:val="12"/>
                <w:szCs w:val="12"/>
                <w:color w:val="auto"/>
              </w:rPr>
            </w:pPr>
          </w:p>
        </w:tc>
        <w:tc>
          <w:tcPr>
            <w:tcW w:w="1080" w:type="dxa"/>
            <w:vAlign w:val="bottom"/>
            <w:vMerge w:val="continue"/>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440" w:type="dxa"/>
            <w:vAlign w:val="bottom"/>
            <w:vMerge w:val="continue"/>
            <w:shd w:val="clear" w:color="auto" w:fill="CCECFF"/>
          </w:tcPr>
          <w:p>
            <w:pPr>
              <w:spacing w:after="0"/>
              <w:rPr>
                <w:sz w:val="12"/>
                <w:szCs w:val="12"/>
                <w:color w:val="auto"/>
              </w:rPr>
            </w:pPr>
          </w:p>
        </w:tc>
        <w:tc>
          <w:tcPr>
            <w:tcW w:w="780" w:type="dxa"/>
            <w:vAlign w:val="bottom"/>
            <w:vMerge w:val="continue"/>
            <w:shd w:val="clear" w:color="auto" w:fill="CCECFF"/>
          </w:tcPr>
          <w:p>
            <w:pPr>
              <w:spacing w:after="0"/>
              <w:rPr>
                <w:sz w:val="12"/>
                <w:szCs w:val="12"/>
                <w:color w:val="auto"/>
              </w:rPr>
            </w:pPr>
          </w:p>
        </w:tc>
        <w:tc>
          <w:tcPr>
            <w:tcW w:w="440" w:type="dxa"/>
            <w:vAlign w:val="bottom"/>
            <w:gridSpan w:val="2"/>
            <w:vMerge w:val="continue"/>
            <w:shd w:val="clear" w:color="auto" w:fill="CCECFF"/>
          </w:tcPr>
          <w:p>
            <w:pPr>
              <w:spacing w:after="0"/>
              <w:rPr>
                <w:sz w:val="12"/>
                <w:szCs w:val="12"/>
                <w:color w:val="auto"/>
              </w:rPr>
            </w:pPr>
          </w:p>
        </w:tc>
        <w:tc>
          <w:tcPr>
            <w:tcW w:w="1000" w:type="dxa"/>
            <w:vAlign w:val="bottom"/>
            <w:vMerge w:val="continue"/>
            <w:shd w:val="clear" w:color="auto" w:fill="CCECFF"/>
          </w:tcPr>
          <w:p>
            <w:pPr>
              <w:spacing w:after="0"/>
              <w:rPr>
                <w:sz w:val="12"/>
                <w:szCs w:val="12"/>
                <w:color w:val="auto"/>
              </w:rPr>
            </w:pPr>
          </w:p>
        </w:tc>
        <w:tc>
          <w:tcPr>
            <w:tcW w:w="400" w:type="dxa"/>
            <w:vAlign w:val="bottom"/>
            <w:gridSpan w:val="2"/>
            <w:vMerge w:val="continue"/>
            <w:shd w:val="clear" w:color="auto" w:fill="CCECFF"/>
          </w:tcPr>
          <w:p>
            <w:pPr>
              <w:spacing w:after="0"/>
              <w:rPr>
                <w:sz w:val="12"/>
                <w:szCs w:val="12"/>
                <w:color w:val="auto"/>
              </w:rPr>
            </w:pPr>
          </w:p>
        </w:tc>
        <w:tc>
          <w:tcPr>
            <w:tcW w:w="1060" w:type="dxa"/>
            <w:vAlign w:val="bottom"/>
            <w:vMerge w:val="continue"/>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4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4"/>
                <w:szCs w:val="14"/>
                <w:color w:val="auto"/>
              </w:rPr>
              <w:t>Inc.</w:t>
            </w:r>
          </w:p>
        </w:tc>
        <w:tc>
          <w:tcPr>
            <w:tcW w:w="52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8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6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40" w:type="dxa"/>
            <w:vAlign w:val="bottom"/>
            <w:gridSpan w:val="2"/>
          </w:tcPr>
          <w:p>
            <w:pPr>
              <w:ind w:left="140"/>
              <w:spacing w:after="0" w:line="153" w:lineRule="exact"/>
              <w:rPr>
                <w:sz w:val="20"/>
                <w:szCs w:val="20"/>
                <w:color w:val="auto"/>
              </w:rPr>
            </w:pPr>
            <w:r>
              <w:rPr>
                <w:rFonts w:ascii="Times New Roman" w:cs="Times New Roman" w:eastAsia="Times New Roman" w:hAnsi="Times New Roman"/>
                <w:sz w:val="14"/>
                <w:szCs w:val="14"/>
                <w:color w:val="auto"/>
              </w:rPr>
              <w:t>NASDAQ</w:t>
            </w:r>
          </w:p>
        </w:tc>
        <w:tc>
          <w:tcPr>
            <w:tcW w:w="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^NBI</w:t>
            </w: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95.52</w:t>
            </w:r>
          </w:p>
        </w:tc>
        <w:tc>
          <w:tcPr>
            <w:tcW w:w="3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110.22</w:t>
            </w:r>
          </w:p>
        </w:tc>
        <w:tc>
          <w:tcPr>
            <w:tcW w:w="360" w:type="dxa"/>
            <w:vAlign w:val="bottom"/>
          </w:tcPr>
          <w:p>
            <w:pPr>
              <w:spacing w:after="0"/>
              <w:rPr>
                <w:sz w:val="13"/>
                <w:szCs w:val="13"/>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121.03</w:t>
            </w: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98.69</w:t>
            </w:r>
          </w:p>
        </w:tc>
        <w:tc>
          <w:tcPr>
            <w:tcW w:w="4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134.32</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58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Index</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34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4"/>
                <w:szCs w:val="14"/>
                <w:color w:val="auto"/>
              </w:rPr>
              <w:t>NASDAQ</w:t>
            </w:r>
          </w:p>
        </w:tc>
        <w:tc>
          <w:tcPr>
            <w:tcW w:w="580" w:type="dxa"/>
            <w:vAlign w:val="bottom"/>
            <w:gridSpan w:val="2"/>
            <w:vMerge w:val="restart"/>
            <w:shd w:val="clear" w:color="auto" w:fill="CCECFF"/>
          </w:tcPr>
          <w:p>
            <w:pPr>
              <w:jc w:val="center"/>
              <w:ind w:right="60"/>
              <w:spacing w:after="0"/>
              <w:rPr>
                <w:sz w:val="20"/>
                <w:szCs w:val="20"/>
                <w:color w:val="auto"/>
              </w:rPr>
            </w:pPr>
            <w:r>
              <w:rPr>
                <w:rFonts w:ascii="Times New Roman" w:cs="Times New Roman" w:eastAsia="Times New Roman" w:hAnsi="Times New Roman"/>
                <w:sz w:val="14"/>
                <w:szCs w:val="14"/>
                <w:color w:val="auto"/>
              </w:rPr>
              <w:t>^IXIC</w:t>
            </w:r>
          </w:p>
        </w:tc>
        <w:tc>
          <w:tcPr>
            <w:tcW w:w="4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114.97</w:t>
            </w:r>
          </w:p>
        </w:tc>
        <w:tc>
          <w:tcPr>
            <w:tcW w:w="380" w:type="dxa"/>
            <w:vAlign w:val="bottom"/>
            <w:shd w:val="clear" w:color="auto" w:fill="CCECFF"/>
          </w:tcPr>
          <w:p>
            <w:pPr>
              <w:spacing w:after="0"/>
              <w:rPr>
                <w:sz w:val="19"/>
                <w:szCs w:val="19"/>
                <w:color w:val="auto"/>
              </w:rPr>
            </w:pPr>
          </w:p>
        </w:tc>
        <w:tc>
          <w:tcPr>
            <w:tcW w:w="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140.60</w:t>
            </w:r>
          </w:p>
        </w:tc>
        <w:tc>
          <w:tcPr>
            <w:tcW w:w="360" w:type="dxa"/>
            <w:vAlign w:val="bottom"/>
            <w:shd w:val="clear" w:color="auto" w:fill="CCECFF"/>
          </w:tcPr>
          <w:p>
            <w:pPr>
              <w:spacing w:after="0"/>
              <w:rPr>
                <w:sz w:val="19"/>
                <w:szCs w:val="19"/>
                <w:color w:val="auto"/>
              </w:rPr>
            </w:pPr>
          </w:p>
        </w:tc>
        <w:tc>
          <w:tcPr>
            <w:tcW w:w="44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174.16</w:t>
            </w:r>
          </w:p>
        </w:tc>
        <w:tc>
          <w:tcPr>
            <w:tcW w:w="440" w:type="dxa"/>
            <w:vAlign w:val="bottom"/>
            <w:gridSpan w:val="2"/>
            <w:vMerge w:val="restart"/>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173.14</w:t>
            </w:r>
          </w:p>
        </w:tc>
        <w:tc>
          <w:tcPr>
            <w:tcW w:w="40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241.71</w:t>
            </w:r>
          </w:p>
        </w:tc>
        <w:tc>
          <w:tcPr>
            <w:tcW w:w="3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340" w:type="dxa"/>
            <w:vAlign w:val="bottom"/>
            <w:gridSpan w:val="2"/>
            <w:vMerge w:val="restart"/>
            <w:shd w:val="clear" w:color="auto" w:fill="CCECFF"/>
          </w:tcPr>
          <w:p>
            <w:pPr>
              <w:ind w:left="140"/>
              <w:spacing w:after="0"/>
              <w:rPr>
                <w:sz w:val="20"/>
                <w:szCs w:val="20"/>
                <w:color w:val="auto"/>
              </w:rPr>
            </w:pPr>
            <w:r>
              <w:rPr>
                <w:rFonts w:ascii="Times New Roman" w:cs="Times New Roman" w:eastAsia="Times New Roman" w:hAnsi="Times New Roman"/>
                <w:sz w:val="14"/>
                <w:szCs w:val="14"/>
                <w:color w:val="auto"/>
              </w:rPr>
              <w:t>Composite Index</w:t>
            </w:r>
          </w:p>
        </w:tc>
        <w:tc>
          <w:tcPr>
            <w:tcW w:w="580" w:type="dxa"/>
            <w:vAlign w:val="bottom"/>
            <w:gridSpan w:val="2"/>
            <w:vMerge w:val="continue"/>
            <w:shd w:val="clear" w:color="auto" w:fill="CCECFF"/>
          </w:tcPr>
          <w:p>
            <w:pPr>
              <w:spacing w:after="0"/>
              <w:rPr>
                <w:sz w:val="9"/>
                <w:szCs w:val="9"/>
                <w:color w:val="auto"/>
              </w:rPr>
            </w:pPr>
          </w:p>
        </w:tc>
        <w:tc>
          <w:tcPr>
            <w:tcW w:w="460" w:type="dxa"/>
            <w:vAlign w:val="bottom"/>
            <w:vMerge w:val="continue"/>
            <w:shd w:val="clear" w:color="auto" w:fill="CCECFF"/>
          </w:tcPr>
          <w:p>
            <w:pPr>
              <w:spacing w:after="0"/>
              <w:rPr>
                <w:sz w:val="9"/>
                <w:szCs w:val="9"/>
                <w:color w:val="auto"/>
              </w:rPr>
            </w:pPr>
          </w:p>
        </w:tc>
        <w:tc>
          <w:tcPr>
            <w:tcW w:w="780" w:type="dxa"/>
            <w:vAlign w:val="bottom"/>
            <w:vMerge w:val="continue"/>
            <w:shd w:val="clear" w:color="auto" w:fill="CCECFF"/>
          </w:tcPr>
          <w:p>
            <w:pPr>
              <w:spacing w:after="0"/>
              <w:rPr>
                <w:sz w:val="9"/>
                <w:szCs w:val="9"/>
                <w:color w:val="auto"/>
              </w:rPr>
            </w:pPr>
          </w:p>
        </w:tc>
        <w:tc>
          <w:tcPr>
            <w:tcW w:w="480" w:type="dxa"/>
            <w:vAlign w:val="bottom"/>
            <w:gridSpan w:val="2"/>
            <w:vMerge w:val="continue"/>
            <w:shd w:val="clear" w:color="auto" w:fill="CCECFF"/>
          </w:tcPr>
          <w:p>
            <w:pPr>
              <w:spacing w:after="0"/>
              <w:rPr>
                <w:sz w:val="9"/>
                <w:szCs w:val="9"/>
                <w:color w:val="auto"/>
              </w:rPr>
            </w:pPr>
          </w:p>
        </w:tc>
        <w:tc>
          <w:tcPr>
            <w:tcW w:w="1040" w:type="dxa"/>
            <w:vAlign w:val="bottom"/>
            <w:vMerge w:val="continue"/>
            <w:shd w:val="clear" w:color="auto" w:fill="CCECFF"/>
          </w:tcPr>
          <w:p>
            <w:pPr>
              <w:spacing w:after="0"/>
              <w:rPr>
                <w:sz w:val="9"/>
                <w:szCs w:val="9"/>
                <w:color w:val="auto"/>
              </w:rPr>
            </w:pPr>
          </w:p>
        </w:tc>
        <w:tc>
          <w:tcPr>
            <w:tcW w:w="380" w:type="dxa"/>
            <w:vAlign w:val="bottom"/>
            <w:shd w:val="clear" w:color="auto" w:fill="CCECFF"/>
          </w:tcPr>
          <w:p>
            <w:pPr>
              <w:spacing w:after="0"/>
              <w:rPr>
                <w:sz w:val="9"/>
                <w:szCs w:val="9"/>
                <w:color w:val="auto"/>
              </w:rPr>
            </w:pPr>
          </w:p>
        </w:tc>
        <w:tc>
          <w:tcPr>
            <w:tcW w:w="100" w:type="dxa"/>
            <w:vAlign w:val="bottom"/>
            <w:vMerge w:val="continue"/>
            <w:shd w:val="clear" w:color="auto" w:fill="CCECFF"/>
          </w:tcPr>
          <w:p>
            <w:pPr>
              <w:spacing w:after="0"/>
              <w:rPr>
                <w:sz w:val="9"/>
                <w:szCs w:val="9"/>
                <w:color w:val="auto"/>
              </w:rPr>
            </w:pPr>
          </w:p>
        </w:tc>
        <w:tc>
          <w:tcPr>
            <w:tcW w:w="1080" w:type="dxa"/>
            <w:vAlign w:val="bottom"/>
            <w:vMerge w:val="continue"/>
            <w:shd w:val="clear" w:color="auto" w:fill="CCECFF"/>
          </w:tcPr>
          <w:p>
            <w:pPr>
              <w:spacing w:after="0"/>
              <w:rPr>
                <w:sz w:val="9"/>
                <w:szCs w:val="9"/>
                <w:color w:val="auto"/>
              </w:rPr>
            </w:pPr>
          </w:p>
        </w:tc>
        <w:tc>
          <w:tcPr>
            <w:tcW w:w="360" w:type="dxa"/>
            <w:vAlign w:val="bottom"/>
            <w:shd w:val="clear" w:color="auto" w:fill="CCECFF"/>
          </w:tcPr>
          <w:p>
            <w:pPr>
              <w:spacing w:after="0"/>
              <w:rPr>
                <w:sz w:val="9"/>
                <w:szCs w:val="9"/>
                <w:color w:val="auto"/>
              </w:rPr>
            </w:pPr>
          </w:p>
        </w:tc>
        <w:tc>
          <w:tcPr>
            <w:tcW w:w="440" w:type="dxa"/>
            <w:vAlign w:val="bottom"/>
            <w:vMerge w:val="continue"/>
            <w:shd w:val="clear" w:color="auto" w:fill="CCECFF"/>
          </w:tcPr>
          <w:p>
            <w:pPr>
              <w:spacing w:after="0"/>
              <w:rPr>
                <w:sz w:val="9"/>
                <w:szCs w:val="9"/>
                <w:color w:val="auto"/>
              </w:rPr>
            </w:pPr>
          </w:p>
        </w:tc>
        <w:tc>
          <w:tcPr>
            <w:tcW w:w="780" w:type="dxa"/>
            <w:vAlign w:val="bottom"/>
            <w:vMerge w:val="continue"/>
            <w:shd w:val="clear" w:color="auto" w:fill="CCECFF"/>
          </w:tcPr>
          <w:p>
            <w:pPr>
              <w:spacing w:after="0"/>
              <w:rPr>
                <w:sz w:val="9"/>
                <w:szCs w:val="9"/>
                <w:color w:val="auto"/>
              </w:rPr>
            </w:pPr>
          </w:p>
        </w:tc>
        <w:tc>
          <w:tcPr>
            <w:tcW w:w="440" w:type="dxa"/>
            <w:vAlign w:val="bottom"/>
            <w:gridSpan w:val="2"/>
            <w:vMerge w:val="continue"/>
            <w:shd w:val="clear" w:color="auto" w:fill="CCECFF"/>
          </w:tcPr>
          <w:p>
            <w:pPr>
              <w:spacing w:after="0"/>
              <w:rPr>
                <w:sz w:val="9"/>
                <w:szCs w:val="9"/>
                <w:color w:val="auto"/>
              </w:rPr>
            </w:pPr>
          </w:p>
        </w:tc>
        <w:tc>
          <w:tcPr>
            <w:tcW w:w="1000" w:type="dxa"/>
            <w:vAlign w:val="bottom"/>
            <w:vMerge w:val="continue"/>
            <w:shd w:val="clear" w:color="auto" w:fill="CCECFF"/>
          </w:tcPr>
          <w:p>
            <w:pPr>
              <w:spacing w:after="0"/>
              <w:rPr>
                <w:sz w:val="9"/>
                <w:szCs w:val="9"/>
                <w:color w:val="auto"/>
              </w:rPr>
            </w:pPr>
          </w:p>
        </w:tc>
        <w:tc>
          <w:tcPr>
            <w:tcW w:w="400" w:type="dxa"/>
            <w:vAlign w:val="bottom"/>
            <w:gridSpan w:val="2"/>
            <w:vMerge w:val="continue"/>
            <w:shd w:val="clear" w:color="auto" w:fill="CCECFF"/>
          </w:tcPr>
          <w:p>
            <w:pPr>
              <w:spacing w:after="0"/>
              <w:rPr>
                <w:sz w:val="9"/>
                <w:szCs w:val="9"/>
                <w:color w:val="auto"/>
              </w:rPr>
            </w:pPr>
          </w:p>
        </w:tc>
        <w:tc>
          <w:tcPr>
            <w:tcW w:w="1060" w:type="dxa"/>
            <w:vAlign w:val="bottom"/>
            <w:vMerge w:val="continue"/>
            <w:shd w:val="clear" w:color="auto" w:fill="CCECFF"/>
          </w:tcPr>
          <w:p>
            <w:pPr>
              <w:spacing w:after="0"/>
              <w:rPr>
                <w:sz w:val="9"/>
                <w:szCs w:val="9"/>
                <w:color w:val="auto"/>
              </w:rPr>
            </w:pPr>
          </w:p>
        </w:tc>
        <w:tc>
          <w:tcPr>
            <w:tcW w:w="36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340" w:type="dxa"/>
            <w:vAlign w:val="bottom"/>
            <w:gridSpan w:val="2"/>
            <w:vMerge w:val="continue"/>
            <w:shd w:val="clear" w:color="auto" w:fill="CCECFF"/>
          </w:tcPr>
          <w:p>
            <w:pPr>
              <w:spacing w:after="0"/>
              <w:rPr>
                <w:sz w:val="7"/>
                <w:szCs w:val="7"/>
                <w:color w:val="auto"/>
              </w:rPr>
            </w:pPr>
          </w:p>
        </w:tc>
        <w:tc>
          <w:tcPr>
            <w:tcW w:w="520" w:type="dxa"/>
            <w:vAlign w:val="bottom"/>
            <w:shd w:val="clear" w:color="auto" w:fill="CCECFF"/>
          </w:tcPr>
          <w:p>
            <w:pPr>
              <w:spacing w:after="0"/>
              <w:rPr>
                <w:sz w:val="7"/>
                <w:szCs w:val="7"/>
                <w:color w:val="auto"/>
              </w:rPr>
            </w:pPr>
          </w:p>
        </w:tc>
        <w:tc>
          <w:tcPr>
            <w:tcW w:w="60" w:type="dxa"/>
            <w:vAlign w:val="bottom"/>
            <w:shd w:val="clear" w:color="auto" w:fill="CCECFF"/>
          </w:tcPr>
          <w:p>
            <w:pPr>
              <w:spacing w:after="0"/>
              <w:rPr>
                <w:sz w:val="7"/>
                <w:szCs w:val="7"/>
                <w:color w:val="auto"/>
              </w:rPr>
            </w:pPr>
          </w:p>
        </w:tc>
        <w:tc>
          <w:tcPr>
            <w:tcW w:w="460" w:type="dxa"/>
            <w:vAlign w:val="bottom"/>
            <w:shd w:val="clear" w:color="auto" w:fill="CCECFF"/>
          </w:tcPr>
          <w:p>
            <w:pPr>
              <w:spacing w:after="0"/>
              <w:rPr>
                <w:sz w:val="7"/>
                <w:szCs w:val="7"/>
                <w:color w:val="auto"/>
              </w:rPr>
            </w:pPr>
          </w:p>
        </w:tc>
        <w:tc>
          <w:tcPr>
            <w:tcW w:w="780" w:type="dxa"/>
            <w:vAlign w:val="bottom"/>
            <w:shd w:val="clear" w:color="auto" w:fill="CCECFF"/>
          </w:tcPr>
          <w:p>
            <w:pPr>
              <w:spacing w:after="0"/>
              <w:rPr>
                <w:sz w:val="7"/>
                <w:szCs w:val="7"/>
                <w:color w:val="auto"/>
              </w:rPr>
            </w:pPr>
          </w:p>
        </w:tc>
        <w:tc>
          <w:tcPr>
            <w:tcW w:w="38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040" w:type="dxa"/>
            <w:vAlign w:val="bottom"/>
            <w:shd w:val="clear" w:color="auto" w:fill="CCECFF"/>
          </w:tcPr>
          <w:p>
            <w:pPr>
              <w:spacing w:after="0"/>
              <w:rPr>
                <w:sz w:val="7"/>
                <w:szCs w:val="7"/>
                <w:color w:val="auto"/>
              </w:rPr>
            </w:pPr>
          </w:p>
        </w:tc>
        <w:tc>
          <w:tcPr>
            <w:tcW w:w="38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080" w:type="dxa"/>
            <w:vAlign w:val="bottom"/>
            <w:shd w:val="clear" w:color="auto" w:fill="CCECFF"/>
          </w:tcPr>
          <w:p>
            <w:pPr>
              <w:spacing w:after="0"/>
              <w:rPr>
                <w:sz w:val="7"/>
                <w:szCs w:val="7"/>
                <w:color w:val="auto"/>
              </w:rPr>
            </w:pPr>
          </w:p>
        </w:tc>
        <w:tc>
          <w:tcPr>
            <w:tcW w:w="360" w:type="dxa"/>
            <w:vAlign w:val="bottom"/>
            <w:shd w:val="clear" w:color="auto" w:fill="CCECFF"/>
          </w:tcPr>
          <w:p>
            <w:pPr>
              <w:spacing w:after="0"/>
              <w:rPr>
                <w:sz w:val="7"/>
                <w:szCs w:val="7"/>
                <w:color w:val="auto"/>
              </w:rPr>
            </w:pPr>
          </w:p>
        </w:tc>
        <w:tc>
          <w:tcPr>
            <w:tcW w:w="440" w:type="dxa"/>
            <w:vAlign w:val="bottom"/>
            <w:shd w:val="clear" w:color="auto" w:fill="CCECFF"/>
          </w:tcPr>
          <w:p>
            <w:pPr>
              <w:spacing w:after="0"/>
              <w:rPr>
                <w:sz w:val="7"/>
                <w:szCs w:val="7"/>
                <w:color w:val="auto"/>
              </w:rPr>
            </w:pPr>
          </w:p>
        </w:tc>
        <w:tc>
          <w:tcPr>
            <w:tcW w:w="780" w:type="dxa"/>
            <w:vAlign w:val="bottom"/>
            <w:shd w:val="clear" w:color="auto" w:fill="CCECFF"/>
          </w:tcPr>
          <w:p>
            <w:pPr>
              <w:spacing w:after="0"/>
              <w:rPr>
                <w:sz w:val="7"/>
                <w:szCs w:val="7"/>
                <w:color w:val="auto"/>
              </w:rPr>
            </w:pPr>
          </w:p>
        </w:tc>
        <w:tc>
          <w:tcPr>
            <w:tcW w:w="36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1000" w:type="dxa"/>
            <w:vAlign w:val="bottom"/>
            <w:shd w:val="clear" w:color="auto" w:fill="CCECFF"/>
          </w:tcPr>
          <w:p>
            <w:pPr>
              <w:spacing w:after="0"/>
              <w:rPr>
                <w:sz w:val="7"/>
                <w:szCs w:val="7"/>
                <w:color w:val="auto"/>
              </w:rPr>
            </w:pPr>
          </w:p>
        </w:tc>
        <w:tc>
          <w:tcPr>
            <w:tcW w:w="30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36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1280" w:type="dxa"/>
            <w:vAlign w:val="bottom"/>
            <w:shd w:val="clear" w:color="auto" w:fill="CCECFF"/>
          </w:tcPr>
          <w:p>
            <w:pPr>
              <w:spacing w:after="0"/>
              <w:rPr>
                <w:sz w:val="5"/>
                <w:szCs w:val="5"/>
                <w:color w:val="auto"/>
              </w:rPr>
            </w:pPr>
          </w:p>
        </w:tc>
        <w:tc>
          <w:tcPr>
            <w:tcW w:w="60" w:type="dxa"/>
            <w:vAlign w:val="bottom"/>
            <w:shd w:val="clear" w:color="auto" w:fill="CCECFF"/>
          </w:tcPr>
          <w:p>
            <w:pPr>
              <w:spacing w:after="0"/>
              <w:rPr>
                <w:sz w:val="5"/>
                <w:szCs w:val="5"/>
                <w:color w:val="auto"/>
              </w:rPr>
            </w:pPr>
          </w:p>
        </w:tc>
        <w:tc>
          <w:tcPr>
            <w:tcW w:w="520" w:type="dxa"/>
            <w:vAlign w:val="bottom"/>
            <w:shd w:val="clear" w:color="auto" w:fill="CCECFF"/>
          </w:tcPr>
          <w:p>
            <w:pPr>
              <w:spacing w:after="0"/>
              <w:rPr>
                <w:sz w:val="5"/>
                <w:szCs w:val="5"/>
                <w:color w:val="auto"/>
              </w:rPr>
            </w:pPr>
          </w:p>
        </w:tc>
        <w:tc>
          <w:tcPr>
            <w:tcW w:w="60" w:type="dxa"/>
            <w:vAlign w:val="bottom"/>
            <w:shd w:val="clear" w:color="auto" w:fill="CCECFF"/>
          </w:tcPr>
          <w:p>
            <w:pPr>
              <w:spacing w:after="0"/>
              <w:rPr>
                <w:sz w:val="5"/>
                <w:szCs w:val="5"/>
                <w:color w:val="auto"/>
              </w:rPr>
            </w:pPr>
          </w:p>
        </w:tc>
        <w:tc>
          <w:tcPr>
            <w:tcW w:w="460" w:type="dxa"/>
            <w:vAlign w:val="bottom"/>
            <w:shd w:val="clear" w:color="auto" w:fill="CCECFF"/>
          </w:tcPr>
          <w:p>
            <w:pPr>
              <w:spacing w:after="0"/>
              <w:rPr>
                <w:sz w:val="5"/>
                <w:szCs w:val="5"/>
                <w:color w:val="auto"/>
              </w:rPr>
            </w:pPr>
          </w:p>
        </w:tc>
        <w:tc>
          <w:tcPr>
            <w:tcW w:w="780" w:type="dxa"/>
            <w:vAlign w:val="bottom"/>
            <w:shd w:val="clear" w:color="auto" w:fill="CCECFF"/>
          </w:tcPr>
          <w:p>
            <w:pPr>
              <w:spacing w:after="0"/>
              <w:rPr>
                <w:sz w:val="5"/>
                <w:szCs w:val="5"/>
                <w:color w:val="auto"/>
              </w:rPr>
            </w:pPr>
          </w:p>
        </w:tc>
        <w:tc>
          <w:tcPr>
            <w:tcW w:w="38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040" w:type="dxa"/>
            <w:vAlign w:val="bottom"/>
            <w:shd w:val="clear" w:color="auto" w:fill="CCECFF"/>
          </w:tcPr>
          <w:p>
            <w:pPr>
              <w:spacing w:after="0"/>
              <w:rPr>
                <w:sz w:val="5"/>
                <w:szCs w:val="5"/>
                <w:color w:val="auto"/>
              </w:rPr>
            </w:pPr>
          </w:p>
        </w:tc>
        <w:tc>
          <w:tcPr>
            <w:tcW w:w="38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080" w:type="dxa"/>
            <w:vAlign w:val="bottom"/>
            <w:shd w:val="clear" w:color="auto" w:fill="CCECFF"/>
          </w:tcPr>
          <w:p>
            <w:pPr>
              <w:spacing w:after="0"/>
              <w:rPr>
                <w:sz w:val="5"/>
                <w:szCs w:val="5"/>
                <w:color w:val="auto"/>
              </w:rPr>
            </w:pPr>
          </w:p>
        </w:tc>
        <w:tc>
          <w:tcPr>
            <w:tcW w:w="360" w:type="dxa"/>
            <w:vAlign w:val="bottom"/>
            <w:shd w:val="clear" w:color="auto" w:fill="CCECFF"/>
          </w:tcPr>
          <w:p>
            <w:pPr>
              <w:spacing w:after="0"/>
              <w:rPr>
                <w:sz w:val="5"/>
                <w:szCs w:val="5"/>
                <w:color w:val="auto"/>
              </w:rPr>
            </w:pPr>
          </w:p>
        </w:tc>
        <w:tc>
          <w:tcPr>
            <w:tcW w:w="440" w:type="dxa"/>
            <w:vAlign w:val="bottom"/>
            <w:shd w:val="clear" w:color="auto" w:fill="CCECFF"/>
          </w:tcPr>
          <w:p>
            <w:pPr>
              <w:spacing w:after="0"/>
              <w:rPr>
                <w:sz w:val="5"/>
                <w:szCs w:val="5"/>
                <w:color w:val="auto"/>
              </w:rPr>
            </w:pPr>
          </w:p>
        </w:tc>
        <w:tc>
          <w:tcPr>
            <w:tcW w:w="780" w:type="dxa"/>
            <w:vAlign w:val="bottom"/>
            <w:shd w:val="clear" w:color="auto" w:fill="CCECFF"/>
          </w:tcPr>
          <w:p>
            <w:pPr>
              <w:spacing w:after="0"/>
              <w:rPr>
                <w:sz w:val="5"/>
                <w:szCs w:val="5"/>
                <w:color w:val="auto"/>
              </w:rPr>
            </w:pPr>
          </w:p>
        </w:tc>
        <w:tc>
          <w:tcPr>
            <w:tcW w:w="360" w:type="dxa"/>
            <w:vAlign w:val="bottom"/>
            <w:shd w:val="clear" w:color="auto" w:fill="CCECFF"/>
          </w:tcPr>
          <w:p>
            <w:pPr>
              <w:spacing w:after="0"/>
              <w:rPr>
                <w:sz w:val="5"/>
                <w:szCs w:val="5"/>
                <w:color w:val="auto"/>
              </w:rPr>
            </w:pPr>
          </w:p>
        </w:tc>
        <w:tc>
          <w:tcPr>
            <w:tcW w:w="80" w:type="dxa"/>
            <w:vAlign w:val="bottom"/>
            <w:shd w:val="clear" w:color="auto" w:fill="CCECFF"/>
          </w:tcPr>
          <w:p>
            <w:pPr>
              <w:spacing w:after="0"/>
              <w:rPr>
                <w:sz w:val="5"/>
                <w:szCs w:val="5"/>
                <w:color w:val="auto"/>
              </w:rPr>
            </w:pPr>
          </w:p>
        </w:tc>
        <w:tc>
          <w:tcPr>
            <w:tcW w:w="1000" w:type="dxa"/>
            <w:vAlign w:val="bottom"/>
            <w:shd w:val="clear" w:color="auto" w:fill="CCECFF"/>
          </w:tcPr>
          <w:p>
            <w:pPr>
              <w:spacing w:after="0"/>
              <w:rPr>
                <w:sz w:val="5"/>
                <w:szCs w:val="5"/>
                <w:color w:val="auto"/>
              </w:rPr>
            </w:pPr>
          </w:p>
        </w:tc>
        <w:tc>
          <w:tcPr>
            <w:tcW w:w="30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060" w:type="dxa"/>
            <w:vAlign w:val="bottom"/>
            <w:shd w:val="clear" w:color="auto" w:fill="CCECFF"/>
          </w:tcPr>
          <w:p>
            <w:pPr>
              <w:spacing w:after="0"/>
              <w:rPr>
                <w:sz w:val="5"/>
                <w:szCs w:val="5"/>
                <w:color w:val="auto"/>
              </w:rPr>
            </w:pPr>
          </w:p>
        </w:tc>
        <w:tc>
          <w:tcPr>
            <w:tcW w:w="36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following selected financial data has been derived from our audited consolidated financial statements and should be read in conjunction with the consolidated financial statements, the related notes thereto and the independent auditors’ report thereon, and “Management’s Discussion and Analysis of Financial Condition and Results of Operations,” which are included elsewhere in this Form 10-K and in previously filed Annual Reports on Form 10-K of Arrowhead Pharmaceuticals, Inc.</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1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1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00" w:type="dxa"/>
            <w:vAlign w:val="bottom"/>
            <w:gridSpan w:val="2"/>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3"/>
                <w:szCs w:val="13"/>
                <w:color w:val="auto"/>
              </w:rPr>
            </w:pPr>
          </w:p>
        </w:tc>
        <w:tc>
          <w:tcPr>
            <w:tcW w:w="1240" w:type="dxa"/>
            <w:vAlign w:val="bottom"/>
            <w:gridSpan w:val="3"/>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0" w:type="dxa"/>
            <w:vAlign w:val="bottom"/>
            <w:gridSpan w:val="3"/>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r>
      <w:tr>
        <w:trPr>
          <w:trHeight w:val="189"/>
        </w:trPr>
        <w:tc>
          <w:tcPr>
            <w:tcW w:w="1880" w:type="dxa"/>
            <w:vAlign w:val="bottom"/>
            <w:tcBorders>
              <w:top w:val="single" w:sz="8" w:color="D8EEFC"/>
              <w:bottom w:val="single" w:sz="8" w:color="auto"/>
            </w:tcBorders>
            <w:shd w:val="clear" w:color="auto" w:fill="D8EEFC"/>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9"/>
              </w:rPr>
              <w:t>OPERATING SUMMARY</w:t>
            </w:r>
          </w:p>
        </w:tc>
        <w:tc>
          <w:tcPr>
            <w:tcW w:w="2400" w:type="dxa"/>
            <w:vAlign w:val="bottom"/>
            <w:tcBorders>
              <w:top w:val="single" w:sz="8" w:color="D8EEFC"/>
              <w:bottom w:val="single" w:sz="8" w:color="D8EEFC"/>
            </w:tcBorders>
            <w:shd w:val="clear" w:color="auto" w:fill="D8EEFC"/>
          </w:tcPr>
          <w:p>
            <w:pPr>
              <w:spacing w:after="0"/>
              <w:rPr>
                <w:sz w:val="16"/>
                <w:szCs w:val="16"/>
                <w:color w:val="auto"/>
              </w:rPr>
            </w:pPr>
          </w:p>
        </w:tc>
        <w:tc>
          <w:tcPr>
            <w:tcW w:w="160" w:type="dxa"/>
            <w:vAlign w:val="bottom"/>
            <w:tcBorders>
              <w:top w:val="single" w:sz="8" w:color="auto"/>
              <w:bottom w:val="single" w:sz="8" w:color="D8EEFC"/>
            </w:tcBorders>
            <w:shd w:val="clear" w:color="auto" w:fill="D8EEFC"/>
          </w:tcPr>
          <w:p>
            <w:pPr>
              <w:spacing w:after="0"/>
              <w:rPr>
                <w:sz w:val="16"/>
                <w:szCs w:val="16"/>
                <w:color w:val="auto"/>
              </w:rPr>
            </w:pPr>
          </w:p>
        </w:tc>
        <w:tc>
          <w:tcPr>
            <w:tcW w:w="940" w:type="dxa"/>
            <w:vAlign w:val="bottom"/>
            <w:tcBorders>
              <w:top w:val="single" w:sz="8" w:color="auto"/>
              <w:bottom w:val="single" w:sz="8" w:color="D8EEFC"/>
            </w:tcBorders>
            <w:shd w:val="clear" w:color="auto" w:fill="D8EEFC"/>
          </w:tcPr>
          <w:p>
            <w:pPr>
              <w:spacing w:after="0"/>
              <w:rPr>
                <w:sz w:val="16"/>
                <w:szCs w:val="16"/>
                <w:color w:val="auto"/>
              </w:rPr>
            </w:pPr>
          </w:p>
        </w:tc>
        <w:tc>
          <w:tcPr>
            <w:tcW w:w="200" w:type="dxa"/>
            <w:vAlign w:val="bottom"/>
            <w:tcBorders>
              <w:top w:val="single" w:sz="8" w:color="D8EEFC"/>
              <w:bottom w:val="single" w:sz="8" w:color="D8EEFC"/>
            </w:tcBorders>
            <w:shd w:val="clear" w:color="auto" w:fill="D8EEFC"/>
          </w:tcPr>
          <w:p>
            <w:pPr>
              <w:spacing w:after="0"/>
              <w:rPr>
                <w:sz w:val="16"/>
                <w:szCs w:val="16"/>
                <w:color w:val="auto"/>
              </w:rPr>
            </w:pPr>
          </w:p>
        </w:tc>
        <w:tc>
          <w:tcPr>
            <w:tcW w:w="140" w:type="dxa"/>
            <w:vAlign w:val="bottom"/>
            <w:tcBorders>
              <w:top w:val="single" w:sz="8" w:color="D8EEFC"/>
              <w:bottom w:val="single" w:sz="8" w:color="D8EEFC"/>
            </w:tcBorders>
            <w:shd w:val="clear" w:color="auto" w:fill="D8EEFC"/>
          </w:tcPr>
          <w:p>
            <w:pPr>
              <w:spacing w:after="0"/>
              <w:rPr>
                <w:sz w:val="16"/>
                <w:szCs w:val="16"/>
                <w:color w:val="auto"/>
              </w:rPr>
            </w:pPr>
          </w:p>
        </w:tc>
        <w:tc>
          <w:tcPr>
            <w:tcW w:w="160" w:type="dxa"/>
            <w:vAlign w:val="bottom"/>
            <w:tcBorders>
              <w:top w:val="single" w:sz="8" w:color="auto"/>
              <w:bottom w:val="single" w:sz="8" w:color="D8EEFC"/>
            </w:tcBorders>
            <w:shd w:val="clear" w:color="auto" w:fill="D8EEFC"/>
          </w:tcPr>
          <w:p>
            <w:pPr>
              <w:spacing w:after="0"/>
              <w:rPr>
                <w:sz w:val="16"/>
                <w:szCs w:val="16"/>
                <w:color w:val="auto"/>
              </w:rPr>
            </w:pPr>
          </w:p>
        </w:tc>
        <w:tc>
          <w:tcPr>
            <w:tcW w:w="940" w:type="dxa"/>
            <w:vAlign w:val="bottom"/>
            <w:tcBorders>
              <w:top w:val="single" w:sz="8" w:color="auto"/>
              <w:bottom w:val="single" w:sz="8" w:color="D8EEFC"/>
            </w:tcBorders>
            <w:shd w:val="clear" w:color="auto" w:fill="D8EEFC"/>
          </w:tcPr>
          <w:p>
            <w:pPr>
              <w:spacing w:after="0"/>
              <w:rPr>
                <w:sz w:val="16"/>
                <w:szCs w:val="16"/>
                <w:color w:val="auto"/>
              </w:rPr>
            </w:pPr>
          </w:p>
        </w:tc>
        <w:tc>
          <w:tcPr>
            <w:tcW w:w="320" w:type="dxa"/>
            <w:vAlign w:val="bottom"/>
            <w:tcBorders>
              <w:top w:val="single" w:sz="8" w:color="D8EEFC"/>
              <w:bottom w:val="single" w:sz="8" w:color="D8EEFC"/>
            </w:tcBorders>
            <w:shd w:val="clear" w:color="auto" w:fill="D8EEFC"/>
          </w:tcPr>
          <w:p>
            <w:pPr>
              <w:spacing w:after="0"/>
              <w:rPr>
                <w:sz w:val="16"/>
                <w:szCs w:val="16"/>
                <w:color w:val="auto"/>
              </w:rPr>
            </w:pPr>
          </w:p>
        </w:tc>
        <w:tc>
          <w:tcPr>
            <w:tcW w:w="180" w:type="dxa"/>
            <w:vAlign w:val="bottom"/>
            <w:tcBorders>
              <w:top w:val="single" w:sz="8" w:color="auto"/>
              <w:bottom w:val="single" w:sz="8" w:color="D8EEFC"/>
            </w:tcBorders>
            <w:shd w:val="clear" w:color="auto" w:fill="D8EEFC"/>
          </w:tcPr>
          <w:p>
            <w:pPr>
              <w:spacing w:after="0"/>
              <w:rPr>
                <w:sz w:val="16"/>
                <w:szCs w:val="16"/>
                <w:color w:val="auto"/>
              </w:rPr>
            </w:pPr>
          </w:p>
        </w:tc>
        <w:tc>
          <w:tcPr>
            <w:tcW w:w="900" w:type="dxa"/>
            <w:vAlign w:val="bottom"/>
            <w:tcBorders>
              <w:top w:val="single" w:sz="8" w:color="auto"/>
              <w:bottom w:val="single" w:sz="8" w:color="D8EEFC"/>
            </w:tcBorders>
            <w:shd w:val="clear" w:color="auto" w:fill="D8EEFC"/>
          </w:tcPr>
          <w:p>
            <w:pPr>
              <w:spacing w:after="0"/>
              <w:rPr>
                <w:sz w:val="16"/>
                <w:szCs w:val="16"/>
                <w:color w:val="auto"/>
              </w:rPr>
            </w:pPr>
          </w:p>
        </w:tc>
        <w:tc>
          <w:tcPr>
            <w:tcW w:w="340" w:type="dxa"/>
            <w:vAlign w:val="bottom"/>
            <w:tcBorders>
              <w:top w:val="single" w:sz="8" w:color="D8EEFC"/>
              <w:bottom w:val="single" w:sz="8" w:color="D8EEFC"/>
            </w:tcBorders>
            <w:shd w:val="clear" w:color="auto" w:fill="D8EEFC"/>
          </w:tcPr>
          <w:p>
            <w:pPr>
              <w:spacing w:after="0"/>
              <w:rPr>
                <w:sz w:val="16"/>
                <w:szCs w:val="16"/>
                <w:color w:val="auto"/>
              </w:rPr>
            </w:pPr>
          </w:p>
        </w:tc>
        <w:tc>
          <w:tcPr>
            <w:tcW w:w="160" w:type="dxa"/>
            <w:vAlign w:val="bottom"/>
            <w:tcBorders>
              <w:top w:val="single" w:sz="8" w:color="auto"/>
              <w:bottom w:val="single" w:sz="8" w:color="D8EEFC"/>
            </w:tcBorders>
            <w:shd w:val="clear" w:color="auto" w:fill="D8EEFC"/>
          </w:tcPr>
          <w:p>
            <w:pPr>
              <w:spacing w:after="0"/>
              <w:rPr>
                <w:sz w:val="16"/>
                <w:szCs w:val="16"/>
                <w:color w:val="auto"/>
              </w:rPr>
            </w:pPr>
          </w:p>
        </w:tc>
        <w:tc>
          <w:tcPr>
            <w:tcW w:w="940" w:type="dxa"/>
            <w:vAlign w:val="bottom"/>
            <w:tcBorders>
              <w:top w:val="single" w:sz="8" w:color="auto"/>
              <w:bottom w:val="single" w:sz="8" w:color="D8EEFC"/>
            </w:tcBorders>
            <w:shd w:val="clear" w:color="auto" w:fill="D8EEFC"/>
          </w:tcPr>
          <w:p>
            <w:pPr>
              <w:spacing w:after="0"/>
              <w:rPr>
                <w:sz w:val="16"/>
                <w:szCs w:val="16"/>
                <w:color w:val="auto"/>
              </w:rPr>
            </w:pPr>
          </w:p>
        </w:tc>
        <w:tc>
          <w:tcPr>
            <w:tcW w:w="360" w:type="dxa"/>
            <w:vAlign w:val="bottom"/>
            <w:tcBorders>
              <w:top w:val="single" w:sz="8" w:color="D8EEFC"/>
              <w:bottom w:val="single" w:sz="8" w:color="D8EEFC"/>
            </w:tcBorders>
            <w:shd w:val="clear" w:color="auto" w:fill="D8EEFC"/>
          </w:tcPr>
          <w:p>
            <w:pPr>
              <w:spacing w:after="0"/>
              <w:rPr>
                <w:sz w:val="16"/>
                <w:szCs w:val="16"/>
                <w:color w:val="auto"/>
              </w:rPr>
            </w:pPr>
          </w:p>
        </w:tc>
        <w:tc>
          <w:tcPr>
            <w:tcW w:w="180" w:type="dxa"/>
            <w:vAlign w:val="bottom"/>
            <w:tcBorders>
              <w:top w:val="single" w:sz="8" w:color="auto"/>
              <w:bottom w:val="single" w:sz="8" w:color="D8EEFC"/>
            </w:tcBorders>
            <w:shd w:val="clear" w:color="auto" w:fill="D8EEFC"/>
          </w:tcPr>
          <w:p>
            <w:pPr>
              <w:spacing w:after="0"/>
              <w:rPr>
                <w:sz w:val="16"/>
                <w:szCs w:val="16"/>
                <w:color w:val="auto"/>
              </w:rPr>
            </w:pPr>
          </w:p>
        </w:tc>
        <w:tc>
          <w:tcPr>
            <w:tcW w:w="940" w:type="dxa"/>
            <w:vAlign w:val="bottom"/>
            <w:tcBorders>
              <w:top w:val="single" w:sz="8" w:color="auto"/>
              <w:bottom w:val="single" w:sz="8" w:color="D8EEFC"/>
            </w:tcBorders>
            <w:shd w:val="clear" w:color="auto" w:fill="D8EEFC"/>
          </w:tcPr>
          <w:p>
            <w:pPr>
              <w:spacing w:after="0"/>
              <w:rPr>
                <w:sz w:val="16"/>
                <w:szCs w:val="16"/>
                <w:color w:val="auto"/>
              </w:rPr>
            </w:pPr>
          </w:p>
        </w:tc>
        <w:tc>
          <w:tcPr>
            <w:tcW w:w="100" w:type="dxa"/>
            <w:vAlign w:val="bottom"/>
            <w:tcBorders>
              <w:top w:val="single" w:sz="8" w:color="D8EEFC"/>
              <w:bottom w:val="single" w:sz="8" w:color="D8EEFC"/>
            </w:tcBorders>
            <w:shd w:val="clear" w:color="auto" w:fill="D8EEFC"/>
          </w:tcPr>
          <w:p>
            <w:pPr>
              <w:spacing w:after="0"/>
              <w:rPr>
                <w:sz w:val="16"/>
                <w:szCs w:val="16"/>
                <w:color w:val="auto"/>
              </w:rPr>
            </w:pPr>
          </w:p>
        </w:tc>
      </w:tr>
      <w:tr>
        <w:trPr>
          <w:trHeight w:val="214"/>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87,992,066</w:t>
            </w:r>
          </w:p>
        </w:tc>
        <w:tc>
          <w:tcPr>
            <w:tcW w:w="2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168,795,577</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16,142,321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$ 31,407,709</w:t>
            </w:r>
          </w:p>
        </w:tc>
        <w:tc>
          <w:tcPr>
            <w:tcW w:w="36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158,333</w:t>
            </w:r>
          </w:p>
        </w:tc>
        <w:tc>
          <w:tcPr>
            <w:tcW w:w="100" w:type="dxa"/>
            <w:vAlign w:val="bottom"/>
          </w:tcPr>
          <w:p>
            <w:pPr>
              <w:spacing w:after="0"/>
              <w:rPr>
                <w:sz w:val="18"/>
                <w:szCs w:val="18"/>
                <w:color w:val="auto"/>
              </w:rPr>
            </w:pPr>
          </w:p>
        </w:tc>
      </w:tr>
      <w:tr>
        <w:trPr>
          <w:trHeight w:val="218"/>
        </w:trPr>
        <w:tc>
          <w:tcPr>
            <w:tcW w:w="4280" w:type="dxa"/>
            <w:vAlign w:val="bottom"/>
            <w:gridSpan w:val="2"/>
            <w:shd w:val="clear" w:color="auto" w:fill="D8EEFC"/>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60" w:type="dxa"/>
            <w:vAlign w:val="bottom"/>
            <w:shd w:val="clear" w:color="auto" w:fill="D8EEFC"/>
          </w:tcPr>
          <w:p>
            <w:pPr>
              <w:spacing w:after="0"/>
              <w:rPr>
                <w:sz w:val="18"/>
                <w:szCs w:val="18"/>
                <w:color w:val="auto"/>
              </w:rPr>
            </w:pPr>
          </w:p>
        </w:tc>
        <w:tc>
          <w:tcPr>
            <w:tcW w:w="940" w:type="dxa"/>
            <w:vAlign w:val="bottom"/>
            <w:shd w:val="clear" w:color="auto" w:fill="D8EEFC"/>
          </w:tcPr>
          <w:p>
            <w:pPr>
              <w:spacing w:after="0"/>
              <w:rPr>
                <w:sz w:val="18"/>
                <w:szCs w:val="18"/>
                <w:color w:val="auto"/>
              </w:rPr>
            </w:pPr>
          </w:p>
        </w:tc>
        <w:tc>
          <w:tcPr>
            <w:tcW w:w="200" w:type="dxa"/>
            <w:vAlign w:val="bottom"/>
            <w:shd w:val="clear" w:color="auto" w:fill="D8EEFC"/>
          </w:tcPr>
          <w:p>
            <w:pPr>
              <w:spacing w:after="0"/>
              <w:rPr>
                <w:sz w:val="18"/>
                <w:szCs w:val="18"/>
                <w:color w:val="auto"/>
              </w:rPr>
            </w:pPr>
          </w:p>
        </w:tc>
        <w:tc>
          <w:tcPr>
            <w:tcW w:w="140" w:type="dxa"/>
            <w:vAlign w:val="bottom"/>
            <w:shd w:val="clear" w:color="auto" w:fill="D8EEFC"/>
          </w:tcPr>
          <w:p>
            <w:pPr>
              <w:spacing w:after="0"/>
              <w:rPr>
                <w:sz w:val="18"/>
                <w:szCs w:val="18"/>
                <w:color w:val="auto"/>
              </w:rPr>
            </w:pPr>
          </w:p>
        </w:tc>
        <w:tc>
          <w:tcPr>
            <w:tcW w:w="160" w:type="dxa"/>
            <w:vAlign w:val="bottom"/>
            <w:shd w:val="clear" w:color="auto" w:fill="D8EEFC"/>
          </w:tcPr>
          <w:p>
            <w:pPr>
              <w:spacing w:after="0"/>
              <w:rPr>
                <w:sz w:val="18"/>
                <w:szCs w:val="18"/>
                <w:color w:val="auto"/>
              </w:rPr>
            </w:pPr>
          </w:p>
        </w:tc>
        <w:tc>
          <w:tcPr>
            <w:tcW w:w="940" w:type="dxa"/>
            <w:vAlign w:val="bottom"/>
            <w:shd w:val="clear" w:color="auto" w:fill="D8EEFC"/>
          </w:tcPr>
          <w:p>
            <w:pPr>
              <w:spacing w:after="0"/>
              <w:rPr>
                <w:sz w:val="18"/>
                <w:szCs w:val="18"/>
                <w:color w:val="auto"/>
              </w:rPr>
            </w:pPr>
          </w:p>
        </w:tc>
        <w:tc>
          <w:tcPr>
            <w:tcW w:w="320" w:type="dxa"/>
            <w:vAlign w:val="bottom"/>
            <w:shd w:val="clear" w:color="auto" w:fill="D8EEFC"/>
          </w:tcPr>
          <w:p>
            <w:pPr>
              <w:spacing w:after="0"/>
              <w:rPr>
                <w:sz w:val="18"/>
                <w:szCs w:val="18"/>
                <w:color w:val="auto"/>
              </w:rPr>
            </w:pPr>
          </w:p>
        </w:tc>
        <w:tc>
          <w:tcPr>
            <w:tcW w:w="180" w:type="dxa"/>
            <w:vAlign w:val="bottom"/>
            <w:shd w:val="clear" w:color="auto" w:fill="D8EEFC"/>
          </w:tcPr>
          <w:p>
            <w:pPr>
              <w:spacing w:after="0"/>
              <w:rPr>
                <w:sz w:val="18"/>
                <w:szCs w:val="18"/>
                <w:color w:val="auto"/>
              </w:rPr>
            </w:pPr>
          </w:p>
        </w:tc>
        <w:tc>
          <w:tcPr>
            <w:tcW w:w="900" w:type="dxa"/>
            <w:vAlign w:val="bottom"/>
            <w:shd w:val="clear" w:color="auto" w:fill="D8EEFC"/>
          </w:tcPr>
          <w:p>
            <w:pPr>
              <w:spacing w:after="0"/>
              <w:rPr>
                <w:sz w:val="18"/>
                <w:szCs w:val="18"/>
                <w:color w:val="auto"/>
              </w:rPr>
            </w:pPr>
          </w:p>
        </w:tc>
        <w:tc>
          <w:tcPr>
            <w:tcW w:w="340" w:type="dxa"/>
            <w:vAlign w:val="bottom"/>
            <w:shd w:val="clear" w:color="auto" w:fill="D8EEFC"/>
          </w:tcPr>
          <w:p>
            <w:pPr>
              <w:spacing w:after="0"/>
              <w:rPr>
                <w:sz w:val="18"/>
                <w:szCs w:val="18"/>
                <w:color w:val="auto"/>
              </w:rPr>
            </w:pPr>
          </w:p>
        </w:tc>
        <w:tc>
          <w:tcPr>
            <w:tcW w:w="160" w:type="dxa"/>
            <w:vAlign w:val="bottom"/>
            <w:shd w:val="clear" w:color="auto" w:fill="D8EEFC"/>
          </w:tcPr>
          <w:p>
            <w:pPr>
              <w:spacing w:after="0"/>
              <w:rPr>
                <w:sz w:val="18"/>
                <w:szCs w:val="18"/>
                <w:color w:val="auto"/>
              </w:rPr>
            </w:pPr>
          </w:p>
        </w:tc>
        <w:tc>
          <w:tcPr>
            <w:tcW w:w="940" w:type="dxa"/>
            <w:vAlign w:val="bottom"/>
            <w:shd w:val="clear" w:color="auto" w:fill="D8EEFC"/>
          </w:tcPr>
          <w:p>
            <w:pPr>
              <w:spacing w:after="0"/>
              <w:rPr>
                <w:sz w:val="18"/>
                <w:szCs w:val="18"/>
                <w:color w:val="auto"/>
              </w:rPr>
            </w:pPr>
          </w:p>
        </w:tc>
        <w:tc>
          <w:tcPr>
            <w:tcW w:w="360" w:type="dxa"/>
            <w:vAlign w:val="bottom"/>
            <w:shd w:val="clear" w:color="auto" w:fill="D8EEFC"/>
          </w:tcPr>
          <w:p>
            <w:pPr>
              <w:spacing w:after="0"/>
              <w:rPr>
                <w:sz w:val="18"/>
                <w:szCs w:val="18"/>
                <w:color w:val="auto"/>
              </w:rPr>
            </w:pPr>
          </w:p>
        </w:tc>
        <w:tc>
          <w:tcPr>
            <w:tcW w:w="180" w:type="dxa"/>
            <w:vAlign w:val="bottom"/>
            <w:shd w:val="clear" w:color="auto" w:fill="D8EEFC"/>
          </w:tcPr>
          <w:p>
            <w:pPr>
              <w:spacing w:after="0"/>
              <w:rPr>
                <w:sz w:val="18"/>
                <w:szCs w:val="18"/>
                <w:color w:val="auto"/>
              </w:rPr>
            </w:pPr>
          </w:p>
        </w:tc>
        <w:tc>
          <w:tcPr>
            <w:tcW w:w="940" w:type="dxa"/>
            <w:vAlign w:val="bottom"/>
            <w:shd w:val="clear" w:color="auto" w:fill="D8EEFC"/>
          </w:tcPr>
          <w:p>
            <w:pPr>
              <w:spacing w:after="0"/>
              <w:rPr>
                <w:sz w:val="18"/>
                <w:szCs w:val="18"/>
                <w:color w:val="auto"/>
              </w:rPr>
            </w:pPr>
          </w:p>
        </w:tc>
        <w:tc>
          <w:tcPr>
            <w:tcW w:w="100" w:type="dxa"/>
            <w:vAlign w:val="bottom"/>
            <w:shd w:val="clear" w:color="auto" w:fill="D8EEFC"/>
          </w:tcPr>
          <w:p>
            <w:pPr>
              <w:spacing w:after="0"/>
              <w:rPr>
                <w:sz w:val="18"/>
                <w:szCs w:val="18"/>
                <w:color w:val="auto"/>
              </w:rPr>
            </w:pPr>
          </w:p>
        </w:tc>
      </w:tr>
      <w:tr>
        <w:trPr>
          <w:trHeight w:val="213"/>
        </w:trPr>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128,874,979</w:t>
            </w:r>
          </w:p>
        </w:tc>
        <w:tc>
          <w:tcPr>
            <w:tcW w:w="2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81,048,686</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52,968,505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50,904,466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62,117,818</w:t>
            </w:r>
          </w:p>
        </w:tc>
        <w:tc>
          <w:tcPr>
            <w:tcW w:w="100" w:type="dxa"/>
            <w:vAlign w:val="bottom"/>
          </w:tcPr>
          <w:p>
            <w:pPr>
              <w:spacing w:after="0"/>
              <w:rPr>
                <w:sz w:val="18"/>
                <w:szCs w:val="18"/>
                <w:color w:val="auto"/>
              </w:rPr>
            </w:pPr>
          </w:p>
        </w:tc>
      </w:tr>
      <w:tr>
        <w:trPr>
          <w:trHeight w:val="219"/>
        </w:trPr>
        <w:tc>
          <w:tcPr>
            <w:tcW w:w="4280" w:type="dxa"/>
            <w:vAlign w:val="bottom"/>
            <w:gridSpan w:val="2"/>
            <w:shd w:val="clear" w:color="auto" w:fill="D8EEFC"/>
          </w:tcPr>
          <w:p>
            <w:pPr>
              <w:ind w:left="2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00" w:type="dxa"/>
            <w:vAlign w:val="bottom"/>
            <w:gridSpan w:val="2"/>
            <w:shd w:val="clear" w:color="auto" w:fill="D8EEFC"/>
          </w:tcPr>
          <w:p>
            <w:pPr>
              <w:jc w:val="right"/>
              <w:spacing w:after="0"/>
              <w:rPr>
                <w:sz w:val="20"/>
                <w:szCs w:val="20"/>
                <w:color w:val="auto"/>
              </w:rPr>
            </w:pPr>
            <w:r>
              <w:rPr>
                <w:rFonts w:ascii="Times New Roman" w:cs="Times New Roman" w:eastAsia="Times New Roman" w:hAnsi="Times New Roman"/>
                <w:sz w:val="16"/>
                <w:szCs w:val="16"/>
                <w:color w:val="auto"/>
              </w:rPr>
              <w:t>52,275,890</w:t>
            </w:r>
          </w:p>
        </w:tc>
        <w:tc>
          <w:tcPr>
            <w:tcW w:w="200" w:type="dxa"/>
            <w:vAlign w:val="bottom"/>
            <w:shd w:val="clear" w:color="auto" w:fill="D8EEFC"/>
          </w:tcPr>
          <w:p>
            <w:pPr>
              <w:spacing w:after="0"/>
              <w:rPr>
                <w:sz w:val="19"/>
                <w:szCs w:val="19"/>
                <w:color w:val="auto"/>
              </w:rPr>
            </w:pPr>
          </w:p>
        </w:tc>
        <w:tc>
          <w:tcPr>
            <w:tcW w:w="1240" w:type="dxa"/>
            <w:vAlign w:val="bottom"/>
            <w:gridSpan w:val="3"/>
            <w:shd w:val="clear" w:color="auto" w:fill="D8EEFC"/>
          </w:tcPr>
          <w:p>
            <w:pPr>
              <w:jc w:val="right"/>
              <w:spacing w:after="0"/>
              <w:rPr>
                <w:sz w:val="20"/>
                <w:szCs w:val="20"/>
                <w:color w:val="auto"/>
              </w:rPr>
            </w:pPr>
            <w:r>
              <w:rPr>
                <w:rFonts w:ascii="Times New Roman" w:cs="Times New Roman" w:eastAsia="Times New Roman" w:hAnsi="Times New Roman"/>
                <w:sz w:val="16"/>
                <w:szCs w:val="16"/>
                <w:color w:val="auto"/>
              </w:rPr>
              <w:t>26,556,257</w:t>
            </w:r>
          </w:p>
        </w:tc>
        <w:tc>
          <w:tcPr>
            <w:tcW w:w="1400" w:type="dxa"/>
            <w:vAlign w:val="bottom"/>
            <w:gridSpan w:val="3"/>
            <w:shd w:val="clear" w:color="auto" w:fill="D8EEFC"/>
          </w:tcPr>
          <w:p>
            <w:pPr>
              <w:jc w:val="right"/>
              <w:spacing w:after="0"/>
              <w:rPr>
                <w:sz w:val="20"/>
                <w:szCs w:val="20"/>
                <w:color w:val="auto"/>
              </w:rPr>
            </w:pPr>
            <w:r>
              <w:rPr>
                <w:rFonts w:ascii="Times New Roman" w:cs="Times New Roman" w:eastAsia="Times New Roman" w:hAnsi="Times New Roman"/>
                <w:sz w:val="16"/>
                <w:szCs w:val="16"/>
                <w:color w:val="auto"/>
              </w:rPr>
              <w:t>19,110,051</w:t>
            </w:r>
          </w:p>
        </w:tc>
        <w:tc>
          <w:tcPr>
            <w:tcW w:w="340" w:type="dxa"/>
            <w:vAlign w:val="bottom"/>
            <w:shd w:val="clear" w:color="auto" w:fill="D8EEFC"/>
          </w:tcPr>
          <w:p>
            <w:pPr>
              <w:spacing w:after="0"/>
              <w:rPr>
                <w:sz w:val="19"/>
                <w:szCs w:val="19"/>
                <w:color w:val="auto"/>
              </w:rPr>
            </w:pPr>
          </w:p>
        </w:tc>
        <w:tc>
          <w:tcPr>
            <w:tcW w:w="160" w:type="dxa"/>
            <w:vAlign w:val="bottom"/>
            <w:shd w:val="clear" w:color="auto" w:fill="D8EEFC"/>
          </w:tcPr>
          <w:p>
            <w:pPr>
              <w:spacing w:after="0"/>
              <w:rPr>
                <w:sz w:val="19"/>
                <w:szCs w:val="19"/>
                <w:color w:val="auto"/>
              </w:rPr>
            </w:pPr>
          </w:p>
        </w:tc>
        <w:tc>
          <w:tcPr>
            <w:tcW w:w="940" w:type="dxa"/>
            <w:vAlign w:val="bottom"/>
            <w:shd w:val="clear" w:color="auto" w:fill="D8EEFC"/>
          </w:tcPr>
          <w:p>
            <w:pPr>
              <w:jc w:val="right"/>
              <w:spacing w:after="0"/>
              <w:rPr>
                <w:sz w:val="20"/>
                <w:szCs w:val="20"/>
                <w:color w:val="auto"/>
              </w:rPr>
            </w:pPr>
            <w:r>
              <w:rPr>
                <w:rFonts w:ascii="Times New Roman" w:cs="Times New Roman" w:eastAsia="Times New Roman" w:hAnsi="Times New Roman"/>
                <w:sz w:val="16"/>
                <w:szCs w:val="16"/>
                <w:color w:val="auto"/>
              </w:rPr>
              <w:t>17,499,152</w:t>
            </w:r>
          </w:p>
        </w:tc>
        <w:tc>
          <w:tcPr>
            <w:tcW w:w="360" w:type="dxa"/>
            <w:vAlign w:val="bottom"/>
            <w:shd w:val="clear" w:color="auto" w:fill="D8EEFC"/>
          </w:tcPr>
          <w:p>
            <w:pPr>
              <w:spacing w:after="0"/>
              <w:rPr>
                <w:sz w:val="19"/>
                <w:szCs w:val="19"/>
                <w:color w:val="auto"/>
              </w:rPr>
            </w:pPr>
          </w:p>
        </w:tc>
        <w:tc>
          <w:tcPr>
            <w:tcW w:w="180" w:type="dxa"/>
            <w:vAlign w:val="bottom"/>
            <w:shd w:val="clear" w:color="auto" w:fill="D8EEFC"/>
          </w:tcPr>
          <w:p>
            <w:pPr>
              <w:spacing w:after="0"/>
              <w:rPr>
                <w:sz w:val="19"/>
                <w:szCs w:val="19"/>
                <w:color w:val="auto"/>
              </w:rPr>
            </w:pPr>
          </w:p>
        </w:tc>
        <w:tc>
          <w:tcPr>
            <w:tcW w:w="940" w:type="dxa"/>
            <w:vAlign w:val="bottom"/>
            <w:shd w:val="clear" w:color="auto" w:fill="D8EEFC"/>
          </w:tcPr>
          <w:p>
            <w:pPr>
              <w:jc w:val="right"/>
              <w:spacing w:after="0"/>
              <w:rPr>
                <w:sz w:val="20"/>
                <w:szCs w:val="20"/>
                <w:color w:val="auto"/>
              </w:rPr>
            </w:pPr>
            <w:r>
              <w:rPr>
                <w:rFonts w:ascii="Times New Roman" w:cs="Times New Roman" w:eastAsia="Times New Roman" w:hAnsi="Times New Roman"/>
                <w:sz w:val="16"/>
                <w:szCs w:val="16"/>
                <w:color w:val="auto"/>
              </w:rPr>
              <w:t>23,594,888</w:t>
            </w:r>
          </w:p>
        </w:tc>
        <w:tc>
          <w:tcPr>
            <w:tcW w:w="100" w:type="dxa"/>
            <w:vAlign w:val="bottom"/>
            <w:shd w:val="clear" w:color="auto" w:fill="D8EEFC"/>
          </w:tcPr>
          <w:p>
            <w:pPr>
              <w:spacing w:after="0"/>
              <w:rPr>
                <w:sz w:val="19"/>
                <w:szCs w:val="19"/>
                <w:color w:val="auto"/>
              </w:rPr>
            </w:pPr>
          </w:p>
        </w:tc>
      </w:tr>
      <w:tr>
        <w:trPr>
          <w:trHeight w:val="213"/>
        </w:trPr>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Impairment expense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2,050,817</w:t>
            </w:r>
          </w:p>
        </w:tc>
        <w:tc>
          <w:tcPr>
            <w:tcW w:w="100" w:type="dxa"/>
            <w:vAlign w:val="bottom"/>
          </w:tcPr>
          <w:p>
            <w:pPr>
              <w:spacing w:after="0"/>
              <w:rPr>
                <w:sz w:val="18"/>
                <w:szCs w:val="18"/>
                <w:color w:val="auto"/>
              </w:rPr>
            </w:pPr>
          </w:p>
        </w:tc>
      </w:tr>
      <w:tr>
        <w:trPr>
          <w:trHeight w:val="219"/>
        </w:trPr>
        <w:tc>
          <w:tcPr>
            <w:tcW w:w="4280" w:type="dxa"/>
            <w:vAlign w:val="bottom"/>
            <w:gridSpan w:val="2"/>
            <w:shd w:val="clear" w:color="auto" w:fill="D8EEFC"/>
          </w:tcPr>
          <w:p>
            <w:pPr>
              <w:ind w:left="260"/>
              <w:spacing w:after="0"/>
              <w:rPr>
                <w:sz w:val="20"/>
                <w:szCs w:val="20"/>
                <w:color w:val="auto"/>
              </w:rPr>
            </w:pPr>
            <w:r>
              <w:rPr>
                <w:rFonts w:ascii="Times New Roman" w:cs="Times New Roman" w:eastAsia="Times New Roman" w:hAnsi="Times New Roman"/>
                <w:sz w:val="16"/>
                <w:szCs w:val="16"/>
                <w:color w:val="auto"/>
              </w:rPr>
              <w:t>Contingent consideration - fair value adjustments</w:t>
            </w:r>
          </w:p>
        </w:tc>
        <w:tc>
          <w:tcPr>
            <w:tcW w:w="1100" w:type="dxa"/>
            <w:vAlign w:val="bottom"/>
            <w:gridSpan w:val="2"/>
            <w:shd w:val="clear" w:color="auto" w:fill="D8EE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8EEFC"/>
          </w:tcPr>
          <w:p>
            <w:pPr>
              <w:spacing w:after="0"/>
              <w:rPr>
                <w:sz w:val="19"/>
                <w:szCs w:val="19"/>
                <w:color w:val="auto"/>
              </w:rPr>
            </w:pPr>
          </w:p>
        </w:tc>
        <w:tc>
          <w:tcPr>
            <w:tcW w:w="1240" w:type="dxa"/>
            <w:vAlign w:val="bottom"/>
            <w:gridSpan w:val="3"/>
            <w:shd w:val="clear" w:color="auto" w:fill="D8EE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shd w:val="clear" w:color="auto" w:fill="D8EE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D8EEFC"/>
          </w:tcPr>
          <w:p>
            <w:pPr>
              <w:spacing w:after="0"/>
              <w:rPr>
                <w:sz w:val="19"/>
                <w:szCs w:val="19"/>
                <w:color w:val="auto"/>
              </w:rPr>
            </w:pPr>
          </w:p>
        </w:tc>
        <w:tc>
          <w:tcPr>
            <w:tcW w:w="160" w:type="dxa"/>
            <w:vAlign w:val="bottom"/>
            <w:shd w:val="clear" w:color="auto" w:fill="D8EEFC"/>
          </w:tcPr>
          <w:p>
            <w:pPr>
              <w:spacing w:after="0"/>
              <w:rPr>
                <w:sz w:val="19"/>
                <w:szCs w:val="19"/>
                <w:color w:val="auto"/>
              </w:rPr>
            </w:pPr>
          </w:p>
        </w:tc>
        <w:tc>
          <w:tcPr>
            <w:tcW w:w="940" w:type="dxa"/>
            <w:vAlign w:val="bottom"/>
            <w:shd w:val="clear" w:color="auto" w:fill="D8EE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D8EEFC"/>
          </w:tcPr>
          <w:p>
            <w:pPr>
              <w:spacing w:after="0"/>
              <w:rPr>
                <w:sz w:val="19"/>
                <w:szCs w:val="19"/>
                <w:color w:val="auto"/>
              </w:rPr>
            </w:pPr>
          </w:p>
        </w:tc>
        <w:tc>
          <w:tcPr>
            <w:tcW w:w="180" w:type="dxa"/>
            <w:vAlign w:val="bottom"/>
            <w:shd w:val="clear" w:color="auto" w:fill="D8EEFC"/>
          </w:tcPr>
          <w:p>
            <w:pPr>
              <w:spacing w:after="0"/>
              <w:rPr>
                <w:sz w:val="19"/>
                <w:szCs w:val="19"/>
                <w:color w:val="auto"/>
              </w:rPr>
            </w:pPr>
          </w:p>
        </w:tc>
        <w:tc>
          <w:tcPr>
            <w:tcW w:w="1040" w:type="dxa"/>
            <w:vAlign w:val="bottom"/>
            <w:gridSpan w:val="2"/>
            <w:shd w:val="clear" w:color="auto" w:fill="D8EEFC"/>
          </w:tcPr>
          <w:p>
            <w:pPr>
              <w:jc w:val="right"/>
              <w:ind w:right="60"/>
              <w:spacing w:after="0"/>
              <w:rPr>
                <w:sz w:val="20"/>
                <w:szCs w:val="20"/>
                <w:color w:val="auto"/>
              </w:rPr>
            </w:pPr>
            <w:r>
              <w:rPr>
                <w:rFonts w:ascii="Times New Roman" w:cs="Times New Roman" w:eastAsia="Times New Roman" w:hAnsi="Times New Roman"/>
                <w:sz w:val="16"/>
                <w:szCs w:val="16"/>
                <w:color w:val="auto"/>
              </w:rPr>
              <w:t>(5,862,464)</w:t>
            </w:r>
          </w:p>
        </w:tc>
      </w:tr>
      <w:tr>
        <w:trPr>
          <w:trHeight w:val="207"/>
        </w:trPr>
        <w:tc>
          <w:tcPr>
            <w:tcW w:w="4280" w:type="dxa"/>
            <w:vAlign w:val="bottom"/>
            <w:tcBorders>
              <w:bottom w:val="single" w:sz="8" w:color="D8EEFC"/>
            </w:tcBorders>
            <w:gridSpan w:val="2"/>
          </w:tcPr>
          <w:p>
            <w:pPr>
              <w:ind w:left="500"/>
              <w:spacing w:after="0"/>
              <w:rPr>
                <w:sz w:val="20"/>
                <w:szCs w:val="20"/>
                <w:color w:val="auto"/>
              </w:rPr>
            </w:pPr>
            <w:r>
              <w:rPr>
                <w:rFonts w:ascii="Times New Roman" w:cs="Times New Roman" w:eastAsia="Times New Roman" w:hAnsi="Times New Roman"/>
                <w:sz w:val="16"/>
                <w:szCs w:val="16"/>
                <w:color w:val="auto"/>
              </w:rPr>
              <w:t>TOTAL OPERATING EXPENSES (a)</w:t>
            </w:r>
          </w:p>
        </w:tc>
        <w:tc>
          <w:tcPr>
            <w:tcW w:w="160" w:type="dxa"/>
            <w:vAlign w:val="bottom"/>
            <w:tcBorders>
              <w:bottom w:val="single" w:sz="8" w:color="D8EEFC"/>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181,150,869</w:t>
            </w:r>
          </w:p>
        </w:tc>
        <w:tc>
          <w:tcPr>
            <w:tcW w:w="200" w:type="dxa"/>
            <w:vAlign w:val="bottom"/>
            <w:tcBorders>
              <w:bottom w:val="single" w:sz="8" w:color="D8EEFC"/>
            </w:tcBorders>
          </w:tcPr>
          <w:p>
            <w:pPr>
              <w:spacing w:after="0"/>
              <w:rPr>
                <w:sz w:val="17"/>
                <w:szCs w:val="17"/>
                <w:color w:val="auto"/>
              </w:rPr>
            </w:pPr>
          </w:p>
        </w:tc>
        <w:tc>
          <w:tcPr>
            <w:tcW w:w="140" w:type="dxa"/>
            <w:vAlign w:val="bottom"/>
            <w:tcBorders>
              <w:bottom w:val="single" w:sz="8" w:color="D8EEFC"/>
            </w:tcBorders>
          </w:tcPr>
          <w:p>
            <w:pPr>
              <w:spacing w:after="0"/>
              <w:rPr>
                <w:sz w:val="17"/>
                <w:szCs w:val="17"/>
                <w:color w:val="auto"/>
              </w:rPr>
            </w:pPr>
          </w:p>
        </w:tc>
        <w:tc>
          <w:tcPr>
            <w:tcW w:w="160" w:type="dxa"/>
            <w:vAlign w:val="bottom"/>
            <w:tcBorders>
              <w:bottom w:val="single" w:sz="8" w:color="D8EEFC"/>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107,604,943</w:t>
            </w:r>
          </w:p>
        </w:tc>
        <w:tc>
          <w:tcPr>
            <w:tcW w:w="320" w:type="dxa"/>
            <w:vAlign w:val="bottom"/>
            <w:tcBorders>
              <w:bottom w:val="single" w:sz="8" w:color="D8EEFC"/>
            </w:tcBorders>
          </w:tcPr>
          <w:p>
            <w:pPr>
              <w:spacing w:after="0"/>
              <w:rPr>
                <w:sz w:val="17"/>
                <w:szCs w:val="17"/>
                <w:color w:val="auto"/>
              </w:rPr>
            </w:pPr>
          </w:p>
        </w:tc>
        <w:tc>
          <w:tcPr>
            <w:tcW w:w="180" w:type="dxa"/>
            <w:vAlign w:val="bottom"/>
            <w:tcBorders>
              <w:bottom w:val="single" w:sz="8" w:color="D8EEFC"/>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72,078,556</w:t>
            </w:r>
          </w:p>
        </w:tc>
        <w:tc>
          <w:tcPr>
            <w:tcW w:w="340" w:type="dxa"/>
            <w:vAlign w:val="bottom"/>
            <w:tcBorders>
              <w:bottom w:val="single" w:sz="8" w:color="D8EEFC"/>
            </w:tcBorders>
          </w:tcPr>
          <w:p>
            <w:pPr>
              <w:spacing w:after="0"/>
              <w:rPr>
                <w:sz w:val="17"/>
                <w:szCs w:val="17"/>
                <w:color w:val="auto"/>
              </w:rPr>
            </w:pPr>
          </w:p>
        </w:tc>
        <w:tc>
          <w:tcPr>
            <w:tcW w:w="160" w:type="dxa"/>
            <w:vAlign w:val="bottom"/>
            <w:tcBorders>
              <w:bottom w:val="single" w:sz="8" w:color="D8EEFC"/>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68,403,618</w:t>
            </w:r>
          </w:p>
        </w:tc>
        <w:tc>
          <w:tcPr>
            <w:tcW w:w="360" w:type="dxa"/>
            <w:vAlign w:val="bottom"/>
            <w:tcBorders>
              <w:bottom w:val="single" w:sz="8" w:color="D8EEFC"/>
            </w:tcBorders>
          </w:tcPr>
          <w:p>
            <w:pPr>
              <w:spacing w:after="0"/>
              <w:rPr>
                <w:sz w:val="17"/>
                <w:szCs w:val="17"/>
                <w:color w:val="auto"/>
              </w:rPr>
            </w:pPr>
          </w:p>
        </w:tc>
        <w:tc>
          <w:tcPr>
            <w:tcW w:w="180" w:type="dxa"/>
            <w:vAlign w:val="bottom"/>
            <w:tcBorders>
              <w:bottom w:val="single" w:sz="8" w:color="D8EEFC"/>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81,901,059</w:t>
            </w:r>
          </w:p>
        </w:tc>
        <w:tc>
          <w:tcPr>
            <w:tcW w:w="100" w:type="dxa"/>
            <w:vAlign w:val="bottom"/>
            <w:tcBorders>
              <w:bottom w:val="single" w:sz="8" w:color="D8EEFC"/>
            </w:tcBorders>
          </w:tcPr>
          <w:p>
            <w:pPr>
              <w:spacing w:after="0"/>
              <w:rPr>
                <w:sz w:val="17"/>
                <w:szCs w:val="17"/>
                <w:color w:val="auto"/>
              </w:rPr>
            </w:pPr>
          </w:p>
        </w:tc>
      </w:tr>
      <w:tr>
        <w:trPr>
          <w:trHeight w:val="211"/>
        </w:trPr>
        <w:tc>
          <w:tcPr>
            <w:tcW w:w="4280" w:type="dxa"/>
            <w:vAlign w:val="bottom"/>
            <w:gridSpan w:val="2"/>
            <w:shd w:val="clear" w:color="auto" w:fill="D8EEFC"/>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60" w:type="dxa"/>
            <w:vAlign w:val="bottom"/>
            <w:shd w:val="clear" w:color="auto" w:fill="D8EEFC"/>
          </w:tcPr>
          <w:p>
            <w:pPr>
              <w:spacing w:after="0"/>
              <w:rPr>
                <w:sz w:val="18"/>
                <w:szCs w:val="18"/>
                <w:color w:val="auto"/>
              </w:rPr>
            </w:pPr>
          </w:p>
        </w:tc>
        <w:tc>
          <w:tcPr>
            <w:tcW w:w="940" w:type="dxa"/>
            <w:vAlign w:val="bottom"/>
            <w:tcBorders>
              <w:bottom w:val="single" w:sz="8" w:color="auto"/>
            </w:tcBorders>
            <w:shd w:val="clear" w:color="auto" w:fill="D8EEFC"/>
          </w:tcPr>
          <w:p>
            <w:pPr>
              <w:jc w:val="right"/>
              <w:spacing w:after="0"/>
              <w:rPr>
                <w:sz w:val="20"/>
                <w:szCs w:val="20"/>
                <w:color w:val="auto"/>
              </w:rPr>
            </w:pPr>
            <w:r>
              <w:rPr>
                <w:rFonts w:ascii="Times New Roman" w:cs="Times New Roman" w:eastAsia="Times New Roman" w:hAnsi="Times New Roman"/>
                <w:sz w:val="16"/>
                <w:szCs w:val="16"/>
                <w:b w:val="1"/>
                <w:bCs w:val="1"/>
                <w:color w:val="auto"/>
              </w:rPr>
              <w:t>(93,158,803)</w:t>
            </w:r>
          </w:p>
        </w:tc>
        <w:tc>
          <w:tcPr>
            <w:tcW w:w="200" w:type="dxa"/>
            <w:vAlign w:val="bottom"/>
            <w:shd w:val="clear" w:color="auto" w:fill="D8EEFC"/>
          </w:tcPr>
          <w:p>
            <w:pPr>
              <w:spacing w:after="0"/>
              <w:rPr>
                <w:sz w:val="18"/>
                <w:szCs w:val="18"/>
                <w:color w:val="auto"/>
              </w:rPr>
            </w:pPr>
          </w:p>
        </w:tc>
        <w:tc>
          <w:tcPr>
            <w:tcW w:w="140" w:type="dxa"/>
            <w:vAlign w:val="bottom"/>
            <w:shd w:val="clear" w:color="auto" w:fill="D8EEFC"/>
          </w:tcPr>
          <w:p>
            <w:pPr>
              <w:spacing w:after="0"/>
              <w:rPr>
                <w:sz w:val="18"/>
                <w:szCs w:val="18"/>
                <w:color w:val="auto"/>
              </w:rPr>
            </w:pPr>
          </w:p>
        </w:tc>
        <w:tc>
          <w:tcPr>
            <w:tcW w:w="160" w:type="dxa"/>
            <w:vAlign w:val="bottom"/>
            <w:shd w:val="clear" w:color="auto" w:fill="D8EEFC"/>
          </w:tcPr>
          <w:p>
            <w:pPr>
              <w:spacing w:after="0"/>
              <w:rPr>
                <w:sz w:val="18"/>
                <w:szCs w:val="18"/>
                <w:color w:val="auto"/>
              </w:rPr>
            </w:pPr>
          </w:p>
        </w:tc>
        <w:tc>
          <w:tcPr>
            <w:tcW w:w="940" w:type="dxa"/>
            <w:vAlign w:val="bottom"/>
            <w:tcBorders>
              <w:bottom w:val="single" w:sz="8" w:color="auto"/>
            </w:tcBorders>
            <w:shd w:val="clear" w:color="auto" w:fill="D8EEFC"/>
          </w:tcPr>
          <w:p>
            <w:pPr>
              <w:jc w:val="right"/>
              <w:spacing w:after="0"/>
              <w:rPr>
                <w:sz w:val="20"/>
                <w:szCs w:val="20"/>
                <w:color w:val="auto"/>
              </w:rPr>
            </w:pPr>
            <w:r>
              <w:rPr>
                <w:rFonts w:ascii="Times New Roman" w:cs="Times New Roman" w:eastAsia="Times New Roman" w:hAnsi="Times New Roman"/>
                <w:sz w:val="16"/>
                <w:szCs w:val="16"/>
                <w:b w:val="1"/>
                <w:bCs w:val="1"/>
                <w:color w:val="auto"/>
              </w:rPr>
              <w:t>61,190,634</w:t>
            </w:r>
          </w:p>
        </w:tc>
        <w:tc>
          <w:tcPr>
            <w:tcW w:w="320" w:type="dxa"/>
            <w:vAlign w:val="bottom"/>
            <w:shd w:val="clear" w:color="auto" w:fill="D8EEFC"/>
          </w:tcPr>
          <w:p>
            <w:pPr>
              <w:spacing w:after="0"/>
              <w:rPr>
                <w:sz w:val="18"/>
                <w:szCs w:val="18"/>
                <w:color w:val="auto"/>
              </w:rPr>
            </w:pPr>
          </w:p>
        </w:tc>
        <w:tc>
          <w:tcPr>
            <w:tcW w:w="180" w:type="dxa"/>
            <w:vAlign w:val="bottom"/>
            <w:shd w:val="clear" w:color="auto" w:fill="D8EEFC"/>
          </w:tcPr>
          <w:p>
            <w:pPr>
              <w:spacing w:after="0"/>
              <w:rPr>
                <w:sz w:val="18"/>
                <w:szCs w:val="18"/>
                <w:color w:val="auto"/>
              </w:rPr>
            </w:pPr>
          </w:p>
        </w:tc>
        <w:tc>
          <w:tcPr>
            <w:tcW w:w="900" w:type="dxa"/>
            <w:vAlign w:val="bottom"/>
            <w:tcBorders>
              <w:bottom w:val="single" w:sz="8" w:color="auto"/>
            </w:tcBorders>
            <w:shd w:val="clear" w:color="auto" w:fill="D8EEFC"/>
          </w:tcPr>
          <w:p>
            <w:pPr>
              <w:jc w:val="right"/>
              <w:spacing w:after="0"/>
              <w:rPr>
                <w:sz w:val="20"/>
                <w:szCs w:val="20"/>
                <w:color w:val="auto"/>
              </w:rPr>
            </w:pPr>
            <w:r>
              <w:rPr>
                <w:rFonts w:ascii="Times New Roman" w:cs="Times New Roman" w:eastAsia="Times New Roman" w:hAnsi="Times New Roman"/>
                <w:sz w:val="16"/>
                <w:szCs w:val="16"/>
                <w:b w:val="1"/>
                <w:bCs w:val="1"/>
                <w:color w:val="auto"/>
              </w:rPr>
              <w:t>(55,936,235</w:t>
            </w:r>
          </w:p>
        </w:tc>
        <w:tc>
          <w:tcPr>
            <w:tcW w:w="340" w:type="dxa"/>
            <w:vAlign w:val="bottom"/>
            <w:shd w:val="clear" w:color="auto" w:fill="D8EEFC"/>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shd w:val="clear" w:color="auto" w:fill="D8EEFC"/>
          </w:tcPr>
          <w:p>
            <w:pPr>
              <w:spacing w:after="0"/>
              <w:rPr>
                <w:sz w:val="18"/>
                <w:szCs w:val="18"/>
                <w:color w:val="auto"/>
              </w:rPr>
            </w:pPr>
          </w:p>
        </w:tc>
        <w:tc>
          <w:tcPr>
            <w:tcW w:w="940" w:type="dxa"/>
            <w:vAlign w:val="bottom"/>
            <w:tcBorders>
              <w:bottom w:val="single" w:sz="8" w:color="auto"/>
            </w:tcBorders>
            <w:shd w:val="clear" w:color="auto" w:fill="D8EEFC"/>
          </w:tcPr>
          <w:p>
            <w:pPr>
              <w:jc w:val="right"/>
              <w:spacing w:after="0"/>
              <w:rPr>
                <w:sz w:val="20"/>
                <w:szCs w:val="20"/>
                <w:color w:val="auto"/>
              </w:rPr>
            </w:pPr>
            <w:r>
              <w:rPr>
                <w:rFonts w:ascii="Times New Roman" w:cs="Times New Roman" w:eastAsia="Times New Roman" w:hAnsi="Times New Roman"/>
                <w:sz w:val="16"/>
                <w:szCs w:val="16"/>
                <w:b w:val="1"/>
                <w:bCs w:val="1"/>
                <w:color w:val="auto"/>
              </w:rPr>
              <w:t>(36,995,909)</w:t>
            </w:r>
          </w:p>
        </w:tc>
        <w:tc>
          <w:tcPr>
            <w:tcW w:w="360" w:type="dxa"/>
            <w:vAlign w:val="bottom"/>
            <w:shd w:val="clear" w:color="auto" w:fill="D8EEFC"/>
          </w:tcPr>
          <w:p>
            <w:pPr>
              <w:spacing w:after="0"/>
              <w:rPr>
                <w:sz w:val="18"/>
                <w:szCs w:val="18"/>
                <w:color w:val="auto"/>
              </w:rPr>
            </w:pPr>
          </w:p>
        </w:tc>
        <w:tc>
          <w:tcPr>
            <w:tcW w:w="180" w:type="dxa"/>
            <w:vAlign w:val="bottom"/>
            <w:shd w:val="clear" w:color="auto" w:fill="D8EEFC"/>
          </w:tcPr>
          <w:p>
            <w:pPr>
              <w:spacing w:after="0"/>
              <w:rPr>
                <w:sz w:val="18"/>
                <w:szCs w:val="18"/>
                <w:color w:val="auto"/>
              </w:rPr>
            </w:pPr>
          </w:p>
        </w:tc>
        <w:tc>
          <w:tcPr>
            <w:tcW w:w="940" w:type="dxa"/>
            <w:vAlign w:val="bottom"/>
            <w:tcBorders>
              <w:bottom w:val="single" w:sz="8" w:color="auto"/>
            </w:tcBorders>
            <w:shd w:val="clear" w:color="auto" w:fill="D8EEFC"/>
          </w:tcPr>
          <w:p>
            <w:pPr>
              <w:jc w:val="right"/>
              <w:spacing w:after="0"/>
              <w:rPr>
                <w:sz w:val="20"/>
                <w:szCs w:val="20"/>
                <w:color w:val="auto"/>
              </w:rPr>
            </w:pPr>
            <w:r>
              <w:rPr>
                <w:rFonts w:ascii="Times New Roman" w:cs="Times New Roman" w:eastAsia="Times New Roman" w:hAnsi="Times New Roman"/>
                <w:sz w:val="16"/>
                <w:szCs w:val="16"/>
                <w:b w:val="1"/>
                <w:bCs w:val="1"/>
                <w:color w:val="auto"/>
              </w:rPr>
              <w:t>(81,742,726)</w:t>
            </w:r>
          </w:p>
        </w:tc>
        <w:tc>
          <w:tcPr>
            <w:tcW w:w="100" w:type="dxa"/>
            <w:vAlign w:val="bottom"/>
            <w:shd w:val="clear" w:color="auto" w:fill="D8EEFC"/>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rPr>
          <w:sz w:val="20"/>
          <w:szCs w:val="20"/>
          <w:color w:val="auto"/>
        </w:rPr>
      </w:pPr>
      <w:r>
        <w:rPr>
          <w:rFonts w:ascii="Times New Roman" w:cs="Times New Roman" w:eastAsia="Times New Roman" w:hAnsi="Times New Roman"/>
          <w:sz w:val="16"/>
          <w:szCs w:val="16"/>
          <w:b w:val="1"/>
          <w:bCs w:val="1"/>
          <w:color w:val="auto"/>
        </w:rPr>
        <w:t>NET INCOME (LOSS)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(LOSS) PER SHARE:</w:t>
      </w:r>
    </w:p>
    <w:p>
      <w:pPr>
        <w:spacing w:after="0" w:line="34" w:lineRule="exact"/>
        <w:rPr>
          <w:sz w:val="20"/>
          <w:szCs w:val="20"/>
          <w:color w:val="auto"/>
        </w:rPr>
      </w:pPr>
    </w:p>
    <w:p>
      <w:pPr>
        <w:ind w:left="260" w:right="800"/>
        <w:spacing w:after="0" w:line="368" w:lineRule="auto"/>
        <w:rPr>
          <w:sz w:val="20"/>
          <w:szCs w:val="20"/>
          <w:color w:val="auto"/>
        </w:rPr>
      </w:pPr>
      <w:r>
        <w:rPr>
          <w:rFonts w:ascii="Times New Roman" w:cs="Times New Roman" w:eastAsia="Times New Roman" w:hAnsi="Times New Roman"/>
          <w:sz w:val="16"/>
          <w:szCs w:val="16"/>
          <w:color w:val="auto"/>
        </w:rPr>
        <w:t>Net Income (Loss) Per Share - Basic Net Income (Loss) Per Share - Diluted</w:t>
      </w:r>
    </w:p>
    <w:p>
      <w:pPr>
        <w:spacing w:after="0" w:line="84" w:lineRule="exact"/>
        <w:rPr>
          <w:sz w:val="20"/>
          <w:szCs w:val="20"/>
          <w:color w:val="auto"/>
        </w:rPr>
      </w:pPr>
    </w:p>
    <w:p>
      <w:pPr>
        <w:ind w:left="260" w:right="300"/>
        <w:spacing w:after="0" w:line="316" w:lineRule="auto"/>
        <w:rPr>
          <w:sz w:val="20"/>
          <w:szCs w:val="20"/>
          <w:color w:val="auto"/>
        </w:rPr>
      </w:pPr>
      <w:r>
        <w:rPr>
          <w:rFonts w:ascii="Times New Roman" w:cs="Times New Roman" w:eastAsia="Times New Roman" w:hAnsi="Times New Roman"/>
          <w:sz w:val="16"/>
          <w:szCs w:val="16"/>
          <w:color w:val="auto"/>
        </w:rPr>
        <w:t>Weighted average shares outstanding – basic Weighted average shares outstanding – diluted</w:t>
      </w:r>
    </w:p>
    <w:p>
      <w:pPr>
        <w:spacing w:after="0" w:line="81" w:lineRule="exact"/>
        <w:rPr>
          <w:sz w:val="20"/>
          <w:szCs w:val="20"/>
          <w:color w:val="auto"/>
        </w:rPr>
      </w:pPr>
    </w:p>
    <w:p>
      <w:pPr>
        <w:ind w:right="580"/>
        <w:spacing w:after="0" w:line="301" w:lineRule="auto"/>
        <w:rPr>
          <w:sz w:val="20"/>
          <w:szCs w:val="20"/>
          <w:color w:val="auto"/>
        </w:rPr>
      </w:pPr>
      <w:r>
        <w:rPr>
          <w:rFonts w:ascii="Times New Roman" w:cs="Times New Roman" w:eastAsia="Times New Roman" w:hAnsi="Times New Roman"/>
          <w:sz w:val="16"/>
          <w:szCs w:val="16"/>
          <w:b w:val="1"/>
          <w:bCs w:val="1"/>
          <w:color w:val="auto"/>
        </w:rPr>
        <w:t>CASH DIVIDEND PAID PER SHARE OF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(84,553,226)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67,974,849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(54,450,478)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(34,380,295)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(81,723,002)</w:t>
            </w:r>
          </w:p>
        </w:tc>
        <w:tc>
          <w:tcPr>
            <w:tcW w:w="0" w:type="dxa"/>
            <w:vAlign w:val="bottom"/>
          </w:tcPr>
          <w:p>
            <w:pPr>
              <w:spacing w:after="0"/>
              <w:rPr>
                <w:sz w:val="1"/>
                <w:szCs w:val="1"/>
                <w:color w:val="auto"/>
              </w:rPr>
            </w:pPr>
          </w:p>
        </w:tc>
      </w:tr>
      <w:tr>
        <w:trPr>
          <w:trHeight w:val="433"/>
        </w:trPr>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(0.84)</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0.72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(0.65)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(0.47)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0" w:type="dxa"/>
            <w:vAlign w:val="bottom"/>
          </w:tcPr>
          <w:p>
            <w:pPr>
              <w:spacing w:after="0"/>
              <w:rPr>
                <w:sz w:val="1"/>
                <w:szCs w:val="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98"/>
        </w:trPr>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(0.84)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0.69</w:t>
            </w:r>
          </w:p>
        </w:tc>
        <w:tc>
          <w:tcPr>
            <w:tcW w:w="3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(0.65</w:t>
            </w:r>
          </w:p>
        </w:tc>
        <w:tc>
          <w:tcPr>
            <w:tcW w:w="3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(0.47</w:t>
            </w:r>
          </w:p>
        </w:tc>
        <w:tc>
          <w:tcPr>
            <w:tcW w:w="3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100,722,224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93,858,857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83,638,469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73,898,598</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61,050,880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100,722,224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98,607,815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83,638,469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73,898,598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61,050,880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4"/>
                <w:szCs w:val="24"/>
                <w:color w:val="auto"/>
              </w:rPr>
            </w:pP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-1388110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-1104900</wp:posOffset>
            </wp:positionV>
            <wp:extent cx="713232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-839470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-565150</wp:posOffset>
            </wp:positionV>
            <wp:extent cx="7132320" cy="85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-213995</wp:posOffset>
            </wp:positionV>
            <wp:extent cx="713232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560" w:space="720"/>
            <w:col w:w="69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660" w:type="dxa"/>
            <w:vAlign w:val="bottom"/>
            <w:tcBorders>
              <w:bottom w:val="single" w:sz="8" w:color="auto"/>
            </w:tcBorders>
            <w:shd w:val="clear" w:color="auto" w:fill="D8EEFC"/>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FINANCIAL POSITION SUMMARY</w:t>
            </w:r>
          </w:p>
        </w:tc>
        <w:tc>
          <w:tcPr>
            <w:tcW w:w="900" w:type="dxa"/>
            <w:vAlign w:val="bottom"/>
            <w:tcBorders>
              <w:bottom w:val="single" w:sz="8" w:color="D8EEFC"/>
            </w:tcBorders>
            <w:shd w:val="clear" w:color="auto" w:fill="D8EEFC"/>
          </w:tcPr>
          <w:p>
            <w:pPr>
              <w:spacing w:after="0"/>
              <w:rPr>
                <w:sz w:val="17"/>
                <w:szCs w:val="17"/>
                <w:color w:val="auto"/>
              </w:rPr>
            </w:pPr>
          </w:p>
        </w:tc>
        <w:tc>
          <w:tcPr>
            <w:tcW w:w="1980" w:type="dxa"/>
            <w:vAlign w:val="bottom"/>
            <w:tcBorders>
              <w:bottom w:val="single" w:sz="8" w:color="D8EEFC"/>
            </w:tcBorders>
            <w:shd w:val="clear" w:color="auto" w:fill="D8EEFC"/>
          </w:tcPr>
          <w:p>
            <w:pPr>
              <w:spacing w:after="0"/>
              <w:rPr>
                <w:sz w:val="17"/>
                <w:szCs w:val="17"/>
                <w:color w:val="auto"/>
              </w:rPr>
            </w:pPr>
          </w:p>
        </w:tc>
        <w:tc>
          <w:tcPr>
            <w:tcW w:w="1440" w:type="dxa"/>
            <w:vAlign w:val="bottom"/>
            <w:tcBorders>
              <w:bottom w:val="single" w:sz="8" w:color="D8EEFC"/>
            </w:tcBorders>
            <w:shd w:val="clear" w:color="auto" w:fill="D8EEFC"/>
          </w:tcPr>
          <w:p>
            <w:pPr>
              <w:spacing w:after="0"/>
              <w:rPr>
                <w:sz w:val="17"/>
                <w:szCs w:val="17"/>
                <w:color w:val="auto"/>
              </w:rPr>
            </w:pPr>
          </w:p>
        </w:tc>
        <w:tc>
          <w:tcPr>
            <w:tcW w:w="1420" w:type="dxa"/>
            <w:vAlign w:val="bottom"/>
            <w:tcBorders>
              <w:bottom w:val="single" w:sz="8" w:color="D8EEFC"/>
            </w:tcBorders>
            <w:shd w:val="clear" w:color="auto" w:fill="D8EEFC"/>
          </w:tcPr>
          <w:p>
            <w:pPr>
              <w:spacing w:after="0"/>
              <w:rPr>
                <w:sz w:val="17"/>
                <w:szCs w:val="17"/>
                <w:color w:val="auto"/>
              </w:rPr>
            </w:pPr>
          </w:p>
        </w:tc>
        <w:tc>
          <w:tcPr>
            <w:tcW w:w="1440" w:type="dxa"/>
            <w:vAlign w:val="bottom"/>
            <w:tcBorders>
              <w:bottom w:val="single" w:sz="8" w:color="D8EEFC"/>
            </w:tcBorders>
            <w:shd w:val="clear" w:color="auto" w:fill="D8EEFC"/>
          </w:tcPr>
          <w:p>
            <w:pPr>
              <w:spacing w:after="0"/>
              <w:rPr>
                <w:sz w:val="17"/>
                <w:szCs w:val="17"/>
                <w:color w:val="auto"/>
              </w:rPr>
            </w:pPr>
          </w:p>
        </w:tc>
        <w:tc>
          <w:tcPr>
            <w:tcW w:w="1400" w:type="dxa"/>
            <w:vAlign w:val="bottom"/>
            <w:tcBorders>
              <w:bottom w:val="single" w:sz="8" w:color="D8EEFC"/>
            </w:tcBorders>
            <w:shd w:val="clear" w:color="auto" w:fill="D8EE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w:t>
            </w:r>
          </w:p>
        </w:tc>
        <w:tc>
          <w:tcPr>
            <w:tcW w:w="19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143,582,667</w:t>
            </w:r>
          </w:p>
        </w:tc>
        <w:tc>
          <w:tcPr>
            <w:tcW w:w="14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221,804,128</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30,133,213</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24,838,567</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85,366,448</w:t>
            </w: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D8EEFC"/>
          </w:tcPr>
          <w:p>
            <w:pPr>
              <w:spacing w:after="0"/>
              <w:rPr>
                <w:sz w:val="20"/>
                <w:szCs w:val="20"/>
                <w:color w:val="auto"/>
              </w:rPr>
            </w:pPr>
            <w:r>
              <w:rPr>
                <w:rFonts w:ascii="Times New Roman" w:cs="Times New Roman" w:eastAsia="Times New Roman" w:hAnsi="Times New Roman"/>
                <w:sz w:val="16"/>
                <w:szCs w:val="16"/>
                <w:b w:val="1"/>
                <w:bCs w:val="1"/>
                <w:color w:val="auto"/>
              </w:rPr>
              <w:t>INVESTMENTS AND MARKETABLE</w:t>
            </w:r>
          </w:p>
        </w:tc>
        <w:tc>
          <w:tcPr>
            <w:tcW w:w="1980" w:type="dxa"/>
            <w:vAlign w:val="bottom"/>
            <w:vMerge w:val="restart"/>
            <w:shd w:val="clear" w:color="auto" w:fill="D8EE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309,396,353</w:t>
            </w:r>
          </w:p>
        </w:tc>
        <w:tc>
          <w:tcPr>
            <w:tcW w:w="1440" w:type="dxa"/>
            <w:vAlign w:val="bottom"/>
            <w:vMerge w:val="restart"/>
            <w:shd w:val="clear" w:color="auto" w:fill="D8EE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81,075,887</w:t>
            </w:r>
          </w:p>
        </w:tc>
        <w:tc>
          <w:tcPr>
            <w:tcW w:w="1420" w:type="dxa"/>
            <w:vAlign w:val="bottom"/>
            <w:vMerge w:val="restart"/>
            <w:shd w:val="clear" w:color="auto" w:fill="D8EE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46,400,176</w:t>
            </w:r>
          </w:p>
        </w:tc>
        <w:tc>
          <w:tcPr>
            <w:tcW w:w="1440" w:type="dxa"/>
            <w:vAlign w:val="bottom"/>
            <w:vMerge w:val="restart"/>
            <w:shd w:val="clear" w:color="auto" w:fill="D8EE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40,769,539</w:t>
            </w:r>
          </w:p>
        </w:tc>
        <w:tc>
          <w:tcPr>
            <w:tcW w:w="1400" w:type="dxa"/>
            <w:vAlign w:val="bottom"/>
            <w:vMerge w:val="restart"/>
            <w:shd w:val="clear" w:color="auto" w:fill="D8EE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04"/>
        </w:trPr>
        <w:tc>
          <w:tcPr>
            <w:tcW w:w="3560" w:type="dxa"/>
            <w:vAlign w:val="bottom"/>
            <w:gridSpan w:val="2"/>
            <w:vMerge w:val="restart"/>
            <w:shd w:val="clear" w:color="auto" w:fill="D8EEFC"/>
          </w:tcPr>
          <w:p>
            <w:pP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980" w:type="dxa"/>
            <w:vAlign w:val="bottom"/>
            <w:vMerge w:val="continue"/>
            <w:shd w:val="clear" w:color="auto" w:fill="D8EEFC"/>
          </w:tcPr>
          <w:p>
            <w:pPr>
              <w:spacing w:after="0"/>
              <w:rPr>
                <w:sz w:val="9"/>
                <w:szCs w:val="9"/>
                <w:color w:val="auto"/>
              </w:rPr>
            </w:pPr>
          </w:p>
        </w:tc>
        <w:tc>
          <w:tcPr>
            <w:tcW w:w="1440" w:type="dxa"/>
            <w:vAlign w:val="bottom"/>
            <w:vMerge w:val="continue"/>
            <w:shd w:val="clear" w:color="auto" w:fill="D8EEFC"/>
          </w:tcPr>
          <w:p>
            <w:pPr>
              <w:spacing w:after="0"/>
              <w:rPr>
                <w:sz w:val="9"/>
                <w:szCs w:val="9"/>
                <w:color w:val="auto"/>
              </w:rPr>
            </w:pPr>
          </w:p>
        </w:tc>
        <w:tc>
          <w:tcPr>
            <w:tcW w:w="1420" w:type="dxa"/>
            <w:vAlign w:val="bottom"/>
            <w:vMerge w:val="continue"/>
            <w:shd w:val="clear" w:color="auto" w:fill="D8EEFC"/>
          </w:tcPr>
          <w:p>
            <w:pPr>
              <w:spacing w:after="0"/>
              <w:rPr>
                <w:sz w:val="9"/>
                <w:szCs w:val="9"/>
                <w:color w:val="auto"/>
              </w:rPr>
            </w:pPr>
          </w:p>
        </w:tc>
        <w:tc>
          <w:tcPr>
            <w:tcW w:w="1440" w:type="dxa"/>
            <w:vAlign w:val="bottom"/>
            <w:vMerge w:val="continue"/>
            <w:shd w:val="clear" w:color="auto" w:fill="D8EEFC"/>
          </w:tcPr>
          <w:p>
            <w:pPr>
              <w:spacing w:after="0"/>
              <w:rPr>
                <w:sz w:val="9"/>
                <w:szCs w:val="9"/>
                <w:color w:val="auto"/>
              </w:rPr>
            </w:pPr>
          </w:p>
        </w:tc>
        <w:tc>
          <w:tcPr>
            <w:tcW w:w="1400" w:type="dxa"/>
            <w:vAlign w:val="bottom"/>
            <w:vMerge w:val="continue"/>
            <w:shd w:val="clear" w:color="auto" w:fill="D8EEFC"/>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560" w:type="dxa"/>
            <w:vAlign w:val="bottom"/>
            <w:gridSpan w:val="2"/>
            <w:vMerge w:val="continue"/>
            <w:shd w:val="clear" w:color="auto" w:fill="D8EEFC"/>
          </w:tcPr>
          <w:p>
            <w:pPr>
              <w:spacing w:after="0"/>
              <w:rPr>
                <w:sz w:val="9"/>
                <w:szCs w:val="9"/>
                <w:color w:val="auto"/>
              </w:rPr>
            </w:pPr>
          </w:p>
        </w:tc>
        <w:tc>
          <w:tcPr>
            <w:tcW w:w="1980" w:type="dxa"/>
            <w:vAlign w:val="bottom"/>
            <w:shd w:val="clear" w:color="auto" w:fill="D8EEFC"/>
          </w:tcPr>
          <w:p>
            <w:pPr>
              <w:spacing w:after="0"/>
              <w:rPr>
                <w:sz w:val="9"/>
                <w:szCs w:val="9"/>
                <w:color w:val="auto"/>
              </w:rPr>
            </w:pPr>
          </w:p>
        </w:tc>
        <w:tc>
          <w:tcPr>
            <w:tcW w:w="1440" w:type="dxa"/>
            <w:vAlign w:val="bottom"/>
            <w:shd w:val="clear" w:color="auto" w:fill="D8EEFC"/>
          </w:tcPr>
          <w:p>
            <w:pPr>
              <w:spacing w:after="0"/>
              <w:rPr>
                <w:sz w:val="9"/>
                <w:szCs w:val="9"/>
                <w:color w:val="auto"/>
              </w:rPr>
            </w:pPr>
          </w:p>
        </w:tc>
        <w:tc>
          <w:tcPr>
            <w:tcW w:w="1420" w:type="dxa"/>
            <w:vAlign w:val="bottom"/>
            <w:shd w:val="clear" w:color="auto" w:fill="D8EEFC"/>
          </w:tcPr>
          <w:p>
            <w:pPr>
              <w:spacing w:after="0"/>
              <w:rPr>
                <w:sz w:val="9"/>
                <w:szCs w:val="9"/>
                <w:color w:val="auto"/>
              </w:rPr>
            </w:pPr>
          </w:p>
        </w:tc>
        <w:tc>
          <w:tcPr>
            <w:tcW w:w="1440" w:type="dxa"/>
            <w:vAlign w:val="bottom"/>
            <w:shd w:val="clear" w:color="auto" w:fill="D8EEFC"/>
          </w:tcPr>
          <w:p>
            <w:pPr>
              <w:spacing w:after="0"/>
              <w:rPr>
                <w:sz w:val="9"/>
                <w:szCs w:val="9"/>
                <w:color w:val="auto"/>
              </w:rPr>
            </w:pPr>
          </w:p>
        </w:tc>
        <w:tc>
          <w:tcPr>
            <w:tcW w:w="1400" w:type="dxa"/>
            <w:vAlign w:val="bottom"/>
            <w:shd w:val="clear" w:color="auto" w:fill="D8EEFC"/>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 (b)</w:t>
            </w:r>
          </w:p>
        </w:tc>
        <w:tc>
          <w:tcPr>
            <w:tcW w:w="19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522,503,743</w:t>
            </w:r>
          </w:p>
        </w:tc>
        <w:tc>
          <w:tcPr>
            <w:tcW w:w="14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349,845,437</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111,609,951</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104,022,280</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128,176,505</w:t>
            </w:r>
          </w:p>
        </w:tc>
        <w:tc>
          <w:tcPr>
            <w:tcW w:w="0" w:type="dxa"/>
            <w:vAlign w:val="bottom"/>
          </w:tcPr>
          <w:p>
            <w:pPr>
              <w:spacing w:after="0"/>
              <w:rPr>
                <w:sz w:val="1"/>
                <w:szCs w:val="1"/>
                <w:color w:val="auto"/>
              </w:rPr>
            </w:pPr>
          </w:p>
        </w:tc>
      </w:tr>
      <w:tr>
        <w:trPr>
          <w:trHeight w:val="218"/>
        </w:trPr>
        <w:tc>
          <w:tcPr>
            <w:tcW w:w="3560" w:type="dxa"/>
            <w:vAlign w:val="bottom"/>
            <w:gridSpan w:val="2"/>
            <w:shd w:val="clear" w:color="auto" w:fill="D8EEFC"/>
          </w:tcPr>
          <w:p>
            <w:pPr>
              <w:spacing w:after="0"/>
              <w:rPr>
                <w:sz w:val="20"/>
                <w:szCs w:val="20"/>
                <w:color w:val="auto"/>
              </w:rPr>
            </w:pPr>
            <w:r>
              <w:rPr>
                <w:rFonts w:ascii="Times New Roman" w:cs="Times New Roman" w:eastAsia="Times New Roman" w:hAnsi="Times New Roman"/>
                <w:sz w:val="16"/>
                <w:szCs w:val="16"/>
                <w:b w:val="1"/>
                <w:bCs w:val="1"/>
                <w:color w:val="auto"/>
              </w:rPr>
              <w:t>OTHER LONG-TERM OBLIGATIONS</w:t>
            </w:r>
          </w:p>
        </w:tc>
        <w:tc>
          <w:tcPr>
            <w:tcW w:w="1980" w:type="dxa"/>
            <w:vAlign w:val="bottom"/>
            <w:shd w:val="clear" w:color="auto" w:fill="D8EE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20,043,178</w:t>
            </w:r>
          </w:p>
        </w:tc>
        <w:tc>
          <w:tcPr>
            <w:tcW w:w="1440" w:type="dxa"/>
            <w:vAlign w:val="bottom"/>
            <w:shd w:val="clear" w:color="auto" w:fill="D8EE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8,738,506</w:t>
            </w:r>
          </w:p>
        </w:tc>
        <w:tc>
          <w:tcPr>
            <w:tcW w:w="1420" w:type="dxa"/>
            <w:vAlign w:val="bottom"/>
            <w:shd w:val="clear" w:color="auto" w:fill="D8EE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4,003,999</w:t>
            </w:r>
          </w:p>
        </w:tc>
        <w:tc>
          <w:tcPr>
            <w:tcW w:w="1440" w:type="dxa"/>
            <w:vAlign w:val="bottom"/>
            <w:shd w:val="clear" w:color="auto" w:fill="D8EE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4,454,070</w:t>
            </w:r>
          </w:p>
        </w:tc>
        <w:tc>
          <w:tcPr>
            <w:tcW w:w="1400" w:type="dxa"/>
            <w:vAlign w:val="bottom"/>
            <w:shd w:val="clear" w:color="auto" w:fill="D8EE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7,508,452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40" w:right="420" w:hanging="368"/>
        <w:spacing w:after="0" w:line="199" w:lineRule="auto"/>
        <w:tabs>
          <w:tab w:leader="none" w:pos="74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increase in our Total Operating Expenses during the year ended September 30, 2020 is primarily due to the expansion of our pipeline of clinical candidates. We expect research and development expenses to continue to increase as our other pipeline candidates progress.</w:t>
      </w:r>
    </w:p>
    <w:p>
      <w:pPr>
        <w:spacing w:after="0" w:line="2" w:lineRule="exact"/>
        <w:rPr>
          <w:rFonts w:ascii="Times New Roman" w:cs="Times New Roman" w:eastAsia="Times New Roman" w:hAnsi="Times New Roman"/>
          <w:sz w:val="29"/>
          <w:szCs w:val="29"/>
          <w:color w:val="auto"/>
          <w:vertAlign w:val="superscript"/>
        </w:rPr>
      </w:pPr>
    </w:p>
    <w:p>
      <w:pPr>
        <w:ind w:left="740" w:right="160" w:hanging="368"/>
        <w:spacing w:after="0" w:line="208" w:lineRule="auto"/>
        <w:tabs>
          <w:tab w:leader="none" w:pos="74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Company’s Cash, Cash Equivalents, Marketable Securities, Short- and Long-Term Investments and Total Assets increased from September 30, 2019 to September 30, 2020 due primarily due to the December 2019 securities offering that generated $250.5 million in net cash. The offering cash inflows were partially offset by cash used in research and development expenditures.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1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noted, (1) the term “Arrowhead” refers to Arrowhead Pharmaceuticals, Inc., a Delaware corporation,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(5) the term “Preferred Stock” refers to Arrowhead’s Preferred Stock and (6) the term “Stockholder(s)” refers to the holders of Arrowhead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ARO-HSD for liver disease, ARO-ENaC for cystic fibrosis, ARO-HIF2 for renal cell carcinoma, ARO-LUNG2 as a candidate to treat chronic obstructive pulmonary disorder (“COPD”) and ARO-COV for treatment for the</w:t>
      </w:r>
    </w:p>
    <w:p>
      <w:pPr>
        <w:spacing w:after="0" w:line="3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current novel coronavirus that causes COVID-19 and other possible future pulmonary-borne pathogens. ARO-JNJ1, ARO-JNJ2 and ARO-JNJ3 are being developed for undisclosed liver-expressed targets under a collaboration agreement with Janssen Pharmaceuticals, Inc. (“Janssen”). ARO-AAT for liver disease associated with alpha-1 antitrypsin deficiency (“AATD”) was out-licensed to Takeda Pharmaceuticals U.S.A., Inc. (“Takeda”) in October 2020. ARO-HBV (JNJ-3989) for chronic hepatitis B virus was out-licensed to Janssen in October 2018. ARO-LPA (AMG 890) for cardiovascular disease was out-licensed to Amgen Inc. (“Amgen”) in 2016.</w:t>
      </w:r>
    </w:p>
    <w:p>
      <w:pPr>
        <w:spacing w:after="0" w:line="180"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Arrowhead operates lab facilities in Madison, Wisconsin and San Diego, California, where the Company’s research and development activities, including the development of RNAi therapeutics, are based. The Company’s principal executive offices are located in Pasadena, California.</w:t>
      </w:r>
    </w:p>
    <w:p>
      <w:pPr>
        <w:spacing w:after="0" w:line="162"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Arrowhead has focused its resources on therapeutics that exclusively utilize the Company’s Targeted RNAi Molecule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platform technology. Therapeutics built on the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platform have demonstrated high levels of pharmacologic activity in multiple animal models spanning several therapeutic areas. TRiM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w:t>
      </w:r>
    </w:p>
    <w:p>
      <w:pPr>
        <w:spacing w:after="0" w:line="187"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During fiscal year 2020, the Company has continued to develop its pipeline and partnered candidates. Regarding the Company’s wholly-owned pipeline candidates, the Company dosed its first patients in three of its pipeline candidate studies: ARO-HSD1001, a phase 1/2 clinical study of ARO-HSD; ARO-ENaC1001, a phase 1/2 clinical study of ARO-ENaC and ARO-HIF21001, a phase 1b study of ARO-HIF2. The Company also presented new clinical data on its two cardiometabolic candidates, ARO-APOC3 and ARO-ANG3, at multiple medical meetings, including the European Society of Cardiology Congress and the American Heart Association Scientific Sessions. Finally, the Company is also progressing ARO-LUNG2 toward entering clinical trials and is continuing to perform discovery work to identify new candidates.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partnered candidates under its collaboration agreements also continue to progress. Janssen began dosing patients in a phase 2b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triple combination study called REEF-1, designed to enroll up to 450 patients with chronic hepatitis B infection, and in connection with the start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study Arrowhead earned a $25.0 million milestone payment under the License Agreement (“Janssen License Agreement”). The Company is currently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discovery, optimization and preclinical research and development for ARO-JNJ1, ARO-JNJ2 and ARO-JNJ3 for Janssen as part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Collaboration and Option Agreement (“Janssen Collaboration Agreement”). Under the terms of the Janssen agreements taken together,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received $175.0 million as an upfront payment, $75.0 million in the form of an equity investment by JJDC in Arrowhead common stock,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million milestone payments and may receive up to $1.6 billion in development and sales milestones payments for the Janssen License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up to $1.9 billion in development and sales milestone payments for the three additional targets covered under the Janssen Collaboration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Company is further eligible to receive tiered royalties up to mid-teens under the Janssen License Agreement and up to low teens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Janssen Collaboration Agreement on product sales. The Company’s collaboration agreement with Amgen for Olpasiran (formerly referred to as AMG 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ARO-LPA), (the “Second Collaboration and License Agreement” or “Olpasiran Agreement”), continues to progress. In July 2020, Amgen initiated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Phase 2 clinical study, which resulted in a $20.0 million milestone payment to the Company. The Company has received $35.0 million in upfront payments,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million in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line="254" w:lineRule="auto"/>
        <w:rPr>
          <w:sz w:val="20"/>
          <w:szCs w:val="20"/>
          <w:color w:val="auto"/>
        </w:rPr>
      </w:pPr>
      <w:r>
        <w:rPr>
          <w:rFonts w:ascii="Times New Roman" w:cs="Times New Roman" w:eastAsia="Times New Roman" w:hAnsi="Times New Roman"/>
          <w:sz w:val="18"/>
          <w:szCs w:val="18"/>
          <w:color w:val="auto"/>
        </w:rPr>
        <w:t>the form of an equity investment by Amgen in the Company’s Common Stock, $30.0 million in milestone payments, and may receive up to an additional $400.0 million in remaining development, regulatory and sales milestone payments. The Company is eligible to receive up to low double-digit royalties for sales of products under the Olpasiran Agreement. On October 7, 2020, the Company entered into an Exclusive License and Co-Funding Agreement (the “Takeda License Agreement”) with Takeda. Under the Takeda License Agreement, Takeda and the Company will co-develop the Company’s ARO-AAT program.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The Company will receive $300.0 million as an upfront payment and is eligible to receive potential development, regulatory and commercial milestones of up to $740.0 million.</w:t>
      </w:r>
    </w:p>
    <w:p>
      <w:pPr>
        <w:spacing w:after="0" w:line="192"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 xml:space="preserve">The revenue recognition for these collaboration agreements is discussed further in Note 2 Notes to Consolidated Financial Statements of Part IV, Item 15. </w:t>
      </w:r>
      <w:r>
        <w:rPr>
          <w:rFonts w:ascii="Times New Roman" w:cs="Times New Roman" w:eastAsia="Times New Roman" w:hAnsi="Times New Roman"/>
          <w:sz w:val="18"/>
          <w:szCs w:val="18"/>
          <w:i w:val="1"/>
          <w:iCs w:val="1"/>
          <w:color w:val="auto"/>
        </w:rPr>
        <w:t>Exhibits and Financial Statement Schedules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either contracted to third-party manufactures or manufactured internally.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“candidate costs.” If the clinical candidates progress through human testing, candidate costs will increase.</w:t>
      </w:r>
    </w:p>
    <w:p>
      <w:pPr>
        <w:spacing w:after="0" w:line="187"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Company is actively monitoring the COVID-19 pandemic. The financial results for the year ended September 30, 2020 were not significantly impacted by COVID-19. The Company had temporarily paused enrollment in its two ARO-AAT studies, SEQUOIA and the ARO-AAT 2002 study, but resumed the process of screening and enrolling patients during the year ended September 30, 2020. During the pause in enrollment, patients already enrolled in these studies continued to be dosed per protocol and continued to come in for their follow up visits. Additional delays have occurred in the Company’s earlier stage programs, but Company does not expect a material impact to any program’s anticipated timelines. Several of the Company’s other clinical candidates are in the start-up stage (ARO-HSD, ARO-HIF2 and ARO-ENaC), during which significant clinical costs will continue to be incurred. Additionally, the Company’s operations at its research and development facilities in Madison, Wisconsin and San Diego, California, as well as its corporate headquarters in Pasadena, California have continued to operate with limited impact, other than for enhanced safety measures, including work from home policies. However, the Company cannot predict the impact of the progression of COVID-19 will have on future financial results due to a variety of factors including the ability of the Company’s clinical sites to continue to enroll subjects, the ability of the Company’s suppliers to continue to operate, the continued good health and safety of the Company’s employees, and ultimately the length of the COVID-19 pandemic.</w:t>
      </w:r>
    </w:p>
    <w:p>
      <w:pPr>
        <w:spacing w:after="0" w:line="192"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Net losses were $84.6 million for the year ended September 30, 2020 as compared to net income of $68.0 million for the year ended September 30, 2019 and net losses of $54.5 million for the year ended September 30, 2018. Net losses per share – diluted were $0.84 for the year ended September 30, 2020 as compared to net income per share-diluted of $0.69 for the year ended September 30, 2019 and net losses per share-diluted of $0.65 for the year ended September 30, 2018. An increase in research and development and general and administrative expenses coupled with a decrease in revenue from the license and collaboration agreements with Janssen were the drivers of the increase in net losses and net losses per share for the year ended September 30, 2020, as discussed further below.</w:t>
      </w:r>
    </w:p>
    <w:p>
      <w:pPr>
        <w:spacing w:after="0" w:line="187"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The Company has strengthened its liquidity and financial position through upfront and milestone payments received under its collaboration agreements, as well as equity financings. Under the terms of the Company’s agreements with Janssen taken together, the Company has received $175.0 million as an upfront payment, $75.0 million in the form of an equity investment by JJDC in Arrowhead Common Stock, and two $25.0 million milestone payments. Under the terms of the Company’s agreements with Amgen, the Company has received $35.0 million in upfront payments, $21.5 million in the form of an equity investment by Amgen in the Company’s Common Stock and $30.0 million in milestone payments. The Company’s October 2020 licensing agreement with Takeda will result in a $300.0 million upfront payment expected to be collected in the first fiscal quarter of 2021. Additionally, in December 2019, the Company completed a securities offering which generated approximately $250.5 million in net cash proceeds. These cash proceeds secure the funding needed to continue to advance our pipeline candidates. The Company had $143.6 million of cash and cash equivalents, $85.0 million of marketable securities, $86.9 million in short-term investments, $137.5 million of long term investments and $522.5 million of total assets as of September 30, 2020, as compared to $221.8 million, $0, $36.9 million, $44.2 million and $349.8 million as of September 30, 2019, respectively. Based upon the Company’s current cash and investment resources and operating plan, the Company expects to have sufficient liquidity to fund operations for at least the next twelve months.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 xml:space="preserve">Management makes certain judgments and uses certain estimates and assumptions when applying accounting principles generally accepted in the United States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Times New Roman" w:cs="Times New Roman" w:eastAsia="Times New Roman" w:hAnsi="Times New Roman"/>
          <w:sz w:val="18"/>
          <w:szCs w:val="18"/>
          <w:i w:val="1"/>
          <w:iCs w:val="1"/>
          <w:color w:val="auto"/>
        </w:rPr>
        <w:t>Note 1, Organization and Significant Accounting Policies</w:t>
      </w:r>
      <w:r>
        <w:rPr>
          <w:rFonts w:ascii="Times New Roman" w:cs="Times New Roman" w:eastAsia="Times New Roman" w:hAnsi="Times New Roman"/>
          <w:sz w:val="18"/>
          <w:szCs w:val="18"/>
          <w:color w:val="auto"/>
        </w:rPr>
        <w:t>, to our Consolidated Financial Statements, which outlines our application of significant accounting policies.</w:t>
      </w:r>
    </w:p>
    <w:p>
      <w:pPr>
        <w:spacing w:after="0" w:line="192"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76"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w:t>
      </w:r>
    </w:p>
    <w:p>
      <w:pPr>
        <w:spacing w:after="0" w:line="1"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period. Actual results could materially differ from those estimates. Additionally, certain reclassifications have been made to prior period financial statements to conform to the current period presentation.</w:t>
      </w:r>
    </w:p>
    <w:p>
      <w:pPr>
        <w:spacing w:after="0" w:line="18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Cash and Cash Equivalents—The Company considers all liquid debt instruments purchased with a maturity of three months or less to be cash equivalents. Included within Cash and cash equivalents on the Consolidated Balance Sheets is $1.8 million and $1.0 restricted cash at September 30, 2020 and September 30, 2019, respectively. Amounts included in restricted cash are primarily held as collateral associated with a letter of credit for the Company’s lease for its corporate headquarters in Pasadena, California.</w:t>
      </w:r>
    </w:p>
    <w:p>
      <w:pPr>
        <w:spacing w:after="0" w:line="180"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Concentration of Credit Risk—The Company maintains several bank accounts primarily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76" w:lineRule="exact"/>
        <w:rPr>
          <w:sz w:val="20"/>
          <w:szCs w:val="20"/>
          <w:color w:val="auto"/>
        </w:rPr>
      </w:pPr>
    </w:p>
    <w:p>
      <w:pPr>
        <w:ind w:firstLine="510"/>
        <w:spacing w:after="0" w:line="281" w:lineRule="auto"/>
        <w:rPr>
          <w:sz w:val="20"/>
          <w:szCs w:val="20"/>
          <w:color w:val="auto"/>
        </w:rPr>
      </w:pPr>
      <w:r>
        <w:rPr>
          <w:rFonts w:ascii="Times New Roman" w:cs="Times New Roman" w:eastAsia="Times New Roman" w:hAnsi="Times New Roman"/>
          <w:sz w:val="17"/>
          <w:szCs w:val="17"/>
          <w:color w:val="auto"/>
        </w:rPr>
        <w:t>Investments—The Company may invest excess cash balances in short-term and long-term marketable debt securities and equity securities. Investments may consist of certificates of deposit, money market accounts, government-sponsored enterprise securities, corporate bonds and/or commercial paper. The Company accounts for its investment in debt securities in accordance with Financial Accounting Standards Board (“FASB”) Accounting Standards Codification (“ASC”) 320, Investments – Debt and Equity Securities, which requires debt securities to be classified into three categories:</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Trading Securities—Debt securities that are bought and held primarily for the purpose of selling in the near term are reported at fair value, with unrealized gains and losses included in earnings.</w:t>
      </w:r>
    </w:p>
    <w:p>
      <w:pPr>
        <w:spacing w:after="0" w:line="54"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Available-for-Sale—Debt securities not classified as either securities held-to-maturity or trading securities are reported at fair value with unrealized gains or losses excluded from earnings and reported as a separate component of shareholders’ equity.</w:t>
      </w:r>
    </w:p>
    <w:p>
      <w:pPr>
        <w:spacing w:after="0" w:line="162"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Company classifies its investments in marketable debt securities based on the facts and circumstances present at the time of purchase of the securities. During the years ended September 30, 2020, 2019 and 2018, all of the Company’s debt securities were classified as held-to-maturity. 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3"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2020, the Company purchased shares of mutual funds that invest in marketable debt securities such as U.S. government bonds, U.S. government agency bonds, corporate bonds, and other asset backed debt securities. The Company accounts for these securities using the guidance from FASB ASC 321, Investments-Equity Securities. These securities are recorded on the Company’s Consolidated Balance Sheet as “marketable securities” and recorded at fair value. All unrealized gains/losses associated with these securities are recorded in the Company’s Consolidated Statement of Operations and Comprehensive Income (Loss).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53" w:name="page54"/>
    <w:bookmarkEnd w:id="53"/>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3"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 and are also reviewed annually to determine whether any impairment is necessary.</w:t>
      </w:r>
    </w:p>
    <w:p>
      <w:pPr>
        <w:spacing w:after="0" w:line="176"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Contingent Consideration—The consideration for the Company’s acquisitions may include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Income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September 30, 2020 and September 30, 2019.</w:t>
      </w:r>
    </w:p>
    <w:p>
      <w:pPr>
        <w:spacing w:after="0" w:line="197"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 xml:space="preserve">Revenue Recognition— On October 1, 2018, the Company adopted FASB Topic 606 – Revenue for Contracts from Customers which amended revenue recognition principles and provides a single, comprehensive set of criteria for revenue recognition within and across all industries. The Company’s adoption of the new revenue standard did not have a material impact on its Consolidated Financial Statements. The Company has not yet achieved commercial sales of its drug candidates to date, however, the new standard is applicable to the Company’s ongoing licensing and collaboration agreements, including those with Amgen, Janssen and Takeda, and the analysis of the impact of this guidance on those agreements is discussed further in Note 2 of Notes to Consolidated Financial Statements of Part IV, Item 15. </w:t>
      </w:r>
      <w:r>
        <w:rPr>
          <w:rFonts w:ascii="Times New Roman" w:cs="Times New Roman" w:eastAsia="Times New Roman" w:hAnsi="Times New Roman"/>
          <w:sz w:val="18"/>
          <w:szCs w:val="18"/>
          <w:i w:val="1"/>
          <w:iCs w:val="1"/>
          <w:color w:val="auto"/>
        </w:rPr>
        <w:t>Exhibits and Financial Statement Schedules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new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the Company determines are within the scope of the new revenue standard, the Company performs the following five steps: (i) 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the Company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19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4" w:name="page55"/>
    <w:bookmarkEnd w:id="54"/>
    <w:p>
      <w:pPr>
        <w:ind w:firstLine="510"/>
        <w:spacing w:after="0" w:line="252" w:lineRule="auto"/>
        <w:rPr>
          <w:sz w:val="20"/>
          <w:szCs w:val="20"/>
          <w:color w:val="auto"/>
        </w:rPr>
      </w:pPr>
      <w:r>
        <w:rPr>
          <w:rFonts w:ascii="Times New Roman" w:cs="Times New Roman" w:eastAsia="Times New Roman" w:hAnsi="Times New Roman"/>
          <w:sz w:val="18"/>
          <w:szCs w:val="18"/>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a New Drug Application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our milestones and royalties, and, if necessary, adjusts its estimate of the overall transaction price. Any such adjustments are recorded on a cumulative catch-up basis, which would affect revenues and net income in our Consolidated Statements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Milestones or royalties achieved after the Company’s performance obligations have been completed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new revenue standard requires the Company to assess whether a significant financing component exists in determining the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The Company performs this assessment at the onset of its licensing or collaboration agreements. Typically, a significant financing component does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exist because the customer is paying for a license or services in advance with an upfront payment. Additionally, future royalty payments are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within the control of the Company or the customer.</w:t>
      </w:r>
    </w:p>
    <w:p>
      <w:pPr>
        <w:spacing w:after="0" w:line="207" w:lineRule="exact"/>
        <w:rPr>
          <w:sz w:val="20"/>
          <w:szCs w:val="20"/>
          <w:color w:val="auto"/>
        </w:rPr>
      </w:pPr>
    </w:p>
    <w:p>
      <w:pPr>
        <w:ind w:right="100" w:firstLine="510"/>
        <w:spacing w:after="0" w:line="274" w:lineRule="auto"/>
        <w:rPr>
          <w:sz w:val="20"/>
          <w:szCs w:val="20"/>
          <w:color w:val="auto"/>
        </w:rPr>
      </w:pPr>
      <w:r>
        <w:rPr>
          <w:rFonts w:ascii="Times New Roman" w:cs="Times New Roman" w:eastAsia="Times New Roman" w:hAnsi="Times New Roman"/>
          <w:sz w:val="17"/>
          <w:szCs w:val="17"/>
          <w:color w:val="auto"/>
        </w:rPr>
        <w:t>The new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new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73"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the proportional performance method. Labor hours or costs incurred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187"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Certain judgments affect the application of the Company’s revenue recognition policy. For example, the Company records short-term and long-term deferred revenue based on its best estimate of when such revenue will be recognized. Short-term deferred revenue consists of amounts that are expected to be recognized as revenue in the next 12 months, and long-term deferred revenue consists of amounts that the Company does not expect will be recognized in the next 12 months. This estimate is based on the Company’s current operating plan and, if the Company’s operating plan should change in the future, the Company may recognize a different amount of deferred revenue over the next 12-month period.</w:t>
      </w:r>
    </w:p>
    <w:p>
      <w:pPr>
        <w:spacing w:after="0" w:line="183" w:lineRule="exact"/>
        <w:rPr>
          <w:sz w:val="20"/>
          <w:szCs w:val="20"/>
          <w:color w:val="auto"/>
        </w:rPr>
      </w:pPr>
    </w:p>
    <w:p>
      <w:pPr>
        <w:ind w:right="220" w:firstLine="510"/>
        <w:spacing w:after="0" w:line="312" w:lineRule="auto"/>
        <w:rPr>
          <w:sz w:val="20"/>
          <w:szCs w:val="20"/>
          <w:color w:val="auto"/>
        </w:rPr>
      </w:pPr>
      <w:r>
        <w:rPr>
          <w:rFonts w:ascii="Times New Roman" w:cs="Times New Roman" w:eastAsia="Times New Roman" w:hAnsi="Times New Roman"/>
          <w:sz w:val="17"/>
          <w:szCs w:val="17"/>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40"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76"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Net Income (Loss) per Share—Basic net income (loss) per share is computed using the weighted-average number of common shares outstanding during the period. Diluted net income (loss) per share is computed using the weighted-average number of common shares and dilutive potential common shares outstanding during the period. Dilutive potential common shares primarily consist of stock options and restricted stock units issued to employees. During the years ended September 30, 2020, 2019 and 2018, the calculation of the effect of dilutive stock options and restricted stock units was 0 shares, 4,748,958 shares, and 0 shares, respectively. During the year ended September 30, 2020, the calculation of the effect of dilutive stock option and restricted stock units excluded all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ind w:right="200"/>
        <w:spacing w:after="0" w:line="258" w:lineRule="auto"/>
        <w:rPr>
          <w:sz w:val="20"/>
          <w:szCs w:val="20"/>
          <w:color w:val="auto"/>
        </w:rPr>
      </w:pPr>
      <w:r>
        <w:rPr>
          <w:rFonts w:ascii="Times New Roman" w:cs="Times New Roman" w:eastAsia="Times New Roman" w:hAnsi="Times New Roman"/>
          <w:sz w:val="18"/>
          <w:szCs w:val="18"/>
          <w:color w:val="auto"/>
        </w:rPr>
        <w:t>stock options and restricted stock units granted and outstanding during the period due to their anti-dilutive effect. During the year ended September 30, 2019, the calculation of the effect of dilutive stock options and restricted stock units excluded 1,007,500 stock options and 11,500 restricted stock units granted and outstanding during the period due to their anti-dilutive effect. During the year ended September 30, 2018, the calculation of the effect of dilutive stock option and restricted stock units excluded all stock options and restricted stock units granted and outstanding during the period due to their anti-dilutive effect.</w:t>
      </w:r>
    </w:p>
    <w:p>
      <w:pPr>
        <w:spacing w:after="0" w:line="183" w:lineRule="exact"/>
        <w:rPr>
          <w:sz w:val="20"/>
          <w:szCs w:val="20"/>
          <w:color w:val="auto"/>
        </w:rPr>
      </w:pPr>
    </w:p>
    <w:p>
      <w:pPr>
        <w:ind w:firstLine="510"/>
        <w:spacing w:after="0" w:line="271" w:lineRule="auto"/>
        <w:rPr>
          <w:sz w:val="20"/>
          <w:szCs w:val="20"/>
          <w:color w:val="auto"/>
        </w:rPr>
      </w:pPr>
      <w:r>
        <w:rPr>
          <w:rFonts w:ascii="Times New Roman" w:cs="Times New Roman" w:eastAsia="Times New Roman" w:hAnsi="Times New Roman"/>
          <w:sz w:val="17"/>
          <w:szCs w:val="17"/>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73"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297" w:lineRule="exact"/>
        <w:rPr>
          <w:sz w:val="20"/>
          <w:szCs w:val="20"/>
          <w:color w:val="auto"/>
        </w:rPr>
      </w:pPr>
    </w:p>
    <w:p>
      <w:pPr>
        <w:ind w:right="120" w:firstLine="300"/>
        <w:spacing w:after="0" w:line="253" w:lineRule="auto"/>
        <w:rPr>
          <w:sz w:val="20"/>
          <w:szCs w:val="20"/>
          <w:color w:val="auto"/>
        </w:rPr>
      </w:pPr>
      <w:r>
        <w:rPr>
          <w:rFonts w:ascii="Times New Roman" w:cs="Times New Roman" w:eastAsia="Times New Roman" w:hAnsi="Times New Roman"/>
          <w:sz w:val="18"/>
          <w:szCs w:val="18"/>
          <w:color w:val="auto"/>
        </w:rPr>
        <w:t>Leases - The Company determines whether a contract is, or contains, a lease at inception. The Company classifies each of its leases as operating or financing considering factors such as the length of the lease term, the present value of the lease payments, the nature of the asset being leased, and the potential for ownership of the asset to transfer during the lease term. Leases with terms greater than one-year are recognized on the Consolidated Balance Sheets as Right-of-use assets and Lease liabilities and are measured at the present value of the fixed payments due over the expected lease term minus the present value of any incentives, rebates or abatements expected to be received from the lessor. Options to extend a lease are typically excluded from the expected lease term as the exercise of the option is typically not reasonably certain. 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fixed lease payments on a straight-line basis over the expected lease term. Costs determined to be variable and not based on an index or rate are not included in the measurement of the lease liability and are expensed as incurred.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data summarizes our results of operations for the following periods indicated:</w:t>
      </w:r>
    </w:p>
    <w:p>
      <w:pPr>
        <w:spacing w:after="0" w:line="32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2620" w:type="dxa"/>
            <w:vAlign w:val="bottom"/>
          </w:tcPr>
          <w:p>
            <w:pPr>
              <w:spacing w:after="0"/>
              <w:rPr>
                <w:sz w:val="15"/>
                <w:szCs w:val="15"/>
                <w:color w:val="auto"/>
              </w:rPr>
            </w:pP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r>
      <w:tr>
        <w:trPr>
          <w:trHeight w:val="223"/>
        </w:trPr>
        <w:tc>
          <w:tcPr>
            <w:tcW w:w="26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87,992,066</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168,795,577</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16,142,321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74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(93,158,803)</w:t>
            </w:r>
          </w:p>
        </w:tc>
        <w:tc>
          <w:tcPr>
            <w:tcW w:w="68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61,190,634</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(55,936,235)</w:t>
            </w:r>
          </w:p>
        </w:tc>
      </w:tr>
      <w:tr>
        <w:trPr>
          <w:trHeight w:val="230"/>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74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(84,553,226)</w:t>
            </w:r>
          </w:p>
        </w:tc>
        <w:tc>
          <w:tcPr>
            <w:tcW w:w="68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67,974,849</w:t>
            </w:r>
          </w:p>
        </w:tc>
        <w:tc>
          <w:tcPr>
            <w:tcW w:w="6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(54,450,478)</w:t>
            </w:r>
          </w:p>
        </w:tc>
      </w:tr>
      <w:tr>
        <w:trPr>
          <w:trHeight w:val="211"/>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74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(0.84)</w:t>
            </w:r>
          </w:p>
        </w:tc>
        <w:tc>
          <w:tcPr>
            <w:tcW w:w="68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(0.65)</w:t>
            </w:r>
          </w:p>
        </w:tc>
      </w:tr>
    </w:tbl>
    <w:p>
      <w:pPr>
        <w:spacing w:after="0" w:line="200" w:lineRule="exact"/>
        <w:rPr>
          <w:sz w:val="20"/>
          <w:szCs w:val="20"/>
          <w:color w:val="auto"/>
        </w:rPr>
      </w:pPr>
    </w:p>
    <w:p>
      <w:pPr>
        <w:spacing w:after="0" w:line="254"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The decrease in revenue for the year ended September 30, 2020 compared to the year ended September 30, 2019 was driven by the timing of the recognition of the $252.6 million initial transaction price associated with our agreements with Janssen and JJDC as we achieved progress toward completing our performance obligation under those agreements. The increase in Net Losses during the year ended September 30, 2020 was driven by this decrease in Revenue and also increases in Research and Development and General and Administrative Expenses as our pipeline of clinical candidates has continued to increase.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Total revenue for the years ended September 30, 2020, 2019, and 2018 was $87,992,066, $168,795,577 and $16,142,321, respectively. Revenue in the current period is primarily related to the recognition of a portion of the $252.6 million initial transaction price associated with our agreements with Janssen and JJDC as we achieved progress towards completing our performance obligation under those agreements. In addition, revenue in the current period consisted of a $20 million milestone payment from Amgen for the initiation of phase 2 clinical study for AMG 890 (ARO-LPA). Revenue for the year ended September 30, 2019, was also primarily related to the recognition of a portion of the $252.6 million initial transaction price associated with our agreements with Janssen and JJDC. A higher proportion of performance activity was ongoing during the prior period than the current, which resulted in the higher revenue recognized in the prior period. Revenue for the year ended September 30, 2018, was primarily related to a $10 million milestone payment received from Amgen in August 2018, which was earned following the administration of the first does of AMG 890 (ARO-LPA).</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Amgen Inc.</w:t>
      </w:r>
    </w:p>
    <w:p>
      <w:pPr>
        <w:spacing w:after="0" w:line="11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On September 28, 2016, the Company entered into two collaboration and license agreements, and a common stock purchase Agreement with Amgen Inc., a Delaware corporation (“Amgen”). Under one of the license agreements (the “Second Collaboration and License Agreement” or “Olpasiran Agreement”), Amgen has received a worldwide, exclusive license to Arrowhead’s novel, RNAi Olpasiran program. These RNAi molecules are designed to reduce elevated lipoprotein(a), which is a genetically validated, independent risk factor for atherosclerotic cardiovascular disease. Under the other collaboration and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terms of the agreements taken together, the Company has received $35.0 million in upfront payments, $21.5 million in the form of an equity investment by Amgen in the Company’s Common Stock, and $30.0 million in milestone payments, and may receive up to an additional $400.0 million in remaining development, regulatory and sales milestone payments. The Company is further eligible to receive up to low double-digit royalties for sales of products under the Olpasiran Agreement. In July 2019, Amgen informed the Company that it would not be exercising its option for an exclusive license for ARO-AMG1, and as such, there will be no further milestone or royalty payments under the ARO-AMG1 Agreement.</w:t>
      </w:r>
    </w:p>
    <w:p>
      <w:pPr>
        <w:spacing w:after="0" w:line="190"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Company substantially completed its performance obligations under the Olpasiran Agreement and the ARO-AMG1 Agreement. Future milestones and royalties achieved will be recognized in their entirety when earned. In July 2020, Amgen initiated a Phase 2 clinical study, which resulted in a $20.0 million milestone payment to the Company. During the years ended September 30, 2020, 2019 and 2018, the Company recognized $20.1 million, $0.3 million, and $16.1 million of Revenue associated with its agreements with Amgen, respectively. As of September 30, 2020, there were $0 million in contract assets recorded as accounts receivable and $0 contract liabilities recorded as current deferred revenue on the Company’s Consolidated Balance Sheets.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Janssen Pharmaceuticals, Inc.</w:t>
      </w:r>
    </w:p>
    <w:p>
      <w:pPr>
        <w:spacing w:after="0" w:line="119"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Phase 1 / 2 study of JNJ-3989 (ARO-HBV), Janssen is wholly responsible for clinical development and commercialization. Under the Janssen Collaboration Agreement, Janssen will be able to select three new targets against which Arrowhead will develop clinical candidates. These candidates are subject to certain restrictions and do not include candidates that already were in the Company’s pipeline. The Company will perform discovery, optimization and preclinical research and development, entirely funded by Janssen, which on its own or in combination with Janssen development work, is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two $25.0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mid-teens under the Janssen License Agreement and up to low teens under the Janssen Collaboration Agreement on product sales.</w:t>
      </w:r>
    </w:p>
    <w:p>
      <w:pPr>
        <w:spacing w:after="0" w:line="193"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 Company has evaluated these agreements in accordance with the new revenue recognition requirements that became effective for the Company on October 1, 2018. The adoption of the new revenue standard did not have a material impact on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7" w:name="page58"/>
    <w:bookmarkEnd w:id="57"/>
    <w:p>
      <w:pPr>
        <w:ind w:right="20"/>
        <w:spacing w:after="0" w:line="254" w:lineRule="auto"/>
        <w:rPr>
          <w:sz w:val="20"/>
          <w:szCs w:val="20"/>
          <w:color w:val="auto"/>
        </w:rPr>
      </w:pPr>
      <w:r>
        <w:rPr>
          <w:rFonts w:ascii="Times New Roman" w:cs="Times New Roman" w:eastAsia="Times New Roman" w:hAnsi="Times New Roman"/>
          <w:sz w:val="18"/>
          <w:szCs w:val="18"/>
          <w:color w:val="auto"/>
        </w:rPr>
        <w:t>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19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determined the transaction price totaled approximately $252.6 million which includes the upfront payment, the premium paid by JJDC for its equity investment in the Company, the two $25 million milestone payments earned and estimated payments for reimbursable Janssen R&amp;D Services to be performed. The Company has allocated the total $252.6 million initial transaction price to its one distinct performance obligation for the JNJ-3989 (ARO-HBV) license and the associated Janssen R&amp;D Services. This revenue will be recognized using a proportional performance method (based on actual labor hours versus estimated total labor hours) beginning in October 2018 and ending as the Company’s efforts in overseeing the phase 1/2 clinical trial are completed. During the years ended September 30, 2020 and 2019, the Company recognized approximately $65.0 million and $167.5 million of Revenue associated with this performance obligation, respectively. As of September 30, 2020, there were $0 in contract assets recorded as accounts receivable and $19.3 million of contract liabilities recorded as current deferred revenue on the Company’s Consolidated Balance Sheets. The $19.3 million of current deferred revenue is driven by the upfront payment, the premium paid by JJDC for its equity investment in the Company, and the two $25.0 million milestone payments earned, net of revenue recognized to date.</w:t>
      </w:r>
    </w:p>
    <w:p>
      <w:pPr>
        <w:spacing w:after="0" w:line="194"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Company has begun to conduct its discovery, optimization and preclinical research and development of ARO-JNJ1, ARO-JNJ2 and ARO-JNJ3 under the Janssen Collaboration Agreement. All costs and labor hours spent by the Company will be entirely funded by Janssen. During the years ended September 30, 2020 and 2019, the Company recognized $2.9 million and $1.0 million of Revenue associated with these efforts, respectively. As of September 30, 2020, there were $0.8 million of contract assets recorded as accounts receivable and $0 of contract liabilities recorded as current deferred revenue on the Company’s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years ended September 30, 2020 and 2019 are shown in the tables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facilities in Madison, Wisconsin and San Diego, California, including facility costs and laboratory-related expenses. Salaries and stock compensation expense consist of salary, bonuses, payroll taxes and related benefits and stock compensation for our R&amp;D personnel. Depreciation and amortization expense relates to</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8" w:name="page59"/>
    <w:bookmarkEnd w:id="58"/>
    <w:p>
      <w:pPr>
        <w:ind w:right="320"/>
        <w:spacing w:after="0" w:line="282" w:lineRule="auto"/>
        <w:rPr>
          <w:sz w:val="20"/>
          <w:szCs w:val="20"/>
          <w:color w:val="auto"/>
        </w:rPr>
      </w:pPr>
      <w:r>
        <w:rPr>
          <w:rFonts w:ascii="Times New Roman" w:cs="Times New Roman" w:eastAsia="Times New Roman" w:hAnsi="Times New Roman"/>
          <w:sz w:val="18"/>
          <w:szCs w:val="18"/>
          <w:color w:val="auto"/>
        </w:rPr>
        <w:t>depreciation on lab equipment and leasehold improvements at our research facilities. The following table provides details of research and development expenses for the periods indicated: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(table below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9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Salaries</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related</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Candidate costs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60,638</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47,062</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discovery costs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5"/>
        </w:trPr>
        <w:tc>
          <w:tcPr>
            <w:tcW w:w="33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research and development expense,</w:t>
            </w: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excluding non-cash expense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107,266</w:t>
            </w:r>
          </w:p>
        </w:tc>
        <w:tc>
          <w:tcPr>
            <w:tcW w:w="2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73,114</w:t>
            </w:r>
          </w:p>
        </w:tc>
        <w:tc>
          <w:tcPr>
            <w:tcW w:w="24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34,152</w:t>
            </w: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128,875</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81,049</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47,826</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Salaries expense increased by $10,798,000 from $15,502,000 during the year ended September 30, 2019 to $26,300,000 during the current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is primarily due to an increase in R&amp;D headcount that has occurred as the Company has expanded its pipeline of candidates.</w:t>
      </w:r>
    </w:p>
    <w:p>
      <w:pPr>
        <w:spacing w:after="0" w:line="207"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Facilities expense increased by $1,487,000 from $2,649,000 during the year ended September 30, 2019 to $4,136,000 during the current period. This category includes rental costs for our research and development facilities in Madison, Wisconsin and San Diego, California. This increase is primarily due the commencement of our sublease in San Diego, California in April 2020.</w:t>
      </w:r>
    </w:p>
    <w:p>
      <w:pPr>
        <w:spacing w:after="0" w:line="176" w:lineRule="exact"/>
        <w:rPr>
          <w:sz w:val="20"/>
          <w:szCs w:val="20"/>
          <w:color w:val="auto"/>
        </w:rPr>
      </w:pPr>
    </w:p>
    <w:p>
      <w:pPr>
        <w:ind w:right="480" w:firstLine="510"/>
        <w:spacing w:after="0" w:line="261" w:lineRule="auto"/>
        <w:rPr>
          <w:sz w:val="20"/>
          <w:szCs w:val="20"/>
          <w:color w:val="auto"/>
        </w:rPr>
      </w:pPr>
      <w:r>
        <w:rPr>
          <w:rFonts w:ascii="Times New Roman" w:cs="Times New Roman" w:eastAsia="Times New Roman" w:hAnsi="Times New Roman"/>
          <w:sz w:val="18"/>
          <w:szCs w:val="18"/>
          <w:color w:val="auto"/>
        </w:rPr>
        <w:t>Candidate costs increased by $13,576,000 from $47,062,000 during the year ended September 30, 2019 to $60,638,000 during the current period. This increase is primarily due to the progression of our pipeline candidates into and through clinical trials, which results in higher outsourced clinical trial, toxicity study and manufacturing costs. We anticipate these expenses to continue to increase as our pipeline of candidates grows and progresses to later phase clinical trials.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R&amp;D discovery costs increased by $8,291,000 from $7,901,000 during the year ended September 30, 2019 to $16,192,000 in the current</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period. This increase is due to the growth of our discovery efforts, including the addition of our research facility in San Diego. We anticipate this expense to continue to increase as we increase headcount to support our discovery efforts to identify new drug candidates.</w:t>
      </w:r>
    </w:p>
    <w:p>
      <w:pPr>
        <w:spacing w:after="0" w:line="18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Stock compensation expense, a non-cash expense, increased by $12,762,000 from $3,515,000 during the year ended September 30, 2019 to $16,277,000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is primarily due to the increased headcount discussed above and a mix of higher grant date fair values of awards amortizing during the periods due to the Company’s stock price at the time of the grants.</w:t>
      </w:r>
    </w:p>
    <w:p>
      <w:pPr>
        <w:spacing w:after="0" w:line="183"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a non-cash expense, increased by $912,000 from $4,420,000 during the year ended September 30, 2019 to $5,332,000 during the current period. The majority of depreciation and amortization expense relates to depreciation on lab equipment and leasehold improvements at our Madison research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&amp; 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our general and administrative expenses for the periods indicated: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(table below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9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60" w:type="dxa"/>
            <w:vAlign w:val="bottom"/>
            <w:tcBorders>
              <w:bottom w:val="single" w:sz="8" w:color="CFF0FC"/>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FF0FC"/>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FF0FC"/>
            </w:tcBorders>
            <w:vMerge w:val="continue"/>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Professional/outside services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related</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Other G&amp;A</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5"/>
        </w:trPr>
        <w:tc>
          <w:tcPr>
            <w:tcW w:w="32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general &amp; administrative expense,</w:t>
            </w:r>
          </w:p>
        </w:tc>
        <w:tc>
          <w:tcPr>
            <w:tcW w:w="3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excluding non-cash expense</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27,106</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general &amp; administrative expense</w:t>
            </w:r>
          </w:p>
        </w:tc>
        <w:tc>
          <w:tcPr>
            <w:tcW w:w="3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52,275</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26,556</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40" w:firstLine="510"/>
        <w:spacing w:after="0" w:line="282" w:lineRule="auto"/>
        <w:rPr>
          <w:sz w:val="20"/>
          <w:szCs w:val="20"/>
          <w:color w:val="auto"/>
        </w:rPr>
      </w:pPr>
      <w:r>
        <w:rPr>
          <w:rFonts w:ascii="Times New Roman" w:cs="Times New Roman" w:eastAsia="Times New Roman" w:hAnsi="Times New Roman"/>
          <w:sz w:val="18"/>
          <w:szCs w:val="18"/>
          <w:color w:val="auto"/>
        </w:rPr>
        <w:t>Salaries expense increased by $3,493,000 from $8,288,000 during the year ended September 30, 2019 to $11,781,000 during the current period. The increase is primarily driven by annual merit increases, performance bonuses and increased headcount.</w:t>
      </w:r>
    </w:p>
    <w:p>
      <w:pPr>
        <w:spacing w:after="0" w:line="162"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Professional/outside services include legal, accounting, consulting, patent expenses, business insurance expenses and other outside services retained by the Company. Professional/outside services expense increased by $1,737,000 from $5,605,000 during the year ended September 30, 2019 to $7,342,000 during the current period. The increases is primarily related to certain patent-related expenses.</w:t>
      </w:r>
    </w:p>
    <w:p>
      <w:pPr>
        <w:spacing w:after="0" w:line="176" w:lineRule="exact"/>
        <w:rPr>
          <w:sz w:val="20"/>
          <w:szCs w:val="20"/>
          <w:color w:val="auto"/>
        </w:rPr>
      </w:pPr>
    </w:p>
    <w:p>
      <w:pPr>
        <w:jc w:val="both"/>
        <w:ind w:right="500" w:firstLine="510"/>
        <w:spacing w:after="0" w:line="266" w:lineRule="auto"/>
        <w:rPr>
          <w:sz w:val="20"/>
          <w:szCs w:val="20"/>
          <w:color w:val="auto"/>
        </w:rPr>
      </w:pPr>
      <w:r>
        <w:rPr>
          <w:rFonts w:ascii="Times New Roman" w:cs="Times New Roman" w:eastAsia="Times New Roman" w:hAnsi="Times New Roman"/>
          <w:sz w:val="18"/>
          <w:szCs w:val="18"/>
          <w:color w:val="auto"/>
        </w:rPr>
        <w:t>Facilities-related expense increased by $769,000 from $1,434,000 during the year ended September 30, 2019 to $2,203,000 during the current period. This category primarily includes rental costs for our corporate headquarters in Pasadena, California. The increase in the expense is primarily related to costs incurred as we moved into our new corporate headquarters during the current period.</w:t>
      </w:r>
    </w:p>
    <w:p>
      <w:pPr>
        <w:spacing w:after="0" w:line="176" w:lineRule="exact"/>
        <w:rPr>
          <w:sz w:val="20"/>
          <w:szCs w:val="20"/>
          <w:color w:val="auto"/>
        </w:rPr>
      </w:pPr>
    </w:p>
    <w:p>
      <w:pPr>
        <w:jc w:val="both"/>
        <w:ind w:right="260" w:firstLine="510"/>
        <w:spacing w:after="0" w:line="266" w:lineRule="auto"/>
        <w:rPr>
          <w:sz w:val="20"/>
          <w:szCs w:val="20"/>
          <w:color w:val="auto"/>
        </w:rPr>
      </w:pPr>
      <w:r>
        <w:rPr>
          <w:rFonts w:ascii="Times New Roman" w:cs="Times New Roman" w:eastAsia="Times New Roman" w:hAnsi="Times New Roman"/>
          <w:sz w:val="18"/>
          <w:szCs w:val="18"/>
          <w:color w:val="auto"/>
        </w:rPr>
        <w:t>Other G&amp;A expense increased by $900,000 from $2,332,000 during the year ended September 30, 2019 to $3,232,000 during the current period. This category consists primarily of travel, communication and technology, office expenses, and franchise and property tax expenses. The increase in the expense was due to increased communication and technology and office expenses associated with our new corporate headquarters.</w:t>
      </w:r>
    </w:p>
    <w:p>
      <w:pPr>
        <w:spacing w:after="0" w:line="176"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Stock compensation expense, a non-cash expense, increased by $18,228,000 from $8,878,000 during the year ended September 30, 2019 to $27,106,000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expense is primarily due to the timing of the achievement of certain performance-based awards in each period and a mix of higher grant date fair values of awards amortizing during the periods due to the Company’s stock price at the time of the grants.</w:t>
      </w:r>
    </w:p>
    <w:p>
      <w:pPr>
        <w:spacing w:after="0" w:line="183"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a noncash expense, increased by $592,000 from $19,000 during the year ended September 30, 2019 to $611,000 during the current period. The increase is primarily related to amortization of leasehold improvements for our new corporate headquarters.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w:t>
      </w:r>
    </w:p>
    <w:p>
      <w:pPr>
        <w:spacing w:after="0" w:line="12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Other income / expense was income of $6,957,768 during the year ended September 30, 2019 compared to income of $8,607,977 during the current period. Interest income has increased in the current period as our investment holdings have grown.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Cash Resources</w:t>
      </w:r>
    </w:p>
    <w:p>
      <w:pPr>
        <w:spacing w:after="0" w:line="121"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Arrowhead has historically financed its operations through the sale of its equity securities. Research and development activities have required significant capital investment since the Company’s inception and are expected to continue to require significant cash expenditure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8"/>
          <w:szCs w:val="18"/>
          <w:color w:val="auto"/>
        </w:rPr>
        <w:t>At September 30, 2020, the Company had cash on hand of approximately $143.6 million as compared to $221.8 million at September 30,</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2019. Cash invested in short-term fixed income securities and marketable securities was $171.9 million at September 30, 2020, compared to $36.9 million at September 30, 2019. Cash invested in long-term fixed income securities was $137.5 million at September 30, 2020, compared to $44.2 million at September 30, 2019. The Company also entered into an Open Market Sale Agreement (the “ATM” agreement), pursuant to which the Company may, from time to time, sell up to $250,000,000 in shares of the Company’s common stock through Jefferies LLC. As of the year ended September 30, 2020, no shares have been issued under the ATM agreement. The Company believes its current financial resources are sufficient to fund its operations through at least the next twelve months.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cash flows for the years ended September 30, 2020, 2019, and 2018 as follows:</w:t>
      </w:r>
    </w:p>
    <w:p>
      <w:pPr>
        <w:spacing w:after="0" w:line="26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80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4"/>
                <w:szCs w:val="14"/>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w:t>
            </w:r>
          </w:p>
        </w:tc>
        <w:tc>
          <w:tcPr>
            <w:tcW w:w="6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(95,391,570)</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173,034,923</w:t>
            </w:r>
          </w:p>
        </w:tc>
        <w:tc>
          <w:tcPr>
            <w:tcW w:w="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(47,223,417)</w:t>
            </w: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(240,777,764)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(47,746,007)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(7,434,963)</w:t>
            </w: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257,947,873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66,381,999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59,953,026</w:t>
            </w:r>
          </w:p>
        </w:tc>
        <w:tc>
          <w:tcPr>
            <w:tcW w:w="100" w:type="dxa"/>
            <w:vAlign w:val="bottom"/>
          </w:tcPr>
          <w:p>
            <w:pPr>
              <w:spacing w:after="0"/>
              <w:rPr>
                <w:sz w:val="19"/>
                <w:szCs w:val="19"/>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6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(78,221,461)</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191,670,915</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5,294,646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221,804,128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30,133,213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24,838,567</w:t>
            </w:r>
          </w:p>
        </w:tc>
        <w:tc>
          <w:tcPr>
            <w:tcW w:w="100" w:type="dxa"/>
            <w:vAlign w:val="bottom"/>
          </w:tcPr>
          <w:p>
            <w:pPr>
              <w:spacing w:after="0"/>
              <w:rPr>
                <w:sz w:val="19"/>
                <w:szCs w:val="19"/>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143,582,667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221,804,128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30,133,213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2020, the Company used $95.4 million in cash from operating activities, which was primarily related to the ongoing expenses of the Company’s research and development programs and general and administrative expenses. Cash used in investing activities was $240.8 million, which was primarily related to the purchase of investments of $279.0 million and property and equipment of $12.0 million, partially offset by maturities of fixed-income securities of $50.1 million. Cash provided by financing activities of $257.9 million was driven by the securities financing in December 2019, which generated $250.5 million in net cash proceeds, as well as $7.5 million in cash received from stock option exercises.</w:t>
      </w:r>
    </w:p>
    <w:p>
      <w:pPr>
        <w:spacing w:after="0" w:line="183"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During the year ended September 30, 2019, the Company generated $173.0 million in cash from operating activities, which was primarily related to the $175.0 million upfront payment and the two $25.0 million milestone payments received from Janssen, and the premium JJDC paid on the Company’s common stock during the period. These inflows were partially offset by approximately $66.5 million of cash used for the ongoing expenses of the Company’s research and development programs and general and administrative expenses. Cash used in investing activities was $47.7 million, which was primarily related to purchases of fixed-income investments of $90.3 million partially offset by maturities of fixed-income investments of $54.5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Cash provided by financing activities of $66.4 million was driven by the equity investment the Company received from JJDC during the period.</w:t>
      </w:r>
    </w:p>
    <w:p>
      <w:pPr>
        <w:spacing w:after="0" w:line="20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2018, the Company used $47.2 million in cash from operating activities, which was primarily related to $57.2 million used for the on-going expenses of its research and development programs and general and administrative expenses, offset by the $10 million milestone payment for the AMG 890 (ARO-LPA) Agreement with Amgen. Cash used in investing activities was $7.4 million, which was primarily related to maturities of fixed-income investments of $46.1 million offset by purchases of fixed-income securities of $52.1 million. Cash provided by financing activities of $60.0 million was driven by the $56.6 million of cash generated from the underwritten public offering in January 2018.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In the table below, we set forth our enforceable and legally binding obligations and future commitments at September 30, 2020 for the categories shown, as well as obligations related to contracts in such categories that we are likely to continue. Some of the figures that we include in this table are based on management’s estimates and assumptions about these obligations, including their duration, the possibility of renewal, anticipated actions by third parties and other factors. Because these estimates and assumptions are necessarily subjective, the obligations we will actually pay in future periods may vary from those reflected in the table. The following</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1" w:name="page62"/>
    <w:bookmarkEnd w:id="61"/>
    <w:p>
      <w:pPr>
        <w:ind w:right="100"/>
        <w:spacing w:after="0" w:line="282" w:lineRule="auto"/>
        <w:rPr>
          <w:sz w:val="20"/>
          <w:szCs w:val="20"/>
          <w:color w:val="auto"/>
        </w:rPr>
      </w:pPr>
      <w:r>
        <w:rPr>
          <w:rFonts w:ascii="Times New Roman" w:cs="Times New Roman" w:eastAsia="Times New Roman" w:hAnsi="Times New Roman"/>
          <w:sz w:val="18"/>
          <w:szCs w:val="18"/>
          <w:color w:val="auto"/>
        </w:rPr>
        <w:t>table does not include any future obligations that may be owed under existing license agreements, as the certainty of achieving the relevant milestones that would trigger these payments is currently unknown.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0" w:type="dxa"/>
            <w:vAlign w:val="bottom"/>
          </w:tcPr>
          <w:p>
            <w:pPr>
              <w:spacing w:after="0"/>
              <w:rPr>
                <w:sz w:val="1"/>
                <w:szCs w:val="1"/>
                <w:color w:val="auto"/>
              </w:rPr>
            </w:pPr>
          </w:p>
        </w:tc>
      </w:tr>
      <w:tr>
        <w:trPr>
          <w:trHeight w:val="120"/>
        </w:trPr>
        <w:tc>
          <w:tcPr>
            <w:tcW w:w="3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80" w:type="dxa"/>
            <w:vAlign w:val="bottom"/>
          </w:tcPr>
          <w:p>
            <w:pPr>
              <w:spacing w:after="0"/>
              <w:rPr>
                <w:sz w:val="10"/>
                <w:szCs w:val="10"/>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32,311,207</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3,091,901</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7,260,044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6,627,966</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15,331,296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77,965,922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60,176,232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17,789,690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$ 110,277,129</w:t>
            </w:r>
          </w:p>
        </w:tc>
        <w:tc>
          <w:tcPr>
            <w:tcW w:w="2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63,268,133</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25,049,734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6,627,966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15,331,296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180" w:firstLine="510"/>
        <w:spacing w:after="0" w:line="255"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which could adversely affect the value of our interest rate-sensitive assets and liabilities. We do not hold any instruments for trading purposes and investment criteria are governed by the Company’s Investment Policy. As of September 30, 2020 and 2019, we had cash and cash equivalents of $143.6 million and $221.8 million, respectively, and short-term and long-term investments and marketable securities of $309.4 million and $81.1 million, respectively. At times, we have invested our cash reserves in corporate bonds typically with maturities of less than 3 years, and we have historically classified these investments as held-to-maturity. Due to the relatively short-term nature of the investments that we hold, we do not believe that the results of operations or cash flows would be affected to any significant degree by a sudden change in market interest rates relative to our investment portfolio.</w:t>
      </w:r>
    </w:p>
    <w:p>
      <w:pPr>
        <w:spacing w:after="0" w:line="29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included in Item 15 of this Annual Report on Form 10-K.</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Our Chief Executive Officer and our Chief Financial Officer, after evaluating our “disclosure controls and procedures” (as defined in Securities Exchange Act of 1934 (the “Exchange Act”) Rules 13a-15(e) and 15d-15(e)) as of the end of the period covered by this Annual Report on Form 10-K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(“GAAP”).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92"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Management’s Assessment of the Effectiveness of our Internal Control over Financial Reporting</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the criteria set forth in Internal Control – Integrated Framework issued by the Committee of Sponsoring Organizations of the Treadway Commission (COSO). Based on the Company’s assessment, management has concluded that its internal control over financial reporting was effective as of September 30, 2020 to provide reasonable assurance regarding the reliability of financial reporting and the preparation of financial statements in accordance with GAAP. The Company’s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3" w:name="page64"/>
    <w:bookmarkEnd w:id="63"/>
    <w:p>
      <w:pPr>
        <w:ind w:right="140"/>
        <w:spacing w:after="0" w:line="282" w:lineRule="auto"/>
        <w:rPr>
          <w:sz w:val="20"/>
          <w:szCs w:val="20"/>
          <w:color w:val="auto"/>
        </w:rPr>
      </w:pPr>
      <w:r>
        <w:rPr>
          <w:rFonts w:ascii="Times New Roman" w:cs="Times New Roman" w:eastAsia="Times New Roman" w:hAnsi="Times New Roman"/>
          <w:sz w:val="18"/>
          <w:szCs w:val="18"/>
          <w:color w:val="auto"/>
        </w:rPr>
        <w:t>independent registered public accounting firm, Rose, Snyder and Jacobs LLP, has issued an audit report on the Company’s internal control over financial reporting, which appears in Item 15 of this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fourth quarter of the year ended September 30, 2020 that has materially affected, or is reasonably likely to materially affect, our internal control over financial reporting.</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2021 Annual Meeting of Stockholders, which proxy statement will be filed no later than January 28, 2021.</w:t>
      </w:r>
    </w:p>
    <w:p>
      <w:pPr>
        <w:spacing w:after="0" w:line="162"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as part of our Code of Corporate Conduct, that applies to all of our directors, officers and employees, including our principal executive, principal financial and principal accounting officers, or persons performing similar functions. Our Code of Ethics is posted on our website located at https://arrowheadpharma.com/code-corporate-conduct/. We intend to disclose future amendments to certain provisions of the Code of Ethics, and waivers of the Code of Ethics granted to executive officers and directors, on the website within four business days following the date of the amendment or waiver.</w:t>
      </w:r>
    </w:p>
    <w:p>
      <w:pPr>
        <w:spacing w:after="0" w:line="28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2021 Annual Meeting of Stockholders, which proxy statement will be filed no later than January 28, 2021.</w:t>
      </w:r>
    </w:p>
    <w:p>
      <w:pPr>
        <w:spacing w:after="0" w:line="266" w:lineRule="exact"/>
        <w:rPr>
          <w:sz w:val="20"/>
          <w:szCs w:val="20"/>
          <w:color w:val="auto"/>
        </w:rPr>
      </w:pPr>
    </w:p>
    <w:p>
      <w:pPr>
        <w:ind w:left="1160" w:right="120" w:hanging="1146"/>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2021 Annual Meeting of Stockholders, which proxy statement will be filed no later than January 28, 2021.</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2021 Annual Meeting of Stockholders, which proxy statement will be filed no later than January 28, 2021.</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our Definitive Proxy Statement to be filed for our 2021 Annual Meeting of Stockholders, which proxy statement will be filed no later than January 28, 2021.</w:t>
      </w:r>
    </w:p>
    <w:p>
      <w:pPr>
        <w:spacing w:after="0" w:line="26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3" w:lineRule="exact"/>
        <w:rPr>
          <w:sz w:val="20"/>
          <w:szCs w:val="20"/>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Index to Financial Statements and Schedule on page F-1.</w:t>
      </w:r>
    </w:p>
    <w:p>
      <w:pPr>
        <w:spacing w:after="0" w:line="113" w:lineRule="exact"/>
        <w:rPr>
          <w:rFonts w:ascii="Times New Roman" w:cs="Times New Roman" w:eastAsia="Times New Roman" w:hAnsi="Times New Roman"/>
          <w:sz w:val="18"/>
          <w:szCs w:val="18"/>
          <w:b w:val="1"/>
          <w:bCs w:val="1"/>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left="520" w:firstLine="487"/>
        <w:spacing w:after="0" w:line="266" w:lineRule="auto"/>
        <w:rPr>
          <w:sz w:val="20"/>
          <w:szCs w:val="20"/>
          <w:color w:val="auto"/>
        </w:rPr>
      </w:pPr>
      <w:r>
        <w:rPr>
          <w:rFonts w:ascii="Times New Roman" w:cs="Times New Roman" w:eastAsia="Times New Roman" w:hAnsi="Times New Roman"/>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64" w:name="page65"/>
    <w:bookmarkEnd w:id="64"/>
    <w:p>
      <w:pPr>
        <w:ind w:left="1000" w:hanging="493"/>
        <w:spacing w:after="0"/>
        <w:tabs>
          <w:tab w:leader="none" w:pos="10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exhibits are filed (or incorporated by reference herein) as part of this Annual Report on Form 10-K:</w:t>
      </w:r>
    </w:p>
    <w:p>
      <w:pPr>
        <w:sectPr>
          <w:pgSz w:w="11900" w:h="16838" w:orient="portrait"/>
          <w:cols w:equalWidth="0" w:num="1">
            <w:col w:w="11220"/>
          </w:cols>
          <w:pgMar w:left="320" w:top="117" w:right="359" w:bottom="1440" w:gutter="0" w:footer="0" w:header="0"/>
        </w:sect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96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4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Open Market Sale Agreement, dated as of August 5, 2020, by and between</w:t>
              </w:r>
            </w:hyperlink>
          </w:p>
        </w:tc>
        <w:tc>
          <w:tcPr>
            <w:tcW w:w="56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960" w:type="dxa"/>
            <w:vAlign w:val="bottom"/>
            <w:gridSpan w:val="18"/>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Arrowhead Pharmaceuticals, Inc. and Jefferies LLC</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8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Stock and Asset Purchase Agreement between Arrowhead Research Corporation</w:t>
              </w:r>
            </w:hyperlink>
          </w:p>
        </w:tc>
        <w:tc>
          <w:tcPr>
            <w:tcW w:w="14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and Roche entities, dated October 21, 2011†</w:t>
              </w:r>
            </w:hyperlink>
          </w:p>
        </w:tc>
        <w:tc>
          <w:tcPr>
            <w:tcW w:w="2760" w:type="dxa"/>
            <w:vAlign w:val="bottom"/>
            <w:gridSpan w:val="10"/>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5960" w:type="dxa"/>
            <w:vAlign w:val="bottom"/>
            <w:gridSpan w:val="18"/>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Asset Purchase and Exclusive License Agreement between Arrowhead Research</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Corporation and Novartis Institutes for BioMedical Research, Inc., dated March 3,</w:t>
              </w:r>
            </w:hyperlink>
          </w:p>
        </w:tc>
      </w:tr>
      <w:tr>
        <w:trPr>
          <w:trHeight w:val="196"/>
        </w:trPr>
        <w:tc>
          <w:tcPr>
            <w:tcW w:w="11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94">
              <w:r>
                <w:rPr>
                  <w:rFonts w:ascii="Times New Roman" w:cs="Times New Roman" w:eastAsia="Times New Roman" w:hAnsi="Times New Roman"/>
                  <w:sz w:val="18"/>
                  <w:szCs w:val="18"/>
                  <w:color w:val="0000EE"/>
                  <w:w w:val="97"/>
                </w:rPr>
                <w:t>2015†</w:t>
              </w:r>
            </w:hyperlink>
          </w:p>
        </w:tc>
        <w:tc>
          <w:tcPr>
            <w:tcW w:w="5500" w:type="dxa"/>
            <w:vAlign w:val="bottom"/>
            <w:gridSpan w:val="17"/>
          </w:tcPr>
          <w:p>
            <w:pPr>
              <w:spacing w:after="0"/>
              <w:rPr>
                <w:sz w:val="17"/>
                <w:szCs w:val="17"/>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960" w:type="dxa"/>
            <w:vAlign w:val="bottom"/>
            <w:gridSpan w:val="18"/>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Amended and Restated Certificate of Incorporation of Arrowhead Research</w:t>
              </w:r>
            </w:hyperlink>
          </w:p>
        </w:tc>
      </w:tr>
      <w:tr>
        <w:trPr>
          <w:trHeight w:val="20"/>
        </w:trPr>
        <w:tc>
          <w:tcPr>
            <w:tcW w:w="1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gridSpan w:val="18"/>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Corporation, a Delaware corporation, filed with the Secretary of State of the State</w:t>
              </w:r>
            </w:hyperlink>
          </w:p>
        </w:tc>
      </w:tr>
      <w:tr>
        <w:trPr>
          <w:trHeight w:val="196"/>
        </w:trPr>
        <w:tc>
          <w:tcPr>
            <w:tcW w:w="1140" w:type="dxa"/>
            <w:vAlign w:val="bottom"/>
          </w:tcPr>
          <w:p>
            <w:pPr>
              <w:spacing w:after="0"/>
              <w:rPr>
                <w:sz w:val="17"/>
                <w:szCs w:val="17"/>
                <w:color w:val="auto"/>
              </w:rPr>
            </w:pPr>
          </w:p>
        </w:tc>
        <w:tc>
          <w:tcPr>
            <w:tcW w:w="58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of Delaware on April 5, 2016</w:t>
              </w:r>
            </w:hyperlink>
          </w:p>
        </w:tc>
        <w:tc>
          <w:tcPr>
            <w:tcW w:w="8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960" w:type="dxa"/>
            <w:vAlign w:val="bottom"/>
            <w:gridSpan w:val="18"/>
          </w:tcPr>
          <w:p>
            <w:pPr>
              <w:spacing w:after="0"/>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Amended and Restated Bylaws of Arrowhead Pharmaceuticals, Inc.</w:t>
              </w:r>
            </w:hyperlink>
          </w:p>
        </w:tc>
      </w:tr>
      <w:tr>
        <w:trPr>
          <w:trHeight w:val="55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960" w:type="dxa"/>
            <w:vAlign w:val="bottom"/>
            <w:gridSpan w:val="18"/>
          </w:tcPr>
          <w:p>
            <w:pPr>
              <w:spacing w:after="0"/>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Form of Common Stock Certificate of Arrowhead Pharmaceuticals, Inc.</w:t>
              </w:r>
            </w:hyperlink>
          </w:p>
        </w:tc>
      </w:tr>
      <w:tr>
        <w:trPr>
          <w:trHeight w:val="55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960" w:type="dxa"/>
            <w:vAlign w:val="bottom"/>
            <w:gridSpan w:val="18"/>
          </w:tcPr>
          <w:p>
            <w:pPr>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Form of Indenture</w:t>
              </w:r>
            </w:hyperlink>
          </w:p>
        </w:tc>
      </w:tr>
      <w:tr>
        <w:trPr>
          <w:trHeight w:val="51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Rights Agreement dated as of March 21, 2017, between the Company and</w:t>
              </w:r>
            </w:hyperlink>
          </w:p>
        </w:tc>
        <w:tc>
          <w:tcPr>
            <w:tcW w:w="62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9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Computershare Trust Company, N.A., as rights agent, which includes as Exhibit B</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1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the Form of Rights Certificate</w:t>
              </w:r>
            </w:hyperlink>
          </w:p>
        </w:tc>
        <w:tc>
          <w:tcPr>
            <w:tcW w:w="3780" w:type="dxa"/>
            <w:vAlign w:val="bottom"/>
            <w:gridSpan w:val="14"/>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Description of Registrant’s Securities</w:t>
            </w:r>
          </w:p>
        </w:tc>
        <w:tc>
          <w:tcPr>
            <w:tcW w:w="3260" w:type="dxa"/>
            <w:vAlign w:val="bottom"/>
            <w:gridSpan w:val="12"/>
          </w:tcPr>
          <w:p>
            <w:pPr>
              <w:spacing w:after="0"/>
              <w:rPr>
                <w:sz w:val="24"/>
                <w:szCs w:val="24"/>
                <w:color w:val="auto"/>
              </w:rPr>
            </w:pPr>
          </w:p>
        </w:tc>
      </w:tr>
      <w:tr>
        <w:trPr>
          <w:trHeight w:val="57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960" w:type="dxa"/>
            <w:vAlign w:val="bottom"/>
            <w:gridSpan w:val="18"/>
          </w:tcPr>
          <w:p>
            <w:pPr>
              <w:spacing w:after="0"/>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Arrowhead Research Corporation 2004 Equity Incentive Plan, as amended</w:t>
              </w:r>
            </w:hyperlink>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960" w:type="dxa"/>
            <w:vAlign w:val="bottom"/>
            <w:gridSpan w:val="18"/>
          </w:tcPr>
          <w:p>
            <w:pPr>
              <w:spacing w:after="0"/>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Arrowhead Research Corporation 2013 Incentive Plan</w:t>
              </w:r>
            </w:hyperlink>
          </w:p>
        </w:tc>
      </w:tr>
      <w:tr>
        <w:trPr>
          <w:trHeight w:val="55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960" w:type="dxa"/>
            <w:vAlign w:val="bottom"/>
            <w:gridSpan w:val="18"/>
          </w:tcPr>
          <w:p>
            <w:pPr>
              <w:spacing w:after="0"/>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Form of Stock Option Agreement for use with the 2013 Incentive Plan</w:t>
              </w:r>
            </w:hyperlink>
          </w:p>
        </w:tc>
      </w:tr>
      <w:tr>
        <w:trPr>
          <w:trHeight w:val="55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960" w:type="dxa"/>
            <w:vAlign w:val="bottom"/>
            <w:gridSpan w:val="18"/>
          </w:tcPr>
          <w:p>
            <w:pPr>
              <w:spacing w:after="0"/>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Form of Restricted Stock Unit Agreement for use with the 2013 Incentive Plan</w:t>
              </w:r>
            </w:hyperlink>
          </w:p>
        </w:tc>
      </w:tr>
      <w:tr>
        <w:trPr>
          <w:trHeight w:val="55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960" w:type="dxa"/>
            <w:vAlign w:val="bottom"/>
            <w:gridSpan w:val="18"/>
          </w:tcPr>
          <w:p>
            <w:pPr>
              <w:spacing w:after="0"/>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Executive Incentive Plan, adopted December 12, 2006</w:t>
              </w:r>
            </w:hyperlink>
          </w:p>
        </w:tc>
      </w:tr>
      <w:tr>
        <w:trPr>
          <w:trHeight w:val="51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9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Employment Agreement between Arrowhead and Dr. Christopher Anzalone, dated</w:t>
              </w:r>
            </w:hyperlink>
          </w:p>
        </w:tc>
      </w:tr>
      <w:tr>
        <w:trPr>
          <w:trHeight w:val="196"/>
        </w:trPr>
        <w:tc>
          <w:tcPr>
            <w:tcW w:w="114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05">
              <w:r>
                <w:rPr>
                  <w:rFonts w:ascii="Times New Roman" w:cs="Times New Roman" w:eastAsia="Times New Roman" w:hAnsi="Times New Roman"/>
                  <w:sz w:val="18"/>
                  <w:szCs w:val="18"/>
                  <w:color w:val="0000EE"/>
                  <w:w w:val="97"/>
                </w:rPr>
                <w:t>June 11, 2008</w:t>
              </w:r>
            </w:hyperlink>
          </w:p>
        </w:tc>
        <w:tc>
          <w:tcPr>
            <w:tcW w:w="4960" w:type="dxa"/>
            <w:vAlign w:val="bottom"/>
            <w:gridSpan w:val="16"/>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960" w:type="dxa"/>
            <w:vAlign w:val="bottom"/>
            <w:gridSpan w:val="18"/>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Amendment to Employment Agreement between Arrowhead and Dr. Christopher</w:t>
              </w:r>
            </w:hyperlink>
          </w:p>
        </w:tc>
      </w:tr>
      <w:tr>
        <w:trPr>
          <w:trHeight w:val="196"/>
        </w:trPr>
        <w:tc>
          <w:tcPr>
            <w:tcW w:w="114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Anzalone, effective May 12, 2009</w:t>
              </w:r>
            </w:hyperlink>
          </w:p>
        </w:tc>
        <w:tc>
          <w:tcPr>
            <w:tcW w:w="3400" w:type="dxa"/>
            <w:vAlign w:val="bottom"/>
            <w:tcBorders>
              <w:top w:val="single" w:sz="8" w:color="0000EE"/>
            </w:tcBorders>
            <w:gridSpan w:val="10"/>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9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Non-Exclusive License Agreement between Arrowhead Research Corporation and</w:t>
              </w:r>
            </w:hyperlink>
          </w:p>
        </w:tc>
      </w:tr>
      <w:tr>
        <w:trPr>
          <w:trHeight w:val="196"/>
        </w:trPr>
        <w:tc>
          <w:tcPr>
            <w:tcW w:w="1140" w:type="dxa"/>
            <w:vAlign w:val="bottom"/>
          </w:tcPr>
          <w:p>
            <w:pPr>
              <w:spacing w:after="0"/>
              <w:rPr>
                <w:sz w:val="17"/>
                <w:szCs w:val="17"/>
                <w:color w:val="auto"/>
              </w:rPr>
            </w:pPr>
          </w:p>
        </w:tc>
        <w:tc>
          <w:tcPr>
            <w:tcW w:w="5960" w:type="dxa"/>
            <w:vAlign w:val="bottom"/>
            <w:gridSpan w:val="18"/>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Roche entities, dated October 21, 2011†</w:t>
              </w:r>
            </w:hyperlink>
          </w:p>
        </w:tc>
      </w:tr>
      <w:tr>
        <w:trPr>
          <w:trHeight w:val="453"/>
        </w:trPr>
        <w:tc>
          <w:tcPr>
            <w:tcW w:w="1140" w:type="dxa"/>
            <w:vAlign w:val="bottom"/>
          </w:tcPr>
          <w:p>
            <w:pPr>
              <w:spacing w:after="0"/>
              <w:rPr>
                <w:sz w:val="24"/>
                <w:szCs w:val="24"/>
                <w:color w:val="auto"/>
              </w:rPr>
            </w:pPr>
          </w:p>
        </w:tc>
        <w:tc>
          <w:tcPr>
            <w:tcW w:w="2880" w:type="dxa"/>
            <w:vAlign w:val="bottom"/>
            <w:tcBorders>
              <w:top w:val="single" w:sz="8" w:color="0000EE"/>
            </w:tcBorders>
            <w:gridSpan w:val="7"/>
          </w:tcPr>
          <w:p>
            <w:pPr>
              <w:spacing w:after="0"/>
              <w:rPr>
                <w:sz w:val="24"/>
                <w:szCs w:val="24"/>
                <w:color w:val="auto"/>
              </w:rPr>
            </w:pPr>
          </w:p>
        </w:tc>
        <w:tc>
          <w:tcPr>
            <w:tcW w:w="246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4860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ind w:left="1060"/>
        <w:spacing w:after="0"/>
        <w:tabs>
          <w:tab w:leader="none" w:pos="308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24860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5, 2020</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as Exhibit 1.1</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December 20,</w:t>
            </w: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as</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Exhibit 2.1</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11, 2015</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as Exhibit 2.1</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6, 2016</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Exhibit 3.3</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6, 2016</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Exhibit 3.4</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6, 2016</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Exhibit 4.1</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28, 2016</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S-3, as Exhibit 4.2</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 23, 2017</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Exhibit 4.1</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as</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25,</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Exhibit 4.4</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337"/>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Schedule 14C, as Annex B</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January 12, 2012</w:t>
            </w: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Schedule 14C, as Annex A</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20,</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12, 2014</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12, 2014</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Exhibit 10.2</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as</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14,</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Exhibit 10.11</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13, 2008</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as</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22,</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Exhibit 10.8</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as</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20,</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Exhibit 10.33</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bl>
    <w:p>
      <w:pPr>
        <w:sectPr>
          <w:pgSz w:w="11900" w:h="16838" w:orient="portrait"/>
          <w:cols w:equalWidth="0" w:num="2">
            <w:col w:w="7100" w:space="220"/>
            <w:col w:w="3900"/>
          </w:cols>
          <w:pgMar w:left="320" w:top="117" w:right="359" w:bottom="1440" w:gutter="0" w:footer="0" w:header="0"/>
          <w:type w:val="continuous"/>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80" w:type="dxa"/>
            <w:vAlign w:val="bottom"/>
          </w:tcPr>
          <w:p>
            <w:pPr>
              <w:spacing w:after="0"/>
              <w:rPr>
                <w:sz w:val="15"/>
                <w:szCs w:val="15"/>
                <w:color w:val="auto"/>
              </w:rPr>
            </w:pPr>
          </w:p>
        </w:tc>
        <w:tc>
          <w:tcPr>
            <w:tcW w:w="30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860" w:type="dxa"/>
            <w:vAlign w:val="bottom"/>
            <w:tcBorders>
              <w:bottom w:val="single" w:sz="8" w:color="auto"/>
            </w:tcBorders>
          </w:tcPr>
          <w:p>
            <w:pPr>
              <w:spacing w:after="0"/>
              <w:rPr>
                <w:sz w:val="15"/>
                <w:szCs w:val="15"/>
                <w:color w:val="auto"/>
              </w:rPr>
            </w:pPr>
          </w:p>
        </w:tc>
      </w:tr>
      <w:tr>
        <w:trPr>
          <w:trHeight w:val="142"/>
        </w:trPr>
        <w:tc>
          <w:tcPr>
            <w:tcW w:w="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648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2480" w:type="dxa"/>
            <w:vAlign w:val="bottom"/>
            <w:tcBorders>
              <w:bottom w:val="single" w:sz="8" w:color="auto"/>
            </w:tcBorders>
          </w:tcPr>
          <w:p>
            <w:pPr>
              <w:ind w:left="10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r>
    </w:tbl>
    <w:p>
      <w:pPr>
        <w:spacing w:after="0" w:line="90" w:lineRule="exact"/>
        <w:rPr>
          <w:sz w:val="20"/>
          <w:szCs w:val="20"/>
          <w:color w:val="auto"/>
        </w:rPr>
      </w:pPr>
    </w:p>
    <w:p>
      <w:pPr>
        <w:sectPr>
          <w:pgSz w:w="11900" w:h="16838" w:orient="portrait"/>
          <w:cols w:equalWidth="0" w:num="1">
            <w:col w:w="11240"/>
          </w:cols>
          <w:pgMar w:left="320" w:top="182"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060" w:type="dxa"/>
            <w:vAlign w:val="bottom"/>
            <w:gridSpan w:val="25"/>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Collaboration Agreement by and among Alnylam Pharmaceuticals, Inc. and F.</w:t>
              </w:r>
            </w:hyperlink>
          </w:p>
        </w:tc>
      </w:tr>
      <w:tr>
        <w:trPr>
          <w:trHeight w:val="20"/>
        </w:trPr>
        <w:tc>
          <w:tcPr>
            <w:tcW w:w="11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6060" w:type="dxa"/>
            <w:vAlign w:val="bottom"/>
            <w:gridSpan w:val="25"/>
          </w:tcPr>
          <w:p>
            <w:pPr>
              <w:spacing w:after="0"/>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Hoffmann-La Roche Ltd and Hoffman-La Roche Inc., dated October 29, 2009 †</w:t>
              </w:r>
            </w:hyperlink>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6060" w:type="dxa"/>
            <w:vAlign w:val="bottom"/>
            <w:gridSpan w:val="25"/>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License Agreement by and between Alnylam Pharmaceuticals, Inc., Arrowhead</w:t>
              </w:r>
            </w:hyperlink>
          </w:p>
        </w:tc>
      </w:tr>
      <w:tr>
        <w:trPr>
          <w:trHeight w:val="196"/>
        </w:trPr>
        <w:tc>
          <w:tcPr>
            <w:tcW w:w="1140" w:type="dxa"/>
            <w:vAlign w:val="bottom"/>
          </w:tcPr>
          <w:p>
            <w:pPr>
              <w:spacing w:after="0"/>
              <w:rPr>
                <w:sz w:val="17"/>
                <w:szCs w:val="17"/>
                <w:color w:val="auto"/>
              </w:rPr>
            </w:pPr>
          </w:p>
        </w:tc>
        <w:tc>
          <w:tcPr>
            <w:tcW w:w="57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Research Corporation and Arrowhead Madison, Inc.†</w:t>
              </w:r>
            </w:hyperlink>
          </w:p>
        </w:tc>
        <w:tc>
          <w:tcPr>
            <w:tcW w:w="320" w:type="dxa"/>
            <w:vAlign w:val="bottom"/>
            <w:gridSpan w:val="9"/>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60" w:type="dxa"/>
            <w:vAlign w:val="bottom"/>
            <w:gridSpan w:val="25"/>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Lease Agreement between University Research Park, Incorporated and Arrowhead</w:t>
              </w:r>
            </w:hyperlink>
          </w:p>
        </w:tc>
      </w:tr>
      <w:tr>
        <w:trPr>
          <w:trHeight w:val="196"/>
        </w:trPr>
        <w:tc>
          <w:tcPr>
            <w:tcW w:w="1140" w:type="dxa"/>
            <w:vAlign w:val="bottom"/>
          </w:tcPr>
          <w:p>
            <w:pPr>
              <w:spacing w:after="0"/>
              <w:rPr>
                <w:sz w:val="17"/>
                <w:szCs w:val="17"/>
                <w:color w:val="auto"/>
              </w:rPr>
            </w:pPr>
          </w:p>
        </w:tc>
        <w:tc>
          <w:tcPr>
            <w:tcW w:w="59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Madison, Inc., dated January 8, 2016</w:t>
              </w:r>
            </w:hyperlink>
          </w:p>
        </w:tc>
        <w:tc>
          <w:tcPr>
            <w:tcW w:w="100" w:type="dxa"/>
            <w:vAlign w:val="bottom"/>
            <w:gridSpan w:val="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60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First Collaboration and Licensing Agreement between Arrowhead Pharmaceuticals,</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Inc. and Amgen Inc., dated September 28, 2016†</w:t>
              </w:r>
            </w:hyperlink>
          </w:p>
        </w:tc>
        <w:tc>
          <w:tcPr>
            <w:tcW w:w="2520" w:type="dxa"/>
            <w:vAlign w:val="bottom"/>
            <w:gridSpan w:val="19"/>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6060" w:type="dxa"/>
            <w:vAlign w:val="bottom"/>
            <w:gridSpan w:val="25"/>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Second Collaboration and Licensing Agreement between Arrowhead</w:t>
              </w:r>
            </w:hyperlink>
          </w:p>
        </w:tc>
      </w:tr>
      <w:tr>
        <w:trPr>
          <w:trHeight w:val="237"/>
        </w:trPr>
        <w:tc>
          <w:tcPr>
            <w:tcW w:w="1140" w:type="dxa"/>
            <w:vAlign w:val="bottom"/>
          </w:tcPr>
          <w:p>
            <w:pPr>
              <w:spacing w:after="0"/>
              <w:rPr>
                <w:sz w:val="20"/>
                <w:szCs w:val="20"/>
                <w:color w:val="auto"/>
              </w:rPr>
            </w:pPr>
          </w:p>
        </w:tc>
        <w:tc>
          <w:tcPr>
            <w:tcW w:w="4960" w:type="dxa"/>
            <w:vAlign w:val="bottom"/>
            <w:tcBorders>
              <w:top w:val="single" w:sz="8" w:color="0000EE"/>
            </w:tcBorders>
            <w:gridSpan w:val="9"/>
          </w:tcPr>
          <w:p>
            <w:pPr>
              <w:spacing w:after="0"/>
              <w:rPr>
                <w:rFonts w:ascii="Times New Roman" w:cs="Times New Roman" w:eastAsia="Times New Roman" w:hAnsi="Times New Roman"/>
                <w:sz w:val="18"/>
                <w:szCs w:val="18"/>
                <w:u w:val="single" w:color="auto"/>
                <w:color w:val="0000EE"/>
              </w:rPr>
            </w:pPr>
            <w:hyperlink r:id="rId115">
              <w:r>
                <w:rPr>
                  <w:rFonts w:ascii="Times New Roman" w:cs="Times New Roman" w:eastAsia="Times New Roman" w:hAnsi="Times New Roman"/>
                  <w:sz w:val="18"/>
                  <w:szCs w:val="18"/>
                  <w:u w:val="single" w:color="auto"/>
                  <w:color w:val="0000EE"/>
                </w:rPr>
                <w:t>Pharmaceuticals, Inc. and Amgen Inc., dated September 28, 2016†</w:t>
              </w:r>
            </w:hyperlink>
          </w:p>
        </w:tc>
        <w:tc>
          <w:tcPr>
            <w:tcW w:w="1100" w:type="dxa"/>
            <w:vAlign w:val="bottom"/>
            <w:gridSpan w:val="16"/>
          </w:tcPr>
          <w:p>
            <w:pPr>
              <w:spacing w:after="0"/>
              <w:rPr>
                <w:sz w:val="20"/>
                <w:szCs w:val="20"/>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60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Common Stock Purchase Agreement between the Company and Amgen Inc., dated</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060" w:type="dxa"/>
            <w:vAlign w:val="bottom"/>
            <w:gridSpan w:val="25"/>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September 28, 2016</w:t>
              </w:r>
            </w:hyperlink>
          </w:p>
        </w:tc>
      </w:tr>
      <w:tr>
        <w:trPr>
          <w:trHeight w:val="20"/>
        </w:trPr>
        <w:tc>
          <w:tcPr>
            <w:tcW w:w="11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3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9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License Agreement by and between Arrowhead Pharmaceuticals, Inc. and Janssen</w:t>
              </w:r>
            </w:hyperlink>
          </w:p>
        </w:tc>
        <w:tc>
          <w:tcPr>
            <w:tcW w:w="12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060" w:type="dxa"/>
            <w:vAlign w:val="bottom"/>
            <w:gridSpan w:val="25"/>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Pharmaceuticals, Inc., dated October 3, 2018†</w:t>
              </w:r>
            </w:hyperlink>
          </w:p>
        </w:tc>
      </w:tr>
      <w:tr>
        <w:trPr>
          <w:trHeight w:val="20"/>
        </w:trPr>
        <w:tc>
          <w:tcPr>
            <w:tcW w:w="11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4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Research Collaboration and Option Agreement by and between Arrowhead</w:t>
              </w:r>
            </w:hyperlink>
          </w:p>
        </w:tc>
        <w:tc>
          <w:tcPr>
            <w:tcW w:w="640" w:type="dxa"/>
            <w:vAlign w:val="bottom"/>
            <w:gridSpan w:val="12"/>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6060" w:type="dxa"/>
            <w:vAlign w:val="bottom"/>
            <w:gridSpan w:val="25"/>
          </w:tcPr>
          <w:p>
            <w:pPr>
              <w:spacing w:after="0"/>
              <w:rPr>
                <w:rFonts w:ascii="Times New Roman" w:cs="Times New Roman" w:eastAsia="Times New Roman" w:hAnsi="Times New Roman"/>
                <w:sz w:val="18"/>
                <w:szCs w:val="18"/>
                <w:u w:val="single" w:color="auto"/>
                <w:color w:val="0000EE"/>
              </w:rPr>
            </w:pPr>
            <w:hyperlink r:id="rId118">
              <w:r>
                <w:rPr>
                  <w:rFonts w:ascii="Times New Roman" w:cs="Times New Roman" w:eastAsia="Times New Roman" w:hAnsi="Times New Roman"/>
                  <w:sz w:val="18"/>
                  <w:szCs w:val="18"/>
                  <w:u w:val="single" w:color="auto"/>
                  <w:color w:val="0000EE"/>
                </w:rPr>
                <w:t>Pharmaceuticals, Inc. and Janssen Pharmaceuticals, Inc., dated October 3, 2018†</w:t>
              </w:r>
            </w:hyperlink>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9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Stock Purchase Agreement by and between Johnson &amp; Johnson Innovation-JJDC,</w:t>
              </w:r>
            </w:hyperlink>
          </w:p>
        </w:tc>
        <w:tc>
          <w:tcPr>
            <w:tcW w:w="16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Inc. and Arrowhead Pharmaceuticals, Inc., dated October 3, 2018</w:t>
              </w:r>
            </w:hyperlink>
          </w:p>
        </w:tc>
        <w:tc>
          <w:tcPr>
            <w:tcW w:w="1340" w:type="dxa"/>
            <w:vAlign w:val="bottom"/>
            <w:gridSpan w:val="17"/>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Registration Rights Agreement by and between Arrowhead Pharmaceuticals, Inc.</w:t>
              </w:r>
            </w:hyperlink>
          </w:p>
        </w:tc>
        <w:tc>
          <w:tcPr>
            <w:tcW w:w="180" w:type="dxa"/>
            <w:vAlign w:val="bottom"/>
            <w:gridSpan w:val="8"/>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6060" w:type="dxa"/>
            <w:vAlign w:val="bottom"/>
            <w:gridSpan w:val="25"/>
          </w:tcPr>
          <w:p>
            <w:pPr>
              <w:spacing w:after="0"/>
              <w:rPr>
                <w:rFonts w:ascii="Times New Roman" w:cs="Times New Roman" w:eastAsia="Times New Roman" w:hAnsi="Times New Roman"/>
                <w:sz w:val="18"/>
                <w:szCs w:val="18"/>
                <w:u w:val="single" w:color="auto"/>
                <w:color w:val="0000EE"/>
              </w:rPr>
            </w:pPr>
            <w:hyperlink r:id="rId120">
              <w:r>
                <w:rPr>
                  <w:rFonts w:ascii="Times New Roman" w:cs="Times New Roman" w:eastAsia="Times New Roman" w:hAnsi="Times New Roman"/>
                  <w:sz w:val="18"/>
                  <w:szCs w:val="18"/>
                  <w:u w:val="single" w:color="auto"/>
                  <w:color w:val="0000EE"/>
                </w:rPr>
                <w:t>and Johnson &amp; Johnson Innovation-JJDC, Inc., dated October 3, 2018</w:t>
              </w:r>
            </w:hyperlink>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0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Amendment No. 1 to License Agreement by and between Arrowhead</w:t>
            </w:r>
          </w:p>
        </w:tc>
        <w:tc>
          <w:tcPr>
            <w:tcW w:w="106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0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Pharmaceuticals, Inc. and Janssen Pharmaceuticals, Inc., dated December 18, 2018†</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0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Amendment No. 2 to License Agreement by and between Arrowhead</w:t>
            </w:r>
          </w:p>
        </w:tc>
        <w:tc>
          <w:tcPr>
            <w:tcW w:w="106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0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Pharmaceuticals, Inc. and Janssen Pharmaceuticals, Inc., dated February </w:t>
            </w:r>
            <w:r>
              <w:rPr>
                <w:rFonts w:ascii="Times New Roman" w:cs="Times New Roman" w:eastAsia="Times New Roman" w:hAnsi="Times New Roman"/>
                <w:sz w:val="18"/>
                <w:szCs w:val="18"/>
                <w:color w:val="000000"/>
              </w:rPr>
              <w:t>4, 2019†</w:t>
            </w:r>
          </w:p>
        </w:tc>
      </w:tr>
      <w:tr>
        <w:trPr>
          <w:trHeight w:val="20"/>
        </w:trPr>
        <w:tc>
          <w:tcPr>
            <w:tcW w:w="11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6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Amendment No. 1 to Research Collaboration and Option Agreement by and</w:t>
            </w:r>
          </w:p>
        </w:tc>
      </w:tr>
      <w:tr>
        <w:trPr>
          <w:trHeight w:val="20"/>
        </w:trPr>
        <w:tc>
          <w:tcPr>
            <w:tcW w:w="11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100" w:type="dxa"/>
            <w:vAlign w:val="bottom"/>
            <w:tcBorders>
              <w:right w:val="single" w:sz="8" w:color="0000EE"/>
            </w:tcBorders>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between Arrowhead Pharmaceuticals, Inc. and Janssen Pharmaceuticals, Inc., dated</w:t>
            </w:r>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0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November 14, 2019†</w:t>
            </w:r>
          </w:p>
        </w:tc>
      </w:tr>
      <w:tr>
        <w:trPr>
          <w:trHeight w:val="20"/>
        </w:trPr>
        <w:tc>
          <w:tcPr>
            <w:tcW w:w="11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6060" w:type="dxa"/>
            <w:vAlign w:val="bottom"/>
            <w:gridSpan w:val="25"/>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Office Lease by and between 177 Colorado Owner LLC and Arrowhead</w:t>
              </w:r>
            </w:hyperlink>
          </w:p>
        </w:tc>
      </w:tr>
      <w:tr>
        <w:trPr>
          <w:trHeight w:val="196"/>
        </w:trPr>
        <w:tc>
          <w:tcPr>
            <w:tcW w:w="1140" w:type="dxa"/>
            <w:vAlign w:val="bottom"/>
          </w:tcPr>
          <w:p>
            <w:pPr>
              <w:spacing w:after="0"/>
              <w:rPr>
                <w:sz w:val="17"/>
                <w:szCs w:val="17"/>
                <w:color w:val="auto"/>
              </w:rPr>
            </w:pPr>
          </w:p>
        </w:tc>
        <w:tc>
          <w:tcPr>
            <w:tcW w:w="52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Pharmaceuticals, Inc., dated April 17, 2019</w:t>
              </w:r>
            </w:hyperlink>
          </w:p>
        </w:tc>
        <w:tc>
          <w:tcPr>
            <w:tcW w:w="840" w:type="dxa"/>
            <w:vAlign w:val="bottom"/>
            <w:gridSpan w:val="1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2800" w:type="dxa"/>
            <w:vAlign w:val="bottom"/>
            <w:gridSpan w:val="1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9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Amendment No. 1 to Lease Agreement between Arrowhead Pharmaceuticals, Inc.</w:t>
              </w:r>
            </w:hyperlink>
          </w:p>
        </w:tc>
        <w:tc>
          <w:tcPr>
            <w:tcW w:w="140" w:type="dxa"/>
            <w:vAlign w:val="bottom"/>
            <w:gridSpan w:val="6"/>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6060" w:type="dxa"/>
            <w:vAlign w:val="bottom"/>
            <w:gridSpan w:val="25"/>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and University Research Park, Incorporated, dated October 22, 2018*+</w:t>
              </w:r>
            </w:hyperlink>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9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98">
              <w:r>
                <w:rPr>
                  <w:rFonts w:ascii="Times New Roman" w:cs="Times New Roman" w:eastAsia="Times New Roman" w:hAnsi="Times New Roman"/>
                  <w:sz w:val="18"/>
                  <w:szCs w:val="18"/>
                  <w:color w:val="0000EE"/>
                  <w:w w:val="99"/>
                </w:rPr>
                <w:t>Amendment No. 2 to Lease Agreement between Arrowhead Pharmaceuticals, Inc.</w:t>
              </w:r>
            </w:hyperlink>
          </w:p>
        </w:tc>
        <w:tc>
          <w:tcPr>
            <w:tcW w:w="140" w:type="dxa"/>
            <w:vAlign w:val="bottom"/>
            <w:gridSpan w:val="6"/>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6060" w:type="dxa"/>
            <w:vAlign w:val="bottom"/>
            <w:gridSpan w:val="25"/>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and University Research Park, Incorporated, dated January 10, 2019*+</w:t>
              </w:r>
            </w:hyperlink>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9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Amendment No. 3 to Lease Agreement between Arrowhead Pharmaceuticals, Inc.</w:t>
              </w:r>
            </w:hyperlink>
          </w:p>
        </w:tc>
        <w:tc>
          <w:tcPr>
            <w:tcW w:w="140" w:type="dxa"/>
            <w:vAlign w:val="bottom"/>
            <w:gridSpan w:val="6"/>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6060" w:type="dxa"/>
            <w:vAlign w:val="bottom"/>
            <w:gridSpan w:val="25"/>
          </w:tcPr>
          <w:p>
            <w:pPr>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and University Research Park, Incorporated, dated January 11, 2019*+</w:t>
              </w:r>
            </w:hyperlink>
          </w:p>
        </w:tc>
      </w:tr>
      <w:tr>
        <w:trPr>
          <w:trHeight w:val="553"/>
        </w:trPr>
        <w:tc>
          <w:tcPr>
            <w:tcW w:w="1140" w:type="dxa"/>
            <w:vAlign w:val="bottom"/>
          </w:tcPr>
          <w:p>
            <w:pPr>
              <w:spacing w:after="0"/>
              <w:rPr>
                <w:sz w:val="24"/>
                <w:szCs w:val="24"/>
                <w:color w:val="auto"/>
              </w:rPr>
            </w:pPr>
          </w:p>
        </w:tc>
        <w:tc>
          <w:tcPr>
            <w:tcW w:w="4720" w:type="dxa"/>
            <w:vAlign w:val="bottom"/>
            <w:gridSpan w:val="8"/>
          </w:tcPr>
          <w:p>
            <w:pPr>
              <w:ind w:left="440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Annual Report on Form 10-K, as Exhibit 10.36</w:t>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Quarterly Report on Form 10-Q, as Exhibit 10.1</w:t>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Quarterly Report on Form 10-Q, as Exhibit 10.1</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Annual Report on Form 10-K, as Exhibit 10.18</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Annual Report on Form 10-K, as Exhibit 10.19</w:t>
      </w:r>
    </w:p>
    <w:p>
      <w:pPr>
        <w:spacing w:after="0" w:line="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Amendment No. 1 to the Registration Statement on Form S-3, as Exhibit 10.1)</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Quarterly Report on Form 10-Q, as Exhibit 10.1</w:t>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Quarterly Report on Form 10-Q, as Exhibit 10.2</w:t>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Quarterly Report on Form 10-Q, as Exhibit 10.3</w:t>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Quarterly Report on Form 10-Q, as Exhibit 10.4</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Annual Report on Form 10-K, as Exhibit 10.19</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Annual Report on Form 10-K, as Exhibit 10.20</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Annual Report on Form 10-K, as Exhibit 10.21</w:t>
      </w:r>
    </w:p>
    <w:p>
      <w:pPr>
        <w:spacing w:after="0" w:line="2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Quarterly Report on Form 10-Q, as Exhibit 10.1</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December 20, 2011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2014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2016</w:t>
      </w:r>
    </w:p>
    <w:p>
      <w:pPr>
        <w:spacing w:after="0" w:line="34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December 14, 2016</w:t>
      </w:r>
    </w:p>
    <w:p>
      <w:pPr>
        <w:spacing w:after="0" w:line="6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December 14, 2016</w:t>
      </w:r>
    </w:p>
    <w:p>
      <w:pPr>
        <w:spacing w:after="0" w:line="6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November 25, 2016</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2019</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2019</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2019</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2019</w:t>
      </w:r>
    </w:p>
    <w:p>
      <w:pPr>
        <w:spacing w:after="0" w:line="34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November 25, 2019</w:t>
      </w:r>
    </w:p>
    <w:p>
      <w:pPr>
        <w:spacing w:after="0" w:line="6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November 25, 2019</w:t>
      </w:r>
    </w:p>
    <w:p>
      <w:pPr>
        <w:spacing w:after="0" w:line="6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November 25, 2019</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2019</w:t>
      </w:r>
    </w:p>
    <w:p>
      <w:pPr>
        <w:sectPr>
          <w:pgSz w:w="11900" w:h="16838" w:orient="portrait"/>
          <w:cols w:equalWidth="0" w:num="3">
            <w:col w:w="7200" w:space="120"/>
            <w:col w:w="2380" w:space="200"/>
            <w:col w:w="1340"/>
          </w:cols>
          <w:pgMar w:left="320" w:top="182"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5"/>
        </w:trPr>
        <w:tc>
          <w:tcPr>
            <w:tcW w:w="1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5920" w:type="dxa"/>
            <w:vAlign w:val="bottom"/>
            <w:gridSpan w:val="9"/>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10.26</w:t>
            </w:r>
          </w:p>
        </w:tc>
        <w:tc>
          <w:tcPr>
            <w:tcW w:w="592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9"/>
              </w:rPr>
            </w:pPr>
            <w:hyperlink w:anchor="page110">
              <w:r>
                <w:rPr>
                  <w:rFonts w:ascii="Times New Roman" w:cs="Times New Roman" w:eastAsia="Times New Roman" w:hAnsi="Times New Roman"/>
                  <w:sz w:val="18"/>
                  <w:szCs w:val="18"/>
                  <w:color w:val="0000EE"/>
                  <w:w w:val="99"/>
                </w:rPr>
                <w:t>Amendment No. 4 to Lease Agreement between Arrowhead Pharmaceuticals, Inc.</w:t>
              </w:r>
            </w:hyperlink>
          </w:p>
        </w:tc>
      </w:tr>
      <w:tr>
        <w:trPr>
          <w:trHeight w:val="237"/>
        </w:trPr>
        <w:tc>
          <w:tcPr>
            <w:tcW w:w="1140" w:type="dxa"/>
            <w:vAlign w:val="bottom"/>
          </w:tcPr>
          <w:p>
            <w:pPr>
              <w:spacing w:after="0"/>
              <w:rPr>
                <w:sz w:val="20"/>
                <w:szCs w:val="20"/>
                <w:color w:val="auto"/>
              </w:rPr>
            </w:pPr>
          </w:p>
        </w:tc>
        <w:tc>
          <w:tcPr>
            <w:tcW w:w="5920" w:type="dxa"/>
            <w:vAlign w:val="bottom"/>
            <w:gridSpan w:val="9"/>
          </w:tcPr>
          <w:p>
            <w:pPr>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and University Research Park, Incorporated, dated September 19, 2019 *+</w:t>
              </w:r>
            </w:hyperlink>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59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114">
              <w:r>
                <w:rPr>
                  <w:rFonts w:ascii="Times New Roman" w:cs="Times New Roman" w:eastAsia="Times New Roman" w:hAnsi="Times New Roman"/>
                  <w:sz w:val="18"/>
                  <w:szCs w:val="18"/>
                  <w:color w:val="0000EE"/>
                  <w:w w:val="99"/>
                </w:rPr>
                <w:t>Amendment No. 5 to Lease Agreement between Arrowhead Pharmaceuticals, Inc.</w:t>
              </w:r>
            </w:hyperlink>
          </w:p>
        </w:tc>
      </w:tr>
      <w:tr>
        <w:trPr>
          <w:trHeight w:val="237"/>
        </w:trPr>
        <w:tc>
          <w:tcPr>
            <w:tcW w:w="1140" w:type="dxa"/>
            <w:vAlign w:val="bottom"/>
          </w:tcPr>
          <w:p>
            <w:pPr>
              <w:spacing w:after="0"/>
              <w:rPr>
                <w:sz w:val="20"/>
                <w:szCs w:val="20"/>
                <w:color w:val="auto"/>
              </w:rPr>
            </w:pPr>
          </w:p>
        </w:tc>
        <w:tc>
          <w:tcPr>
            <w:tcW w:w="5920" w:type="dxa"/>
            <w:vAlign w:val="bottom"/>
            <w:gridSpan w:val="9"/>
          </w:tcPr>
          <w:p>
            <w:pPr>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and University Research Park, Incorporated, dated May 14, 2020*+</w:t>
              </w:r>
            </w:hyperlink>
          </w:p>
        </w:tc>
      </w:tr>
      <w:tr>
        <w:trPr>
          <w:trHeight w:val="391"/>
        </w:trPr>
        <w:tc>
          <w:tcPr>
            <w:tcW w:w="1140" w:type="dxa"/>
            <w:vAlign w:val="bottom"/>
          </w:tcPr>
          <w:p>
            <w:pPr>
              <w:spacing w:after="0"/>
              <w:rPr>
                <w:sz w:val="24"/>
                <w:szCs w:val="24"/>
                <w:color w:val="auto"/>
              </w:rPr>
            </w:pPr>
          </w:p>
        </w:tc>
        <w:tc>
          <w:tcPr>
            <w:tcW w:w="5920" w:type="dxa"/>
            <w:vAlign w:val="bottom"/>
            <w:gridSpan w:val="9"/>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Sublease Agreement by and between Halozyme, Inc. and Arrowhead</w:t>
              </w:r>
            </w:hyperlink>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49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Pharmaceuticals Inc. dated March 3, 2020</w:t>
              </w:r>
              <w:r>
                <w:rPr>
                  <w:rFonts w:ascii="Times New Roman" w:cs="Times New Roman" w:eastAsia="Times New Roman" w:hAnsi="Times New Roman"/>
                  <w:sz w:val="18"/>
                  <w:szCs w:val="18"/>
                  <w:color w:val="000000"/>
                </w:rPr>
                <w:t>†</w:t>
              </w:r>
            </w:hyperlink>
          </w:p>
        </w:tc>
        <w:tc>
          <w:tcPr>
            <w:tcW w:w="960" w:type="dxa"/>
            <w:vAlign w:val="bottom"/>
            <w:gridSpan w:val="5"/>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040" w:type="dxa"/>
            <w:vAlign w:val="bottom"/>
            <w:tcBorders>
              <w:top w:val="single" w:sz="8" w:color="0000EE"/>
            </w:tcBorders>
            <w:gridSpan w:val="3"/>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List of Subsidiaries*</w:t>
              </w:r>
            </w:hyperlink>
          </w:p>
        </w:tc>
        <w:tc>
          <w:tcPr>
            <w:tcW w:w="2880" w:type="dxa"/>
            <w:vAlign w:val="bottom"/>
            <w:gridSpan w:val="6"/>
          </w:tcPr>
          <w:p>
            <w:pPr>
              <w:spacing w:after="0"/>
              <w:rPr>
                <w:sz w:val="24"/>
                <w:szCs w:val="24"/>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920" w:type="dxa"/>
            <w:vAlign w:val="bottom"/>
            <w:gridSpan w:val="9"/>
          </w:tcPr>
          <w:p>
            <w:pPr>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Consent of Independent Public Registered Accounting Firm*</w:t>
              </w:r>
            </w:hyperlink>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920" w:type="dxa"/>
            <w:vAlign w:val="bottom"/>
            <w:gridSpan w:val="9"/>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Power of Attorney (contained on signature page)</w:t>
              </w:r>
            </w:hyperlink>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8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Certification of Chief Executive Officer pursuant to Section 302 of the Sarbanes-</w:t>
              </w:r>
            </w:hyperlink>
          </w:p>
        </w:tc>
        <w:tc>
          <w:tcPr>
            <w:tcW w:w="8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123">
              <w:r>
                <w:rPr>
                  <w:rFonts w:ascii="Times New Roman" w:cs="Times New Roman" w:eastAsia="Times New Roman" w:hAnsi="Times New Roman"/>
                  <w:sz w:val="18"/>
                  <w:szCs w:val="18"/>
                  <w:color w:val="0000EE"/>
                  <w:w w:val="98"/>
                </w:rPr>
                <w:t>Oxley Act of 2002*</w:t>
              </w:r>
            </w:hyperlink>
          </w:p>
        </w:tc>
        <w:tc>
          <w:tcPr>
            <w:tcW w:w="4480" w:type="dxa"/>
            <w:vAlign w:val="bottom"/>
            <w:gridSpan w:val="8"/>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920" w:type="dxa"/>
            <w:vAlign w:val="bottom"/>
            <w:gridSpan w:val="9"/>
          </w:tcPr>
          <w:p>
            <w:pPr>
              <w:spacing w:after="0"/>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Certification of Chief Financial Officer pursuant to Section 302 of the Sarbanes-</w:t>
              </w:r>
            </w:hyperlink>
          </w:p>
        </w:tc>
      </w:tr>
      <w:tr>
        <w:trPr>
          <w:trHeight w:val="196"/>
        </w:trPr>
        <w:tc>
          <w:tcPr>
            <w:tcW w:w="1140" w:type="dxa"/>
            <w:vAlign w:val="bottom"/>
          </w:tcPr>
          <w:p>
            <w:pPr>
              <w:spacing w:after="0"/>
              <w:rPr>
                <w:sz w:val="17"/>
                <w:szCs w:val="17"/>
                <w:color w:val="auto"/>
              </w:rPr>
            </w:pPr>
          </w:p>
        </w:tc>
        <w:tc>
          <w:tcPr>
            <w:tcW w:w="14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124">
              <w:r>
                <w:rPr>
                  <w:rFonts w:ascii="Times New Roman" w:cs="Times New Roman" w:eastAsia="Times New Roman" w:hAnsi="Times New Roman"/>
                  <w:sz w:val="18"/>
                  <w:szCs w:val="18"/>
                  <w:color w:val="0000EE"/>
                  <w:w w:val="98"/>
                </w:rPr>
                <w:t>Oxley Act of 2002*</w:t>
              </w:r>
            </w:hyperlink>
          </w:p>
        </w:tc>
        <w:tc>
          <w:tcPr>
            <w:tcW w:w="4340" w:type="dxa"/>
            <w:vAlign w:val="bottom"/>
            <w:tcBorders>
              <w:top w:val="single" w:sz="8" w:color="0000EE"/>
            </w:tcBorders>
            <w:gridSpan w:val="4"/>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920" w:type="dxa"/>
            <w:vAlign w:val="bottom"/>
            <w:gridSpan w:val="9"/>
          </w:tcPr>
          <w:p>
            <w:pPr>
              <w:spacing w:after="0"/>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Certification by Chief Executive Officer pursuant to Section 906 of the Sarbanes-</w:t>
              </w:r>
            </w:hyperlink>
          </w:p>
        </w:tc>
      </w:tr>
      <w:tr>
        <w:trPr>
          <w:trHeight w:val="196"/>
        </w:trPr>
        <w:tc>
          <w:tcPr>
            <w:tcW w:w="114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Oxley Act of 2002***</w:t>
              </w:r>
            </w:hyperlink>
          </w:p>
        </w:tc>
        <w:tc>
          <w:tcPr>
            <w:tcW w:w="424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8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Certification by Chief Financial Officer pursuant to Section 906 of the Sarbanes-</w:t>
              </w:r>
            </w:hyperlink>
          </w:p>
        </w:tc>
        <w:tc>
          <w:tcPr>
            <w:tcW w:w="10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6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Oxley Act of 2002***</w:t>
              </w:r>
            </w:hyperlink>
          </w:p>
        </w:tc>
        <w:tc>
          <w:tcPr>
            <w:tcW w:w="4300" w:type="dxa"/>
            <w:vAlign w:val="bottom"/>
            <w:gridSpan w:val="7"/>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left="90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4860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ind w:left="1060"/>
        <w:spacing w:after="0"/>
        <w:tabs>
          <w:tab w:leader="none" w:pos="308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24860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May 7, 2020</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as Exhibit 10.1</w:t>
            </w:r>
          </w:p>
        </w:tc>
        <w:tc>
          <w:tcPr>
            <w:tcW w:w="1120" w:type="dxa"/>
            <w:vAlign w:val="bottom"/>
          </w:tcPr>
          <w:p>
            <w:pPr>
              <w:spacing w:after="0"/>
              <w:rPr>
                <w:sz w:val="20"/>
                <w:szCs w:val="20"/>
                <w:color w:val="auto"/>
              </w:rPr>
            </w:pPr>
          </w:p>
        </w:tc>
      </w:tr>
    </w:tbl>
    <w:p>
      <w:pPr>
        <w:spacing w:after="0" w:line="3329" w:lineRule="exact"/>
        <w:rPr>
          <w:sz w:val="20"/>
          <w:szCs w:val="20"/>
          <w:color w:val="auto"/>
        </w:rPr>
      </w:pPr>
    </w:p>
    <w:p>
      <w:pPr>
        <w:sectPr>
          <w:pgSz w:w="11900" w:h="16838" w:orient="portrait"/>
          <w:cols w:equalWidth="0" w:num="2">
            <w:col w:w="7060" w:space="260"/>
            <w:col w:w="3920"/>
          </w:cols>
          <w:pgMar w:left="320" w:top="182" w:right="339" w:bottom="1440" w:gutter="0" w:footer="0" w:header="0"/>
        </w:sect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Inline XBRL Presentation Linkbase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spacing w:after="0" w:line="103" w:lineRule="exact"/>
        <w:rPr>
          <w:sz w:val="20"/>
          <w:szCs w:val="20"/>
          <w:color w:val="auto"/>
        </w:rPr>
      </w:pPr>
    </w:p>
    <w:p>
      <w:pPr>
        <w:ind w:left="1140" w:right="4260" w:hanging="1132"/>
        <w:spacing w:after="0" w:line="312" w:lineRule="auto"/>
        <w:tabs>
          <w:tab w:leader="none" w:pos="11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529"/>
        </w:rPr>
        <w:t>The cover page from the Company’s Annual Report on Form 10-K for the year ended September 30, 2020, formatted in Inline XBRL (included as Exhibit 101)*</w:t>
      </w:r>
    </w:p>
    <w:p>
      <w:pPr>
        <w:spacing w:after="0" w:line="167"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compensation plan, contract or arrangement.</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confidential portions of this exhibit were omitted by means of marking such portions with asterisks because the identified confidential portions</w:t>
      </w:r>
    </w:p>
    <w:p>
      <w:pPr>
        <w:spacing w:after="0" w:line="20"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are not material and (ii) would be competitively harmful if publicly disclosed.</w:t>
      </w:r>
    </w:p>
    <w:p>
      <w:pPr>
        <w:spacing w:after="0" w:line="9" w:lineRule="exact"/>
        <w:rPr>
          <w:sz w:val="20"/>
          <w:szCs w:val="20"/>
          <w:color w:val="auto"/>
        </w:rPr>
      </w:pPr>
    </w:p>
    <w:p>
      <w:pPr>
        <w:ind w:left="380" w:right="20" w:hanging="372"/>
        <w:spacing w:after="0" w:line="260"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in this exhibit have been omitted in accordance with Item 601(b)(2) of Regulation S-K. A copy of any omitted schedule and/or exhibit will be furnished supplementally to the Securities and Exchange Commission upon request.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on Form 10-K to be signed on its behalf by the undersigned, thereunto duly authorized, on this 20th day of November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20,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ARROWHEAD PHARMACEUTICALS, INC.</w:t>
      </w:r>
    </w:p>
    <w:p>
      <w:pPr>
        <w:spacing w:after="0" w:line="2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wp:posOffset>
            </wp:positionV>
            <wp:extent cx="25457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Christopher Anzalone</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5"/>
                <w:szCs w:val="15"/>
                <w:color w:val="auto"/>
              </w:rPr>
            </w:pPr>
          </w:p>
        </w:tc>
        <w:tc>
          <w:tcPr>
            <w:tcW w:w="53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31"/>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Anzalone</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Executive Officer, President and</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2020</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Christopher Anzalone</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2360" w:type="dxa"/>
            <w:vAlign w:val="bottom"/>
          </w:tcPr>
          <w:p>
            <w:pPr>
              <w:spacing w:after="0"/>
              <w:rPr>
                <w:sz w:val="20"/>
                <w:szCs w:val="20"/>
                <w:color w:val="auto"/>
              </w:rPr>
            </w:pPr>
          </w:p>
        </w:tc>
      </w:tr>
      <w:tr>
        <w:trPr>
          <w:trHeight w:val="31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A. Myszkowski</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 (Principal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2020</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Kenneth A. Myszkowski</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2360" w:type="dxa"/>
            <w:vAlign w:val="bottom"/>
          </w:tcPr>
          <w:p>
            <w:pPr>
              <w:spacing w:after="0"/>
              <w:rPr>
                <w:sz w:val="20"/>
                <w:szCs w:val="20"/>
                <w:color w:val="auto"/>
              </w:rPr>
            </w:pPr>
          </w:p>
        </w:tc>
      </w:tr>
      <w:tr>
        <w:trPr>
          <w:trHeight w:val="31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Douglass Given</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 Chairman of the Board of Directors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2020</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Douglass Given</w:t>
            </w:r>
          </w:p>
        </w:tc>
        <w:tc>
          <w:tcPr>
            <w:tcW w:w="14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Mauro Ferrari</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2020</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Mauro Ferrari</w:t>
            </w:r>
          </w:p>
        </w:tc>
        <w:tc>
          <w:tcPr>
            <w:tcW w:w="14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S. Perry</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2020</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Michael S. Perry</w:t>
            </w:r>
          </w:p>
        </w:tc>
        <w:tc>
          <w:tcPr>
            <w:tcW w:w="14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William Waddill</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2020</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William Waddill</w:t>
            </w:r>
          </w:p>
        </w:tc>
        <w:tc>
          <w:tcPr>
            <w:tcW w:w="14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Marianne De Backer</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2020</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Marianne De Backer</w:t>
            </w:r>
          </w:p>
        </w:tc>
        <w:tc>
          <w:tcPr>
            <w:tcW w:w="14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Adeoye Olukotun</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 2020</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Adeoye Olukotun</w:t>
            </w:r>
          </w:p>
        </w:tc>
        <w:tc>
          <w:tcPr>
            <w:tcW w:w="14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7940" w:type="dxa"/>
            <w:vAlign w:val="bottom"/>
            <w:gridSpan w:val="2"/>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 AND SCHEDULE</w:t>
            </w:r>
          </w:p>
        </w:tc>
        <w:tc>
          <w:tcPr>
            <w:tcW w:w="680" w:type="dxa"/>
            <w:vAlign w:val="bottom"/>
          </w:tcPr>
          <w:p>
            <w:pPr>
              <w:spacing w:after="0"/>
              <w:rPr>
                <w:sz w:val="20"/>
                <w:szCs w:val="20"/>
                <w:color w:val="auto"/>
              </w:rPr>
            </w:pPr>
          </w:p>
        </w:tc>
      </w:tr>
      <w:tr>
        <w:trPr>
          <w:trHeight w:val="441"/>
        </w:trPr>
        <w:tc>
          <w:tcPr>
            <w:tcW w:w="10560" w:type="dxa"/>
            <w:vAlign w:val="bottom"/>
            <w:gridSpan w:val="3"/>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Reports of Independent Registered Public Accounting Firm</w:t>
              </w:r>
            </w:hyperlink>
          </w:p>
        </w:tc>
        <w:tc>
          <w:tcPr>
            <w:tcW w:w="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560" w:type="dxa"/>
            <w:vAlign w:val="bottom"/>
            <w:gridSpan w:val="3"/>
          </w:tcPr>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Consolidated Balance Sheets of Arrowhead Pharmaceuticals, Inc., September 30, 2020 and 2019</w:t>
              </w:r>
            </w:hyperlink>
          </w:p>
        </w:tc>
        <w:tc>
          <w:tcPr>
            <w:tcW w:w="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F-5</w:t>
            </w:r>
          </w:p>
        </w:tc>
      </w:tr>
      <w:tr>
        <w:trPr>
          <w:trHeight w:val="194"/>
        </w:trPr>
        <w:tc>
          <w:tcPr>
            <w:tcW w:w="10560" w:type="dxa"/>
            <w:vAlign w:val="bottom"/>
            <w:gridSpan w:val="3"/>
          </w:tcPr>
          <w:p>
            <w:pPr>
              <w:spacing w:after="0" w:line="194"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Consolidated Statements of Operations and Comprehensive Income (Loss) of Arrowhead Pharmaceuticals, Inc. for the years ended</w:t>
              </w:r>
            </w:hyperlink>
          </w:p>
        </w:tc>
        <w:tc>
          <w:tcPr>
            <w:tcW w:w="680" w:type="dxa"/>
            <w:vAlign w:val="bottom"/>
          </w:tcPr>
          <w:p>
            <w:pPr>
              <w:spacing w:after="0"/>
              <w:rPr>
                <w:sz w:val="16"/>
                <w:szCs w:val="16"/>
                <w:color w:val="auto"/>
              </w:rPr>
            </w:pPr>
          </w:p>
        </w:tc>
      </w:tr>
      <w:tr>
        <w:trPr>
          <w:trHeight w:val="196"/>
        </w:trPr>
        <w:tc>
          <w:tcPr>
            <w:tcW w:w="26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September 30, 2020, 2019 and 2018</w:t>
              </w:r>
            </w:hyperlink>
          </w:p>
        </w:tc>
        <w:tc>
          <w:tcPr>
            <w:tcW w:w="6820" w:type="dxa"/>
            <w:vAlign w:val="bottom"/>
            <w:tcBorders>
              <w:top w:val="single" w:sz="8" w:color="0000EE"/>
            </w:tcBorders>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18"/>
        </w:trPr>
        <w:tc>
          <w:tcPr>
            <w:tcW w:w="10560" w:type="dxa"/>
            <w:vAlign w:val="bottom"/>
            <w:gridSpan w:val="3"/>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Consolidated Statement of Stockholders’ Equity of Arrowhead Pharmaceuticals, Inc. for the years ended September 30, 2020, 2019, and 2018</w:t>
              </w:r>
            </w:hyperlink>
          </w:p>
        </w:tc>
        <w:tc>
          <w:tcPr>
            <w:tcW w:w="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F-7</w:t>
            </w:r>
          </w:p>
        </w:tc>
      </w:tr>
      <w:tr>
        <w:trPr>
          <w:trHeight w:val="216"/>
        </w:trPr>
        <w:tc>
          <w:tcPr>
            <w:tcW w:w="10560" w:type="dxa"/>
            <w:vAlign w:val="bottom"/>
            <w:gridSpan w:val="3"/>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Consolidated Statements of Cash Flows of Arrowhead Pharmaceuticals, Inc. for the years ended September 30, 2020, 2019 and 2018</w:t>
              </w:r>
            </w:hyperlink>
          </w:p>
        </w:tc>
        <w:tc>
          <w:tcPr>
            <w:tcW w:w="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F-8</w:t>
            </w:r>
          </w:p>
        </w:tc>
      </w:tr>
      <w:tr>
        <w:trPr>
          <w:trHeight w:val="234"/>
        </w:trPr>
        <w:tc>
          <w:tcPr>
            <w:tcW w:w="10560" w:type="dxa"/>
            <w:vAlign w:val="bottom"/>
            <w:gridSpan w:val="3"/>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Notes to Consolidated Financial Statements of Arrowhead Pharmaceuticals, Inc.</w:t>
              </w:r>
            </w:hyperlink>
          </w:p>
        </w:tc>
        <w:tc>
          <w:tcPr>
            <w:tcW w:w="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F-9</w:t>
            </w:r>
          </w:p>
        </w:tc>
      </w:tr>
      <w:tr>
        <w:trPr>
          <w:trHeight w:val="864"/>
        </w:trPr>
        <w:tc>
          <w:tcPr>
            <w:tcW w:w="2620" w:type="dxa"/>
            <w:vAlign w:val="bottom"/>
          </w:tcPr>
          <w:p>
            <w:pPr>
              <w:spacing w:after="0"/>
              <w:rPr>
                <w:sz w:val="24"/>
                <w:szCs w:val="24"/>
                <w:color w:val="auto"/>
              </w:rPr>
            </w:pPr>
          </w:p>
        </w:tc>
        <w:tc>
          <w:tcPr>
            <w:tcW w:w="794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color w:val="auto"/>
                <w:w w:val="95"/>
              </w:rPr>
              <w:t>F-1</w:t>
            </w:r>
          </w:p>
        </w:tc>
        <w:tc>
          <w:tcPr>
            <w:tcW w:w="680" w:type="dxa"/>
            <w:vAlign w:val="bottom"/>
          </w:tcPr>
          <w:p>
            <w:pPr>
              <w:spacing w:after="0"/>
              <w:rPr>
                <w:sz w:val="24"/>
                <w:szCs w:val="24"/>
                <w:color w:val="auto"/>
              </w:rPr>
            </w:pPr>
          </w:p>
        </w:tc>
      </w:tr>
      <w:tr>
        <w:trPr>
          <w:trHeight w:val="331"/>
        </w:trPr>
        <w:tc>
          <w:tcPr>
            <w:tcW w:w="262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Arrowhead Pharmaceuticals,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Arrowhead Pharmaceuticals, Inc. and Subsidiaries (the Company) as of September 30, 2020 and 2019, and the related consolidated statements of operations and comprehensive income (loss), stockholders’ equity, and cash flows for each of the years in the three-year period ended September 30, 2020, and the related notes (collectively referred to as the financial statements). In our opinion, the consolidated financial statements present fairly, in all material respects, the financial position of the Company as of September 30, 2020 and 2019, and the results of its operations and its cash flows for each of the years in the three-year period ended September 30, 2020, in conformity with accounting principles generally accepted in the United States of America.</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September 30, 2020,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November 23, 2020, expressed an unqualified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Contract cost estimates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the Matter</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discussed in Note 1 and Note 2 to the Consolidated Financial Statements, the Company earns its revenue through license and collaboration agreements. For performance obligations related to services that are required to be recognized over time, the Company generally measures its progress to completion using an input measure of total labor costs incurred divided by total labor costs expected to be incurred.</w:t>
      </w:r>
    </w:p>
    <w:p>
      <w:pPr>
        <w:spacing w:after="0" w:line="28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Auditing revenue recognition is complex and highly judgmental due to the variability and uncertainty associated with the Company’s assessment of measure of progress. Changes in these estimates would have a significant effect on the amount of revenue recognized.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How We Addressed the Matter in Our Audit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0" w:name="page71"/>
    <w:bookmarkEnd w:id="70"/>
    <w:p>
      <w:pPr>
        <w:ind w:right="80"/>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that address the risk of material misstatement of license and collaboration agreement revenue including those associated with cost to complete estimates. We tested controls over management’s process to collect, review, and approve the data used in assessing revenue recognized over time.</w:t>
      </w:r>
    </w:p>
    <w:p>
      <w:pPr>
        <w:spacing w:after="0" w:line="17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To test the measures of progress used for performance obligations related to services that are required to be recognized over time, our audit procedures included, among others, evaluating the appropriateness of the Company’s accounting policy for each type of arrangement, testing the identified measure of performance by reading contracts with customers, including all amendments, and reviewing the contract analyses prepared by management. We evaluated whether the selected measures of progress towards satisfaction of performance obligations were applied consistently. We also tested the completeness and accuracy of the underlying data used for the measure of progress by testing the underlying cost data and conducting interviews of project personnel.</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Snyder &amp; Jacobs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Encino,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Arrowhead Pharmaceuticals, Inc.</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Arrowhead Pharmaceuticals, Inc. and Subsidiaries (the Company’s) internal control over financial reporting as of September 30, 2020,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2020,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as of September 30, 2020 and the related consolidated statements of operations and comprehensive income (loss), stockholders’ equity, and cash flows for each of the three years in the period ended September 30, 2020 and related notes, and our report dated November 23, 2020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Snyder &amp; Jacobs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Encino, CA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2020</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682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00" w:type="dxa"/>
            <w:vAlign w:val="bottom"/>
          </w:tcPr>
          <w:p>
            <w:pPr>
              <w:spacing w:after="0"/>
              <w:rPr>
                <w:sz w:val="24"/>
                <w:szCs w:val="24"/>
                <w:color w:val="auto"/>
              </w:rPr>
            </w:pPr>
          </w:p>
        </w:tc>
        <w:tc>
          <w:tcPr>
            <w:tcW w:w="682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Arrowhead Pharmaceuticals, Inc.</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682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7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23"/>
        </w:trPr>
        <w:tc>
          <w:tcPr>
            <w:tcW w:w="700" w:type="dxa"/>
            <w:vAlign w:val="bottom"/>
            <w:tcBorders>
              <w:top w:val="single" w:sz="8" w:color="CFF0FC"/>
            </w:tcBorders>
            <w:shd w:val="clear" w:color="auto" w:fill="CFF0FC"/>
          </w:tcPr>
          <w:p>
            <w:pPr>
              <w:spacing w:after="0"/>
              <w:rPr>
                <w:sz w:val="19"/>
                <w:szCs w:val="19"/>
                <w:color w:val="auto"/>
              </w:rPr>
            </w:pPr>
          </w:p>
        </w:tc>
        <w:tc>
          <w:tcPr>
            <w:tcW w:w="6820" w:type="dxa"/>
            <w:vAlign w:val="bottom"/>
            <w:tcBorders>
              <w:top w:val="single" w:sz="8" w:color="CFF0FC"/>
            </w:tcBorders>
            <w:shd w:val="clear" w:color="auto" w:fill="CFF0FC"/>
          </w:tcPr>
          <w:p>
            <w:pPr>
              <w:ind w:left="28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143,582,667</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221,804,128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4,250,896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1,781,691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85,019,719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Short term investments</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86,889,751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36,899,894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322,370,397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265,246,817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30,880,868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23,214,899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15,363,151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17,063,580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 term investments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137,486,883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44,175,993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16,137,085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265,359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CFF0FC"/>
            </w:tcBorders>
            <w:shd w:val="clear" w:color="auto" w:fill="CFF0FC"/>
          </w:tcPr>
          <w:p>
            <w:pPr>
              <w:spacing w:after="0"/>
              <w:rPr>
                <w:sz w:val="19"/>
                <w:szCs w:val="19"/>
                <w:color w:val="auto"/>
              </w:rPr>
            </w:pPr>
          </w:p>
        </w:tc>
        <w:tc>
          <w:tcPr>
            <w:tcW w:w="6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522,503,743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349,845,437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2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6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6,828,909</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5,388,556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8,060,854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1,094,777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rent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19,291,075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77,769,629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40,681,433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97,070,679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20,043,178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20,043,178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Arrowhead Pharmaceuticals, Inc. stockholders' equity:</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Common stock, $0.001 par value; 145,000,000 shares authorized; 102,376,303 and 95,506,271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shares issued and outstanding as of September 30, 2020 and September 30, 2019, respectively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965,410,146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664,086,155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(391,624)</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(503,844,193)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(419,290,967)</w:t>
            </w:r>
          </w:p>
        </w:tc>
        <w:tc>
          <w:tcPr>
            <w:tcW w:w="0" w:type="dxa"/>
            <w:vAlign w:val="bottom"/>
          </w:tcPr>
          <w:p>
            <w:pPr>
              <w:spacing w:after="0"/>
              <w:rPr>
                <w:sz w:val="1"/>
                <w:szCs w:val="1"/>
                <w:color w:val="auto"/>
              </w:rPr>
            </w:pPr>
          </w:p>
        </w:tc>
      </w:tr>
      <w:tr>
        <w:trPr>
          <w:trHeight w:val="223"/>
        </w:trPr>
        <w:tc>
          <w:tcPr>
            <w:tcW w:w="75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Total Arrowhead Pharmaceuticals, Inc. stockholders' equity</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461,779,132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244,591,440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(555,188)</w:t>
            </w:r>
          </w:p>
        </w:tc>
        <w:tc>
          <w:tcPr>
            <w:tcW w:w="0" w:type="dxa"/>
            <w:vAlign w:val="bottom"/>
          </w:tcPr>
          <w:p>
            <w:pPr>
              <w:spacing w:after="0"/>
              <w:rPr>
                <w:sz w:val="1"/>
                <w:szCs w:val="1"/>
                <w:color w:val="auto"/>
              </w:rPr>
            </w:pPr>
          </w:p>
        </w:tc>
      </w:tr>
      <w:tr>
        <w:trPr>
          <w:trHeight w:val="223"/>
        </w:trPr>
        <w:tc>
          <w:tcPr>
            <w:tcW w:w="700" w:type="dxa"/>
            <w:vAlign w:val="bottom"/>
            <w:tcBorders>
              <w:bottom w:val="single" w:sz="8" w:color="CFF0FC"/>
            </w:tcBorders>
          </w:tcPr>
          <w:p>
            <w:pPr>
              <w:spacing w:after="0"/>
              <w:rPr>
                <w:sz w:val="19"/>
                <w:szCs w:val="19"/>
                <w:color w:val="auto"/>
              </w:rPr>
            </w:pPr>
          </w:p>
        </w:tc>
        <w:tc>
          <w:tcPr>
            <w:tcW w:w="682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461,779,132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244,036,252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CFF0FC"/>
            </w:tcBorders>
            <w:shd w:val="clear" w:color="auto" w:fill="CFF0FC"/>
          </w:tcPr>
          <w:p>
            <w:pPr>
              <w:spacing w:after="0"/>
              <w:rPr>
                <w:sz w:val="19"/>
                <w:szCs w:val="19"/>
                <w:color w:val="auto"/>
              </w:rPr>
            </w:pPr>
          </w:p>
        </w:tc>
        <w:tc>
          <w:tcPr>
            <w:tcW w:w="6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522,503,743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349,845,437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87,992,066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168,795,577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16,142,321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128,874,979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81,048,686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52,968,505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52,275,890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26,556,257</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19,110,051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181,150,869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107,604,943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72,078,556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(93,158,803)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61,190,634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(55,936,235)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9,190,501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6,957,768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value of derivatives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(582,524)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8,607,977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6,957,768</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1,488,157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(84,550,826)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68,148,402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(54,448,078)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(2,400)</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(173,553)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23"/>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(84,553,226)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67,974,849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(54,450,478)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(0.84)</w:t>
            </w: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bottom w:val="single" w:sz="8" w:color="CFF0FC"/>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100,722,224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93,858,857</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83,638,469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100,722,224</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98,607,815</w:t>
            </w:r>
          </w:p>
        </w:tc>
        <w:tc>
          <w:tcPr>
            <w:tcW w:w="1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83,638,469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(370,060)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(54,796)</w:t>
            </w: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(84,143,169)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67,604,789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(54,505,274)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3"/>
          <w:szCs w:val="13"/>
          <w:b w:val="1"/>
          <w:bCs w:val="1"/>
          <w:color w:val="auto"/>
        </w:rPr>
        <w:t>Arrowhead Pharmaceuticals,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 of Stockholders’ Equity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1"/>
                <w:szCs w:val="11"/>
                <w:color w:val="auto"/>
              </w:rPr>
            </w:pPr>
          </w:p>
        </w:tc>
        <w:tc>
          <w:tcPr>
            <w:tcW w:w="9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9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Common Stock</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8"/>
              </w:rPr>
              <w:t>Amount ($)</w:t>
            </w:r>
          </w:p>
        </w:tc>
        <w:tc>
          <w:tcPr>
            <w:tcW w:w="2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Paid-In Capital</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Totals</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 2017</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74,785,426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167,155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514,037,301</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33,232</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(432,815,338)</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(555,188)</w:t>
            </w: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80,867,162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8,454,607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8,454,607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604,611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2,656,105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2,656,710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Exercise of warrants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288,473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1,237,141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1,237,429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Common stock - restricted stock units vesting</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1,326,792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(55,995)</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(54,668)</w:t>
            </w:r>
          </w:p>
        </w:tc>
        <w:tc>
          <w:tcPr>
            <w:tcW w:w="0" w:type="dxa"/>
            <w:vAlign w:val="bottom"/>
          </w:tcPr>
          <w:p>
            <w:pPr>
              <w:spacing w:after="0"/>
              <w:rPr>
                <w:sz w:val="1"/>
                <w:szCs w:val="1"/>
                <w:color w:val="auto"/>
              </w:rPr>
            </w:pPr>
          </w:p>
        </w:tc>
      </w:tr>
      <w:tr>
        <w:trPr>
          <w:trHeight w:val="148"/>
        </w:trPr>
        <w:tc>
          <w:tcPr>
            <w:tcW w:w="3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Common stock - issued for cash</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56,573,535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56,585,035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(54,796)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(54,796)</w:t>
            </w:r>
          </w:p>
        </w:tc>
        <w:tc>
          <w:tcPr>
            <w:tcW w:w="0" w:type="dxa"/>
            <w:vAlign w:val="bottom"/>
          </w:tcPr>
          <w:p>
            <w:pPr>
              <w:spacing w:after="0"/>
              <w:rPr>
                <w:sz w:val="1"/>
                <w:szCs w:val="1"/>
                <w:color w:val="auto"/>
              </w:rPr>
            </w:pPr>
          </w:p>
        </w:tc>
      </w:tr>
      <w:tr>
        <w:trPr>
          <w:trHeight w:val="148"/>
        </w:trPr>
        <w:tc>
          <w:tcPr>
            <w:tcW w:w="3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income (loss) for the twelve months ended September 30, 2018</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(54,450,478)</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(54,450,478)</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 2018</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40" w:type="dxa"/>
            <w:vAlign w:val="bottom"/>
            <w:vMerge w:val="continue"/>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88,505,302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180,875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582,902,694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(21,564)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(487,265,816)</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(555,188)</w:t>
            </w: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95,241,001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1"/>
                <w:szCs w:val="11"/>
                <w:color w:val="auto"/>
              </w:rPr>
            </w:pPr>
          </w:p>
        </w:tc>
        <w:tc>
          <w:tcPr>
            <w:tcW w:w="9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9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Common Stock</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8"/>
              </w:rPr>
              <w:t>Amount ($)</w:t>
            </w:r>
          </w:p>
        </w:tc>
        <w:tc>
          <w:tcPr>
            <w:tcW w:w="2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Paid-In Capital</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Totals</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 2018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88,505,302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180,875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582,902,694</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(21,564)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(487,265,816)</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(555,188)</w:t>
            </w: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95,241,001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12,393,323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12,393,323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1,542,795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1,543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8,273,867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8,275,410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Common stock - restricted stock units vesting</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2,197,305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Common stock - issued for cash</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3,260,869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3,261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60,518,468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60,521,729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(370,060)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(370,060)</w:t>
            </w: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Net income (loss) for the twelve months ended September 30, 2019</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67,974,849</w:t>
            </w: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67,974,849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 2019</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95,506,271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187,876</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664,086,155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(391,624)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(419,290,967)</w:t>
            </w:r>
          </w:p>
        </w:tc>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(555,188)</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244,036,252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1"/>
                <w:szCs w:val="11"/>
                <w:color w:val="auto"/>
              </w:rPr>
            </w:pPr>
          </w:p>
        </w:tc>
        <w:tc>
          <w:tcPr>
            <w:tcW w:w="9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9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Common Stock</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8"/>
              </w:rPr>
              <w:t>Amount ($)</w:t>
            </w:r>
          </w:p>
        </w:tc>
        <w:tc>
          <w:tcPr>
            <w:tcW w:w="2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Paid-In Capital</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Totals</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 2019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95,506,271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187,876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664,086,155</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(391,624)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(419,290,967)</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(555,188)</w:t>
            </w: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244,036,252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43,382,988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43,382,988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1,111,128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7,467,788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7,468,899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Common stock - restricted stock units vesting</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1,158,904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Common stock - issued for cash</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4,600,000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250,474,374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250,478,974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410,057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410,057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Deconsolidation of Ablaris Therapeutics, Inc.</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555,188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555,188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income (loss) for the twelve months ended September 30,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(84,553,226)</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(84,553,226)</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 2020</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40" w:type="dxa"/>
            <w:vAlign w:val="bottom"/>
            <w:vMerge w:val="continue"/>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102,376,303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194,746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965,410,146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18,433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(503,844,193)</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461,779,132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66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(84,553,226)</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67,974,849</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(54,450,478)</w:t>
            </w:r>
          </w:p>
        </w:tc>
      </w:tr>
      <w:tr>
        <w:trPr>
          <w:trHeight w:val="230"/>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value of derivatives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(432,141)</w:t>
            </w:r>
          </w:p>
        </w:tc>
      </w:tr>
      <w:tr>
        <w:trPr>
          <w:trHeight w:val="22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43,382,988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12,393,323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8,454,607</w:t>
            </w: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5,942,264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4,439,144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4,699,275</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Amortization/(accretion) of note premiums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525,305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1,069,070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383,075</w:t>
            </w: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(184,312)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(333,986)</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(259,578)</w:t>
            </w:r>
          </w:p>
        </w:tc>
      </w:tr>
      <w:tr>
        <w:trPr>
          <w:trHeight w:val="230"/>
        </w:trPr>
        <w:tc>
          <w:tcPr>
            <w:tcW w:w="6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(387,464)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(3,710,515)</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319,166</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(63,513,696)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82,804,171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(5,269,140)</w:t>
            </w:r>
          </w:p>
        </w:tc>
      </w:tr>
      <w:tr>
        <w:trPr>
          <w:trHeight w:val="230"/>
        </w:trPr>
        <w:tc>
          <w:tcPr>
            <w:tcW w:w="6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(821,012)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4,843,825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(1,270,416)</w:t>
            </w:r>
          </w:p>
        </w:tc>
      </w:tr>
      <w:tr>
        <w:trPr>
          <w:trHeight w:val="229"/>
        </w:trPr>
        <w:tc>
          <w:tcPr>
            <w:tcW w:w="6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1,989,496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2,450,079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1,016,506</w:t>
            </w: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2,228,087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1,104,963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(414,293)</w:t>
            </w:r>
          </w:p>
        </w:tc>
      </w:tr>
      <w:tr>
        <w:trPr>
          <w:trHeight w:val="223"/>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(95,391,570)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173,034,923</w:t>
            </w: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(47,223,417)</w:t>
            </w: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(11,951,712)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(12,001,225)</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(1,421,252)</w:t>
            </w:r>
          </w:p>
        </w:tc>
      </w:tr>
      <w:tr>
        <w:trPr>
          <w:trHeight w:val="22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(278,964,290)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(90,266,001)</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(52,083,131)</w:t>
            </w:r>
          </w:p>
        </w:tc>
      </w:tr>
      <w:tr>
        <w:trPr>
          <w:trHeight w:val="229"/>
        </w:trPr>
        <w:tc>
          <w:tcPr>
            <w:tcW w:w="660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50,138,238</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54,521,219</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46,069,420</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(240,777,764)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(47,746,007)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(7,434,963)</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(2,415,150)</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(208,506)</w:t>
            </w:r>
          </w:p>
        </w:tc>
      </w:tr>
      <w:tr>
        <w:trPr>
          <w:trHeight w:val="22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taxes for net share settled restricted stock unit issuances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(54,667)</w:t>
            </w:r>
          </w:p>
        </w:tc>
      </w:tr>
      <w:tr>
        <w:trPr>
          <w:trHeight w:val="230"/>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the exercises of stock options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7,468,899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8,275,410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3,631,164</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250,478,974</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60,521,739</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56,585,035</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257,947,873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66,381,999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59,953,026</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(78,221,461)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191,670,915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5,294,646</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221,804,128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30,133,213</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24,838,567</w:t>
            </w:r>
          </w:p>
        </w:tc>
        <w:tc>
          <w:tcPr>
            <w:tcW w:w="120" w:type="dxa"/>
            <w:vAlign w:val="bottom"/>
            <w:shd w:val="clear" w:color="auto" w:fill="CFF0FC"/>
          </w:tcPr>
          <w:p>
            <w:pPr>
              <w:spacing w:after="0"/>
              <w:rPr>
                <w:sz w:val="19"/>
                <w:szCs w:val="19"/>
                <w:color w:val="auto"/>
              </w:rPr>
            </w:pPr>
          </w:p>
        </w:tc>
      </w:tr>
      <w:tr>
        <w:trPr>
          <w:trHeight w:val="263"/>
        </w:trPr>
        <w:tc>
          <w:tcPr>
            <w:tcW w:w="66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143,582,667</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221,804,128</w:t>
            </w:r>
          </w:p>
        </w:tc>
        <w:tc>
          <w:tcPr>
            <w:tcW w:w="2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30,133,213</w:t>
            </w:r>
          </w:p>
        </w:tc>
        <w:tc>
          <w:tcPr>
            <w:tcW w:w="120" w:type="dxa"/>
            <w:vAlign w:val="bottom"/>
            <w:tcBorders>
              <w:bottom w:val="single" w:sz="8" w:color="CFF0FC"/>
            </w:tcBorders>
          </w:tcPr>
          <w:p>
            <w:pPr>
              <w:spacing w:after="0"/>
              <w:rPr>
                <w:sz w:val="22"/>
                <w:szCs w:val="22"/>
                <w:color w:val="auto"/>
              </w:rPr>
            </w:pPr>
          </w:p>
        </w:tc>
      </w:tr>
      <w:tr>
        <w:trPr>
          <w:trHeight w:val="210"/>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Supplementary disclosures: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(27,437)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(173,381)</w:t>
            </w:r>
          </w:p>
        </w:tc>
      </w:tr>
      <w:tr>
        <w:trPr>
          <w:trHeight w:val="230"/>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Taxes (Paid) Refunded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103,437</w:t>
            </w:r>
          </w:p>
        </w:tc>
        <w:tc>
          <w:tcPr>
            <w:tcW w:w="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(302,400)</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(2,400)</w:t>
            </w: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(5) the term “Preferred Stock” refers to Arrowhead’s Preferred Stock and (6) the term “Stockholder(s)” refers to the holders of Arrowhead Common Stock.</w:t>
      </w:r>
    </w:p>
    <w:p>
      <w:pPr>
        <w:spacing w:after="0" w:line="330" w:lineRule="exact"/>
        <w:rPr>
          <w:sz w:val="20"/>
          <w:szCs w:val="20"/>
          <w:color w:val="auto"/>
        </w:rPr>
      </w:pPr>
    </w:p>
    <w:p>
      <w:pPr>
        <w:ind w:right="53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b w:val="1"/>
          <w:bCs w:val="1"/>
          <w:i w:val="1"/>
          <w:iCs w:val="1"/>
          <w:color w:val="auto"/>
        </w:rPr>
        <w:t>ORGANIZATION AND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Nature of Business and Recent Developments</w:t>
      </w:r>
    </w:p>
    <w:p>
      <w:pPr>
        <w:ind w:firstLine="510"/>
        <w:spacing w:after="0" w:line="256" w:lineRule="auto"/>
        <w:rPr>
          <w:sz w:val="20"/>
          <w:szCs w:val="20"/>
          <w:color w:val="auto"/>
        </w:rPr>
      </w:pPr>
      <w:r>
        <w:rPr>
          <w:rFonts w:ascii="Times New Roman" w:cs="Times New Roman" w:eastAsia="Times New Roman" w:hAnsi="Times New Roman"/>
          <w:sz w:val="18"/>
          <w:szCs w:val="18"/>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ARO-HSD for liver disease, ARO-ENaC for cystic fibrosis, ARO-HIF2 for renal cell carcinoma, ARO-LUNG2 as a candidate to treat chronic obstructive pulmonary disorder (“COPD”) and ARO-COV for treatment for the</w:t>
      </w:r>
    </w:p>
    <w:p>
      <w:pPr>
        <w:spacing w:after="0" w:line="3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current novel coronavirus that causes COVID-19 and other possible future pulmonary-borne pathogens. ARO-JNJ1, ARO-JNJ2 and ARO-JNJ3 are being developed for undisclosed liver-expressed targets under a collaboration agreement with Janssen Pharmaceuticals, Inc. (“Janssen”). ARO-AAT for liver disease associated with alpha-1 antitrypsin deficiency (“AATD”) was out-licensed to Takeda Pharmaceuticals U.S.A., Inc. (“Takeda”) in October 2020. ARO-HBV (JNJ-3989) for chronic hepatitis B virus was out-licensed to Janssen in October 2018. ARO-LPA (AMG 890) for cardiovascular disease was out-licensed to Amgen Inc. (“Amgen”) in 2016.</w:t>
      </w:r>
    </w:p>
    <w:p>
      <w:pPr>
        <w:spacing w:after="0" w:line="180"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 In March 2020, the Company entered into a sublease for additional research and development facility space in San Diego, California as discussed further in Note 8 below.</w:t>
      </w:r>
    </w:p>
    <w:p>
      <w:pPr>
        <w:spacing w:after="0" w:line="176"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During fiscal year 2020, the Company has continued to develop its pipeline and partnered candidates. Regarding the Company’s wholly-owned pipeline candidates, the Company dosed its first patients in three of its pipeline candidate studies: ARO-HSD1001, a phase 1/2 clinical study of ARO-HSD; ARO-ENaC1001, a phase 1/2 clinical study of ARO-ENaC and ARO-HIF21001, a phase 1b study of ARO-HIF2. The Company also presented new clinical data on its two cardiometabolic candidates, ARO-APOC3 and ARO-ANG3, at multiple medical meetings, including the European Society of Cardiology Congress and the American Heart Association Scientific Sessions. Finally, the Company is also progressing ARO-LUNG2 toward entering clinical trials and is continuing to perform discovery work to identify new candidates.</w:t>
      </w:r>
    </w:p>
    <w:p>
      <w:pPr>
        <w:spacing w:after="0" w:line="187"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Company’s partnered candidates under its collaboration agreements also continue to progress. Janssen began dosing patients in a phase 2b triple combination study called REEF-1, designed to enroll up to 450 patients with chronic hepatitis B infection, and in connection with the start of this study Arrowhead earned a $25.0 million milestone payment under the License Agreement (“Janssen License Agreement”). The Company is currently performing discovery, optimization and preclinical research and development for ARO-JNJ1, ARO-JNJ2 and ARO-JNJ3 for Janssen as part of the Research Collaboration and Option Agreement (“Janssen Collaboration Agreement”). Under the terms of the Janssen agreements taken together, the Company has received $175.0 million as an upfront payment, $75.0 million in the form of an equity investment by JJDC in Arrowhead Common Stock, two $25.0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mid-teens under the Janssen License Agreement and up to low teens under the Janssen Collaboration Agreement on product sales.</w:t>
      </w:r>
    </w:p>
    <w:p>
      <w:pPr>
        <w:spacing w:after="0" w:line="194"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Company’s collaboration agreement with Amgen for Olpasiran (previously referred to as AMG 890 or ARO-LPA), (the “Second Collaboration and License Agreement” or “Olpasiran Agreement”), continues to progress. In July 2020, Amgen initiated a Phase 2 clinical study, which resulted in a $20.0 million milestone payment to the Company. The Company has received $35.0 million in upfront payments, $21.5 million in the form of an equity investment by Amgen in the Company’s Common Stock, $30.0 million in milestone payments, and may receive up to an additional $400.0 million in remaining development, regulatory and sales milestone payments. The Company is eligible to receive up to low double-digit royalties for sales of products under the Olpasiran Agreement. On October 7, 2020, the Company entered into an Exclusive License and Co-Funding Agreement (the “Takeda License Agreement”) with Takeda. Under the Takeda License Agreement, Takeda and the Company will co-develop the Company’s ARO-AAT program. Within the United States, ARO-AAT, if approved, will be co-commercialized under a 50/50 profit sharing structure. Outside the United States, Takeda will lead the global commercialization strategy and receive an exclusive license to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ind w:right="140"/>
        <w:spacing w:after="0" w:line="282" w:lineRule="auto"/>
        <w:rPr>
          <w:sz w:val="20"/>
          <w:szCs w:val="20"/>
          <w:color w:val="auto"/>
        </w:rPr>
      </w:pPr>
      <w:r>
        <w:rPr>
          <w:rFonts w:ascii="Times New Roman" w:cs="Times New Roman" w:eastAsia="Times New Roman" w:hAnsi="Times New Roman"/>
          <w:sz w:val="18"/>
          <w:szCs w:val="18"/>
          <w:color w:val="auto"/>
        </w:rPr>
        <w:t>commercialize ARO-AAT with the Company eligible to receive tiered royalties of 20% to 25% on net sales. The Company will receive $300.0 million as an upfront payment and is eligible to receive potential development, regulatory and commercial milestones of up to $740.0 million.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revenue recognition for these collaboration agreements is discussed further in Note 2 below.</w:t>
      </w:r>
    </w:p>
    <w:p>
      <w:pPr>
        <w:spacing w:after="0" w:line="225"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Company is actively monitoring the ongoing COVID-19 pandemic. The financial results for the year ended September 30, 2020 were not significantly impacted by COVID-19. The Company temporarily paused enrollment in its two ARO-AAT studies, SEQUOIA and the ARO-AAT 2002 study, but resumed the process of screening and enrolling patients during the three months ended June 30, 2020. During the pause in enrollment, patients already enrolled in these studies continued to be dosed per protocol and continued to come in for their follow up visits. Additional delays have occurred in the Company’s earlier stage programs, but the Company does not expect a material impact to any program’s anticipated timelines. Several of the Company’s other clinical candidates are in the start-up stage (ARO-HSD, ARO-HIF2 and ARO-ENaC), during which significant clinical costs will continue to be incurred. Additionally, the Company’s operations at its research and development facilities in Madison, Wisconsin and San Diego, California, and its corporate headquarters in Pasadena, California have continued to operate with limited impact, other than for enhanced safety measures, including work from home policies. However, the Company cannot predict the impact of the progression of COVID-19 will have on future financial results due to a variety of factors including the ability of the Company’s clinical sites to continue to enroll subjects, the ability of the Company’s suppliers to continue to operate, the continued good health and safety of the Company’s employees, and ultimately the length of the COVID-19 pandemic.</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the accounting principles generally accepted in the United States of America (“GAAP”),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At September 30, 2020, the Company had $143.6 million in cash and cash equivalents (including $1.8 million in restricted cash), $86.9 million in short-term investments and $85.0 million in marketable securities, and $137.5 million in long-term investments to fund operations. During the year ended September 30, 2020, the Company’s cash and investments balance increased by $150.1 million, which was primarily the result of purchases of investments and marketable securities of $279.0 million and cash outflow primarily related to operations of $95.4 million, partially offset by the December 2019 securities offering that generated $250.5 million in net cash proceeds for the Company, as discussed further in Note 6 below, as well as maturities of investments of $50.1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Significant Accounting Policies</w:t>
      </w:r>
    </w:p>
    <w:p>
      <w:pPr>
        <w:spacing w:after="0" w:line="119"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76"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Basis of Presentation and Use of Estimates—The preparation of financial statements in conformity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Additionally, certain reclassifications have been made to prior period financial statements to conform to the current period presentation.</w:t>
      </w:r>
    </w:p>
    <w:p>
      <w:pPr>
        <w:spacing w:after="0" w:line="180"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Cash and Cash Equivalents—The Company considers all liquid debt instruments purchased with a maturity of three months or less to be cash equivalents. Included within Cash and cash equivalents on the Consolidated Balance Sheets is $1.8 million and $1.0 restricted cash at September 30, 2020 and September 30, 2019, respectively. Amounts included in restricted cash are primarily held as collateral associated with a letter of credit for the Company’s lease for its corporate headquarters in Pasadena, California.</w:t>
      </w:r>
    </w:p>
    <w:p>
      <w:pPr>
        <w:spacing w:after="0" w:line="180"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Concentration of Credit Risk—The Company maintains several bank accounts primarily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8" w:name="page79"/>
    <w:bookmarkEnd w:id="78"/>
    <w:p>
      <w:pPr>
        <w:ind w:right="100" w:firstLine="510"/>
        <w:spacing w:after="0" w:line="272" w:lineRule="auto"/>
        <w:rPr>
          <w:sz w:val="20"/>
          <w:szCs w:val="20"/>
          <w:color w:val="auto"/>
        </w:rPr>
      </w:pPr>
      <w:r>
        <w:rPr>
          <w:rFonts w:ascii="Times New Roman" w:cs="Times New Roman" w:eastAsia="Times New Roman" w:hAnsi="Times New Roman"/>
          <w:sz w:val="17"/>
          <w:szCs w:val="17"/>
          <w:color w:val="auto"/>
        </w:rPr>
        <w:t>Investments—The Company may invest excess cash balances in short-term and long-term marketable debt and equity securities. Investments may consist of certificates of deposit, money market accounts, government-sponsored enterprise securities, corporate bonds and/or commercial paper. The Company accounts for its investment in marketable securities in accordance with Financial Accounting Standards Board (“FASB”) ASC 320, Investments</w:t>
      </w:r>
    </w:p>
    <w:p>
      <w:pPr>
        <w:spacing w:after="0" w:line="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 Debt and Equity Securities and ASC 321, Investments in Equity Securities. ASC 320-Investments-Debt and Equity Securities requires debt securities to be classified into three categories: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Trading Securities—Debt securities that are bought and held primarily for the purpose of selling in the near term are reported at fair value, with unrealized gains and losses included in earnings.</w:t>
      </w:r>
    </w:p>
    <w:p>
      <w:pPr>
        <w:spacing w:after="0" w:line="54"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Available-for-Sale—Debt securities not classified as either securities held-to-maturity or trading securities are reported at fair value with unrealized gains or losses excluded from earnings and reported as a separate component of shareholders’ equity.</w:t>
      </w:r>
    </w:p>
    <w:p>
      <w:pPr>
        <w:spacing w:after="0" w:line="162"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Company classifies its investments in marketable debt securities based on the facts and circumstances present at the time of purchase of the securities. During the years ended September 30, 2020, 2019 and 2018, all of the Company’s debt securities were classified as held-to-maturity.</w:t>
      </w:r>
    </w:p>
    <w:p>
      <w:pPr>
        <w:spacing w:after="0" w:line="162"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76"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2020, the Company purchased shares of mutual funds that invest in marketable debt securities such as U.S. government bonds, U.S. government agency bonds, corporate bonds, and other asset backed debt securities. The Company accounts for these securities using the guidance from FASB ASC 321, Investments-Equity Securities. These securities are recorded on the Company’s Consolidated Balance Sheet as “marketable securities” and recorded at fair value. All unrealized gains/losses associated with these securities are recorded in the Company’s Consolidated Statement of Operations and Comprehensive Income (Loss).</w:t>
      </w:r>
    </w:p>
    <w:p>
      <w:pPr>
        <w:spacing w:after="0" w:line="183"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3"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 and are also reviewed annually to determine whether any impairment is necessary.</w:t>
      </w:r>
    </w:p>
    <w:p>
      <w:pPr>
        <w:spacing w:after="0" w:line="216"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Contingent Consideration—The consideration for the Company’s acquisitions may include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Income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September 30, 2020 and September 30, 2019.</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9" w:name="page80"/>
    <w:bookmarkEnd w:id="79"/>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Revenue Recognition— On October 1, 2018, the Company adopted FASB Topic 606 – Revenue for Contracts from Customers which amended revenue recognition principles and provides a single, comprehensive set of criteria for revenue recognition within and across all industries. The Company’s adoption of the new revenue standard did not have a material impact on its Consolidated Financial Statements. The Company has not yet achieved commercial sales of its drug candidates to date, however, the new standard is applicable to the Company’s ongoing licensing and collaboration agreements, including those with Amgen, Janssen, and Takeda and the analysis of the impact of this guidance on those agreements is discussed further in Note 2 below.</w:t>
      </w:r>
    </w:p>
    <w:p>
      <w:pPr>
        <w:spacing w:after="0" w:line="187"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new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the Company determines are within the scope of the new revenue standard, the Company performs the following five steps: (i) 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the Company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19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19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a New Drug Application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our milestones and royalties, and, if necessary, adjusts its estimate of the overall transaction price. Any such adjustments are recorded on a cumulative catch-up basis, which would affect revenues and net income in the Company’s Consolidated Statement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Milestones or royalties achieved after the Company’s performance obligations have been completed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new revenue standard requires the Company to assess whether a significant financing component exists in determining the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The Company performs this assessment at the onset of its licensing or collaboration agreements. Typically, a significant financing component does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exist because the customer is paying for a license or services in advance with an upfront payment. Additionally, future royalty payments are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within the control of the Company or the customer.</w:t>
      </w:r>
    </w:p>
    <w:p>
      <w:pPr>
        <w:spacing w:after="0" w:line="207" w:lineRule="exact"/>
        <w:rPr>
          <w:sz w:val="20"/>
          <w:szCs w:val="20"/>
          <w:color w:val="auto"/>
        </w:rPr>
      </w:pPr>
    </w:p>
    <w:p>
      <w:pPr>
        <w:ind w:right="100" w:firstLine="510"/>
        <w:spacing w:after="0" w:line="274" w:lineRule="auto"/>
        <w:rPr>
          <w:sz w:val="20"/>
          <w:szCs w:val="20"/>
          <w:color w:val="auto"/>
        </w:rPr>
      </w:pPr>
      <w:r>
        <w:rPr>
          <w:rFonts w:ascii="Times New Roman" w:cs="Times New Roman" w:eastAsia="Times New Roman" w:hAnsi="Times New Roman"/>
          <w:sz w:val="17"/>
          <w:szCs w:val="17"/>
          <w:color w:val="auto"/>
        </w:rPr>
        <w:t>The new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new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the proportional performance method. Labor hours or costs incurred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187"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Certain judgments affect the application of the Company’s revenue recognition policy. For example, the Company records short-term and long-term deferred revenue based on its best estimate of when such revenue will be recognized. Short-term deferred revenue consists of amounts that are expected to be recognized as revenue in the next 12 months, and long-term deferred revenue consists of amounts that the Company does not expect will be recognized in the next 12 months. This estimate is based on the Company’s current operating plan and, if the Company’s operating plan should change in the future, the Company may recognize a different amount of deferred revenue over the next 12-month period.</w:t>
      </w:r>
    </w:p>
    <w:p>
      <w:pPr>
        <w:spacing w:after="0" w:line="224" w:lineRule="exact"/>
        <w:rPr>
          <w:sz w:val="20"/>
          <w:szCs w:val="20"/>
          <w:color w:val="auto"/>
        </w:rPr>
      </w:pPr>
    </w:p>
    <w:p>
      <w:pPr>
        <w:ind w:right="200" w:firstLine="510"/>
        <w:spacing w:after="0" w:line="312" w:lineRule="auto"/>
        <w:rPr>
          <w:sz w:val="20"/>
          <w:szCs w:val="20"/>
          <w:color w:val="auto"/>
        </w:rPr>
      </w:pPr>
      <w:r>
        <w:rPr>
          <w:rFonts w:ascii="Times New Roman" w:cs="Times New Roman" w:eastAsia="Times New Roman" w:hAnsi="Times New Roman"/>
          <w:sz w:val="17"/>
          <w:szCs w:val="17"/>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40"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7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Net Income (Loss) per Share—Basic net income (loss) per share is computed using the weighted-average number of common shares outstanding during the period. Diluted net income (loss) per share are computed using the weighted-average number of common shares and dilutive potential common shares outstanding during the period. Dilutive potential common shares primarily consist of stock options and restricted stock units issued to employees. During the years ended September 30, 2020, 2019 and 2018, the calculation of the effect of dilutive stock options and restricted stock units was 0 shares, 4,748,958 shares, and 0 shares, respectively. During the year ended September 30, 2020, the calculation of the effect of dilutive stock options and restricted stock units excluded all stock options and restricted stock units granted and outstanding during the period due to their anti-dilutive</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effect. During the year ended September 30, 2019, the calculation of the effect of dilutive stock options and restricted stock units excluded 1,007,500 stock options and 11,500 restricted stock units granted and outstanding during the period due to their anti-dilutive effect. During the year ended September 30, 2018, the calculation of the effect of dilutive stock options and restricted stock units excluded all stock options and restricted stock units granted and outstanding during the period due to their anti-dilutive effect.</w:t>
      </w:r>
    </w:p>
    <w:p>
      <w:pPr>
        <w:spacing w:after="0" w:line="189" w:lineRule="exact"/>
        <w:rPr>
          <w:sz w:val="20"/>
          <w:szCs w:val="20"/>
          <w:color w:val="auto"/>
        </w:rPr>
      </w:pPr>
    </w:p>
    <w:p>
      <w:pPr>
        <w:ind w:right="20" w:firstLine="510"/>
        <w:spacing w:after="0" w:line="271" w:lineRule="auto"/>
        <w:rPr>
          <w:sz w:val="20"/>
          <w:szCs w:val="20"/>
          <w:color w:val="auto"/>
        </w:rPr>
      </w:pPr>
      <w:r>
        <w:rPr>
          <w:rFonts w:ascii="Times New Roman" w:cs="Times New Roman" w:eastAsia="Times New Roman" w:hAnsi="Times New Roman"/>
          <w:sz w:val="17"/>
          <w:szCs w:val="17"/>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73" w:lineRule="exact"/>
        <w:rPr>
          <w:sz w:val="20"/>
          <w:szCs w:val="20"/>
          <w:color w:val="auto"/>
        </w:rPr>
      </w:pPr>
    </w:p>
    <w:p>
      <w:pPr>
        <w:ind w:right="40" w:firstLine="510"/>
        <w:spacing w:after="0" w:line="260" w:lineRule="auto"/>
        <w:rPr>
          <w:sz w:val="20"/>
          <w:szCs w:val="20"/>
          <w:color w:val="auto"/>
        </w:rPr>
      </w:pPr>
      <w:r>
        <w:rPr>
          <w:rFonts w:ascii="Times New Roman" w:cs="Times New Roman" w:eastAsia="Times New Roman" w:hAnsi="Times New Roman"/>
          <w:sz w:val="18"/>
          <w:szCs w:val="18"/>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1" w:name="page82"/>
    <w:bookmarkEnd w:id="81"/>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Leases—The Company determines whether a contract is, or contains, a lease at inception. The Company classifies each of its leases as operating or financing considering factors such as the length of the lease term, the present value of the lease payments, the nature of the asset being leased, and the potential for ownership of the asset to transfer during the lease term. Leases with terms greater than one-year are recognized on the Consolidated Balance Sheets as Right-of-use assets and Lease liabilities and are measured at the present value of the fixed payments due over the expected lease term minus the present value of any incentives, rebates or abatements expected to be received from the lessor. Options to extend a lease are typically excluded from the expected lease term as the exercise of the option is typically not reasonably certain. 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fixed lease payments on a straight-line basis over the expected lease term. Costs determined to be variable and not based on an index or rate are not included in the measurement of the lease liability and are expensed as incurred.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became effective for the Company in the first quarter of fiscal 2019. In April 2016, the FASB issued an amendment to ASU No. 2014-09 with update ASU 2016-10 which provided more specific guidance around the identification of performance obligations and licensing arrangements. On October 1, 2018, the Company adopted this standard using the modified retrospective method. The Company’s implementation approach included reviewing the status of each of its ongoing license agreements and collaboration agreements and designing appropriate internal controls to enable the preparation of financial information. The Company completed its assessment of the impact of the new revenue recognition guidance and determined that there will be no material impact. The Company’s existing performance obligations under its ongoing license and collaboration agreements as of October 1, 2018 and prior were substantially completed prior to September 30, 2018. For these agreements that were ongoing as of October 1, 2018, any future option, milestone or royalty payments received will be accounted for under the sales-based royalty exception provided for under this new revenue recognition guidance. Additionally, there will be no impact to cash from or used in operating, financing or investing activities on the Company’s Consolidated Statement of Cash Flows as a result of the adoption of the new standard.</w:t>
      </w:r>
    </w:p>
    <w:p>
      <w:pPr>
        <w:spacing w:after="0" w:line="19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March 2016, the FASB issued ASU No. 2016-02, Leases (Topic ASC 842). Under ASC 842, lessees are required to recognize a right-of-use asset and a right-of-use lease liability for virtually all leases other than those that meet the definition of a short-term lease. For income statement purposes, a dual model was retained, requiring leases to be classified as either operating or finance. Operating leases will result in straight-line expense while finance leases will result in a front-loaded expense pattern (similar to current capital leases). The Company adopted this standard effective October 1, 2019 and elected the package of three practical expedients that permits an entity to i) not reassess whether expired or existing contracts contain leases, ii) not reassess lease classification for existing or expired leases, and iii) not consider whether previously capitalized initial direct costs would be appropriate under the new standard. At September 30, 2020, the Company has recorded right-of-use assets of $16.1 million and right-of-use liabilities of $21.1 million on its Consolidated Balance Sheets for its research and development facility leases in Madison, Wisconsin and San Diego, California, as well as its corporate headquarters lease in Pasadena, California, as discussed further in Note 8 below. The adoption of this standard did not have a material impact on the Company’s Consolidated Statements of Operations and Comprehensive Income (Loss) and the Company’s Consolidated Statements of Cash Flows.</w:t>
      </w:r>
    </w:p>
    <w:p>
      <w:pPr>
        <w:spacing w:after="0" w:line="194"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This update provides clarification on the interaction between Revenue Recognition (Topic 606) and Collaborative Arrangements (Topic 808) including the alignment of unit of account guidance between the two topics. ASU 2018-18 becomes effective for the Company in the first quarter of fiscal 2021 with early adoption permitted. The Company does not expect the adoption of this update to have a material effect on its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b w:val="1"/>
          <w:bCs w:val="1"/>
          <w:i w:val="1"/>
          <w:iCs w:val="1"/>
          <w:color w:val="auto"/>
        </w:rPr>
        <w:t>COLLABORATION AND LICENSE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Amgen Inc.</w:t>
      </w:r>
    </w:p>
    <w:p>
      <w:pPr>
        <w:spacing w:after="0" w:line="11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On September 28, 2016, the Company entered into two Collaboration and License Agreements, and a Common Stock Purchase Agreement with Amgen Inc., a Delaware corporation (“Amgen”). Under one of the collaboration and license agreements (the “Second Collaboration and License Agreement” or “Olpasiran Agreement”), Amgen has received a worldwide, exclusive license to Arrowhead’s novel, RNAi Olpasiran (previously referred to as AMG 890 or ARO-LPA) program. These RNAi molecules are designed to reduce elevated lipoprotein(a), which is a genetically validated, independent risk factor for atherosclerotic cardiovascular disease. Under the other collaboration and license agreement (the “First Collaboration and License Agreement” or the “ARO-AMG1 Agreement”), Amgen received an option to a worldwide, exclusive license for ARO-AMG1, an RNAi therapy for an undisclosed genetically validated cardiovascular target. In both agreements, Amgen is wholly responsible for clinical development and commercialization. Under the terms of the agreements taken together, the Company has received $35.0 million in upfront payments, $21.5 million in the form of an equity investment by Amgen in the Company’s Common Stock, and $30.0 million in milestone payments, and may receive up to an additional $400.0 million in remaining development, regulatory and sales milestone payments. The Company is further eligible to receive up to low double-digit royalties for sales of products under the Olpasiran Agreement. In July 2019, Amgen informed the Company that it would not be exercising its option for an exclusive license for ARO-AMG1, and as such, there will be no further milestone or royalty payments under the ARO-AMG1 Agreement.</w:t>
      </w:r>
    </w:p>
    <w:p>
      <w:pPr>
        <w:spacing w:after="0" w:line="190"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Company substantially completed its performance obligations under the Olpasiran Agreement and the ARO-AMG1 Agreement. Future milestones and royalties achieved will be recognized in their entirety when earned. In July 2020, Amgen initiated a Phase 2 clinical study, which resulted in a $20 million milestone payment to the Company. During the years ended September 30, 2020, 2019 and 2018, the Company recognized $20.1 million, $0.3 million, and $16.1 million of Revenue associated with its agreements with Amgen, respectively. As of September 30, 2020, there were $0 million in contract assets recorded as accounts receivable and $0 contract liabilities recorded as current deferred revenue on the Company’s Consolidated Balance Sheets.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Janssen Pharmaceuticals, Inc.</w:t>
      </w:r>
    </w:p>
    <w:p>
      <w:pPr>
        <w:spacing w:after="0" w:line="119"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w:t>
      </w:r>
    </w:p>
    <w:p>
      <w:pPr>
        <w:ind w:firstLine="8"/>
        <w:spacing w:after="0" w:line="251" w:lineRule="auto"/>
        <w:tabs>
          <w:tab w:leader="none" w:pos="1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Janssen is also wholly responsible for clinical development and commercialization of JNJ-3989. Under the Janssen Collaboration Agreement, Janssen will be able to select three new targets against which Arrowhead will develop clinical candidates. These candidates are subject to certain restrictions and do not include candidates that already were in the Company’s pipeline. The Company will perform discovery, optimization and preclinical research and development, entirely funded by Janssen, which on its own or in combination with Janssen development work, is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two $25.0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mid-teens under the Janssen License Agreement and up to low teens under the Janssen Collaboration Agreement on product sales.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3" w:name="page84"/>
    <w:bookmarkEnd w:id="83"/>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18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determined the transaction price totaled approximately $252.6 million which includes the upfront payment, the premium paid by JJDC for its equity investment in the Company, the two $25.0 million milestone payments earned and estimated payments for reimbursable Janssen R&amp;D services to be performed. The Company has allocated the total $252.6 million initial transaction price to its one distinct performance obligation for the JNJ-3989 (ARO-HBV) license and the associated Janssen R&amp;D Services. This revenue will be recognized using a proportional performance method (based on actual labor hours versus estimated total labor hours) beginning in October 2018 and ending as the Company’s efforts in overseeing the phase 1/2 clinical trial are completed. During the years ended September 30, 2020 and 2019, the Company recognized approximately $65.0 million and $167.5 million of Revenue associated with this performance obligation, respectively. As of September 30, 2020, there were $0 in contract assets recorded as accounts receivable, and $19.3 million of contract liabilities recorded as current deferred revenue on the Company’s Consolidated Balance Sheets. The $19.3 million of current deferred revenue is driven by the upfront payment, the premium paid by JJDC for its equity investment in the Company, and the two $25.0 million milestone payments earned, net of revenue recognized to date.</w:t>
      </w:r>
    </w:p>
    <w:p>
      <w:pPr>
        <w:spacing w:after="0" w:line="194"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Company has begun to conduct its discovery, optimization and preclinical research and development of ARO-JNJ1, ARO-JNJ2 and ARO-JNJ3 under the Janssen Collaboration Agreement. All costs and labor hours spent by the Company will be entirely funded by Janssen. During the years ended September 30, 2020 and 2019, the Company recognized $2.9 million and $1.0 million of Revenue associated with these efforts, respectively. As of September 30, 2020, there were $0.8 million of contract assets recorded as accounts receivable, and $0 of contract liabilities recorded as current deferred revenue on the Company’s Consolidated Balance Sheets.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Takeda Pharmaceuticals U.S.A., Inc.</w:t>
      </w:r>
    </w:p>
    <w:p>
      <w:pPr>
        <w:spacing w:after="0" w:line="119"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On October 7, 2020, the Company entered into an Exclusive License and Co-Funding Agreement (the “Takeda License Agreement”) with Takeda Pharmaceuticals U.S.A., Inc.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The Company will receive $300.0 million as an upfront payment and is eligible to receive potential development, regulatory and commercial milestones of up to $740.0 million.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4" w:name="page85"/>
    <w:bookmarkEnd w:id="84"/>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has evaluated the Takeda License Agreement in accordance with the new revenue recognition requirements that became effective for the Company on October 1, 2018. The adoption of the new revenue standard will not have a material impact on the balances reported when evaluated under the superseded revenue standard. At the inception of the Takeda License Agreement, the Company has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Takeda will be responsible for managing future clinical development and commercialization. The Company will co-fund certain of the development and commercialization costs that Takeda manages, and these co-funding amounts will be offset against amounts owed to Arrowhead, either from milestones or royalties earned, or profits earned under the 50/50 profit sharing structure for U.S. commercialization.</w:t>
      </w:r>
    </w:p>
    <w:p>
      <w:pPr>
        <w:spacing w:after="0" w:line="194"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Company determined the initial transaction price totaled approximately $300.0 million which includes the upfront payment. The Company will exclude any future estimated milestones, royalties or profit-sharing payments from this transaction price to date. The Company will allocate the total $300.0 million initial transaction price to its one distinct performance obligation for the ARO-AAT license and the associated Takeda R&amp;D Services. This revenue will be recognized using a proportional performance method (based on actual costs incurred versus estimated total estimated costs incurred for the Takeda R&amp;D Services) beginning in the Company’s first fiscal quarter of fiscal 2021 and ending as the Takeda R&amp;D Services are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major classes of property and equipment:</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860" w:type="dxa"/>
            <w:vAlign w:val="bottom"/>
            <w:tcBorders>
              <w:bottom w:val="single" w:sz="8" w:color="CFF0FC"/>
            </w:tcBorders>
          </w:tcPr>
          <w:p>
            <w:pPr>
              <w:spacing w:after="0"/>
              <w:rPr>
                <w:sz w:val="15"/>
                <w:szCs w:val="15"/>
                <w:color w:val="auto"/>
              </w:rPr>
            </w:pPr>
          </w:p>
        </w:tc>
        <w:tc>
          <w:tcPr>
            <w:tcW w:w="13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2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office equipment and furniture</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661,927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637,577</w:t>
            </w:r>
          </w:p>
        </w:tc>
        <w:tc>
          <w:tcPr>
            <w:tcW w:w="8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20,654,323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12,932,304</w:t>
            </w:r>
          </w:p>
        </w:tc>
        <w:tc>
          <w:tcPr>
            <w:tcW w:w="8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631,204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147,254</w:t>
            </w:r>
          </w:p>
        </w:tc>
        <w:tc>
          <w:tcPr>
            <w:tcW w:w="80" w:type="dxa"/>
            <w:vAlign w:val="bottom"/>
            <w:shd w:val="clear" w:color="auto" w:fill="CFF0FC"/>
          </w:tcPr>
          <w:p>
            <w:pPr>
              <w:spacing w:after="0"/>
              <w:rPr>
                <w:sz w:val="19"/>
                <w:szCs w:val="19"/>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25,237,851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21,579,415</w:t>
            </w:r>
          </w:p>
        </w:tc>
        <w:tc>
          <w:tcPr>
            <w:tcW w:w="80" w:type="dxa"/>
            <w:vAlign w:val="bottom"/>
            <w:tcBorders>
              <w:bottom w:val="single" w:sz="8" w:color="CFF0FC"/>
            </w:tcBorders>
          </w:tcPr>
          <w:p>
            <w:pPr>
              <w:spacing w:after="0"/>
              <w:rPr>
                <w:sz w:val="19"/>
                <w:szCs w:val="19"/>
                <w:color w:val="auto"/>
              </w:rPr>
            </w:pPr>
          </w:p>
        </w:tc>
      </w:tr>
      <w:tr>
        <w:trPr>
          <w:trHeight w:val="22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fixed assets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47,185,305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35,296,550</w:t>
            </w:r>
          </w:p>
        </w:tc>
        <w:tc>
          <w:tcPr>
            <w:tcW w:w="8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(16,304,437)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(12,081,651)</w:t>
            </w:r>
          </w:p>
        </w:tc>
      </w:tr>
      <w:tr>
        <w:trPr>
          <w:trHeight w:val="223"/>
        </w:trPr>
        <w:tc>
          <w:tcPr>
            <w:tcW w:w="48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30,880,868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23,214,899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for the years ended September 30, 2020, 2019, and 2018 was $4,241,834 and $2,738,715, and $2,998,846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Investments at September 30, 2020 primarily consist of corporate bonds that have maturities of less than 36 months and marketable equity securities. The Company’s corporate bonds consists of both short-term and long-term bonds and are classified as “held-to-maturity” on the Company’s Consolidated Balance Sheets. The Company’s marketable equity securities consist of mutual funds that invests in U.S. government bonds, U.S. government agency bonds, corporate bonds, and other asset backed debt securities. Dividends from these three funds are automatically reinvested. The Company may also invest excess cash balances in certificates of deposits, money market accounts, government-sponsored enterprise securities, corporate bonds and/or commercial paper. The Company accounts for its held to maturity investments in accordance with FASB ASC 320, Investments – Debt and Equity Securities and its marketable equity securities in accordance with ASC 321, Investments – Equity Securities.</w:t>
      </w:r>
    </w:p>
    <w:p>
      <w:pPr>
        <w:spacing w:after="0" w:line="189" w:lineRule="exact"/>
        <w:rPr>
          <w:sz w:val="20"/>
          <w:szCs w:val="20"/>
          <w:color w:val="auto"/>
        </w:rPr>
      </w:pPr>
    </w:p>
    <w:p>
      <w:pPr>
        <w:ind w:right="70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short-term, long-term investments and marketable securities as of September 30, 2020 and September 30, 2019 by measurement category.</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3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Held to Maturity</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840" w:type="dxa"/>
            <w:vAlign w:val="bottom"/>
            <w:gridSpan w:val="3"/>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notes (due within one year)</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86,889,751</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$ 1,589,873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88,479,624</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Commercial notes (due within one through</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three years)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137,486,883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$ 4,573,964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(79,471)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141,981,376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224,376,634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$ 6,163,837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(79,471</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230,461,000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840" w:type="dxa"/>
            <w:vAlign w:val="bottom"/>
            <w:gridSpan w:val="3"/>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FF0FC"/>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notes (due within one year)</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36,899,894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222,584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37,122,478</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Commercial notes (due within one through</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three years)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44,175,993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45,051,251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vMerge w:val="continue"/>
            <w:shd w:val="clear" w:color="auto" w:fill="CFF0FC"/>
          </w:tcPr>
          <w:p>
            <w:pPr>
              <w:spacing w:after="0"/>
              <w:rPr>
                <w:sz w:val="20"/>
                <w:szCs w:val="20"/>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81,075,887</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$ 1,097,842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82,173,729</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w:t>
            </w: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80" w:type="dxa"/>
            <w:vAlign w:val="bottom"/>
            <w:gridSpan w:val="3"/>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85,000,000</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94,734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(75,015)</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85,019,719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(75,015)</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85,019,719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$828,596. The patents associated with the Novartis RNAi asset acquisition are being amortized over the estimated life remaining at the time of acquisition, which was 14 years, and the accumulated amortization of the assets is $8,665,466. Amortization expense for the years ended September 30, 2020, 2019, and 2018 was $1,700,429, $1,700,430, and $1,700,429, respectively. Amortization expense is expected to be $1,700,429 in 2021, $1,700,429 in 2022, $1,700,429 in 2023, $1,700,429 in 2024, $1,700,429 in 2025 and $6,861,006 thereafter.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86" w:name="page87"/>
    <w:bookmarkEnd w:id="86"/>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on the Company’s intangible asset balances: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Intangible</w:t>
            </w:r>
          </w:p>
        </w:tc>
      </w:tr>
      <w:tr>
        <w:trPr>
          <w:trHeight w:val="148"/>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r>
      <w:tr>
        <w:trPr>
          <w:trHeight w:val="148"/>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r>
      <w:tr>
        <w:trPr>
          <w:trHeight w:val="173"/>
        </w:trPr>
        <w:tc>
          <w:tcPr>
            <w:tcW w:w="7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23"/>
        </w:trPr>
        <w:tc>
          <w:tcPr>
            <w:tcW w:w="7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17,063,580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(1,700,429)</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15,363,151</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b w:val="1"/>
          <w:bCs w:val="1"/>
          <w:i w:val="1"/>
          <w:iCs w:val="1"/>
          <w:color w:val="auto"/>
        </w:rPr>
        <w:t>STOCKHOLDERS’ EQUITY</w:t>
      </w:r>
    </w:p>
    <w:p>
      <w:pPr>
        <w:spacing w:after="0" w:line="12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At September 30, 2020, the Company had a total of 150,000,000 shares of capital stock authorized for issuance, consisting of 145,000,000 shares of Common Stock, par value $0.001 per share, and 5,000,000 shares of Preferred Stock, par value $0.001 per share.</w:t>
      </w:r>
    </w:p>
    <w:p>
      <w:pPr>
        <w:spacing w:after="0" w:line="16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At September 30, 2020, 102,376,303 shares of Common Stock were outstanding. At September 30, 2020, 8,462,148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76"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In December 2019, the Company sold 4,600,000 shares of its Common Stock in a public offering at a price of $58.00 per share. The aggregate purchase price paid by the investors for the Common Stock was $266.8 million, and the Company received net proceeds of $250.5 million after deducting advisory fees and offering expenses.</w:t>
      </w:r>
    </w:p>
    <w:p>
      <w:pPr>
        <w:spacing w:after="0" w:line="176"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August 2020, the Company entered into an Open Market Sale Agreement (the “ATM Agreement”), pursuant to which the Company may, from time to time, sell up to $250,000,000 in shares of the Company’s Common Stock through Jefferies LLC, acting as the sales agent and/or principal, in an at-the-market offering (“ATM Offering”). The Company is not required to sell shares under the ATM Agreement. The Company will pay Jefferies LLC a commission of up to 3.0% of the aggregate gross proceeds received from all sales of the common stock under the ATM Agreement. Unless otherwise terminated, the ATM Agreement continues until the earlier of selling all shares available under the ATM Agreement or December 2, 2022. At September 30, 2020, no shares have been issued under the ATM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b w:val="1"/>
          <w:bCs w:val="1"/>
          <w:i w:val="1"/>
          <w:i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ind w:right="300" w:firstLine="51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the year ended September 30, 2020.</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various purchase commitments for the manufacture of drug components, for toxicology studies and for clinical studies. As of September 30, 2020, these future commitments were estimated at approximately $78.0 million, of which approximately $60.2 million is expected to be incurred in fiscal 2021, and $17.8 million is expected to be incurred beyond fiscal 2021.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License Commitments</w:t>
      </w:r>
    </w:p>
    <w:p>
      <w:pPr>
        <w:spacing w:after="0" w:line="119" w:lineRule="exact"/>
        <w:rPr>
          <w:sz w:val="20"/>
          <w:szCs w:val="20"/>
          <w:color w:val="auto"/>
        </w:rPr>
      </w:pPr>
    </w:p>
    <w:p>
      <w:pPr>
        <w:ind w:right="20" w:firstLine="510"/>
        <w:spacing w:after="0" w:line="259" w:lineRule="auto"/>
        <w:rPr>
          <w:sz w:val="20"/>
          <w:szCs w:val="20"/>
          <w:color w:val="auto"/>
        </w:rPr>
      </w:pPr>
      <w:r>
        <w:rPr>
          <w:rFonts w:ascii="Times New Roman" w:cs="Times New Roman" w:eastAsia="Times New Roman" w:hAnsi="Times New Roman"/>
          <w:sz w:val="18"/>
          <w:szCs w:val="18"/>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year ended September 30, 2020, the Company incurred $2.4 million of milestone payments related to the progression of the ARO-ENaC and ARO-HIF2 candidates. During the years ended September 30, 2019 and 2018, the Company did not trigger any milestone payments. In certain agreements, the Company may be required to make mid to high single-digit percentage royalty payments based on a percentage of the sales of the relevant products.</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20" w:firstLine="510"/>
        <w:spacing w:after="0" w:line="278" w:lineRule="auto"/>
        <w:rPr>
          <w:sz w:val="20"/>
          <w:szCs w:val="20"/>
          <w:color w:val="auto"/>
        </w:rPr>
      </w:pPr>
      <w:r>
        <w:rPr>
          <w:rFonts w:ascii="Times New Roman" w:cs="Times New Roman" w:eastAsia="Times New Roman" w:hAnsi="Times New Roman"/>
          <w:sz w:val="17"/>
          <w:szCs w:val="17"/>
          <w:color w:val="auto"/>
        </w:rPr>
        <w:t>In April 2019, the Company entered into a lease for its corporate headquarters in Pasadena, California. The 91 month office building lease between the Company and 177 Colorado Owner, LLC is for approximately 24,000 square feet of office space located at 177 E. Colorado Blvd, Pasadena, California. The increased capacity of this new office space compared to the Company’s prior corporate headquarters will accommodate increased personnel as the Company’s pipeline of drug candidates expands and moves closer to market. Lease payments began on September 30, 2019 and are estimated to total approximately $8.7 million over the term. The lease expires on April 30, 2027. The Company has paid approximately $3.5 million for leasehold improvements, net of tenant improvement allowances. The lease contains an option to renew for one term of five years. The exercise of this option was not determined to be reasonably certain and thus was not included in lease liabilities on the Company’s Consolidated Balance Sheet at September 30, 2020.</w:t>
      </w:r>
    </w:p>
    <w:p>
      <w:pPr>
        <w:spacing w:after="0" w:line="170" w:lineRule="exact"/>
        <w:rPr>
          <w:sz w:val="20"/>
          <w:szCs w:val="20"/>
          <w:color w:val="auto"/>
        </w:rPr>
      </w:pPr>
    </w:p>
    <w:p>
      <w:pPr>
        <w:ind w:firstLine="510"/>
        <w:spacing w:after="0" w:line="260" w:lineRule="auto"/>
        <w:rPr>
          <w:sz w:val="20"/>
          <w:szCs w:val="20"/>
          <w:color w:val="auto"/>
        </w:rPr>
      </w:pPr>
      <w:r>
        <w:rPr>
          <w:rFonts w:ascii="Times New Roman" w:cs="Times New Roman" w:eastAsia="Times New Roman" w:hAnsi="Times New Roman"/>
          <w:sz w:val="18"/>
          <w:szCs w:val="18"/>
          <w:color w:val="auto"/>
        </w:rPr>
        <w:t>In January 2016, the Company entered into a lease for its research facility in Madison, Wisconsin. The lease was for approximately 60,000 square feet of office and laboratory space and had an expiration date of September 30, 2026. The lease was amended in January 2019 to expand the rentable square feet by an additional 14,000 square feet and to extend the lease expiration date to September 2029. In May 2020, the Company further amended the lease to increase the rentable square feet by an additional 26,000 square feet and extended the lease expiration date to September 30, 2031. Lease payments are estimated to total approximately $26.2 million for the term. The lease contains two options to renew for two terms of five years. The exercise of these options were not determined to be reasonably certain and thus was not included in lease liabilities on the Company’s Consolidated Balance Sheet at September 30, 2020.</w:t>
      </w:r>
    </w:p>
    <w:p>
      <w:pPr>
        <w:spacing w:after="0" w:line="212"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In March 2020, the Company entered into a sublease agreement (the “Sublease”) with Halozyme, Inc. for additional research and development facility space in San Diego, California. The Sublease provides additional space needed to accommodate the recent growth of the Company’s personnel and discovery efforts. The sublease is for approximately 21,000 rentable square feet. The term of the Sublease commenced on April 1, 2020 and will end on January 14, 2023. Sublease payments are estimated to total approximately $2.0 million over the term.</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lease cost during the years ended September 30, 2020, 2019, and 2018 was $2.4 million, $1.3 million and $1.3 million</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respectively. Variable lease costs during the year ended September 30, 2020 were $0.8 million. There was no short-term lease cost during the years ended September 30, 2020, 2019 and 2018.</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maturities of operating lease liabilities on an undiscounted basis as of September 30, 2020:</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00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3,091,901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3,406,754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1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15,331,296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32,311,207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FF0FC"/>
            </w:tcBorders>
            <w:vMerge w:val="continue"/>
          </w:tcPr>
          <w:p>
            <w:pPr>
              <w:spacing w:after="0"/>
              <w:rPr>
                <w:sz w:val="21"/>
                <w:szCs w:val="21"/>
                <w:color w:val="auto"/>
              </w:rPr>
            </w:pPr>
          </w:p>
        </w:tc>
        <w:tc>
          <w:tcPr>
            <w:tcW w:w="164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(11,173,252)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 (includes current portion)</w:t>
            </w:r>
          </w:p>
        </w:tc>
        <w:tc>
          <w:tcPr>
            <w:tcW w:w="16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21,137,955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Cash paid for the amounts included in the measurement of the operating lease liabilities on the Company’s Consolidated Balance Sheet and included in Other changes in operating assets and liabilities within cash flows from operating activities on the Company’s Consolidated Statement of Cash Flow for the years ended September 30, 2020, 2019 and 2018 were $1.8 million, $1.3 million and $1.3 million, respectively. The weighted-average remaining lease term and weighted-average discount rate for all leases as of September 30, 2020 was 9.4 years and 8.4%,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88" w:name="page89"/>
    <w:bookmarkEnd w:id="88"/>
    <w:p>
      <w:pPr>
        <w:ind w:left="520"/>
        <w:spacing w:after="0"/>
        <w:rPr>
          <w:sz w:val="20"/>
          <w:szCs w:val="20"/>
          <w:color w:val="auto"/>
        </w:rPr>
      </w:pPr>
      <w:r>
        <w:rPr>
          <w:rFonts w:ascii="Times New Roman" w:cs="Times New Roman" w:eastAsia="Times New Roman" w:hAnsi="Times New Roman"/>
          <w:sz w:val="18"/>
          <w:szCs w:val="18"/>
          <w:color w:val="auto"/>
        </w:rPr>
        <w:t>As of September 30, 2019, future minimum lease payments due in fiscal years under operating leases were as follows: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336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1,521,451</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2,256,379</w:t>
            </w:r>
          </w:p>
        </w:tc>
        <w:tc>
          <w:tcPr>
            <w:tcW w:w="10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2,521,446</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2,590,558</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2,661,512</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9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10,834,206</w:t>
            </w:r>
          </w:p>
        </w:tc>
        <w:tc>
          <w:tcPr>
            <w:tcW w:w="100" w:type="dxa"/>
            <w:vAlign w:val="bottom"/>
            <w:tcBorders>
              <w:bottom w:val="single" w:sz="8" w:color="CFF0FC"/>
            </w:tcBorders>
          </w:tcPr>
          <w:p>
            <w:pPr>
              <w:spacing w:after="0"/>
              <w:rPr>
                <w:sz w:val="19"/>
                <w:szCs w:val="19"/>
                <w:color w:val="auto"/>
              </w:rPr>
            </w:pPr>
          </w:p>
        </w:tc>
      </w:tr>
      <w:tr>
        <w:trPr>
          <w:trHeight w:val="223"/>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22,385,552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Arrowhead has two plans that provide for equity-based compensation. Under the 2004 Equity Incentive Plan and 2013 Incentive Plan, as of September 30, 2020, 673,262 and 5,598,345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September 30, 2020, there were options granted and outstanding to purchase 673,262 and 2,611,625 shares of Common Stock under the 2004 Equity Incentive Plan and the 2013 Incentive Plan, respectively, and there were 2,588,000 restricted stock units granted and outstanding under the 2013 Incentive Plan. Also, as of September 30, 2020, there were 1,254,516 shares reserved for options and 936,025 shares reserved for restricted stock units issued as inducement grants to new employees outside of equity compensation plans.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4,773,670</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(74,639)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(1,111,128)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4,539,403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8"/>
              </w:rPr>
              <w:t>6.2 years</w:t>
            </w:r>
          </w:p>
        </w:tc>
        <w:tc>
          <w:tcPr>
            <w:tcW w:w="1140" w:type="dxa"/>
            <w:vAlign w:val="bottom"/>
            <w:tcBorders>
              <w:top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$129,100,277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2,924,744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tcPr>
          <w:p>
            <w:pPr>
              <w:spacing w:after="0"/>
              <w:rPr>
                <w:sz w:val="19"/>
                <w:szCs w:val="19"/>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4.8 years</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$102,698,309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options for the years ended September 30, 2020, 2019, and 2018 was $9,719,116, $3,955,216, and $3,265,348, respectively. For non-qualified stock options, the expense creates a timing difference, resulting in a deferred tax asset, which is fully reserved by a valuation allowance.</w:t>
      </w:r>
    </w:p>
    <w:p>
      <w:pPr>
        <w:spacing w:after="0" w:line="176" w:lineRule="exact"/>
        <w:rPr>
          <w:sz w:val="20"/>
          <w:szCs w:val="20"/>
          <w:color w:val="auto"/>
        </w:rPr>
      </w:pPr>
    </w:p>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options granted by the Company for the years ended September 30, 2020, 2019, and 2018 was $34,582,743, $12,137,250, and $4,141,318, respectively.</w:t>
      </w:r>
    </w:p>
    <w:p>
      <w:pPr>
        <w:spacing w:after="0" w:line="162" w:lineRule="exact"/>
        <w:rPr>
          <w:sz w:val="20"/>
          <w:szCs w:val="20"/>
          <w:color w:val="auto"/>
        </w:rPr>
      </w:pPr>
    </w:p>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The intrinsic value of the options exercised during the years ended September 30, 2020, 2019 and 2018 was $44,082,294, $24,561,189, and $5,805,317, respectively.</w:t>
      </w:r>
    </w:p>
    <w:p>
      <w:pPr>
        <w:spacing w:after="0" w:line="162" w:lineRule="exact"/>
        <w:rPr>
          <w:sz w:val="20"/>
          <w:szCs w:val="20"/>
          <w:color w:val="auto"/>
        </w:rPr>
      </w:pPr>
    </w:p>
    <w:p>
      <w:pPr>
        <w:ind w:right="500" w:firstLine="510"/>
        <w:spacing w:after="0" w:line="282" w:lineRule="auto"/>
        <w:rPr>
          <w:sz w:val="20"/>
          <w:szCs w:val="20"/>
          <w:color w:val="auto"/>
        </w:rPr>
      </w:pPr>
      <w:r>
        <w:rPr>
          <w:rFonts w:ascii="Times New Roman" w:cs="Times New Roman" w:eastAsia="Times New Roman" w:hAnsi="Times New Roman"/>
          <w:sz w:val="18"/>
          <w:szCs w:val="18"/>
          <w:color w:val="auto"/>
        </w:rPr>
        <w:t>As of September 30, 2020, the pre-tax compensation expense for all outstanding unvested stock options in the amount of $36,355,846 will be recognized in the Company’s results of operations over a weighted average period of 3.1 years.</w:t>
      </w:r>
    </w:p>
    <w:p>
      <w:pPr>
        <w:spacing w:after="0" w:line="16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9" w:name="page90"/>
    <w:bookmarkEnd w:id="89"/>
    <w:p>
      <w:pPr>
        <w:ind w:left="520"/>
        <w:spacing w:after="0"/>
        <w:rPr>
          <w:sz w:val="20"/>
          <w:szCs w:val="20"/>
          <w:color w:val="auto"/>
        </w:rPr>
      </w:pPr>
      <w:r>
        <w:rPr>
          <w:rFonts w:ascii="Times New Roman" w:cs="Times New Roman" w:eastAsia="Times New Roman" w:hAnsi="Times New Roman"/>
          <w:sz w:val="18"/>
          <w:szCs w:val="18"/>
          <w:color w:val="auto"/>
        </w:rPr>
        <w:t>The assumptions used to value stock options are as follows:</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 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2.05-2.99%</w:t>
            </w:r>
          </w:p>
        </w:tc>
        <w:tc>
          <w:tcPr>
            <w:tcW w:w="18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options granted</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is estimated based on volatility average of the Company’s Common Stock price.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Restricted stock units (“RSUs”), including time-based and performance-based awards, were granted under the Company’s 2013 Incentive Plan and as inducements grants granted outside of the Plan. During the year ended September 30, 2020, the Company issued 1,754,071 RSUs under the 2013 Incentive Plan and 933,025 RSUs as inducement awards. At vesting, each outstanding RSU will be exchanged for one share of the Company’s Common Stock. RSU recipients may elect to net share settle upon vesting, in which case the Company pays the employee’s income taxes due upon vesting and withholds a number of shares of Common Stock of equal value. RSU awards generally vest subject to the satisfaction of service requirements or the satisfaction of both service requirements and achievement of certain performance targets.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Company’s RSUs: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2019</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2,062,833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2,687,096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(1,158,904)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2020</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3,524,025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During the years ended September 30, 2020, 2019, and 2018, the Company recorded $33,663,871, $8,438,107 and $5,189,259 of expense related to RSUs, respectively. Such expense is included in stock-based compensation expense in the Company’s Consolidated Statement of Operations and Comprehensive Income (Loss). For RSUs, the expense creates a timing difference, resulting in a deferred tax asset, which is fully reserved by a valuation allowance.</w:t>
      </w:r>
    </w:p>
    <w:p>
      <w:pPr>
        <w:spacing w:after="0" w:line="180"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For RSUs, the grant date fair value of the award is based on the Company’s closing stock price at the grant date, with consideration given to the probability of achieving performance conditions for performance-based awards.</w:t>
      </w:r>
    </w:p>
    <w:p>
      <w:pPr>
        <w:spacing w:after="0" w:line="162"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As of September 30, 2020, the pre-tax compensation expense for all unvested RSUs in the amount of $88,548,649 will be recognized in the Company’s results of operations over a weighted average period of 3.1 years. Unvested RSUs that we have deemed not probable of vesting as of September 30, 2020, have the potential of generating an additional $38.0 million of pre-tax compensation expense if we deem them probable of vesting in a future reporting period.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54"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76"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fair value measurements at September 30, 2020 and September 30, 2019 for assets and liabilities measured at fair value on a recurring basis. Certain amounts have been reclassed to conform with current year presentation.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327"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0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$ 143,582,667</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143,582,667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85,019,719</w:t>
            </w:r>
          </w:p>
        </w:tc>
        <w:tc>
          <w:tcPr>
            <w:tcW w:w="60" w:type="dxa"/>
            <w:vAlign w:val="bottom"/>
          </w:tcPr>
          <w:p>
            <w:pPr>
              <w:spacing w:after="0"/>
              <w:rPr>
                <w:sz w:val="19"/>
                <w:szCs w:val="19"/>
                <w:color w:val="auto"/>
              </w:rPr>
            </w:pPr>
          </w:p>
        </w:tc>
        <w:tc>
          <w:tcPr>
            <w:tcW w:w="3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85,019,719</w:t>
            </w:r>
          </w:p>
        </w:tc>
        <w:tc>
          <w:tcPr>
            <w:tcW w:w="80" w:type="dxa"/>
            <w:vAlign w:val="bottom"/>
          </w:tcPr>
          <w:p>
            <w:pPr>
              <w:spacing w:after="0"/>
              <w:rPr>
                <w:sz w:val="19"/>
                <w:szCs w:val="19"/>
                <w:color w:val="auto"/>
              </w:rPr>
            </w:pPr>
          </w:p>
        </w:tc>
      </w:tr>
      <w:tr>
        <w:trPr>
          <w:trHeight w:val="243"/>
        </w:trPr>
        <w:tc>
          <w:tcPr>
            <w:tcW w:w="400" w:type="dxa"/>
            <w:vAlign w:val="bottom"/>
          </w:tcPr>
          <w:p>
            <w:pPr>
              <w:spacing w:after="0"/>
              <w:rPr>
                <w:sz w:val="21"/>
                <w:szCs w:val="21"/>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 (held to maturity)</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300" w:type="dxa"/>
            <w:vAlign w:val="bottom"/>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88,479,624</w:t>
            </w:r>
          </w:p>
        </w:tc>
        <w:tc>
          <w:tcPr>
            <w:tcW w:w="980" w:type="dxa"/>
            <w:vAlign w:val="bottom"/>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88,479,624</w:t>
            </w:r>
          </w:p>
        </w:tc>
        <w:tc>
          <w:tcPr>
            <w:tcW w:w="80" w:type="dxa"/>
            <w:vAlign w:val="bottom"/>
            <w:shd w:val="clear" w:color="auto" w:fill="CFF0FC"/>
          </w:tcPr>
          <w:p>
            <w:pPr>
              <w:spacing w:after="0"/>
              <w:rPr>
                <w:sz w:val="21"/>
                <w:szCs w:val="21"/>
                <w:color w:val="auto"/>
              </w:rPr>
            </w:pPr>
          </w:p>
        </w:tc>
      </w:tr>
      <w:tr>
        <w:trPr>
          <w:trHeight w:val="229"/>
        </w:trPr>
        <w:tc>
          <w:tcPr>
            <w:tcW w:w="4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 (held to maturity)</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$ 141,981,376</w:t>
            </w:r>
          </w:p>
        </w:tc>
        <w:tc>
          <w:tcPr>
            <w:tcW w:w="98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141,981,376</w:t>
            </w:r>
          </w:p>
        </w:tc>
        <w:tc>
          <w:tcPr>
            <w:tcW w:w="8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45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2"/>
        </w:trPr>
        <w:tc>
          <w:tcPr>
            <w:tcW w:w="4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0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Borders>
              <w:top w:val="single" w:sz="8" w:color="CFF0FC"/>
            </w:tcBorders>
            <w:gridSpan w:val="2"/>
            <w:shd w:val="clear" w:color="auto" w:fill="CFF0FC"/>
          </w:tcPr>
          <w:p>
            <w:pPr>
              <w:spacing w:after="0"/>
              <w:rPr>
                <w:sz w:val="19"/>
                <w:szCs w:val="19"/>
                <w:color w:val="auto"/>
              </w:rPr>
            </w:pPr>
          </w:p>
        </w:tc>
        <w:tc>
          <w:tcPr>
            <w:tcW w:w="10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$ 221,804,128</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221,804,128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$ 37,122,478</w:t>
            </w:r>
          </w:p>
        </w:tc>
        <w:tc>
          <w:tcPr>
            <w:tcW w:w="98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37,122,478</w:t>
            </w:r>
          </w:p>
        </w:tc>
        <w:tc>
          <w:tcPr>
            <w:tcW w:w="80" w:type="dxa"/>
            <w:vAlign w:val="bottom"/>
          </w:tcPr>
          <w:p>
            <w:pPr>
              <w:spacing w:after="0"/>
              <w:rPr>
                <w:sz w:val="19"/>
                <w:szCs w:val="19"/>
                <w:color w:val="auto"/>
              </w:rPr>
            </w:pPr>
          </w:p>
        </w:tc>
      </w:tr>
      <w:tr>
        <w:trPr>
          <w:trHeight w:val="243"/>
        </w:trPr>
        <w:tc>
          <w:tcPr>
            <w:tcW w:w="400" w:type="dxa"/>
            <w:vAlign w:val="bottom"/>
          </w:tcPr>
          <w:p>
            <w:pPr>
              <w:spacing w:after="0"/>
              <w:rPr>
                <w:sz w:val="21"/>
                <w:szCs w:val="21"/>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$ 45,051,251</w:t>
            </w:r>
          </w:p>
        </w:tc>
        <w:tc>
          <w:tcPr>
            <w:tcW w:w="980" w:type="dxa"/>
            <w:vAlign w:val="bottom"/>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45,051,251</w:t>
            </w:r>
          </w:p>
        </w:tc>
        <w:tc>
          <w:tcPr>
            <w:tcW w:w="80" w:type="dxa"/>
            <w:vAlign w:val="bottom"/>
            <w:shd w:val="clear" w:color="auto" w:fill="CFF0FC"/>
          </w:tcPr>
          <w:p>
            <w:pPr>
              <w:spacing w:after="0"/>
              <w:rPr>
                <w:sz w:val="21"/>
                <w:szCs w:val="21"/>
                <w:color w:val="auto"/>
              </w:rPr>
            </w:pPr>
          </w:p>
        </w:tc>
      </w:tr>
      <w:tr>
        <w:trPr>
          <w:trHeight w:val="234"/>
        </w:trPr>
        <w:tc>
          <w:tcPr>
            <w:tcW w:w="4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bl>
    <w:p>
      <w:pPr>
        <w:spacing w:after="0" w:line="220" w:lineRule="exact"/>
        <w:rPr>
          <w:sz w:val="20"/>
          <w:szCs w:val="20"/>
          <w:color w:val="auto"/>
        </w:rPr>
      </w:pPr>
    </w:p>
    <w:p>
      <w:pPr>
        <w:ind w:firstLine="510"/>
        <w:spacing w:after="0" w:line="267" w:lineRule="auto"/>
        <w:rPr>
          <w:sz w:val="20"/>
          <w:szCs w:val="20"/>
          <w:color w:val="auto"/>
        </w:rPr>
      </w:pPr>
      <w:r>
        <w:rPr>
          <w:rFonts w:ascii="Times New Roman" w:cs="Times New Roman" w:eastAsia="Times New Roman" w:hAnsi="Times New Roman"/>
          <w:sz w:val="17"/>
          <w:szCs w:val="17"/>
          <w:color w:val="auto"/>
        </w:rPr>
        <w:t>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w:t>
      </w:r>
    </w:p>
    <w:p>
      <w:pPr>
        <w:spacing w:after="0" w:line="4" w:lineRule="exact"/>
        <w:rPr>
          <w:sz w:val="20"/>
          <w:szCs w:val="20"/>
          <w:color w:val="auto"/>
        </w:rPr>
      </w:pPr>
    </w:p>
    <w:p>
      <w:pPr>
        <w:ind w:right="760" w:firstLine="8"/>
        <w:spacing w:after="0" w:line="260" w:lineRule="auto"/>
        <w:tabs>
          <w:tab w:leader="none" w:pos="4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this development, the Company assessed the fair value of its contingent consideration obligation to be $0 at September 30, 2020 and September 30, 2019.</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The Company utilizes the guidance issued by the FASB for accounting for income taxes which requires the recognition of deferred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year-end based on enacted tax laws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1" w:name="page92"/>
    <w:bookmarkEnd w:id="91"/>
    <w:p>
      <w:pPr>
        <w:ind w:right="100"/>
        <w:spacing w:after="0" w:line="266" w:lineRule="auto"/>
        <w:rPr>
          <w:sz w:val="20"/>
          <w:szCs w:val="20"/>
          <w:color w:val="auto"/>
        </w:rPr>
      </w:pPr>
      <w:r>
        <w:rPr>
          <w:rFonts w:ascii="Times New Roman" w:cs="Times New Roman" w:eastAsia="Times New Roman" w:hAnsi="Times New Roman"/>
          <w:sz w:val="18"/>
          <w:szCs w:val="18"/>
          <w:color w:val="auto"/>
        </w:rPr>
        <w:t>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Components of the net deferred tax asset (liability) at September 30, 2020 and 2019 are as follows:</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18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2,086,396</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1,310,466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Compensation</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10,936,819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3,609,756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Capitalized Research &amp; Development</w:t>
            </w: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624,915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926,026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California Alternative Minimum Tax</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178,652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Fixed Assets</w:t>
            </w: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Losses</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151,007,113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105,372,571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2,818,002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3,590,090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1,702,357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 of Use Assets/Lease Liabilities</w:t>
            </w: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1,015,626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Rent</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 Loss</w:t>
            </w:r>
          </w:p>
        </w:tc>
        <w:tc>
          <w:tcPr>
            <w:tcW w:w="1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709,779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709,779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171,079,659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116,952,440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(156,603,859)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(108,232,402)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(2,546,968)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taxes</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(11,928,832)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(8,720,038)</w:t>
            </w: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16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(14,475,800)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(8,720,038)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166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Company has concluded, in accordance with the applicable accounting standards, that it is more likely than not that the Company may not realize the benefit of all of its deferred tax assets. Accordingly, management has provided a 100% valuation allowance against its deferred tax assets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 The Company has performed an assessment of positive and negative evidence regarding the realization of the net deferred tax asset in accordance with FASB ASC 740-10, “Accounting for Income Taxes.” This assessment included the evaluation of scheduled reversals of deferred tax liabilities, the availability of carry forwards and estimates of projected future taxable income.</w:t>
      </w:r>
    </w:p>
    <w:p>
      <w:pPr>
        <w:spacing w:after="0" w:line="189"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 had available gross federal net operating loss (“NOL”) carry forwards of approximately $473.0 million and gross state NOL carry forwards of $497.0 million. The NOLs expire at various dates through 2040.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provisions for income taxes for the years ended September 30, 2020 and 2019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3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Federal:</w:t>
            </w:r>
          </w:p>
        </w:tc>
        <w:tc>
          <w:tcPr>
            <w:tcW w:w="37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340" w:type="dxa"/>
            <w:vAlign w:val="bottom"/>
            <w:gridSpan w:val="2"/>
            <w:vMerge w:val="continue"/>
          </w:tcPr>
          <w:p>
            <w:pPr>
              <w:spacing w:after="0"/>
              <w:rPr>
                <w:sz w:val="19"/>
                <w:szCs w:val="19"/>
                <w:color w:val="auto"/>
              </w:rPr>
            </w:pPr>
          </w:p>
        </w:tc>
        <w:tc>
          <w:tcPr>
            <w:tcW w:w="29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2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2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Federal</w:t>
            </w:r>
          </w:p>
        </w:tc>
        <w:tc>
          <w:tcPr>
            <w:tcW w:w="29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State:</w:t>
            </w:r>
          </w:p>
        </w:tc>
        <w:tc>
          <w:tcPr>
            <w:tcW w:w="2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3760" w:type="dxa"/>
            <w:vAlign w:val="bottom"/>
            <w:gridSpan w:val="2"/>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173,553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2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State</w:t>
            </w:r>
          </w:p>
        </w:tc>
        <w:tc>
          <w:tcPr>
            <w:tcW w:w="29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173,553</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Provision from income taxes</w:t>
            </w:r>
          </w:p>
        </w:tc>
        <w:tc>
          <w:tcPr>
            <w:tcW w:w="2960" w:type="dxa"/>
            <w:vAlign w:val="bottom"/>
          </w:tcPr>
          <w:p>
            <w:pPr>
              <w:spacing w:after="0"/>
              <w:rPr>
                <w:sz w:val="19"/>
                <w:szCs w:val="19"/>
                <w:color w:val="auto"/>
              </w:rPr>
            </w:pP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173,553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760" w:type="dxa"/>
            <w:vAlign w:val="bottom"/>
            <w:gridSpan w:val="2"/>
          </w:tcPr>
          <w:p>
            <w:pPr>
              <w:jc w:val="right"/>
              <w:ind w:right="2216"/>
              <w:spacing w:after="0"/>
              <w:rPr>
                <w:sz w:val="20"/>
                <w:szCs w:val="20"/>
                <w:color w:val="auto"/>
              </w:rPr>
            </w:pPr>
            <w:r>
              <w:rPr>
                <w:rFonts w:ascii="Times New Roman" w:cs="Times New Roman" w:eastAsia="Times New Roman" w:hAnsi="Times New Roman"/>
                <w:sz w:val="18"/>
                <w:szCs w:val="18"/>
                <w:color w:val="auto"/>
              </w:rPr>
              <w:t>F-24</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ind w:left="520"/>
        <w:spacing w:after="0"/>
        <w:rPr>
          <w:sz w:val="20"/>
          <w:szCs w:val="20"/>
          <w:color w:val="auto"/>
        </w:rPr>
      </w:pPr>
      <w:r>
        <w:rPr>
          <w:rFonts w:ascii="Times New Roman" w:cs="Times New Roman" w:eastAsia="Times New Roman" w:hAnsi="Times New Roman"/>
          <w:sz w:val="18"/>
          <w:szCs w:val="18"/>
          <w:color w:val="auto"/>
        </w:rPr>
        <w:t>The Company’s effective income tax rate differs from the statutory federal income tax rate as follows for the years ended September 30,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308"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6040" w:type="dxa"/>
            <w:vAlign w:val="bottom"/>
            <w:vMerge w:val="restart"/>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6040" w:type="dxa"/>
            <w:vAlign w:val="bottom"/>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At U.S. federal statutory rate</w:t>
            </w:r>
          </w:p>
        </w:tc>
        <w:tc>
          <w:tcPr>
            <w:tcW w:w="7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5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taxes, net of federal effect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5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Mark-to-market adjustments</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5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True-up on deferred taxes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rate change</w:t>
            </w:r>
          </w:p>
        </w:tc>
        <w:tc>
          <w:tcPr>
            <w:tcW w:w="7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552"/>
        <w:spacing w:after="0" w:line="255" w:lineRule="auto"/>
        <w:rPr>
          <w:sz w:val="20"/>
          <w:szCs w:val="20"/>
          <w:color w:val="auto"/>
        </w:rPr>
      </w:pPr>
      <w:r>
        <w:rPr>
          <w:rFonts w:ascii="Times New Roman" w:cs="Times New Roman" w:eastAsia="Times New Roman" w:hAnsi="Times New Roman"/>
          <w:sz w:val="18"/>
          <w:szCs w:val="18"/>
          <w:color w:val="auto"/>
        </w:rPr>
        <w:t>The Company has adopted guidance issued by the FASB that clarifies the accounting for uncertainty in income taxes recognized in an enterprise’s financial statements and prescribes a recognition threshold of more likely than not and a measurement process for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 The Company’s policy is to include interest and penalties related to unrecognized tax benefits in income tax expense. The Company has not recognized any unrecognized tax benefits and does not have any interest or penalties related to uncertain tax positions as of September 30, 2020 and 2019.</w:t>
      </w:r>
    </w:p>
    <w:p>
      <w:pPr>
        <w:spacing w:after="0" w:line="216"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with the Internal Revenue Service (“IRS”), the state of California and certain other taxing jurisdictions. The Company is subject to income tax examinations by the IRS and by state tax authorities until the net operating losses are settled.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b w:val="1"/>
          <w:bCs w:val="1"/>
          <w:i w:val="1"/>
          <w:iCs w:val="1"/>
          <w:color w:val="auto"/>
        </w:rPr>
        <w:t>EMPLOYEE BENEFIT PLANS</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 January 2005, the Company adopted a defined contribution 401(k) retirement savings plan covering substantially all of its employees. The Plan is administered under the “safe harbor” provision of ERISA. Under the terms of the plan, an eligible employee may elect to contribute a portion of their salary on a pre-tax basis, subject to federal statutory limitations. The plan allows for a discretionary match in an amount up to 100% of each participant’s first 3% of compensation contributed plus 50% of each participant’s next 2% of compensation contributed.</w:t>
      </w:r>
    </w:p>
    <w:p>
      <w:pPr>
        <w:spacing w:after="0" w:line="180"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For the years ended September 30, 2020, 2019, and 2018, the Company recorded expenses under this plan of $863,080, $545,698 and $451,623, respectively.</w:t>
      </w:r>
    </w:p>
    <w:p>
      <w:pPr>
        <w:spacing w:after="0" w:line="162"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In addition to the employee benefit plans described above, the Company provides certain employee benefit plans, including those which provide health and life insurance benefits to employees.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b w:val="1"/>
          <w:bCs w:val="1"/>
          <w:i w:val="1"/>
          <w:iCs w:val="1"/>
          <w:color w:val="auto"/>
        </w:rPr>
        <w:t>UNAUDITED QUARTERLY FINANCIAL DATA</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selected unaudited quarterly financial data for each full quarterly period of the years ended September 30,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1120" w:type="dxa"/>
            <w:vAlign w:val="bottom"/>
          </w:tcPr>
          <w:p>
            <w:pPr>
              <w:spacing w:after="0"/>
              <w:rPr>
                <w:sz w:val="14"/>
                <w:szCs w:val="14"/>
                <w:color w:val="auto"/>
              </w:rPr>
            </w:pPr>
          </w:p>
        </w:tc>
      </w:tr>
      <w:tr>
        <w:trPr>
          <w:trHeight w:val="173"/>
        </w:trPr>
        <w:tc>
          <w:tcPr>
            <w:tcW w:w="492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Year ended September 30, 2020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20" w:type="dxa"/>
            <w:vAlign w:val="bottom"/>
          </w:tcPr>
          <w:p>
            <w:pPr>
              <w:spacing w:after="0"/>
              <w:rPr>
                <w:sz w:val="15"/>
                <w:szCs w:val="15"/>
                <w:color w:val="auto"/>
              </w:rPr>
            </w:pPr>
          </w:p>
        </w:tc>
      </w:tr>
      <w:tr>
        <w:trPr>
          <w:trHeight w:val="223"/>
        </w:trPr>
        <w:tc>
          <w:tcPr>
            <w:tcW w:w="1140" w:type="dxa"/>
            <w:vAlign w:val="bottom"/>
          </w:tcPr>
          <w:p>
            <w:pPr>
              <w:spacing w:after="0"/>
              <w:rPr>
                <w:sz w:val="19"/>
                <w:szCs w:val="19"/>
                <w:color w:val="auto"/>
              </w:rPr>
            </w:pPr>
          </w:p>
        </w:tc>
        <w:tc>
          <w:tcPr>
            <w:tcW w:w="3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29,454,579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23,528,853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27,375,778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7,632,856</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(4,853,594)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(22,240,255)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(15,945,862)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(50,119,092)</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(2,673,728)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(19,835,570)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(13,611,213)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(48,432,715)</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share-Basic</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(0.48)</w:t>
            </w: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share-Diluted</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(0.48)</w:t>
            </w:r>
          </w:p>
        </w:tc>
        <w:tc>
          <w:tcPr>
            <w:tcW w:w="1120" w:type="dxa"/>
            <w:vAlign w:val="bottom"/>
          </w:tcPr>
          <w:p>
            <w:pPr>
              <w:spacing w:after="0"/>
              <w:rPr>
                <w:sz w:val="19"/>
                <w:szCs w:val="19"/>
                <w:color w:val="auto"/>
              </w:rPr>
            </w:pPr>
          </w:p>
        </w:tc>
      </w:tr>
      <w:tr>
        <w:trPr>
          <w:trHeight w:val="432"/>
        </w:trPr>
        <w:tc>
          <w:tcPr>
            <w:tcW w:w="1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F-25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tbl>
      <w:tblPr>
        <w:tblLayout w:type="fixed"/>
        <w:tblInd w:w="114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Fourth</w:t>
            </w:r>
          </w:p>
        </w:tc>
      </w:tr>
      <w:tr>
        <w:trPr>
          <w:trHeight w:val="173"/>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 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23"/>
        </w:trPr>
        <w:tc>
          <w:tcPr>
            <w:tcW w:w="3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34,657,896</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48,148,275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42,696,636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43,292,770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10,946,144</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22,010,692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18,595,749</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9,638,049</w:t>
            </w:r>
          </w:p>
        </w:tc>
        <w:tc>
          <w:tcPr>
            <w:tcW w:w="8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12,037,253</w:t>
            </w:r>
          </w:p>
        </w:tc>
        <w:tc>
          <w:tcPr>
            <w:tcW w:w="3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23,896,982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20,335,708</w:t>
            </w:r>
          </w:p>
        </w:tc>
        <w:tc>
          <w:tcPr>
            <w:tcW w:w="4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11,704,906</w:t>
            </w:r>
          </w:p>
        </w:tc>
        <w:tc>
          <w:tcPr>
            <w:tcW w:w="80" w:type="dxa"/>
            <w:vAlign w:val="bottom"/>
            <w:shd w:val="clear" w:color="auto" w:fill="CFF0FC"/>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share-Basic</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9"/>
                <w:szCs w:val="19"/>
                <w:color w:val="auto"/>
              </w:rPr>
            </w:pPr>
          </w:p>
        </w:tc>
      </w:tr>
      <w:tr>
        <w:trPr>
          <w:trHeight w:val="22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share-Diluted</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FF0FC"/>
          </w:tcPr>
          <w:p>
            <w:pPr>
              <w:spacing w:after="0"/>
              <w:rPr>
                <w:sz w:val="19"/>
                <w:szCs w:val="19"/>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b w:val="1"/>
          <w:bCs w:val="1"/>
          <w:i w:val="1"/>
          <w:iCs w:val="1"/>
          <w:color w:val="auto"/>
        </w:rPr>
        <w:t>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and Co-Funding Agreement with Takeda Pharmaceuticals U.S.A., Inc.</w:t>
      </w:r>
    </w:p>
    <w:p>
      <w:pPr>
        <w:spacing w:after="0" w:line="119"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On October 7, 2020, the Company entered into an Exclusive License and Co-Funding Agreement (the “Takeda License Agreement”) with Takeda Pharmaceuticals U.S.A., Inc.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The Company will receive $300.0 million as an upfront payment and is eligible to receive potential development, regulatory and commercial milestones of up to $740.0 million.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Headquarters Lease Expansion</w:t>
      </w:r>
    </w:p>
    <w:p>
      <w:pPr>
        <w:spacing w:after="0" w:line="11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On October 23, 2020, the Company signed a lease expansion to add an additional 24,434 square feet of office space for the Company’s corporate headquarters in Pasadena, CA. The lease commencement date is expected to be July 2021, after certain leasehold improvements are completed, and the lease expires in April 2027. The lease payments over the life of lease total $7.3 million. The Company anticipates paying approximately $4.0 million of leasehold improvements, net of tenant improvement allowances. The increased capacity of this additional office space compared to the Company’s current corporate headquarters will accommodate increased personnel as the Company’s pipeline of drug candidates expands and moves closer to market.</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80"/>
          </w:cols>
          <w:pgMar w:left="320" w:top="439" w:right="39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color w:val="auto"/>
        </w:rPr>
        <w:t>10.23</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FIRST AMENDMENT TO LEASE AGREEMENT</w:t>
      </w:r>
    </w:p>
    <w:p>
      <w:pPr>
        <w:spacing w:after="0" w:line="229" w:lineRule="exact"/>
        <w:rPr>
          <w:sz w:val="20"/>
          <w:szCs w:val="20"/>
          <w:color w:val="auto"/>
        </w:rPr>
      </w:pPr>
    </w:p>
    <w:p>
      <w:pPr>
        <w:ind w:right="380" w:firstLine="599"/>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THIS FIRST AMENDMENT TO LEASE AGREEMENT </w:t>
      </w:r>
      <w:r>
        <w:rPr>
          <w:rFonts w:ascii="Times New Roman" w:cs="Times New Roman" w:eastAsia="Times New Roman" w:hAnsi="Times New Roman"/>
          <w:sz w:val="21"/>
          <w:szCs w:val="21"/>
          <w:color w:val="auto"/>
        </w:rPr>
        <w:t>(the “First Amendment”) is made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October 22, 2018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“Effective Date”), by and between </w:t>
      </w:r>
      <w:r>
        <w:rPr>
          <w:rFonts w:ascii="Times New Roman" w:cs="Times New Roman" w:eastAsia="Times New Roman" w:hAnsi="Times New Roman"/>
          <w:sz w:val="21"/>
          <w:szCs w:val="21"/>
          <w:b w:val="1"/>
          <w:bCs w:val="1"/>
          <w:color w:val="auto"/>
        </w:rPr>
        <w:t>UNIVERSITY RESEARCH PARK, INCORPORATED,</w:t>
      </w:r>
      <w:r>
        <w:rPr>
          <w:rFonts w:ascii="Times New Roman" w:cs="Times New Roman" w:eastAsia="Times New Roman" w:hAnsi="Times New Roman"/>
          <w:sz w:val="21"/>
          <w:szCs w:val="21"/>
          <w:color w:val="auto"/>
        </w:rPr>
        <w:t xml:space="preserve"> a Wisconsin non-stock corporation (hereinafter referred to as “Landlord”) and </w:t>
      </w:r>
      <w:r>
        <w:rPr>
          <w:rFonts w:ascii="Times New Roman" w:cs="Times New Roman" w:eastAsia="Times New Roman" w:hAnsi="Times New Roman"/>
          <w:sz w:val="21"/>
          <w:szCs w:val="21"/>
          <w:b w:val="1"/>
          <w:bCs w:val="1"/>
          <w:color w:val="auto"/>
        </w:rPr>
        <w:t>ARROWHEAD MADISON INC.</w:t>
      </w:r>
      <w:r>
        <w:rPr>
          <w:rFonts w:ascii="Times New Roman" w:cs="Times New Roman" w:eastAsia="Times New Roman" w:hAnsi="Times New Roman"/>
          <w:sz w:val="21"/>
          <w:szCs w:val="21"/>
          <w:color w:val="auto"/>
        </w:rPr>
        <w:t xml:space="preserve"> a Delaware corporation (hereinafter referred to as “Tenant”).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166" w:lineRule="exact"/>
        <w:rPr>
          <w:sz w:val="20"/>
          <w:szCs w:val="20"/>
          <w:color w:val="auto"/>
        </w:rPr>
      </w:pPr>
    </w:p>
    <w:p>
      <w:pPr>
        <w:jc w:val="both"/>
        <w:ind w:left="740" w:right="200" w:hanging="368"/>
        <w:spacing w:after="0" w:line="255" w:lineRule="auto"/>
        <w:tabs>
          <w:tab w:leader="none" w:pos="7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January 8, 2016, Landlord and Tenant entered into that certain Lease Agreement (the “Lease”) for approximately 52,858 rentable square feet located in 502 Rosa Road and 7,759 rentable square feet located in 504 Rosa Road, Madison, Wisconsin (the “Leased Premises”).</w:t>
      </w:r>
    </w:p>
    <w:p>
      <w:pPr>
        <w:spacing w:after="0" w:line="121" w:lineRule="exact"/>
        <w:rPr>
          <w:rFonts w:ascii="Times New Roman" w:cs="Times New Roman" w:eastAsia="Times New Roman" w:hAnsi="Times New Roman"/>
          <w:sz w:val="21"/>
          <w:szCs w:val="21"/>
          <w:color w:val="auto"/>
        </w:rPr>
      </w:pPr>
    </w:p>
    <w:p>
      <w:pPr>
        <w:ind w:left="740" w:right="120" w:hanging="368"/>
        <w:spacing w:after="0" w:line="285"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Under the Lease, Landlord extended to Tenant's parent and affiliate corporation, Arrowhead Pharmaceuticals, Inc., f/k/a Arrowhead Research Corporation, an allowance for the construction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tenant improvements evidenced by a promissory note dated January 8, 2016, as amended on January 20, 2017, in the principal amount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$2,727,765.00 (together, the “Note”).</w:t>
      </w:r>
    </w:p>
    <w:p>
      <w:pPr>
        <w:spacing w:after="0" w:line="93" w:lineRule="exact"/>
        <w:rPr>
          <w:rFonts w:ascii="Times New Roman" w:cs="Times New Roman" w:eastAsia="Times New Roman" w:hAnsi="Times New Roman"/>
          <w:sz w:val="20"/>
          <w:szCs w:val="20"/>
          <w:color w:val="auto"/>
        </w:rPr>
      </w:pPr>
    </w:p>
    <w:p>
      <w:pPr>
        <w:ind w:left="740" w:right="180" w:hanging="368"/>
        <w:spacing w:after="0" w:line="262"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Prior to Tenant's occupancy </w:t>
      </w:r>
      <w:r>
        <w:rPr>
          <w:rFonts w:ascii="Times New Roman" w:cs="Times New Roman" w:eastAsia="Times New Roman" w:hAnsi="Times New Roman"/>
          <w:sz w:val="22"/>
          <w:szCs w:val="22"/>
          <w:color w:val="auto"/>
        </w:rPr>
        <w:t>of</w:t>
      </w:r>
      <w:r>
        <w:rPr>
          <w:rFonts w:ascii="Times New Roman" w:cs="Times New Roman" w:eastAsia="Times New Roman" w:hAnsi="Times New Roman"/>
          <w:sz w:val="21"/>
          <w:szCs w:val="21"/>
          <w:color w:val="auto"/>
        </w:rPr>
        <w:t xml:space="preserve"> the Leased Premises, Tenant leased from Landlord the entire building located at 465 Science Drive, Madison, Wisconsin (the “465 Lease”). Under the terms </w:t>
      </w:r>
      <w:r>
        <w:rPr>
          <w:rFonts w:ascii="Times New Roman" w:cs="Times New Roman" w:eastAsia="Times New Roman" w:hAnsi="Times New Roman"/>
          <w:sz w:val="22"/>
          <w:szCs w:val="22"/>
          <w:color w:val="auto"/>
        </w:rPr>
        <w:t>of</w:t>
      </w:r>
      <w:r>
        <w:rPr>
          <w:rFonts w:ascii="Times New Roman" w:cs="Times New Roman" w:eastAsia="Times New Roman" w:hAnsi="Times New Roman"/>
          <w:sz w:val="21"/>
          <w:szCs w:val="21"/>
          <w:color w:val="auto"/>
        </w:rPr>
        <w:t xml:space="preserve"> the 465 Lease, as amended, Landlord had granted a tenant improvement allowance equal to $2,216,130.00, which was amortized over 10 years in equal monthly installment (the “465 Allowance”).</w:t>
      </w:r>
    </w:p>
    <w:p>
      <w:pPr>
        <w:spacing w:after="0" w:line="104" w:lineRule="exact"/>
        <w:rPr>
          <w:rFonts w:ascii="Times New Roman" w:cs="Times New Roman" w:eastAsia="Times New Roman" w:hAnsi="Times New Roman"/>
          <w:sz w:val="20"/>
          <w:szCs w:val="20"/>
          <w:color w:val="auto"/>
        </w:rPr>
      </w:pPr>
    </w:p>
    <w:p>
      <w:pPr>
        <w:ind w:left="740" w:hanging="368"/>
        <w:spacing w:after="0"/>
        <w:tabs>
          <w:tab w:leader="none" w:pos="7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now desires to repay the obligations of the Note and 465 Allowance in full per the terms detailed below.</w:t>
      </w:r>
    </w:p>
    <w:p>
      <w:pPr>
        <w:spacing w:after="0" w:line="171" w:lineRule="exact"/>
        <w:rPr>
          <w:rFonts w:ascii="Times New Roman" w:cs="Times New Roman" w:eastAsia="Times New Roman" w:hAnsi="Times New Roman"/>
          <w:sz w:val="21"/>
          <w:szCs w:val="21"/>
          <w:color w:val="auto"/>
        </w:rPr>
      </w:pPr>
    </w:p>
    <w:p>
      <w:pPr>
        <w:ind w:left="740" w:hanging="368"/>
        <w:spacing w:after="0"/>
        <w:tabs>
          <w:tab w:leader="none" w:pos="7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and Tenant now wish to amend the Lease as more particularly set forth herein.</w:t>
      </w:r>
    </w:p>
    <w:p>
      <w:pPr>
        <w:spacing w:after="0" w:line="200" w:lineRule="exact"/>
        <w:rPr>
          <w:sz w:val="20"/>
          <w:szCs w:val="20"/>
          <w:color w:val="auto"/>
        </w:rPr>
      </w:pPr>
    </w:p>
    <w:p>
      <w:pPr>
        <w:ind w:right="120" w:firstLine="599"/>
        <w:spacing w:after="0" w:line="272"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2"/>
          <w:szCs w:val="22"/>
          <w:color w:val="auto"/>
        </w:rPr>
        <w:t>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foregoing, and other good and valuable consideration, the receipt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sufficiency </w:t>
      </w:r>
      <w:r>
        <w:rPr>
          <w:rFonts w:ascii="Times New Roman" w:cs="Times New Roman" w:eastAsia="Times New Roman" w:hAnsi="Times New Roman"/>
          <w:sz w:val="22"/>
          <w:szCs w:val="22"/>
          <w:color w:val="auto"/>
        </w:rPr>
        <w:t>of</w:t>
      </w:r>
      <w:r>
        <w:rPr>
          <w:rFonts w:ascii="Times New Roman" w:cs="Times New Roman" w:eastAsia="Times New Roman" w:hAnsi="Times New Roman"/>
          <w:sz w:val="21"/>
          <w:szCs w:val="21"/>
          <w:color w:val="auto"/>
        </w:rPr>
        <w:t xml:space="preserve"> which are acknowledged by each party, the following amendments to the Lease are hereby agreed to, effective as </w:t>
      </w:r>
      <w:r>
        <w:rPr>
          <w:rFonts w:ascii="Times New Roman" w:cs="Times New Roman" w:eastAsia="Times New Roman" w:hAnsi="Times New Roman"/>
          <w:sz w:val="22"/>
          <w:szCs w:val="22"/>
          <w:color w:val="auto"/>
        </w:rPr>
        <w:t>of</w:t>
      </w:r>
      <w:r>
        <w:rPr>
          <w:rFonts w:ascii="Times New Roman" w:cs="Times New Roman" w:eastAsia="Times New Roman" w:hAnsi="Times New Roman"/>
          <w:sz w:val="21"/>
          <w:szCs w:val="21"/>
          <w:color w:val="auto"/>
        </w:rPr>
        <w:t xml:space="preserve"> the Effective Date.</w:t>
      </w:r>
    </w:p>
    <w:p>
      <w:pPr>
        <w:spacing w:after="0" w:line="98" w:lineRule="exact"/>
        <w:rPr>
          <w:sz w:val="20"/>
          <w:szCs w:val="20"/>
          <w:color w:val="auto"/>
        </w:rPr>
      </w:pPr>
    </w:p>
    <w:p>
      <w:pPr>
        <w:ind w:left="740" w:right="180" w:hanging="368"/>
        <w:spacing w:after="0" w:line="192" w:lineRule="auto"/>
        <w:tabs>
          <w:tab w:leader="none" w:pos="740" w:val="left"/>
        </w:tabs>
        <w:numPr>
          <w:ilvl w:val="0"/>
          <w:numId w:val="42"/>
        </w:numPr>
        <w:rPr>
          <w:rFonts w:ascii="Times New Roman" w:cs="Times New Roman" w:eastAsia="Times New Roman" w:hAnsi="Times New Roman"/>
          <w:sz w:val="38"/>
          <w:szCs w:val="38"/>
          <w:color w:val="auto"/>
          <w:vertAlign w:val="superscript"/>
        </w:rPr>
      </w:pPr>
      <w:r>
        <w:rPr>
          <w:rFonts w:ascii="Times New Roman" w:cs="Times New Roman" w:eastAsia="Times New Roman" w:hAnsi="Times New Roman"/>
          <w:sz w:val="21"/>
          <w:szCs w:val="21"/>
          <w:u w:val="single" w:color="auto"/>
          <w:color w:val="auto"/>
        </w:rPr>
        <w:t>Repayment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2"/>
          <w:szCs w:val="22"/>
          <w:u w:val="single" w:color="auto"/>
          <w:color w:val="auto"/>
        </w:rPr>
        <w:t>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the Note.</w:t>
      </w:r>
      <w:r>
        <w:rPr>
          <w:rFonts w:ascii="Times New Roman" w:cs="Times New Roman" w:eastAsia="Times New Roman" w:hAnsi="Times New Roman"/>
          <w:sz w:val="21"/>
          <w:szCs w:val="21"/>
          <w:color w:val="auto"/>
        </w:rPr>
        <w:t xml:space="preserve"> Tenant hereby agrees to cause Arrowhead Pharmaceuticals, Inc. to pay the remaining balance </w:t>
      </w:r>
      <w:r>
        <w:rPr>
          <w:rFonts w:ascii="Times New Roman" w:cs="Times New Roman" w:eastAsia="Times New Roman" w:hAnsi="Times New Roman"/>
          <w:sz w:val="22"/>
          <w:szCs w:val="22"/>
          <w:color w:val="auto"/>
        </w:rPr>
        <w:t>of</w:t>
      </w:r>
      <w:r>
        <w:rPr>
          <w:rFonts w:ascii="Times New Roman" w:cs="Times New Roman" w:eastAsia="Times New Roman" w:hAnsi="Times New Roman"/>
          <w:sz w:val="21"/>
          <w:szCs w:val="21"/>
          <w:color w:val="auto"/>
        </w:rPr>
        <w:t xml:space="preserve"> the Note in full in accord with the letter agreement attached hereto as Exhibit A.</w:t>
      </w:r>
    </w:p>
    <w:p>
      <w:pPr>
        <w:spacing w:after="0" w:line="132" w:lineRule="exact"/>
        <w:rPr>
          <w:rFonts w:ascii="Times New Roman" w:cs="Times New Roman" w:eastAsia="Times New Roman" w:hAnsi="Times New Roman"/>
          <w:sz w:val="38"/>
          <w:szCs w:val="38"/>
          <w:color w:val="auto"/>
          <w:vertAlign w:val="superscript"/>
        </w:rPr>
      </w:pPr>
    </w:p>
    <w:p>
      <w:pPr>
        <w:ind w:left="740" w:right="120" w:hanging="368"/>
        <w:spacing w:after="0" w:line="290" w:lineRule="auto"/>
        <w:tabs>
          <w:tab w:leader="none" w:pos="7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2"/>
          <w:szCs w:val="22"/>
          <w:u w:val="single" w:color="auto"/>
          <w:color w:val="auto"/>
        </w:rPr>
        <w:t>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465 Allowance.</w:t>
      </w:r>
      <w:r>
        <w:rPr>
          <w:rFonts w:ascii="Times New Roman" w:cs="Times New Roman" w:eastAsia="Times New Roman" w:hAnsi="Times New Roman"/>
          <w:sz w:val="21"/>
          <w:szCs w:val="21"/>
          <w:color w:val="auto"/>
        </w:rPr>
        <w:t xml:space="preserve"> On or before November 1, 2018, Tenant shall pay to Landlord Seventy-Six Thousand One Hundred Thirty-Nine and 84/100 Dollars ($76,139.84) as full reimbursement for the 465 Allowance.</w:t>
      </w:r>
    </w:p>
    <w:p>
      <w:pPr>
        <w:spacing w:after="0" w:line="82" w:lineRule="exact"/>
        <w:rPr>
          <w:rFonts w:ascii="Times New Roman" w:cs="Times New Roman" w:eastAsia="Times New Roman" w:hAnsi="Times New Roman"/>
          <w:sz w:val="21"/>
          <w:szCs w:val="21"/>
          <w:color w:val="auto"/>
        </w:rPr>
      </w:pPr>
    </w:p>
    <w:p>
      <w:pPr>
        <w:ind w:left="740" w:right="720" w:hanging="368"/>
        <w:spacing w:after="0" w:line="270" w:lineRule="auto"/>
        <w:tabs>
          <w:tab w:leader="none" w:pos="7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Updated Base Rent.</w:t>
      </w:r>
      <w:r>
        <w:rPr>
          <w:rFonts w:ascii="Times New Roman" w:cs="Times New Roman" w:eastAsia="Times New Roman" w:hAnsi="Times New Roman"/>
          <w:sz w:val="21"/>
          <w:szCs w:val="21"/>
          <w:color w:val="auto"/>
        </w:rPr>
        <w:t xml:space="preserve"> The Base Rent grid contained in Section 2.1 is hereby deleted in its entirety and replaced with the following: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5" w:name="page96"/>
    <w:bookmarkEnd w:id="95"/>
    <w:tbl>
      <w:tblPr>
        <w:tblLayout w:type="fixed"/>
        <w:tblInd w:w="2320" w:type="dxa"/>
        <w:tblCellMar>
          <w:top w:w="0" w:type="dxa"/>
          <w:left w:w="0" w:type="dxa"/>
          <w:bottom w:w="0" w:type="dxa"/>
          <w:right w:w="0" w:type="dxa"/>
        </w:tblCellMar>
      </w:tblPr>
      <w:tr>
        <w:trPr>
          <w:trHeight w:val="243"/>
        </w:trPr>
        <w:tc>
          <w:tcPr>
            <w:tcW w:w="25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760" w:type="dxa"/>
            <w:vAlign w:val="bottom"/>
          </w:tcPr>
          <w:p>
            <w:pPr>
              <w:jc w:val="right"/>
              <w:ind w:right="517"/>
              <w:spacing w:after="0"/>
              <w:rPr>
                <w:sz w:val="20"/>
                <w:szCs w:val="20"/>
                <w:color w:val="auto"/>
              </w:rPr>
            </w:pPr>
            <w:r>
              <w:rPr>
                <w:rFonts w:ascii="Times New Roman" w:cs="Times New Roman" w:eastAsia="Times New Roman" w:hAnsi="Times New Roman"/>
                <w:sz w:val="21"/>
                <w:szCs w:val="21"/>
                <w:b w:val="1"/>
                <w:bCs w:val="1"/>
                <w:color w:val="auto"/>
              </w:rPr>
              <w:t>Total</w:t>
            </w:r>
          </w:p>
        </w:tc>
      </w:tr>
      <w:tr>
        <w:trPr>
          <w:trHeight w:val="243"/>
        </w:trPr>
        <w:tc>
          <w:tcPr>
            <w:tcW w:w="2560" w:type="dxa"/>
            <w:vAlign w:val="bottom"/>
          </w:tcPr>
          <w:p>
            <w:pPr>
              <w:spacing w:after="0"/>
              <w:rPr>
                <w:sz w:val="21"/>
                <w:szCs w:val="21"/>
                <w:color w:val="auto"/>
              </w:rPr>
            </w:pPr>
          </w:p>
        </w:tc>
        <w:tc>
          <w:tcPr>
            <w:tcW w:w="2220" w:type="dxa"/>
            <w:vAlign w:val="bottom"/>
          </w:tcPr>
          <w:p>
            <w:pPr>
              <w:jc w:val="right"/>
              <w:ind w:right="217"/>
              <w:spacing w:after="0"/>
              <w:rPr>
                <w:sz w:val="20"/>
                <w:szCs w:val="20"/>
                <w:color w:val="auto"/>
              </w:rPr>
            </w:pPr>
            <w:r>
              <w:rPr>
                <w:rFonts w:ascii="Times New Roman" w:cs="Times New Roman" w:eastAsia="Times New Roman" w:hAnsi="Times New Roman"/>
                <w:sz w:val="21"/>
                <w:szCs w:val="21"/>
                <w:b w:val="1"/>
                <w:bCs w:val="1"/>
                <w:color w:val="auto"/>
              </w:rPr>
              <w:t>Base Rent per</w:t>
            </w:r>
          </w:p>
        </w:tc>
        <w:tc>
          <w:tcPr>
            <w:tcW w:w="1760" w:type="dxa"/>
            <w:vAlign w:val="bottom"/>
          </w:tcPr>
          <w:p>
            <w:pPr>
              <w:jc w:val="right"/>
              <w:ind w:right="97"/>
              <w:spacing w:after="0"/>
              <w:rPr>
                <w:sz w:val="20"/>
                <w:szCs w:val="20"/>
                <w:color w:val="auto"/>
              </w:rPr>
            </w:pPr>
            <w:r>
              <w:rPr>
                <w:rFonts w:ascii="Times New Roman" w:cs="Times New Roman" w:eastAsia="Times New Roman" w:hAnsi="Times New Roman"/>
                <w:sz w:val="21"/>
                <w:szCs w:val="21"/>
                <w:b w:val="1"/>
                <w:bCs w:val="1"/>
                <w:color w:val="auto"/>
              </w:rPr>
              <w:t>Monthly Base</w:t>
            </w:r>
          </w:p>
        </w:tc>
      </w:tr>
      <w:tr>
        <w:trPr>
          <w:trHeight w:val="258"/>
        </w:trPr>
        <w:tc>
          <w:tcPr>
            <w:tcW w:w="2560" w:type="dxa"/>
            <w:vAlign w:val="bottom"/>
          </w:tcPr>
          <w:p>
            <w:pPr>
              <w:ind w:left="1000"/>
              <w:spacing w:after="0"/>
              <w:rPr>
                <w:sz w:val="20"/>
                <w:szCs w:val="20"/>
                <w:color w:val="auto"/>
              </w:rPr>
            </w:pPr>
            <w:r>
              <w:rPr>
                <w:rFonts w:ascii="Times New Roman" w:cs="Times New Roman" w:eastAsia="Times New Roman" w:hAnsi="Times New Roman"/>
                <w:sz w:val="21"/>
                <w:szCs w:val="21"/>
                <w:b w:val="1"/>
                <w:bCs w:val="1"/>
                <w:color w:val="auto"/>
              </w:rPr>
              <w:t>Term</w:t>
            </w:r>
          </w:p>
        </w:tc>
        <w:tc>
          <w:tcPr>
            <w:tcW w:w="2220" w:type="dxa"/>
            <w:vAlign w:val="bottom"/>
          </w:tcPr>
          <w:p>
            <w:pPr>
              <w:jc w:val="right"/>
              <w:ind w:right="237"/>
              <w:spacing w:after="0"/>
              <w:rPr>
                <w:sz w:val="20"/>
                <w:szCs w:val="20"/>
                <w:color w:val="auto"/>
              </w:rPr>
            </w:pPr>
            <w:r>
              <w:rPr>
                <w:rFonts w:ascii="Times New Roman" w:cs="Times New Roman" w:eastAsia="Times New Roman" w:hAnsi="Times New Roman"/>
                <w:sz w:val="21"/>
                <w:szCs w:val="21"/>
                <w:b w:val="1"/>
                <w:bCs w:val="1"/>
                <w:color w:val="auto"/>
              </w:rPr>
              <w:t>Square Foot*</w:t>
            </w:r>
          </w:p>
        </w:tc>
        <w:tc>
          <w:tcPr>
            <w:tcW w:w="1760" w:type="dxa"/>
            <w:vAlign w:val="bottom"/>
          </w:tcPr>
          <w:p>
            <w:pPr>
              <w:jc w:val="right"/>
              <w:ind w:right="297"/>
              <w:spacing w:after="0"/>
              <w:rPr>
                <w:sz w:val="20"/>
                <w:szCs w:val="20"/>
                <w:color w:val="auto"/>
              </w:rPr>
            </w:pPr>
            <w:r>
              <w:rPr>
                <w:rFonts w:ascii="Times New Roman" w:cs="Times New Roman" w:eastAsia="Times New Roman" w:hAnsi="Times New Roman"/>
                <w:sz w:val="21"/>
                <w:szCs w:val="21"/>
                <w:b w:val="1"/>
                <w:bCs w:val="1"/>
                <w:color w:val="auto"/>
              </w:rPr>
              <w:t>Rent Due</w:t>
            </w: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10/1/2018 – 9/30/2019</w:t>
            </w:r>
          </w:p>
        </w:tc>
        <w:tc>
          <w:tcPr>
            <w:tcW w:w="2220" w:type="dxa"/>
            <w:vAlign w:val="bottom"/>
          </w:tcPr>
          <w:p>
            <w:pPr>
              <w:jc w:val="right"/>
              <w:ind w:right="377"/>
              <w:spacing w:after="0"/>
              <w:rPr>
                <w:sz w:val="20"/>
                <w:szCs w:val="20"/>
                <w:color w:val="auto"/>
              </w:rPr>
            </w:pPr>
            <w:r>
              <w:rPr>
                <w:rFonts w:ascii="Times New Roman" w:cs="Times New Roman" w:eastAsia="Times New Roman" w:hAnsi="Times New Roman"/>
                <w:sz w:val="21"/>
                <w:szCs w:val="21"/>
                <w:color w:val="auto"/>
              </w:rPr>
              <w:t>$16.81</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$84,914.32</w:t>
            </w: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10/1/2019 – 9/30/2020</w:t>
            </w:r>
          </w:p>
        </w:tc>
        <w:tc>
          <w:tcPr>
            <w:tcW w:w="2220" w:type="dxa"/>
            <w:vAlign w:val="bottom"/>
          </w:tcPr>
          <w:p>
            <w:pPr>
              <w:jc w:val="right"/>
              <w:ind w:right="377"/>
              <w:spacing w:after="0"/>
              <w:rPr>
                <w:sz w:val="20"/>
                <w:szCs w:val="20"/>
                <w:color w:val="auto"/>
              </w:rPr>
            </w:pPr>
            <w:r>
              <w:rPr>
                <w:rFonts w:ascii="Times New Roman" w:cs="Times New Roman" w:eastAsia="Times New Roman" w:hAnsi="Times New Roman"/>
                <w:sz w:val="21"/>
                <w:szCs w:val="21"/>
                <w:color w:val="auto"/>
              </w:rPr>
              <w:t>$17.23</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$87,035.91</w:t>
            </w: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10/1/2020 – 9/30/2021</w:t>
            </w:r>
          </w:p>
        </w:tc>
        <w:tc>
          <w:tcPr>
            <w:tcW w:w="2220" w:type="dxa"/>
            <w:vAlign w:val="bottom"/>
          </w:tcPr>
          <w:p>
            <w:pPr>
              <w:jc w:val="right"/>
              <w:ind w:right="377"/>
              <w:spacing w:after="0"/>
              <w:rPr>
                <w:sz w:val="20"/>
                <w:szCs w:val="20"/>
                <w:color w:val="auto"/>
              </w:rPr>
            </w:pPr>
            <w:r>
              <w:rPr>
                <w:rFonts w:ascii="Times New Roman" w:cs="Times New Roman" w:eastAsia="Times New Roman" w:hAnsi="Times New Roman"/>
                <w:sz w:val="21"/>
                <w:szCs w:val="21"/>
                <w:color w:val="auto"/>
              </w:rPr>
              <w:t>$17.66</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$89,208.02</w:t>
            </w:r>
          </w:p>
        </w:tc>
      </w:tr>
      <w:tr>
        <w:trPr>
          <w:trHeight w:val="256"/>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10/1/2021 – 9/30/2022</w:t>
            </w:r>
          </w:p>
        </w:tc>
        <w:tc>
          <w:tcPr>
            <w:tcW w:w="22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rPr>
              <w:t>$18.10</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$91,430.64</w:t>
            </w: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10/1/2022 – 9/30/2023</w:t>
            </w:r>
          </w:p>
        </w:tc>
        <w:tc>
          <w:tcPr>
            <w:tcW w:w="2220" w:type="dxa"/>
            <w:vAlign w:val="bottom"/>
          </w:tcPr>
          <w:p>
            <w:pPr>
              <w:jc w:val="right"/>
              <w:ind w:right="377"/>
              <w:spacing w:after="0"/>
              <w:rPr>
                <w:sz w:val="20"/>
                <w:szCs w:val="20"/>
                <w:color w:val="auto"/>
              </w:rPr>
            </w:pPr>
            <w:r>
              <w:rPr>
                <w:rFonts w:ascii="Times New Roman" w:cs="Times New Roman" w:eastAsia="Times New Roman" w:hAnsi="Times New Roman"/>
                <w:sz w:val="21"/>
                <w:szCs w:val="21"/>
                <w:color w:val="auto"/>
              </w:rPr>
              <w:t>$18.55</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$93,703.78</w:t>
            </w: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10/1/2023 – 9/30/2024</w:t>
            </w:r>
          </w:p>
        </w:tc>
        <w:tc>
          <w:tcPr>
            <w:tcW w:w="22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rPr>
              <w:t>$19.01</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$96,027.43</w:t>
            </w: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10/1/2024 – 9/30/2025</w:t>
            </w:r>
          </w:p>
        </w:tc>
        <w:tc>
          <w:tcPr>
            <w:tcW w:w="22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rPr>
              <w:t>$19.49</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$98,452.11</w:t>
            </w:r>
          </w:p>
        </w:tc>
      </w:tr>
      <w:tr>
        <w:trPr>
          <w:trHeight w:val="254"/>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10/1/2025 – 9/30/2026</w:t>
            </w:r>
          </w:p>
        </w:tc>
        <w:tc>
          <w:tcPr>
            <w:tcW w:w="22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rPr>
              <w:t>$19.98</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$100,927.31</w:t>
            </w:r>
          </w:p>
        </w:tc>
      </w:tr>
      <w:tr>
        <w:trPr>
          <w:trHeight w:val="258"/>
        </w:trPr>
        <w:tc>
          <w:tcPr>
            <w:tcW w:w="2560" w:type="dxa"/>
            <w:vAlign w:val="bottom"/>
          </w:tcPr>
          <w:p>
            <w:pPr>
              <w:ind w:left="260"/>
              <w:spacing w:after="0"/>
              <w:rPr>
                <w:sz w:val="20"/>
                <w:szCs w:val="20"/>
                <w:color w:val="auto"/>
              </w:rPr>
            </w:pPr>
            <w:r>
              <w:rPr>
                <w:rFonts w:ascii="Times New Roman" w:cs="Times New Roman" w:eastAsia="Times New Roman" w:hAnsi="Times New Roman"/>
                <w:sz w:val="21"/>
                <w:szCs w:val="21"/>
                <w:b w:val="1"/>
                <w:bCs w:val="1"/>
                <w:color w:val="auto"/>
              </w:rPr>
              <w:t>Extended Term 1</w:t>
            </w:r>
          </w:p>
        </w:tc>
        <w:tc>
          <w:tcPr>
            <w:tcW w:w="22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10/1/2026 – 9/30/2027</w:t>
            </w:r>
          </w:p>
        </w:tc>
        <w:tc>
          <w:tcPr>
            <w:tcW w:w="222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rPr>
              <w:t>$20.48</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$103,453.01</w:t>
            </w: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10/1/2027 – 9/30/2028</w:t>
            </w:r>
          </w:p>
        </w:tc>
        <w:tc>
          <w:tcPr>
            <w:tcW w:w="222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rPr>
              <w:t>$20.99</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$106,029.23</w:t>
            </w: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10/1/2028 – 9/30/2029</w:t>
            </w:r>
          </w:p>
        </w:tc>
        <w:tc>
          <w:tcPr>
            <w:tcW w:w="222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rPr>
              <w:t>$21.51</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$108,655.97</w:t>
            </w:r>
          </w:p>
        </w:tc>
      </w:tr>
      <w:tr>
        <w:trPr>
          <w:trHeight w:val="256"/>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10/1/2029 – 9/30/2030</w:t>
            </w:r>
          </w:p>
        </w:tc>
        <w:tc>
          <w:tcPr>
            <w:tcW w:w="222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rPr>
              <w:t>$22.05</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$111,383.74</w:t>
            </w:r>
          </w:p>
        </w:tc>
      </w:tr>
      <w:tr>
        <w:trPr>
          <w:trHeight w:val="255"/>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10/1/2030 – 9/30/2031</w:t>
            </w:r>
          </w:p>
        </w:tc>
        <w:tc>
          <w:tcPr>
            <w:tcW w:w="222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rPr>
              <w:t>$22.60</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$114,162.02</w:t>
            </w:r>
          </w:p>
        </w:tc>
      </w:tr>
      <w:tr>
        <w:trPr>
          <w:trHeight w:val="258"/>
        </w:trPr>
        <w:tc>
          <w:tcPr>
            <w:tcW w:w="2560" w:type="dxa"/>
            <w:vAlign w:val="bottom"/>
          </w:tcPr>
          <w:p>
            <w:pPr>
              <w:ind w:left="260"/>
              <w:spacing w:after="0"/>
              <w:rPr>
                <w:sz w:val="20"/>
                <w:szCs w:val="20"/>
                <w:color w:val="auto"/>
              </w:rPr>
            </w:pPr>
            <w:r>
              <w:rPr>
                <w:rFonts w:ascii="Times New Roman" w:cs="Times New Roman" w:eastAsia="Times New Roman" w:hAnsi="Times New Roman"/>
                <w:sz w:val="21"/>
                <w:szCs w:val="21"/>
                <w:b w:val="1"/>
                <w:bCs w:val="1"/>
                <w:color w:val="auto"/>
              </w:rPr>
              <w:t>Extended Term 2</w:t>
            </w:r>
          </w:p>
        </w:tc>
        <w:tc>
          <w:tcPr>
            <w:tcW w:w="22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10/1/2031 – 9/30/2032</w:t>
            </w:r>
          </w:p>
        </w:tc>
        <w:tc>
          <w:tcPr>
            <w:tcW w:w="222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rPr>
              <w:t>$23.17</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$117,041.32</w:t>
            </w:r>
          </w:p>
        </w:tc>
      </w:tr>
      <w:tr>
        <w:trPr>
          <w:trHeight w:val="256"/>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10/1/2032 – 9/30/2033</w:t>
            </w:r>
          </w:p>
        </w:tc>
        <w:tc>
          <w:tcPr>
            <w:tcW w:w="222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rPr>
              <w:t>$23.75</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$119,971.15</w:t>
            </w: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10/1/2033 – 9/30/2034</w:t>
            </w:r>
          </w:p>
        </w:tc>
        <w:tc>
          <w:tcPr>
            <w:tcW w:w="222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rPr>
              <w:t>$24.34</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$122,951.48</w:t>
            </w: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10/1/2034 – 9/30/2035</w:t>
            </w:r>
          </w:p>
        </w:tc>
        <w:tc>
          <w:tcPr>
            <w:tcW w:w="222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rPr>
              <w:t>$24.95</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$126,032.85</w:t>
            </w:r>
          </w:p>
        </w:tc>
      </w:tr>
      <w:tr>
        <w:trPr>
          <w:trHeight w:val="270"/>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10/1/2035 – 6/30/2036</w:t>
            </w:r>
          </w:p>
        </w:tc>
        <w:tc>
          <w:tcPr>
            <w:tcW w:w="222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rPr>
              <w:t>$25.57</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$129,164.72</w:t>
            </w:r>
          </w:p>
        </w:tc>
      </w:tr>
    </w:tbl>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*The monthly Initial Space Rent listed above reflects increases of approximately two and one-half percent (2.5%) annually.</w:t>
      </w:r>
    </w:p>
    <w:p>
      <w:pPr>
        <w:spacing w:after="0" w:line="164" w:lineRule="exact"/>
        <w:rPr>
          <w:sz w:val="20"/>
          <w:szCs w:val="20"/>
          <w:color w:val="auto"/>
        </w:rPr>
      </w:pPr>
    </w:p>
    <w:p>
      <w:pPr>
        <w:ind w:left="740" w:right="360" w:hanging="368"/>
        <w:spacing w:after="0" w:line="251" w:lineRule="auto"/>
        <w:tabs>
          <w:tab w:leader="none" w:pos="7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 All other terms and conditions of the Lease shall remain unchanged, and are hereby ratified and confirmed. This Amendment may be executed in any number of counterparts, each of which shall be deemed an original, but all of which together shall constitute one and the same instrument. Except as otherwise defined herein, capitalized terms shall have the meanings set f01ih in the Lease.</w:t>
      </w:r>
    </w:p>
    <w:p>
      <w:pPr>
        <w:spacing w:after="0" w:line="1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The parties hereby cause this Amendment to be effective as of the Effective Date.</w:t>
      </w:r>
    </w:p>
    <w:p>
      <w:pPr>
        <w:spacing w:after="0" w:line="202"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21"/>
          <w:szCs w:val="21"/>
          <w:b w:val="1"/>
          <w:bCs w:val="1"/>
          <w:color w:val="auto"/>
        </w:rPr>
        <w:t>LANDLORD:</w:t>
      </w:r>
      <w:r>
        <w:rPr>
          <w:sz w:val="20"/>
          <w:szCs w:val="20"/>
          <w:color w:val="auto"/>
        </w:rPr>
        <w:tab/>
      </w:r>
      <w:r>
        <w:rPr>
          <w:rFonts w:ascii="Times New Roman" w:cs="Times New Roman" w:eastAsia="Times New Roman" w:hAnsi="Times New Roman"/>
          <w:sz w:val="21"/>
          <w:szCs w:val="21"/>
          <w:b w:val="1"/>
          <w:bCs w:val="1"/>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503545" cy="7029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55035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2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Aaron Olver</w:t>
            </w:r>
          </w:p>
        </w:tc>
        <w:tc>
          <w:tcPr>
            <w:tcW w:w="1760" w:type="dxa"/>
            <w:vAlign w:val="bottom"/>
          </w:tcPr>
          <w:p>
            <w:pPr>
              <w:ind w:left="1040"/>
              <w:spacing w:after="0"/>
              <w:rPr>
                <w:sz w:val="20"/>
                <w:szCs w:val="20"/>
                <w:color w:val="auto"/>
              </w:rPr>
            </w:pPr>
            <w:r>
              <w:rPr>
                <w:rFonts w:ascii="Times New Roman" w:cs="Times New Roman" w:eastAsia="Times New Roman" w:hAnsi="Times New Roman"/>
                <w:sz w:val="21"/>
                <w:szCs w:val="21"/>
                <w:color w:val="auto"/>
              </w:rPr>
              <w:t>Name:</w:t>
            </w:r>
          </w:p>
        </w:tc>
        <w:tc>
          <w:tcPr>
            <w:tcW w:w="54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Kenneth A. Myszkowski</w:t>
            </w:r>
          </w:p>
        </w:tc>
      </w:tr>
      <w:tr>
        <w:trPr>
          <w:trHeight w:val="270"/>
        </w:trPr>
        <w:tc>
          <w:tcPr>
            <w:tcW w:w="402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Assistant Secretary/Treasurer</w:t>
            </w:r>
          </w:p>
        </w:tc>
        <w:tc>
          <w:tcPr>
            <w:tcW w:w="1760" w:type="dxa"/>
            <w:vAlign w:val="bottom"/>
          </w:tcPr>
          <w:p>
            <w:pPr>
              <w:ind w:left="1040"/>
              <w:spacing w:after="0"/>
              <w:rPr>
                <w:sz w:val="20"/>
                <w:szCs w:val="20"/>
                <w:color w:val="auto"/>
              </w:rPr>
            </w:pPr>
            <w:r>
              <w:rPr>
                <w:rFonts w:ascii="Times New Roman" w:cs="Times New Roman" w:eastAsia="Times New Roman" w:hAnsi="Times New Roman"/>
                <w:sz w:val="21"/>
                <w:szCs w:val="21"/>
                <w:color w:val="auto"/>
              </w:rPr>
              <w:t>Title:</w:t>
            </w:r>
          </w:p>
        </w:tc>
        <w:tc>
          <w:tcPr>
            <w:tcW w:w="54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CFO</w:t>
            </w:r>
          </w:p>
        </w:tc>
      </w:tr>
      <w:tr>
        <w:trPr>
          <w:trHeight w:val="870"/>
        </w:trPr>
        <w:tc>
          <w:tcPr>
            <w:tcW w:w="4020" w:type="dxa"/>
            <w:vAlign w:val="bottom"/>
          </w:tcPr>
          <w:p>
            <w:pPr>
              <w:spacing w:after="0"/>
              <w:rPr>
                <w:sz w:val="24"/>
                <w:szCs w:val="24"/>
                <w:color w:val="auto"/>
              </w:rPr>
            </w:pPr>
          </w:p>
        </w:tc>
        <w:tc>
          <w:tcPr>
            <w:tcW w:w="17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548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21"/>
          <w:szCs w:val="21"/>
          <w:color w:val="auto"/>
        </w:rPr>
        <w:t>Sincerely,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UNIVERSITY RESEARCH PARK,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3240405" cy="6343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32404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Name: Aaron Olver</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Title: Assistant Secretary/Treasurer</w:t>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Email: aaron.olver@wisc.edu</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Acknowledged and agreed:</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ARROWHEAD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2237105" cy="4457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22371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Name: Kenneth A. Myszkowski</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Title: CFO</w:t>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Email: KMyszkowski@arrowheadpharma.com</w:t>
      </w:r>
    </w:p>
    <w:p>
      <w:pPr>
        <w:spacing w:after="0" w:line="39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552" w:right="1440" w:bottom="1440" w:gutter="0" w:footer="0" w:header="0"/>
        </w:sectPr>
      </w:pPr>
    </w:p>
    <w:bookmarkStart w:id="97" w:name="page98"/>
    <w:bookmarkEnd w:id="97"/>
    <w:p>
      <w:pPr>
        <w:ind w:left="10820"/>
        <w:spacing w:after="0"/>
        <w:rPr>
          <w:sz w:val="20"/>
          <w:szCs w:val="20"/>
          <w:color w:val="auto"/>
        </w:rPr>
      </w:pPr>
      <w:r>
        <w:rPr>
          <w:rFonts w:ascii="Times New Roman" w:cs="Times New Roman" w:eastAsia="Times New Roman" w:hAnsi="Times New Roman"/>
          <w:sz w:val="21"/>
          <w:szCs w:val="21"/>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 xml:space="preserve">SECOND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9"/>
          <w:szCs w:val="19"/>
          <w:b w:val="1"/>
          <w:bCs w:val="1"/>
          <w:color w:val="auto"/>
        </w:rPr>
        <w:t xml:space="preserve"> TO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9"/>
          <w:szCs w:val="19"/>
          <w:b w:val="1"/>
          <w:bCs w:val="1"/>
          <w:color w:val="auto"/>
        </w:rPr>
        <w:t xml:space="preserve"> AGREEMENT</w:t>
      </w:r>
    </w:p>
    <w:p>
      <w:pPr>
        <w:spacing w:after="0" w:line="181" w:lineRule="exact"/>
        <w:rPr>
          <w:sz w:val="20"/>
          <w:szCs w:val="20"/>
          <w:color w:val="auto"/>
        </w:rPr>
      </w:pPr>
    </w:p>
    <w:p>
      <w:pPr>
        <w:jc w:val="both"/>
        <w:ind w:left="60" w:firstLine="62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SECOND AMENDMENT TO LEASE AGREEMENT </w:t>
      </w:r>
      <w:r>
        <w:rPr>
          <w:rFonts w:ascii="Times New Roman" w:cs="Times New Roman" w:eastAsia="Times New Roman" w:hAnsi="Times New Roman"/>
          <w:sz w:val="18"/>
          <w:szCs w:val="18"/>
          <w:color w:val="auto"/>
        </w:rPr>
        <w:t>(the “Second Amendment”) is made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January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20l9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by and between </w:t>
      </w:r>
      <w:r>
        <w:rPr>
          <w:rFonts w:ascii="Times New Roman" w:cs="Times New Roman" w:eastAsia="Times New Roman" w:hAnsi="Times New Roman"/>
          <w:sz w:val="18"/>
          <w:szCs w:val="18"/>
          <w:b w:val="1"/>
          <w:bCs w:val="1"/>
          <w:color w:val="auto"/>
        </w:rPr>
        <w:t>UNIVERSITY RESEARCH PARK, INCORPORATED,</w:t>
      </w:r>
      <w:r>
        <w:rPr>
          <w:rFonts w:ascii="Times New Roman" w:cs="Times New Roman" w:eastAsia="Times New Roman" w:hAnsi="Times New Roman"/>
          <w:sz w:val="18"/>
          <w:szCs w:val="18"/>
          <w:color w:val="auto"/>
        </w:rPr>
        <w:t xml:space="preserve"> a Wisconsin non-stock corporation (hereinafter referred to as “Landlord”) and </w:t>
      </w:r>
      <w:r>
        <w:rPr>
          <w:rFonts w:ascii="Times New Roman" w:cs="Times New Roman" w:eastAsia="Times New Roman" w:hAnsi="Times New Roman"/>
          <w:sz w:val="18"/>
          <w:szCs w:val="18"/>
          <w:b w:val="1"/>
          <w:bCs w:val="1"/>
          <w:color w:val="auto"/>
        </w:rPr>
        <w:t>ARROWHEAD MADISON INC.</w:t>
      </w:r>
      <w:r>
        <w:rPr>
          <w:rFonts w:ascii="Times New Roman" w:cs="Times New Roman" w:eastAsia="Times New Roman" w:hAnsi="Times New Roman"/>
          <w:sz w:val="18"/>
          <w:szCs w:val="18"/>
          <w:color w:val="auto"/>
        </w:rPr>
        <w:t xml:space="preserve"> a Delaware corporation (hereinafter referred to as “Tenant”).</w:t>
      </w:r>
    </w:p>
    <w:p>
      <w:pPr>
        <w:spacing w:after="0" w:line="188" w:lineRule="exact"/>
        <w:rPr>
          <w:sz w:val="20"/>
          <w:szCs w:val="20"/>
          <w:color w:val="auto"/>
        </w:rPr>
      </w:pPr>
    </w:p>
    <w:p>
      <w:pPr>
        <w:jc w:val="both"/>
        <w:ind w:left="60" w:firstLine="629"/>
        <w:spacing w:after="0" w:line="261" w:lineRule="auto"/>
        <w:rPr>
          <w:sz w:val="20"/>
          <w:szCs w:val="20"/>
          <w:color w:val="auto"/>
        </w:rPr>
      </w:pPr>
      <w:r>
        <w:rPr>
          <w:rFonts w:ascii="Times New Roman" w:cs="Times New Roman" w:eastAsia="Times New Roman" w:hAnsi="Times New Roman"/>
          <w:sz w:val="18"/>
          <w:szCs w:val="18"/>
          <w:color w:val="auto"/>
        </w:rPr>
        <w:t xml:space="preserve">This Second Amendment is contingent upon the effective termination and surrender of the Expansion Premises by the Vacating Tenant (defined below in this Second Amendment). In the event the effective termination and surrender of the Expansion Premises by the Vacating Tenant does not occur by December 31, 2018, this Second Amendment shall be null and void and neither party shall have any further obligation hereunder, provided, however, that the parties shall agree that they shall promptly reach a separate agreement on the reconciliation discussed in Recital </w:t>
      </w:r>
      <w:r>
        <w:rPr>
          <w:rFonts w:ascii="Times New Roman" w:cs="Times New Roman" w:eastAsia="Times New Roman" w:hAnsi="Times New Roman"/>
          <w:sz w:val="17"/>
          <w:szCs w:val="17"/>
          <w:color w:val="auto"/>
        </w:rPr>
        <w:t>D.</w:t>
      </w:r>
      <w:r>
        <w:rPr>
          <w:rFonts w:ascii="Times New Roman" w:cs="Times New Roman" w:eastAsia="Times New Roman" w:hAnsi="Times New Roman"/>
          <w:sz w:val="18"/>
          <w:szCs w:val="18"/>
          <w:color w:val="auto"/>
        </w:rPr>
        <w:t xml:space="preserve"> below.</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364" w:lineRule="exact"/>
        <w:rPr>
          <w:sz w:val="20"/>
          <w:szCs w:val="20"/>
          <w:color w:val="auto"/>
        </w:rPr>
      </w:pPr>
    </w:p>
    <w:p>
      <w:pPr>
        <w:jc w:val="both"/>
        <w:ind w:left="800" w:hanging="368"/>
        <w:spacing w:after="0" w:line="266" w:lineRule="auto"/>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 January 8, 2016, Landlord and Tenant entered into that certain Lease Agreement (the “Lease” or “original Lease”) which stated the Lease was for approximately 52,858 rentable square feet located in 502 South Rosa Road and 7,759 rentable square feet located in 504 South Rosa Road, Madison, Wisconsin (the “Leased Premises”).</w:t>
      </w:r>
    </w:p>
    <w:p>
      <w:pPr>
        <w:spacing w:after="0" w:line="135" w:lineRule="exact"/>
        <w:rPr>
          <w:rFonts w:ascii="Times New Roman" w:cs="Times New Roman" w:eastAsia="Times New Roman" w:hAnsi="Times New Roman"/>
          <w:sz w:val="17"/>
          <w:szCs w:val="17"/>
          <w:color w:val="auto"/>
        </w:rPr>
      </w:pPr>
    </w:p>
    <w:p>
      <w:pPr>
        <w:jc w:val="both"/>
        <w:ind w:left="800" w:hanging="368"/>
        <w:spacing w:after="0" w:line="261" w:lineRule="auto"/>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Under the te1ms of the Lease, Landlord provided a one-time allowance for Tenant Improvements (“Primary Tenant Allowance”) and an additional one-time allowance for Tenant Improvements (“Secondary Tenant Allowance”), which Secondary Tenant Allowance was in the form of a loan from Landlord to Tenant, secured by a promissory note (“Note”). As of the Effective Date of this Second Amendment, Tenant has paid and satisfied the Note in full, as set forth in the First Amendment to Lease Agreement.</w:t>
      </w:r>
    </w:p>
    <w:p>
      <w:pPr>
        <w:spacing w:after="0" w:line="125" w:lineRule="exact"/>
        <w:rPr>
          <w:rFonts w:ascii="Times New Roman" w:cs="Times New Roman" w:eastAsia="Times New Roman" w:hAnsi="Times New Roman"/>
          <w:sz w:val="17"/>
          <w:szCs w:val="17"/>
          <w:color w:val="auto"/>
        </w:rPr>
      </w:pPr>
    </w:p>
    <w:p>
      <w:pPr>
        <w:ind w:left="800" w:hanging="368"/>
        <w:spacing w:after="0" w:line="282" w:lineRule="auto"/>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Tenant now desires to lease from Landlord and Landlord desires to lease to Tenant an additional 13,197 rentable square feet located at 502 South Rosa Road between the existing Leased Premises and 500 South Rosa Road (“Expansion Premises,” more specifically defined below).</w:t>
      </w:r>
    </w:p>
    <w:p>
      <w:pPr>
        <w:spacing w:after="0" w:line="107" w:lineRule="exact"/>
        <w:rPr>
          <w:rFonts w:ascii="Times New Roman" w:cs="Times New Roman" w:eastAsia="Times New Roman" w:hAnsi="Times New Roman"/>
          <w:sz w:val="17"/>
          <w:szCs w:val="17"/>
          <w:color w:val="auto"/>
        </w:rPr>
      </w:pPr>
    </w:p>
    <w:p>
      <w:pPr>
        <w:ind w:left="800" w:right="20" w:hanging="368"/>
        <w:spacing w:after="0" w:line="282" w:lineRule="auto"/>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Landlord and Tenant also reviewed the rentable square feet making up the original Leased Premises and agree to revise the Leased Premises as set forth in this Second Amendment. The Parties also agree to reconcile the area measurements retroactively.</w:t>
      </w:r>
    </w:p>
    <w:p>
      <w:pPr>
        <w:spacing w:after="0" w:line="161" w:lineRule="exact"/>
        <w:rPr>
          <w:rFonts w:ascii="Times New Roman" w:cs="Times New Roman" w:eastAsia="Times New Roman" w:hAnsi="Times New Roman"/>
          <w:sz w:val="17"/>
          <w:szCs w:val="17"/>
          <w:color w:val="auto"/>
        </w:rPr>
      </w:pPr>
    </w:p>
    <w:p>
      <w:pPr>
        <w:ind w:left="800" w:hanging="368"/>
        <w:spacing w:after="0" w:line="282" w:lineRule="auto"/>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Landlord and Tenant desire and agree to amend the existing Lease Agreement regarding the Expansion Premises and as a financial settlement for rent overpaid to date for the Leased Premises and for Tenant Improvement allowances and commissions overpaid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Second Amendment </w:t>
            </w:r>
            <w:r>
              <w:rPr>
                <w:rFonts w:ascii="Times New Roman" w:cs="Times New Roman" w:eastAsia="Times New Roman" w:hAnsi="Times New Roman"/>
                <w:sz w:val="11"/>
                <w:szCs w:val="11"/>
                <w:color w:val="auto"/>
              </w:rPr>
              <w:t>to Le</w:t>
            </w:r>
            <w:r>
              <w:rPr>
                <w:rFonts w:ascii="Times New Roman" w:cs="Times New Roman" w:eastAsia="Times New Roman" w:hAnsi="Times New Roman"/>
                <w:sz w:val="13"/>
                <w:szCs w:val="13"/>
                <w:color w:val="auto"/>
              </w:rPr>
              <w:t>ase_V5 _20181213</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1213181713</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69850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00"/>
          </w:cols>
          <w:pgMar w:left="260" w:top="111" w:right="339" w:bottom="1440" w:gutter="0" w:footer="0" w:header="0"/>
        </w:sectPr>
      </w:pPr>
    </w:p>
    <w:bookmarkStart w:id="98" w:name="page99"/>
    <w:bookmarkEnd w:id="98"/>
    <w:p>
      <w:pPr>
        <w:ind w:left="60" w:firstLine="629"/>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by each party, the following amendments to the Lease are hereby agreed to, effective as of the Effective Date.</w:t>
      </w:r>
    </w:p>
    <w:p>
      <w:pPr>
        <w:spacing w:after="0" w:line="276" w:lineRule="exact"/>
        <w:rPr>
          <w:sz w:val="20"/>
          <w:szCs w:val="20"/>
          <w:color w:val="auto"/>
        </w:rPr>
      </w:pPr>
    </w:p>
    <w:p>
      <w:pPr>
        <w:ind w:left="800" w:hanging="368"/>
        <w:spacing w:after="0"/>
        <w:tabs>
          <w:tab w:leader="none" w:pos="8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PREMISES AND TERM.</w:t>
      </w:r>
    </w:p>
    <w:p>
      <w:pPr>
        <w:spacing w:after="0" w:line="252"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Leased Premises.</w:t>
      </w:r>
      <w:r>
        <w:rPr>
          <w:rFonts w:ascii="Times New Roman" w:cs="Times New Roman" w:eastAsia="Times New Roman" w:hAnsi="Times New Roman"/>
          <w:sz w:val="18"/>
          <w:szCs w:val="18"/>
          <w:color w:val="auto"/>
        </w:rPr>
        <w:t xml:space="preserve"> The description of the premises in Section 1.1 of the Lease is deleted in its entirety and replaced with the following:</w:t>
      </w:r>
    </w:p>
    <w:p>
      <w:pPr>
        <w:spacing w:after="0" w:line="283" w:lineRule="exact"/>
        <w:rPr>
          <w:sz w:val="20"/>
          <w:szCs w:val="20"/>
          <w:color w:val="auto"/>
        </w:rPr>
      </w:pPr>
    </w:p>
    <w:p>
      <w:pPr>
        <w:jc w:val="both"/>
        <w:ind w:left="2180"/>
        <w:spacing w:after="0" w:line="254" w:lineRule="auto"/>
        <w:rPr>
          <w:sz w:val="20"/>
          <w:szCs w:val="20"/>
          <w:color w:val="auto"/>
        </w:rPr>
      </w:pPr>
      <w:r>
        <w:rPr>
          <w:rFonts w:ascii="Times New Roman" w:cs="Times New Roman" w:eastAsia="Times New Roman" w:hAnsi="Times New Roman"/>
          <w:sz w:val="18"/>
          <w:szCs w:val="18"/>
          <w:color w:val="auto"/>
        </w:rPr>
        <w:t>50,465 rentable square feet of space in that certain building identified as 502 South Rosa Road and 7,558 rentable square feet of space in that certain building identified as 504 South Rosa Road, Madison, Dane County, Wisconsin, (hereinafter referred to as the “Leased Premises”). In addition to the Leased Premises, Tenant shall have the right to the non-exclusive use of all Common Area (defined in the original Lease) situated upon the property described in Exhibit A attached to the original Lease (the Property described in Exhibit A is referred to herein as the “Landlord's Property”). The location of the Leased Premises on the Landlord's Property is indicated on the map attached to the original Lease as Exhibit B-1, and the floor plan attached to the original Lease as Exhibit B-2. The pro-rata share of the Leased Premises combined with the Expansion Premises (defined below) in proportion to the total building area located on Landlord's Property shall be calculated pursuant to the formula set forth in Section 5.6 of the original Lease.</w:t>
      </w:r>
    </w:p>
    <w:p>
      <w:pPr>
        <w:spacing w:after="0" w:line="211" w:lineRule="exact"/>
        <w:rPr>
          <w:sz w:val="20"/>
          <w:szCs w:val="20"/>
          <w:color w:val="auto"/>
        </w:rPr>
      </w:pPr>
    </w:p>
    <w:p>
      <w:pPr>
        <w:ind w:left="1480" w:hanging="373"/>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Expansion Premises. </w:t>
      </w:r>
      <w:r>
        <w:rPr>
          <w:rFonts w:ascii="Times New Roman" w:cs="Times New Roman" w:eastAsia="Times New Roman" w:hAnsi="Times New Roman"/>
          <w:sz w:val="18"/>
          <w:szCs w:val="18"/>
          <w:color w:val="auto"/>
        </w:rPr>
        <w:t>Section 1.1 of the Lease is also amended to add the following at the end of the section:</w:t>
      </w:r>
    </w:p>
    <w:p>
      <w:pPr>
        <w:spacing w:after="0" w:line="256" w:lineRule="exact"/>
        <w:rPr>
          <w:sz w:val="20"/>
          <w:szCs w:val="20"/>
          <w:color w:val="auto"/>
        </w:rPr>
      </w:pPr>
    </w:p>
    <w:p>
      <w:pPr>
        <w:jc w:val="both"/>
        <w:ind w:left="2180" w:right="20"/>
        <w:spacing w:after="0" w:line="261" w:lineRule="auto"/>
        <w:rPr>
          <w:sz w:val="20"/>
          <w:szCs w:val="20"/>
          <w:color w:val="auto"/>
        </w:rPr>
      </w:pPr>
      <w:r>
        <w:rPr>
          <w:rFonts w:ascii="Times New Roman" w:cs="Times New Roman" w:eastAsia="Times New Roman" w:hAnsi="Times New Roman"/>
          <w:sz w:val="18"/>
          <w:szCs w:val="18"/>
          <w:color w:val="auto"/>
        </w:rPr>
        <w:t>Landlord also hereby leases to Tenant and Tenant leases from Landlord on the terms and provisions and subject to the conditions hereinafter set forth in this Lease, as amended, the described Expansion Premises, consisting of 13,197 rentable square feet located at 502 South Rosa Road, and more specifically described in Exhibit 2A-A. This Expansion Premises shall be in addition to the original Leased Premises described above.</w:t>
      </w:r>
    </w:p>
    <w:p>
      <w:pPr>
        <w:spacing w:after="0" w:line="180" w:lineRule="exact"/>
        <w:rPr>
          <w:sz w:val="20"/>
          <w:szCs w:val="20"/>
          <w:color w:val="auto"/>
        </w:rPr>
      </w:pPr>
    </w:p>
    <w:p>
      <w:pPr>
        <w:jc w:val="both"/>
        <w:ind w:left="2180"/>
        <w:spacing w:after="0" w:line="282" w:lineRule="auto"/>
        <w:rPr>
          <w:sz w:val="20"/>
          <w:szCs w:val="20"/>
          <w:color w:val="auto"/>
        </w:rPr>
      </w:pPr>
      <w:r>
        <w:rPr>
          <w:rFonts w:ascii="Times New Roman" w:cs="Times New Roman" w:eastAsia="Times New Roman" w:hAnsi="Times New Roman"/>
          <w:sz w:val="18"/>
          <w:szCs w:val="18"/>
          <w:color w:val="auto"/>
        </w:rPr>
        <w:t>The Parties acknowledge and accept the measurements for the Leased Premises and the Expansion Premises set forth above as being consistent with BOMA standards., and as more specifically detailed in Exhibit 2A-B.</w:t>
      </w:r>
    </w:p>
    <w:p>
      <w:pPr>
        <w:spacing w:after="0" w:line="185" w:lineRule="exact"/>
        <w:rPr>
          <w:sz w:val="20"/>
          <w:szCs w:val="20"/>
          <w:color w:val="auto"/>
        </w:rPr>
      </w:pPr>
    </w:p>
    <w:p>
      <w:pPr>
        <w:ind w:left="1480" w:hanging="373"/>
        <w:spacing w:after="0"/>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of Lease. </w:t>
      </w:r>
      <w:r>
        <w:rPr>
          <w:rFonts w:ascii="Times New Roman" w:cs="Times New Roman" w:eastAsia="Times New Roman" w:hAnsi="Times New Roman"/>
          <w:sz w:val="18"/>
          <w:szCs w:val="18"/>
          <w:color w:val="auto"/>
        </w:rPr>
        <w:t>Section 1.2 of the Lease is deleted in its entirety and replaced with the following:</w:t>
      </w:r>
    </w:p>
    <w:p>
      <w:pPr>
        <w:spacing w:after="0" w:line="252" w:lineRule="exact"/>
        <w:rPr>
          <w:sz w:val="20"/>
          <w:szCs w:val="20"/>
          <w:color w:val="auto"/>
        </w:rPr>
      </w:pPr>
    </w:p>
    <w:p>
      <w:pPr>
        <w:jc w:val="both"/>
        <w:ind w:left="2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 Term of Lease. </w:t>
      </w:r>
      <w:r>
        <w:rPr>
          <w:rFonts w:ascii="Times New Roman" w:cs="Times New Roman" w:eastAsia="Times New Roman" w:hAnsi="Times New Roman"/>
          <w:sz w:val="18"/>
          <w:szCs w:val="18"/>
          <w:color w:val="auto"/>
        </w:rPr>
        <w:t>The term of this Lease (the “Term”) for the Leased Premises shall begin on January 1, 2016. The term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Lease for the Expansion Premises (“Expansion Lease Term”) shall begin on the first day of the month following the occurrence of two events: (i) effective</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Second Amendment </w:t>
            </w:r>
            <w:r>
              <w:rPr>
                <w:rFonts w:ascii="Times New Roman" w:cs="Times New Roman" w:eastAsia="Times New Roman" w:hAnsi="Times New Roman"/>
                <w:sz w:val="11"/>
                <w:szCs w:val="11"/>
                <w:color w:val="auto"/>
              </w:rPr>
              <w:t>to Le</w:t>
            </w:r>
            <w:r>
              <w:rPr>
                <w:rFonts w:ascii="Times New Roman" w:cs="Times New Roman" w:eastAsia="Times New Roman" w:hAnsi="Times New Roman"/>
                <w:sz w:val="13"/>
                <w:szCs w:val="13"/>
                <w:color w:val="auto"/>
              </w:rPr>
              <w:t>ase_V5 _20181213</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1213181713</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69850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00"/>
          </w:cols>
          <w:pgMar w:left="260" w:top="117" w:right="339" w:bottom="1440" w:gutter="0" w:footer="0" w:header="0"/>
        </w:sectPr>
      </w:pPr>
    </w:p>
    <w:bookmarkStart w:id="99" w:name="page100"/>
    <w:bookmarkEnd w:id="99"/>
    <w:p>
      <w:pPr>
        <w:jc w:val="both"/>
        <w:ind w:left="2180"/>
        <w:spacing w:after="0" w:line="266" w:lineRule="auto"/>
        <w:rPr>
          <w:sz w:val="20"/>
          <w:szCs w:val="20"/>
          <w:color w:val="auto"/>
        </w:rPr>
      </w:pPr>
      <w:r>
        <w:rPr>
          <w:rFonts w:ascii="Times New Roman" w:cs="Times New Roman" w:eastAsia="Times New Roman" w:hAnsi="Times New Roman"/>
          <w:sz w:val="18"/>
          <w:szCs w:val="18"/>
          <w:color w:val="auto"/>
        </w:rPr>
        <w:t>termination and surrender of the lease for the Expansion Premises by the Vacating Tenant; and (ii) full execution of this Second Amendment (“Expansion Lease Commencement”), provided, however, that in no event shall the Expansion Lease Commencement occur prior to January 1, 2019.</w:t>
      </w:r>
    </w:p>
    <w:p>
      <w:pPr>
        <w:spacing w:after="0" w:line="17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The Term and Expansion Lease Term shall hereafter run concurrently and shall end at midnight on September 30, 2029.</w:t>
      </w:r>
    </w:p>
    <w:p>
      <w:pPr>
        <w:spacing w:after="0" w:line="225" w:lineRule="exact"/>
        <w:rPr>
          <w:sz w:val="20"/>
          <w:szCs w:val="20"/>
          <w:color w:val="auto"/>
        </w:rPr>
      </w:pPr>
    </w:p>
    <w:p>
      <w:pPr>
        <w:jc w:val="both"/>
        <w:ind w:left="2180" w:right="20"/>
        <w:spacing w:after="0" w:line="282" w:lineRule="auto"/>
        <w:rPr>
          <w:sz w:val="20"/>
          <w:szCs w:val="20"/>
          <w:color w:val="auto"/>
        </w:rPr>
      </w:pPr>
      <w:r>
        <w:rPr>
          <w:rFonts w:ascii="Times New Roman" w:cs="Times New Roman" w:eastAsia="Times New Roman" w:hAnsi="Times New Roman"/>
          <w:sz w:val="18"/>
          <w:szCs w:val="18"/>
          <w:color w:val="auto"/>
        </w:rPr>
        <w:t>References throughout the Lease to the “original Term” of the Lease or “Term” shall hereafter be considered to include reference to the Expansion Lease Term and said terms shall run concurrently.</w:t>
      </w:r>
    </w:p>
    <w:p>
      <w:pPr>
        <w:spacing w:after="0" w:line="185" w:lineRule="exact"/>
        <w:rPr>
          <w:sz w:val="20"/>
          <w:szCs w:val="20"/>
          <w:color w:val="auto"/>
        </w:rPr>
      </w:pPr>
    </w:p>
    <w:p>
      <w:pPr>
        <w:jc w:val="both"/>
        <w:ind w:left="1480" w:hanging="373"/>
        <w:spacing w:after="0" w:line="262" w:lineRule="auto"/>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to Extend. </w:t>
      </w:r>
      <w:r>
        <w:rPr>
          <w:rFonts w:ascii="Times New Roman" w:cs="Times New Roman" w:eastAsia="Times New Roman" w:hAnsi="Times New Roman"/>
          <w:sz w:val="18"/>
          <w:szCs w:val="18"/>
          <w:color w:val="auto"/>
        </w:rPr>
        <w:t>Section 1.3 is revised to require Tenant to give Landlord written notice of its intention to exercise its option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 the Lease Term no later than twelve (12) months prior to the expiration of the Expansion Lease Term. Base Rent and Expansion Base Rent for each year of any Extended Term shall increase by 2.5% annually over the prior year's Basic Rent and Expansion Base Rent.</w:t>
      </w:r>
    </w:p>
    <w:p>
      <w:pPr>
        <w:spacing w:after="0" w:line="176" w:lineRule="exact"/>
        <w:rPr>
          <w:rFonts w:ascii="Times New Roman" w:cs="Times New Roman" w:eastAsia="Times New Roman" w:hAnsi="Times New Roman"/>
          <w:sz w:val="18"/>
          <w:szCs w:val="18"/>
          <w:color w:val="auto"/>
        </w:rPr>
      </w:pPr>
    </w:p>
    <w:p>
      <w:pPr>
        <w:ind w:left="1480" w:hanging="373"/>
        <w:spacing w:after="0"/>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Condition of Expansion Premises. </w:t>
      </w:r>
      <w:r>
        <w:rPr>
          <w:rFonts w:ascii="Times New Roman" w:cs="Times New Roman" w:eastAsia="Times New Roman" w:hAnsi="Times New Roman"/>
          <w:sz w:val="18"/>
          <w:szCs w:val="18"/>
          <w:color w:val="auto"/>
        </w:rPr>
        <w:t>Section 1.4 of the Lease is amended to add the following:</w:t>
      </w:r>
    </w:p>
    <w:p>
      <w:pPr>
        <w:spacing w:after="0" w:line="256" w:lineRule="exact"/>
        <w:rPr>
          <w:sz w:val="20"/>
          <w:szCs w:val="20"/>
          <w:color w:val="auto"/>
        </w:rPr>
      </w:pPr>
    </w:p>
    <w:p>
      <w:pPr>
        <w:jc w:val="both"/>
        <w:ind w:left="2180"/>
        <w:spacing w:after="0" w:line="266" w:lineRule="auto"/>
        <w:rPr>
          <w:sz w:val="20"/>
          <w:szCs w:val="20"/>
          <w:color w:val="auto"/>
        </w:rPr>
      </w:pPr>
      <w:r>
        <w:rPr>
          <w:rFonts w:ascii="Times New Roman" w:cs="Times New Roman" w:eastAsia="Times New Roman" w:hAnsi="Times New Roman"/>
          <w:sz w:val="18"/>
          <w:szCs w:val="18"/>
          <w:color w:val="auto"/>
        </w:rPr>
        <w:t>Landlord shall deliver, and Tenant shall accept the Expansion Premises as depicted on Exhibit 2A-A and in AS-IS, WHERE-IS condition, except as may be provided in this Second Amendment. Notwithstanding the foregoing, Landlord shall deliver the Expansion Premises broom-clean and free of all personal property of the Vacating Tenant.</w:t>
      </w:r>
    </w:p>
    <w:p>
      <w:pPr>
        <w:spacing w:after="0" w:line="199" w:lineRule="exact"/>
        <w:rPr>
          <w:sz w:val="20"/>
          <w:szCs w:val="20"/>
          <w:color w:val="auto"/>
        </w:rPr>
      </w:pPr>
    </w:p>
    <w:p>
      <w:pPr>
        <w:ind w:left="1480" w:hanging="373"/>
        <w:spacing w:after="0"/>
        <w:tabs>
          <w:tab w:leader="none" w:pos="1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Security Deposit. </w:t>
      </w:r>
      <w:r>
        <w:rPr>
          <w:rFonts w:ascii="Times New Roman" w:cs="Times New Roman" w:eastAsia="Times New Roman" w:hAnsi="Times New Roman"/>
          <w:sz w:val="18"/>
          <w:szCs w:val="18"/>
          <w:color w:val="auto"/>
        </w:rPr>
        <w:t>Section 1.5 of the Lease is amended to add the following at the end of the section:</w:t>
      </w:r>
    </w:p>
    <w:p>
      <w:pPr>
        <w:spacing w:after="0" w:line="25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The above paragraph is in reference to the Leased Premises.</w:t>
      </w:r>
    </w:p>
    <w:p>
      <w:pPr>
        <w:spacing w:after="0" w:line="225" w:lineRule="exact"/>
        <w:rPr>
          <w:sz w:val="20"/>
          <w:szCs w:val="20"/>
          <w:color w:val="auto"/>
        </w:rPr>
      </w:pPr>
    </w:p>
    <w:p>
      <w:pPr>
        <w:jc w:val="both"/>
        <w:ind w:left="2180"/>
        <w:spacing w:after="0" w:line="258" w:lineRule="auto"/>
        <w:rPr>
          <w:sz w:val="20"/>
          <w:szCs w:val="20"/>
          <w:color w:val="auto"/>
        </w:rPr>
      </w:pPr>
      <w:r>
        <w:rPr>
          <w:rFonts w:ascii="Times New Roman" w:cs="Times New Roman" w:eastAsia="Times New Roman" w:hAnsi="Times New Roman"/>
          <w:sz w:val="18"/>
          <w:szCs w:val="18"/>
          <w:color w:val="auto"/>
        </w:rPr>
        <w:t>Regarding the Expansion Premises, Tenant shall pay to Landlord as and for a security deposit for the Expansion Premises (“Expansion Security Deposit”), the sum equal to one month of Expansion Base Rent and estimated Expansion Additional Rent (both terms defined below). Tenant shall pay the Expansion Security Deposit to Landlord upon the Expansion Lease Commencement. The Expansion Security Deposit shall be returned to Tenant within sixty (60) days following the termination of this Lease, as amended, less any amount appropriately applied by Landlord.</w:t>
      </w:r>
    </w:p>
    <w:p>
      <w:pPr>
        <w:spacing w:after="0" w:line="179" w:lineRule="exact"/>
        <w:rPr>
          <w:sz w:val="20"/>
          <w:szCs w:val="20"/>
          <w:color w:val="auto"/>
        </w:rPr>
      </w:pPr>
    </w:p>
    <w:p>
      <w:pPr>
        <w:ind w:left="1480" w:hanging="373"/>
        <w:spacing w:after="0"/>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Condition of Improvements. </w:t>
      </w:r>
      <w:r>
        <w:rPr>
          <w:rFonts w:ascii="Times New Roman" w:cs="Times New Roman" w:eastAsia="Times New Roman" w:hAnsi="Times New Roman"/>
          <w:sz w:val="18"/>
          <w:szCs w:val="18"/>
          <w:color w:val="auto"/>
        </w:rPr>
        <w:t>Section 1.6 is amended to add the following at the end of the section:</w:t>
      </w:r>
    </w:p>
    <w:p>
      <w:pPr>
        <w:spacing w:after="0" w:line="283" w:lineRule="exact"/>
        <w:rPr>
          <w:sz w:val="20"/>
          <w:szCs w:val="20"/>
          <w:color w:val="auto"/>
        </w:rPr>
      </w:pPr>
    </w:p>
    <w:p>
      <w:pPr>
        <w:ind w:left="2180"/>
        <w:spacing w:after="0" w:line="282" w:lineRule="auto"/>
        <w:rPr>
          <w:sz w:val="20"/>
          <w:szCs w:val="20"/>
          <w:color w:val="auto"/>
        </w:rPr>
      </w:pPr>
      <w:r>
        <w:rPr>
          <w:rFonts w:ascii="Times New Roman" w:cs="Times New Roman" w:eastAsia="Times New Roman" w:hAnsi="Times New Roman"/>
          <w:sz w:val="18"/>
          <w:szCs w:val="18"/>
          <w:color w:val="auto"/>
        </w:rPr>
        <w:t>Notwithstanding any provisions above, Tenant may, with prior written approval by Landlord, choose a general contractor and architect for Tenant</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Second Amendment </w:t>
            </w:r>
            <w:r>
              <w:rPr>
                <w:rFonts w:ascii="Times New Roman" w:cs="Times New Roman" w:eastAsia="Times New Roman" w:hAnsi="Times New Roman"/>
                <w:sz w:val="11"/>
                <w:szCs w:val="11"/>
                <w:color w:val="auto"/>
              </w:rPr>
              <w:t>to Le</w:t>
            </w:r>
            <w:r>
              <w:rPr>
                <w:rFonts w:ascii="Times New Roman" w:cs="Times New Roman" w:eastAsia="Times New Roman" w:hAnsi="Times New Roman"/>
                <w:sz w:val="13"/>
                <w:szCs w:val="13"/>
                <w:color w:val="auto"/>
              </w:rPr>
              <w:t>ase_V5 _20181213</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1213181713</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69850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100" w:name="page101"/>
    <w:bookmarkEnd w:id="100"/>
    <w:p>
      <w:pPr>
        <w:jc w:val="both"/>
        <w:ind w:left="2180"/>
        <w:spacing w:after="0" w:line="266" w:lineRule="auto"/>
        <w:rPr>
          <w:sz w:val="20"/>
          <w:szCs w:val="20"/>
          <w:color w:val="auto"/>
        </w:rPr>
      </w:pPr>
      <w:r>
        <w:rPr>
          <w:rFonts w:ascii="Times New Roman" w:cs="Times New Roman" w:eastAsia="Times New Roman" w:hAnsi="Times New Roman"/>
          <w:sz w:val="18"/>
          <w:szCs w:val="18"/>
          <w:color w:val="auto"/>
        </w:rPr>
        <w:t>Improvements of the Expansion Premises. Tenant shall also submit to Landlord for prior written approval, detailed written plans for any and all Tenant Improvements to the Expansion Premises. Landlord's approval shall not be unreasonably conditioned, delayed, or withheld.</w:t>
      </w:r>
    </w:p>
    <w:p>
      <w:pPr>
        <w:spacing w:after="0" w:line="176" w:lineRule="exact"/>
        <w:rPr>
          <w:sz w:val="20"/>
          <w:szCs w:val="20"/>
          <w:color w:val="auto"/>
        </w:rPr>
      </w:pPr>
    </w:p>
    <w:p>
      <w:pPr>
        <w:jc w:val="both"/>
        <w:ind w:left="2180"/>
        <w:spacing w:after="0" w:line="258" w:lineRule="auto"/>
        <w:rPr>
          <w:sz w:val="20"/>
          <w:szCs w:val="20"/>
          <w:color w:val="auto"/>
        </w:rPr>
      </w:pPr>
      <w:r>
        <w:rPr>
          <w:rFonts w:ascii="Times New Roman" w:cs="Times New Roman" w:eastAsia="Times New Roman" w:hAnsi="Times New Roman"/>
          <w:sz w:val="18"/>
          <w:szCs w:val="18"/>
          <w:color w:val="auto"/>
        </w:rPr>
        <w:t>Tenant shall be allowed an additional one-time Tenant Improvement allowance for approved Tenant Improvements in the Expansion Premises (“Expansion Premises Allowance”) in the total amount of Four Hundred Seven Thousand Two Hundred Seventeen Dollars and 00/100 ($407,217), which acknowledges the parties total agreement on allowances for the Expansion Premises (including penthouse) and settlements on past overpaid rent from Tenant and past overpaid allowances from Landlord.</w:t>
      </w:r>
    </w:p>
    <w:p>
      <w:pPr>
        <w:spacing w:after="0" w:line="183" w:lineRule="exact"/>
        <w:rPr>
          <w:sz w:val="20"/>
          <w:szCs w:val="20"/>
          <w:color w:val="auto"/>
        </w:rPr>
      </w:pPr>
    </w:p>
    <w:p>
      <w:pPr>
        <w:jc w:val="both"/>
        <w:ind w:left="2180"/>
        <w:spacing w:after="0" w:line="258" w:lineRule="auto"/>
        <w:rPr>
          <w:sz w:val="20"/>
          <w:szCs w:val="20"/>
          <w:color w:val="auto"/>
        </w:rPr>
      </w:pPr>
      <w:r>
        <w:rPr>
          <w:rFonts w:ascii="Times New Roman" w:cs="Times New Roman" w:eastAsia="Times New Roman" w:hAnsi="Times New Roman"/>
          <w:sz w:val="18"/>
          <w:szCs w:val="18"/>
          <w:color w:val="auto"/>
        </w:rPr>
        <w:t>Said Expansion Premises is being vacated by another unrelated tenant (“Vacating Tenant”). Landlord and Tenant agree that fifty percent (50%) of any base net rent (base rent, less costs incurred by Landlord including but not limited to Landlord's legal fees and broker commissions) collected from Vacating Tenant at the termination of Vacating Tenant's lease, and after the Expansion Lease Commencement, will be credited to Tenant as a one-time additional allowance for initial Tenant Improvements to the Expansion Premises.</w:t>
      </w:r>
    </w:p>
    <w:p>
      <w:pPr>
        <w:spacing w:after="0" w:line="183" w:lineRule="exact"/>
        <w:rPr>
          <w:sz w:val="20"/>
          <w:szCs w:val="20"/>
          <w:color w:val="auto"/>
        </w:rPr>
      </w:pPr>
    </w:p>
    <w:p>
      <w:pPr>
        <w:jc w:val="both"/>
        <w:ind w:left="2180"/>
        <w:spacing w:after="0" w:line="261" w:lineRule="auto"/>
        <w:rPr>
          <w:sz w:val="20"/>
          <w:szCs w:val="20"/>
          <w:color w:val="auto"/>
        </w:rPr>
      </w:pPr>
      <w:r>
        <w:rPr>
          <w:rFonts w:ascii="Times New Roman" w:cs="Times New Roman" w:eastAsia="Times New Roman" w:hAnsi="Times New Roman"/>
          <w:sz w:val="18"/>
          <w:szCs w:val="18"/>
          <w:color w:val="auto"/>
        </w:rPr>
        <w:t>In addition to the Expansion Premises Allowance, Landlord shall provide an allowance of up to Fifty Thousand and 00/100 ($50,000.00) specifically as and for replacement of approved boilers and related equipment selected and installed as part of Tenant Improvements. Tenant shall submit receipts for replacement of the boilers and related equipment to Landlord for prompt reimbursement to Tenant.</w:t>
      </w:r>
    </w:p>
    <w:p>
      <w:pPr>
        <w:spacing w:after="0" w:line="180" w:lineRule="exact"/>
        <w:rPr>
          <w:sz w:val="20"/>
          <w:szCs w:val="20"/>
          <w:color w:val="auto"/>
        </w:rPr>
      </w:pPr>
    </w:p>
    <w:p>
      <w:pPr>
        <w:jc w:val="both"/>
        <w:ind w:left="2180"/>
        <w:spacing w:after="0" w:line="258" w:lineRule="auto"/>
        <w:rPr>
          <w:sz w:val="20"/>
          <w:szCs w:val="20"/>
          <w:color w:val="auto"/>
        </w:rPr>
      </w:pPr>
      <w:r>
        <w:rPr>
          <w:rFonts w:ascii="Times New Roman" w:cs="Times New Roman" w:eastAsia="Times New Roman" w:hAnsi="Times New Roman"/>
          <w:sz w:val="18"/>
          <w:szCs w:val="18"/>
          <w:color w:val="auto"/>
        </w:rPr>
        <w:t>Landlord reserves the right to review and approve plans for Tenant Improvements and to hire architects and/or engineers to review submitted plans prior to approval. While Landlord reserves the right to approve any specific Tenant Improvements, Landlord acknowledges Tenant Improvements will seek to connect Expansion Leased Premises and original Leased Premises. Landlord will work with Tenant to approve a mutually acceptable plan to connect the Expansion and Original Premises and modify both Premises as required.</w:t>
      </w:r>
    </w:p>
    <w:p>
      <w:pPr>
        <w:spacing w:after="0" w:line="183" w:lineRule="exact"/>
        <w:rPr>
          <w:sz w:val="20"/>
          <w:szCs w:val="20"/>
          <w:color w:val="auto"/>
        </w:rPr>
      </w:pPr>
    </w:p>
    <w:p>
      <w:pPr>
        <w:jc w:val="both"/>
        <w:ind w:left="2180"/>
        <w:spacing w:after="0" w:line="266" w:lineRule="auto"/>
        <w:rPr>
          <w:sz w:val="20"/>
          <w:szCs w:val="20"/>
          <w:color w:val="auto"/>
        </w:rPr>
      </w:pPr>
      <w:r>
        <w:rPr>
          <w:rFonts w:ascii="Times New Roman" w:cs="Times New Roman" w:eastAsia="Times New Roman" w:hAnsi="Times New Roman"/>
          <w:sz w:val="18"/>
          <w:szCs w:val="18"/>
          <w:color w:val="auto"/>
        </w:rPr>
        <w:t>Landlord shall, at Landlord's expense, ensure that Tenant's name is included on the directories and standard interior directional signage of the Building. Tenant shall have the right to space on the multi-tenant monument sign located near the parking, at Tenant's cost.</w:t>
      </w:r>
    </w:p>
    <w:p>
      <w:pPr>
        <w:spacing w:after="0" w:line="176" w:lineRule="exact"/>
        <w:rPr>
          <w:sz w:val="20"/>
          <w:szCs w:val="20"/>
          <w:color w:val="auto"/>
        </w:rPr>
      </w:pPr>
    </w:p>
    <w:p>
      <w:pPr>
        <w:jc w:val="both"/>
        <w:ind w:left="2180"/>
        <w:spacing w:after="0" w:line="282" w:lineRule="auto"/>
        <w:rPr>
          <w:sz w:val="20"/>
          <w:szCs w:val="20"/>
          <w:color w:val="auto"/>
        </w:rPr>
      </w:pPr>
      <w:r>
        <w:rPr>
          <w:rFonts w:ascii="Times New Roman" w:cs="Times New Roman" w:eastAsia="Times New Roman" w:hAnsi="Times New Roman"/>
          <w:sz w:val="18"/>
          <w:szCs w:val="18"/>
          <w:color w:val="auto"/>
        </w:rPr>
        <w:t>Prior to October 1,2019, Landlord will replace 26 UPS batteries at Landlord's sole expense, not to exceed Twenty Thousand and 00/100 Dollars ($20,000.00).</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Second Amendment </w:t>
            </w:r>
            <w:r>
              <w:rPr>
                <w:rFonts w:ascii="Times New Roman" w:cs="Times New Roman" w:eastAsia="Times New Roman" w:hAnsi="Times New Roman"/>
                <w:sz w:val="11"/>
                <w:szCs w:val="11"/>
                <w:color w:val="auto"/>
              </w:rPr>
              <w:t>to Le</w:t>
            </w:r>
            <w:r>
              <w:rPr>
                <w:rFonts w:ascii="Times New Roman" w:cs="Times New Roman" w:eastAsia="Times New Roman" w:hAnsi="Times New Roman"/>
                <w:sz w:val="13"/>
                <w:szCs w:val="13"/>
                <w:color w:val="auto"/>
              </w:rPr>
              <w:t>ase_V5 _20181213</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1213181713</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00"/>
          </w:cols>
          <w:pgMar w:left="260" w:top="135" w:right="339" w:bottom="1440" w:gutter="0" w:footer="0" w:header="0"/>
        </w:sectPr>
      </w:pPr>
    </w:p>
    <w:bookmarkStart w:id="101" w:name="page102"/>
    <w:bookmarkEnd w:id="101"/>
    <w:p>
      <w:pPr>
        <w:ind w:left="2180"/>
        <w:spacing w:after="0" w:line="282" w:lineRule="auto"/>
        <w:rPr>
          <w:sz w:val="20"/>
          <w:szCs w:val="20"/>
          <w:color w:val="auto"/>
        </w:rPr>
      </w:pPr>
      <w:r>
        <w:rPr>
          <w:rFonts w:ascii="Times New Roman" w:cs="Times New Roman" w:eastAsia="Times New Roman" w:hAnsi="Times New Roman"/>
          <w:sz w:val="18"/>
          <w:szCs w:val="18"/>
          <w:color w:val="auto"/>
        </w:rPr>
        <w:t>Except as specifically revised above, all provisions of Section 1.6 remain unchanged and apply with equal force and effect to the condition of the improvements and Tenant Improvements for the Expansion Premises.</w:t>
      </w:r>
    </w:p>
    <w:p>
      <w:pPr>
        <w:spacing w:after="0" w:line="189" w:lineRule="exact"/>
        <w:rPr>
          <w:sz w:val="20"/>
          <w:szCs w:val="20"/>
          <w:color w:val="auto"/>
        </w:rPr>
      </w:pPr>
    </w:p>
    <w:p>
      <w:pPr>
        <w:ind w:left="1480" w:hanging="373"/>
        <w:spacing w:after="0"/>
        <w:tabs>
          <w:tab w:leader="none" w:pos="1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Section 1.7 is added as follows:</w:t>
      </w:r>
    </w:p>
    <w:p>
      <w:pPr>
        <w:spacing w:after="0" w:line="275" w:lineRule="exact"/>
        <w:rPr>
          <w:sz w:val="20"/>
          <w:szCs w:val="20"/>
          <w:color w:val="auto"/>
        </w:rPr>
      </w:pPr>
    </w:p>
    <w:p>
      <w:pPr>
        <w:jc w:val="both"/>
        <w:ind w:left="218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1.7. Tenant's Right of Opportunity to Expand. </w:t>
      </w:r>
      <w:r>
        <w:rPr>
          <w:rFonts w:ascii="Times New Roman" w:cs="Times New Roman" w:eastAsia="Times New Roman" w:hAnsi="Times New Roman"/>
          <w:sz w:val="18"/>
          <w:szCs w:val="18"/>
          <w:color w:val="auto"/>
        </w:rPr>
        <w:t>Landlord shall give Tenant notice (“Notice of Expansion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Availability”) each time some or all of the suite adjacent to the Expansion Premises that is then contiguous to Tenant's Expansion Premises, consisting of approximately 25,965 rentable square feet located at 500 South Rosa Road (“Additional Premises”), is being vacated, the current tenant is given a lease expiration date, and the space is known to be available for lease. Tenant shall provide Landlord with notice that it desires to lease the Additional Premises within ten (10) days of receipt of the Notice of Expansion Availability. If Landlord and Tenant enter into a signed Letter of Intent within thirty (30) days of the Notice of Expansion Availability, Landlord will terminate discussions with and marketing to third parties and negotiate a lease or lease amendment exclusively with Tenant for the Additional Premises. If Landlord and Tenant have not entered into a lease for the Additional Premises, or an amendment to the current lease to include the Additional Premises, within sixty (60) days of Notice of Expansion Availability, Landlord may lease the Additional Premises to a third party, at its sole discretion, provided, however, Tenant shall continue to have a first right of opportunity to expand as set forth herein in the event some or all of the Additional Premises shall again become available during the Term of this Lease, provided Tenant is not then in default under the Lease.</w:t>
      </w:r>
    </w:p>
    <w:p>
      <w:pPr>
        <w:spacing w:after="0" w:line="349" w:lineRule="exact"/>
        <w:rPr>
          <w:sz w:val="20"/>
          <w:szCs w:val="20"/>
          <w:color w:val="auto"/>
        </w:rPr>
      </w:pPr>
    </w:p>
    <w:p>
      <w:pPr>
        <w:ind w:left="660" w:hanging="192"/>
        <w:spacing w:after="0"/>
        <w:tabs>
          <w:tab w:leader="none" w:pos="660"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8"/>
          <w:szCs w:val="18"/>
          <w:b w:val="1"/>
          <w:bCs w:val="1"/>
          <w:color w:val="auto"/>
        </w:rPr>
        <w:t>RENT</w:t>
      </w:r>
    </w:p>
    <w:p>
      <w:pPr>
        <w:spacing w:after="0" w:line="213" w:lineRule="exact"/>
        <w:rPr>
          <w:rFonts w:ascii="Times New Roman" w:cs="Times New Roman" w:eastAsia="Times New Roman" w:hAnsi="Times New Roman"/>
          <w:sz w:val="19"/>
          <w:szCs w:val="19"/>
          <w:b w:val="1"/>
          <w:bCs w:val="1"/>
          <w:color w:val="auto"/>
        </w:rPr>
      </w:pPr>
    </w:p>
    <w:p>
      <w:pPr>
        <w:ind w:left="11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xml:space="preserve"> Section 2.1 of the Lease is deleted </w:t>
      </w:r>
      <w:r>
        <w:rPr>
          <w:rFonts w:ascii="Times New Roman" w:cs="Times New Roman" w:eastAsia="Times New Roman" w:hAnsi="Times New Roman"/>
          <w:sz w:val="19"/>
          <w:szCs w:val="19"/>
          <w:color w:val="auto"/>
        </w:rPr>
        <w:t>in</w:t>
      </w:r>
      <w:r>
        <w:rPr>
          <w:rFonts w:ascii="Times New Roman" w:cs="Times New Roman" w:eastAsia="Times New Roman" w:hAnsi="Times New Roman"/>
          <w:sz w:val="18"/>
          <w:szCs w:val="18"/>
          <w:color w:val="auto"/>
        </w:rPr>
        <w:t xml:space="preserve"> its entirety and replaced with the following:</w:t>
      </w:r>
    </w:p>
    <w:p>
      <w:pPr>
        <w:spacing w:after="0" w:line="241" w:lineRule="exact"/>
        <w:rPr>
          <w:sz w:val="20"/>
          <w:szCs w:val="20"/>
          <w:color w:val="auto"/>
        </w:rPr>
      </w:pPr>
    </w:p>
    <w:p>
      <w:pPr>
        <w:jc w:val="both"/>
        <w:ind w:left="2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 Base Rent and Expansion Base Rent. </w:t>
      </w:r>
      <w:r>
        <w:rPr>
          <w:rFonts w:ascii="Times New Roman" w:cs="Times New Roman" w:eastAsia="Times New Roman" w:hAnsi="Times New Roman"/>
          <w:sz w:val="18"/>
          <w:szCs w:val="18"/>
          <w:color w:val="auto"/>
        </w:rPr>
        <w:t>Beginning on the Expansion Lease Commencement, Tenant shall pay on or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day of each calendar month during the Term, to Landlord at its office in Madison, Wisconsin, or such other place as Landlord may designate in writing, and, without any deduction or offset except as provided in the Second Amendment, base rent for the Leased Premises and Expansion Premises as indicated in the table below.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Second Amendment </w:t>
            </w:r>
            <w:r>
              <w:rPr>
                <w:rFonts w:ascii="Times New Roman" w:cs="Times New Roman" w:eastAsia="Times New Roman" w:hAnsi="Times New Roman"/>
                <w:sz w:val="11"/>
                <w:szCs w:val="11"/>
                <w:color w:val="auto"/>
              </w:rPr>
              <w:t>to Le</w:t>
            </w:r>
            <w:r>
              <w:rPr>
                <w:rFonts w:ascii="Times New Roman" w:cs="Times New Roman" w:eastAsia="Times New Roman" w:hAnsi="Times New Roman"/>
                <w:sz w:val="13"/>
                <w:szCs w:val="13"/>
                <w:color w:val="auto"/>
              </w:rPr>
              <w:t>ase_V5 _20181213</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1213181713</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69850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00"/>
          </w:cols>
          <w:pgMar w:left="260" w:top="135" w:right="339" w:bottom="1440" w:gutter="0" w:footer="0" w:header="0"/>
        </w:sectPr>
      </w:pPr>
    </w:p>
    <w:bookmarkStart w:id="102" w:name="page103"/>
    <w:bookmarkEnd w:id="102"/>
    <w:tbl>
      <w:tblPr>
        <w:tblLayout w:type="fixed"/>
        <w:tblInd w:w="1210" w:type="dxa"/>
        <w:tblCellMar>
          <w:top w:w="0" w:type="dxa"/>
          <w:left w:w="0" w:type="dxa"/>
          <w:bottom w:w="0" w:type="dxa"/>
          <w:right w:w="0" w:type="dxa"/>
        </w:tblCellMar>
      </w:tblPr>
      <w:tr>
        <w:trPr>
          <w:trHeight w:val="203"/>
        </w:trPr>
        <w:tc>
          <w:tcPr>
            <w:tcW w:w="2380" w:type="dxa"/>
            <w:vAlign w:val="bottom"/>
            <w:tcBorders>
              <w:top w:val="single" w:sz="8" w:color="auto"/>
              <w:left w:val="single" w:sz="8" w:color="auto"/>
              <w:right w:val="single" w:sz="8" w:color="auto"/>
            </w:tcBorders>
          </w:tcPr>
          <w:p>
            <w:pPr>
              <w:ind w:left="640"/>
              <w:spacing w:after="0" w:line="204" w:lineRule="exact"/>
              <w:rPr>
                <w:sz w:val="20"/>
                <w:szCs w:val="20"/>
                <w:color w:val="auto"/>
              </w:rPr>
            </w:pPr>
            <w:r>
              <w:rPr>
                <w:rFonts w:ascii="Times New Roman" w:cs="Times New Roman" w:eastAsia="Times New Roman" w:hAnsi="Times New Roman"/>
                <w:sz w:val="19"/>
                <w:szCs w:val="19"/>
                <w:color w:val="auto"/>
              </w:rPr>
              <w:t>Lease Period</w:t>
            </w:r>
          </w:p>
        </w:tc>
        <w:tc>
          <w:tcPr>
            <w:tcW w:w="2060" w:type="dxa"/>
            <w:vAlign w:val="bottom"/>
            <w:tcBorders>
              <w:top w:val="single" w:sz="8" w:color="auto"/>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9"/>
                <w:szCs w:val="19"/>
                <w:color w:val="auto"/>
                <w:w w:val="97"/>
              </w:rPr>
              <w:t>Total Base</w:t>
            </w:r>
          </w:p>
        </w:tc>
        <w:tc>
          <w:tcPr>
            <w:tcW w:w="2700" w:type="dxa"/>
            <w:vAlign w:val="bottom"/>
            <w:tcBorders>
              <w:top w:val="single" w:sz="8" w:color="auto"/>
              <w:right w:val="single" w:sz="8" w:color="auto"/>
            </w:tcBorders>
          </w:tcPr>
          <w:p>
            <w:pPr>
              <w:spacing w:after="0"/>
              <w:rPr>
                <w:sz w:val="17"/>
                <w:szCs w:val="17"/>
                <w:color w:val="auto"/>
              </w:rPr>
            </w:pPr>
          </w:p>
        </w:tc>
        <w:tc>
          <w:tcPr>
            <w:tcW w:w="1860" w:type="dxa"/>
            <w:vAlign w:val="bottom"/>
            <w:tcBorders>
              <w:top w:val="single" w:sz="8" w:color="auto"/>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9"/>
                <w:szCs w:val="19"/>
                <w:color w:val="auto"/>
                <w:w w:val="97"/>
              </w:rPr>
              <w:t>Total Base</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Rent/Monthly</w:t>
            </w:r>
          </w:p>
        </w:tc>
        <w:tc>
          <w:tcPr>
            <w:tcW w:w="2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9"/>
                <w:szCs w:val="19"/>
                <w:color w:val="auto"/>
                <w:w w:val="97"/>
              </w:rPr>
              <w:t>Total Base</w:t>
            </w:r>
          </w:p>
        </w:tc>
        <w:tc>
          <w:tcPr>
            <w:tcW w:w="1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Rent/Monthly</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9"/>
                <w:szCs w:val="19"/>
                <w:color w:val="auto"/>
              </w:rPr>
              <w:t>Original</w:t>
            </w:r>
          </w:p>
        </w:tc>
        <w:tc>
          <w:tcPr>
            <w:tcW w:w="270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Rent/Monthly</w:t>
            </w:r>
          </w:p>
        </w:tc>
        <w:tc>
          <w:tcPr>
            <w:tcW w:w="18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9"/>
                <w:szCs w:val="19"/>
                <w:color w:val="auto"/>
                <w:w w:val="98"/>
              </w:rPr>
              <w:t>Combined</w:t>
            </w:r>
          </w:p>
        </w:tc>
      </w:tr>
      <w:tr>
        <w:trPr>
          <w:trHeight w:val="244"/>
        </w:trPr>
        <w:tc>
          <w:tcPr>
            <w:tcW w:w="2380" w:type="dxa"/>
            <w:vAlign w:val="bottom"/>
            <w:tcBorders>
              <w:left w:val="single" w:sz="8" w:color="auto"/>
              <w:right w:val="single" w:sz="8" w:color="auto"/>
            </w:tcBorders>
          </w:tcPr>
          <w:p>
            <w:pPr>
              <w:spacing w:after="0"/>
              <w:rPr>
                <w:sz w:val="21"/>
                <w:szCs w:val="21"/>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Premises</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Expansion Premises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Premises</w:t>
            </w:r>
          </w:p>
        </w:tc>
      </w:tr>
      <w:tr>
        <w:trPr>
          <w:trHeight w:val="432"/>
        </w:trPr>
        <w:tc>
          <w:tcPr>
            <w:tcW w:w="2380" w:type="dxa"/>
            <w:vAlign w:val="bottom"/>
            <w:tcBorders>
              <w:left w:val="single" w:sz="8" w:color="auto"/>
              <w:right w:val="single" w:sz="8" w:color="auto"/>
            </w:tcBorders>
          </w:tcPr>
          <w:p>
            <w:pPr>
              <w:spacing w:after="0"/>
              <w:rPr>
                <w:sz w:val="24"/>
                <w:szCs w:val="24"/>
                <w:color w:val="auto"/>
              </w:rPr>
            </w:pPr>
          </w:p>
        </w:tc>
        <w:tc>
          <w:tcPr>
            <w:tcW w:w="20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9"/>
                <w:szCs w:val="19"/>
                <w:color w:val="auto"/>
              </w:rPr>
              <w:t>58,023 RSF</w:t>
            </w:r>
          </w:p>
        </w:tc>
        <w:tc>
          <w:tcPr>
            <w:tcW w:w="2700" w:type="dxa"/>
            <w:vAlign w:val="bottom"/>
            <w:tcBorders>
              <w:right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13,197 RSF</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71,220 RSF</w:t>
            </w:r>
          </w:p>
        </w:tc>
      </w:tr>
      <w:tr>
        <w:trPr>
          <w:trHeight w:val="241"/>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r>
      <w:tr>
        <w:trPr>
          <w:trHeight w:val="266"/>
        </w:trPr>
        <w:tc>
          <w:tcPr>
            <w:tcW w:w="23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1/1/19 – 9/30/19</w:t>
            </w:r>
          </w:p>
        </w:tc>
        <w:tc>
          <w:tcPr>
            <w:tcW w:w="20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9"/>
                <w:szCs w:val="19"/>
                <w:color w:val="auto"/>
              </w:rPr>
              <w:t>$81,280.55</w:t>
            </w:r>
          </w:p>
        </w:tc>
        <w:tc>
          <w:tcPr>
            <w:tcW w:w="2700" w:type="dxa"/>
            <w:vAlign w:val="bottom"/>
            <w:tcBorders>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$18,002.92</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$99,283.47</w:t>
            </w:r>
          </w:p>
        </w:tc>
      </w:tr>
      <w:tr>
        <w:trPr>
          <w:trHeight w:val="52"/>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66"/>
        </w:trPr>
        <w:tc>
          <w:tcPr>
            <w:tcW w:w="23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10/1/19 – 9/30/20</w:t>
            </w:r>
          </w:p>
        </w:tc>
        <w:tc>
          <w:tcPr>
            <w:tcW w:w="20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9"/>
                <w:szCs w:val="19"/>
                <w:color w:val="auto"/>
              </w:rPr>
              <w:t>$83,311.36</w:t>
            </w:r>
          </w:p>
        </w:tc>
        <w:tc>
          <w:tcPr>
            <w:tcW w:w="2700" w:type="dxa"/>
            <w:vAlign w:val="bottom"/>
            <w:tcBorders>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$18,002.92</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$101,314.27</w:t>
            </w:r>
          </w:p>
        </w:tc>
      </w:tr>
      <w:tr>
        <w:trPr>
          <w:trHeight w:val="52"/>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66"/>
        </w:trPr>
        <w:tc>
          <w:tcPr>
            <w:tcW w:w="23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10/11/20 – 9/30/21</w:t>
            </w:r>
          </w:p>
        </w:tc>
        <w:tc>
          <w:tcPr>
            <w:tcW w:w="20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9"/>
                <w:szCs w:val="19"/>
                <w:color w:val="auto"/>
              </w:rPr>
              <w:t>$85,390.52</w:t>
            </w:r>
          </w:p>
        </w:tc>
        <w:tc>
          <w:tcPr>
            <w:tcW w:w="2700" w:type="dxa"/>
            <w:vAlign w:val="bottom"/>
            <w:tcBorders>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$18,452.99</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$103,843.50</w:t>
            </w:r>
          </w:p>
        </w:tc>
      </w:tr>
      <w:tr>
        <w:trPr>
          <w:trHeight w:val="52"/>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66"/>
        </w:trPr>
        <w:tc>
          <w:tcPr>
            <w:tcW w:w="23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10/1/21 – 9/30/22</w:t>
            </w:r>
          </w:p>
        </w:tc>
        <w:tc>
          <w:tcPr>
            <w:tcW w:w="20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9"/>
                <w:szCs w:val="19"/>
                <w:color w:val="auto"/>
              </w:rPr>
              <w:t>$87,518.03</w:t>
            </w:r>
          </w:p>
        </w:tc>
        <w:tc>
          <w:tcPr>
            <w:tcW w:w="2700" w:type="dxa"/>
            <w:vAlign w:val="bottom"/>
            <w:tcBorders>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$18,914.31</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$106,432.34</w:t>
            </w:r>
          </w:p>
        </w:tc>
      </w:tr>
      <w:tr>
        <w:trPr>
          <w:trHeight w:val="52"/>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66"/>
        </w:trPr>
        <w:tc>
          <w:tcPr>
            <w:tcW w:w="23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10/1/22 – 9/30/23</w:t>
            </w:r>
          </w:p>
        </w:tc>
        <w:tc>
          <w:tcPr>
            <w:tcW w:w="20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9"/>
                <w:szCs w:val="19"/>
                <w:color w:val="auto"/>
              </w:rPr>
              <w:t>$89,693.89</w:t>
            </w:r>
          </w:p>
        </w:tc>
        <w:tc>
          <w:tcPr>
            <w:tcW w:w="2700" w:type="dxa"/>
            <w:vAlign w:val="bottom"/>
            <w:tcBorders>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$19,387.17</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$109,081.06</w:t>
            </w:r>
          </w:p>
        </w:tc>
      </w:tr>
      <w:tr>
        <w:trPr>
          <w:trHeight w:val="52"/>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66"/>
        </w:trPr>
        <w:tc>
          <w:tcPr>
            <w:tcW w:w="23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10/1/23 – 9/30/24</w:t>
            </w:r>
          </w:p>
        </w:tc>
        <w:tc>
          <w:tcPr>
            <w:tcW w:w="20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9"/>
                <w:szCs w:val="19"/>
                <w:color w:val="auto"/>
              </w:rPr>
              <w:t>$91,918.10</w:t>
            </w:r>
          </w:p>
        </w:tc>
        <w:tc>
          <w:tcPr>
            <w:tcW w:w="2700" w:type="dxa"/>
            <w:vAlign w:val="bottom"/>
            <w:tcBorders>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$19,871.85</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$111,789.95</w:t>
            </w:r>
          </w:p>
        </w:tc>
      </w:tr>
      <w:tr>
        <w:trPr>
          <w:trHeight w:val="52"/>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66"/>
        </w:trPr>
        <w:tc>
          <w:tcPr>
            <w:tcW w:w="23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10/1/24 – 9/30/25</w:t>
            </w:r>
          </w:p>
        </w:tc>
        <w:tc>
          <w:tcPr>
            <w:tcW w:w="206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$94,239.02</w:t>
            </w:r>
          </w:p>
        </w:tc>
        <w:tc>
          <w:tcPr>
            <w:tcW w:w="2700" w:type="dxa"/>
            <w:vAlign w:val="bottom"/>
            <w:tcBorders>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$20,368.65</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$114,607.67</w:t>
            </w:r>
          </w:p>
        </w:tc>
      </w:tr>
      <w:tr>
        <w:trPr>
          <w:trHeight w:val="52"/>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65"/>
        </w:trPr>
        <w:tc>
          <w:tcPr>
            <w:tcW w:w="23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10/1/25 – 9/30/26</w:t>
            </w:r>
          </w:p>
        </w:tc>
        <w:tc>
          <w:tcPr>
            <w:tcW w:w="20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9"/>
                <w:szCs w:val="19"/>
                <w:color w:val="auto"/>
              </w:rPr>
              <w:t>$96,608.30</w:t>
            </w:r>
          </w:p>
        </w:tc>
        <w:tc>
          <w:tcPr>
            <w:tcW w:w="2700" w:type="dxa"/>
            <w:vAlign w:val="bottom"/>
            <w:tcBorders>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$20,877.86</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$117,486.16</w:t>
            </w:r>
          </w:p>
        </w:tc>
      </w:tr>
      <w:tr>
        <w:trPr>
          <w:trHeight w:val="52"/>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65"/>
        </w:trPr>
        <w:tc>
          <w:tcPr>
            <w:tcW w:w="23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10/1/26 – 9/30/27</w:t>
            </w:r>
          </w:p>
        </w:tc>
        <w:tc>
          <w:tcPr>
            <w:tcW w:w="20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9"/>
                <w:szCs w:val="19"/>
                <w:color w:val="auto"/>
              </w:rPr>
              <w:t>$99,025.92</w:t>
            </w:r>
          </w:p>
        </w:tc>
        <w:tc>
          <w:tcPr>
            <w:tcW w:w="2700" w:type="dxa"/>
            <w:vAlign w:val="bottom"/>
            <w:tcBorders>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$21,399.81</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$120,425.73</w:t>
            </w:r>
          </w:p>
        </w:tc>
      </w:tr>
      <w:tr>
        <w:trPr>
          <w:trHeight w:val="52"/>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65"/>
        </w:trPr>
        <w:tc>
          <w:tcPr>
            <w:tcW w:w="23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10/1/27 – 9/30/28</w:t>
            </w:r>
          </w:p>
        </w:tc>
        <w:tc>
          <w:tcPr>
            <w:tcW w:w="20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9"/>
                <w:szCs w:val="19"/>
                <w:color w:val="auto"/>
              </w:rPr>
              <w:t>$101,491.90</w:t>
            </w:r>
          </w:p>
        </w:tc>
        <w:tc>
          <w:tcPr>
            <w:tcW w:w="2700" w:type="dxa"/>
            <w:vAlign w:val="bottom"/>
            <w:tcBorders>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$21,934.81</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$123,426.70</w:t>
            </w:r>
          </w:p>
        </w:tc>
      </w:tr>
      <w:tr>
        <w:trPr>
          <w:trHeight w:val="52"/>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65"/>
        </w:trPr>
        <w:tc>
          <w:tcPr>
            <w:tcW w:w="23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10/1/28 – 9/30/29</w:t>
            </w:r>
          </w:p>
        </w:tc>
        <w:tc>
          <w:tcPr>
            <w:tcW w:w="20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9"/>
                <w:szCs w:val="19"/>
                <w:color w:val="auto"/>
              </w:rPr>
              <w:t>$104,006.23</w:t>
            </w:r>
          </w:p>
        </w:tc>
        <w:tc>
          <w:tcPr>
            <w:tcW w:w="2700" w:type="dxa"/>
            <w:vAlign w:val="bottom"/>
            <w:tcBorders>
              <w:right w:val="single" w:sz="8" w:color="auto"/>
            </w:tcBorders>
          </w:tcPr>
          <w:p>
            <w:pPr>
              <w:jc w:val="right"/>
              <w:ind w:right="106"/>
              <w:spacing w:after="0"/>
              <w:rPr>
                <w:sz w:val="20"/>
                <w:szCs w:val="20"/>
                <w:color w:val="auto"/>
              </w:rPr>
            </w:pPr>
            <w:r>
              <w:rPr>
                <w:rFonts w:ascii="Times New Roman" w:cs="Times New Roman" w:eastAsia="Times New Roman" w:hAnsi="Times New Roman"/>
                <w:sz w:val="19"/>
                <w:szCs w:val="19"/>
                <w:color w:val="auto"/>
              </w:rPr>
              <w:t>$22,483.18</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$126,489.40</w:t>
            </w:r>
          </w:p>
        </w:tc>
      </w:tr>
      <w:tr>
        <w:trPr>
          <w:trHeight w:val="52"/>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bl>
    <w:p>
      <w:pPr>
        <w:spacing w:after="0" w:line="217" w:lineRule="exact"/>
        <w:rPr>
          <w:sz w:val="20"/>
          <w:szCs w:val="20"/>
          <w:color w:val="auto"/>
        </w:rPr>
      </w:pPr>
    </w:p>
    <w:p>
      <w:pPr>
        <w:jc w:val="both"/>
        <w:ind w:left="2180" w:hanging="1"/>
        <w:spacing w:after="0" w:line="264" w:lineRule="auto"/>
        <w:tabs>
          <w:tab w:leader="none" w:pos="3017"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b w:val="1"/>
          <w:bCs w:val="1"/>
          <w:color w:val="auto"/>
        </w:rPr>
        <w:t xml:space="preserve">Additional Rent. </w:t>
      </w:r>
      <w:r>
        <w:rPr>
          <w:rFonts w:ascii="Times New Roman" w:cs="Times New Roman" w:eastAsia="Times New Roman" w:hAnsi="Times New Roman"/>
          <w:sz w:val="18"/>
          <w:szCs w:val="18"/>
          <w:color w:val="auto"/>
        </w:rPr>
        <w:t>Section 2.2 is revised to add the following sentence prior to the last sentence of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6"/>
          <w:szCs w:val="16"/>
          <w:i w:val="1"/>
          <w:iCs w:val="1"/>
          <w:color w:val="auto"/>
        </w:rPr>
        <w:t>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provisions of this Section 2.2 shall apply with equal force and effect to the Expansion Premises (“Expansion Additional Rent”).</w:t>
      </w:r>
    </w:p>
    <w:p>
      <w:pPr>
        <w:spacing w:after="0" w:line="195" w:lineRule="exact"/>
        <w:rPr>
          <w:rFonts w:ascii="Times New Roman" w:cs="Times New Roman" w:eastAsia="Times New Roman" w:hAnsi="Times New Roman"/>
          <w:sz w:val="19"/>
          <w:szCs w:val="19"/>
          <w:color w:val="auto"/>
        </w:rPr>
      </w:pPr>
    </w:p>
    <w:p>
      <w:pPr>
        <w:ind w:left="1480" w:right="20" w:hanging="373"/>
        <w:spacing w:after="0" w:line="280" w:lineRule="auto"/>
        <w:tabs>
          <w:tab w:leader="none" w:pos="148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b w:val="1"/>
          <w:bCs w:val="1"/>
          <w:color w:val="auto"/>
        </w:rPr>
        <w:t xml:space="preserve">RENT CONCESSION. </w:t>
      </w:r>
      <w:r>
        <w:rPr>
          <w:rFonts w:ascii="Times New Roman" w:cs="Times New Roman" w:eastAsia="Times New Roman" w:hAnsi="Times New Roman"/>
          <w:sz w:val="18"/>
          <w:szCs w:val="18"/>
          <w:color w:val="auto"/>
        </w:rPr>
        <w:t>Landlord shall provide nine (9) monthly rent concessions in the amount of $23,000 per month, beginning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Expansion Lease Commencement.</w:t>
      </w:r>
    </w:p>
    <w:p>
      <w:pPr>
        <w:spacing w:after="0" w:line="151" w:lineRule="exact"/>
        <w:rPr>
          <w:rFonts w:ascii="Times New Roman" w:cs="Times New Roman" w:eastAsia="Times New Roman" w:hAnsi="Times New Roman"/>
          <w:sz w:val="19"/>
          <w:szCs w:val="19"/>
          <w:color w:val="auto"/>
        </w:rPr>
      </w:pPr>
    </w:p>
    <w:p>
      <w:pPr>
        <w:ind w:left="1480" w:hanging="373"/>
        <w:spacing w:after="0"/>
        <w:tabs>
          <w:tab w:leader="none" w:pos="148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b w:val="1"/>
          <w:bCs w:val="1"/>
          <w:color w:val="auto"/>
        </w:rPr>
        <w:t xml:space="preserve">BUSINESS USE OF PREMISES. </w:t>
      </w:r>
      <w:r>
        <w:rPr>
          <w:rFonts w:ascii="Times New Roman" w:cs="Times New Roman" w:eastAsia="Times New Roman" w:hAnsi="Times New Roman"/>
          <w:sz w:val="18"/>
          <w:szCs w:val="18"/>
          <w:color w:val="auto"/>
        </w:rPr>
        <w:t>Section 4.1 of the Lease is amended as follows: the first sentence is deleted in its entirety and</w:t>
      </w:r>
    </w:p>
    <w:p>
      <w:pPr>
        <w:spacing w:after="0" w:line="17" w:lineRule="exact"/>
        <w:rPr>
          <w:rFonts w:ascii="Times New Roman" w:cs="Times New Roman" w:eastAsia="Times New Roman" w:hAnsi="Times New Roman"/>
          <w:sz w:val="19"/>
          <w:szCs w:val="19"/>
          <w:color w:val="auto"/>
        </w:rPr>
      </w:pPr>
    </w:p>
    <w:p>
      <w:pPr>
        <w:jc w:val="both"/>
        <w:ind w:left="14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replaced with the following: </w:t>
      </w:r>
      <w:r>
        <w:rPr>
          <w:rFonts w:ascii="Times New Roman" w:cs="Times New Roman" w:eastAsia="Times New Roman" w:hAnsi="Times New Roman"/>
          <w:sz w:val="17"/>
          <w:szCs w:val="17"/>
          <w:color w:val="auto"/>
        </w:rPr>
        <w:t>“It</w:t>
      </w:r>
      <w:r>
        <w:rPr>
          <w:rFonts w:ascii="Times New Roman" w:cs="Times New Roman" w:eastAsia="Times New Roman" w:hAnsi="Times New Roman"/>
          <w:sz w:val="19"/>
          <w:szCs w:val="19"/>
          <w:color w:val="auto"/>
        </w:rPr>
        <w:t xml:space="preserve"> is understood and agreed that the Leased Premises and Expansion Leased Premises shall be used and occupied by Tenant as a general office, laboratory, research and development, manufacturing, assembly, warehousing, shipping and receiving and any other use permitted under all applicable laws and zoning laws. Landlord represents and warrants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Second Amendment </w:t>
            </w:r>
            <w:r>
              <w:rPr>
                <w:rFonts w:ascii="Times New Roman" w:cs="Times New Roman" w:eastAsia="Times New Roman" w:hAnsi="Times New Roman"/>
                <w:sz w:val="11"/>
                <w:szCs w:val="11"/>
                <w:color w:val="auto"/>
              </w:rPr>
              <w:t>to Le</w:t>
            </w:r>
            <w:r>
              <w:rPr>
                <w:rFonts w:ascii="Times New Roman" w:cs="Times New Roman" w:eastAsia="Times New Roman" w:hAnsi="Times New Roman"/>
                <w:sz w:val="13"/>
                <w:szCs w:val="13"/>
                <w:color w:val="auto"/>
              </w:rPr>
              <w:t>ase_V5 _20181213</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1213181713</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69850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00"/>
          </w:cols>
          <w:pgMar w:left="260" w:top="268" w:right="339" w:bottom="1440" w:gutter="0" w:footer="0" w:header="0"/>
        </w:sectPr>
      </w:pPr>
    </w:p>
    <w:bookmarkStart w:id="103" w:name="page104"/>
    <w:bookmarkEnd w:id="103"/>
    <w:p>
      <w:pPr>
        <w:ind w:left="1540"/>
        <w:spacing w:after="0" w:line="282" w:lineRule="auto"/>
        <w:rPr>
          <w:sz w:val="20"/>
          <w:szCs w:val="20"/>
          <w:color w:val="auto"/>
        </w:rPr>
      </w:pPr>
      <w:r>
        <w:rPr>
          <w:rFonts w:ascii="Times New Roman" w:cs="Times New Roman" w:eastAsia="Times New Roman" w:hAnsi="Times New Roman"/>
          <w:sz w:val="18"/>
          <w:szCs w:val="18"/>
          <w:color w:val="auto"/>
        </w:rPr>
        <w:t>that the foregoing are all permitted uses under applicable zoning laws.” The remainder of Section 4.1 remains the same and in full force and effect.</w:t>
      </w:r>
    </w:p>
    <w:p>
      <w:pPr>
        <w:spacing w:after="0" w:line="150" w:lineRule="exact"/>
        <w:rPr>
          <w:sz w:val="20"/>
          <w:szCs w:val="20"/>
          <w:color w:val="auto"/>
        </w:rPr>
      </w:pPr>
    </w:p>
    <w:p>
      <w:pPr>
        <w:ind w:left="1480" w:hanging="373"/>
        <w:spacing w:after="0"/>
        <w:tabs>
          <w:tab w:leader="none" w:pos="1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 xml:space="preserve">BACK-UP GENERATOR. </w:t>
      </w:r>
      <w:r>
        <w:rPr>
          <w:rFonts w:ascii="Times New Roman" w:cs="Times New Roman" w:eastAsia="Times New Roman" w:hAnsi="Times New Roman"/>
          <w:sz w:val="17"/>
          <w:szCs w:val="17"/>
          <w:color w:val="auto"/>
        </w:rPr>
        <w:t>Section 10.20 of the Lease is amended by adding the following at the end of the section:</w:t>
      </w:r>
    </w:p>
    <w:p>
      <w:pPr>
        <w:spacing w:after="0" w:line="253" w:lineRule="exact"/>
        <w:rPr>
          <w:sz w:val="20"/>
          <w:szCs w:val="20"/>
          <w:color w:val="auto"/>
        </w:rPr>
      </w:pPr>
    </w:p>
    <w:p>
      <w:pPr>
        <w:jc w:val="both"/>
        <w:ind w:left="2180"/>
        <w:spacing w:after="0" w:line="261" w:lineRule="auto"/>
        <w:rPr>
          <w:sz w:val="20"/>
          <w:szCs w:val="20"/>
          <w:color w:val="auto"/>
        </w:rPr>
      </w:pPr>
      <w:r>
        <w:rPr>
          <w:rFonts w:ascii="Times New Roman" w:cs="Times New Roman" w:eastAsia="Times New Roman" w:hAnsi="Times New Roman"/>
          <w:sz w:val="18"/>
          <w:szCs w:val="18"/>
          <w:color w:val="auto"/>
        </w:rPr>
        <w:t>Upon Tenant's request, Landlord shall purchase a new generator to serve the property located at 504 Rosa Road and then dedicate the current generator exclusively to the Leased Premises and Expansion Premises for Tenant. Tenant shall pay to Landlord a fee equal to the purchase price for a new generator sized to serve the Expansion Leased Premises, up to a maximum of Two-Hundred Fifty Thousand Dollars ($250,000).</w:t>
      </w:r>
    </w:p>
    <w:p>
      <w:pPr>
        <w:spacing w:after="0" w:line="195" w:lineRule="exact"/>
        <w:rPr>
          <w:sz w:val="20"/>
          <w:szCs w:val="20"/>
          <w:color w:val="auto"/>
        </w:rPr>
      </w:pPr>
    </w:p>
    <w:p>
      <w:pPr>
        <w:ind w:left="1480" w:hanging="373"/>
        <w:spacing w:after="0"/>
        <w:tabs>
          <w:tab w:leader="none" w:pos="1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 xml:space="preserve">MISCELLANEOUS. </w:t>
      </w:r>
      <w:r>
        <w:rPr>
          <w:rFonts w:ascii="Times New Roman" w:cs="Times New Roman" w:eastAsia="Times New Roman" w:hAnsi="Times New Roman"/>
          <w:sz w:val="17"/>
          <w:szCs w:val="17"/>
          <w:color w:val="auto"/>
        </w:rPr>
        <w:t>Article 10 of the Lease is amended to add the following provisions:</w:t>
      </w:r>
    </w:p>
    <w:p>
      <w:pPr>
        <w:spacing w:after="0" w:line="241" w:lineRule="exact"/>
        <w:rPr>
          <w:sz w:val="20"/>
          <w:szCs w:val="20"/>
          <w:color w:val="auto"/>
        </w:rPr>
      </w:pPr>
    </w:p>
    <w:p>
      <w:pPr>
        <w:jc w:val="both"/>
        <w:ind w:left="2180"/>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10.21. Fire Panel. </w:t>
      </w:r>
      <w:r>
        <w:rPr>
          <w:rFonts w:ascii="Times New Roman" w:cs="Times New Roman" w:eastAsia="Times New Roman" w:hAnsi="Times New Roman"/>
          <w:sz w:val="17"/>
          <w:szCs w:val="17"/>
          <w:color w:val="auto"/>
        </w:rPr>
        <w:t>Landlord and Vacating Tenant, at their own expense and by separate agreement, are updating fire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7"/>
          <w:szCs w:val="17"/>
          <w:color w:val="auto"/>
        </w:rPr>
        <w:t>panels in the premises located at 500 and 504 Rosa Road to match Tenant's existing fire panel. Conditional on approval from the City of Madison, the fire panel for the Expansion Leased Premises shall be tied to the fire panel for the original Leased Premises at 502 Rosa Road. Landlord shall ensure that sprinkler flow switches will communicate and coordinate among and between the premises located at 500, 502 and 504 Rosa Road. Tenant and Landlord shall cooperate on coordinating issues to ensure seamless fire protection among the premises located at 500, 502, and 504 Rosa Road.</w:t>
      </w:r>
    </w:p>
    <w:p>
      <w:pPr>
        <w:spacing w:after="0" w:line="162" w:lineRule="exact"/>
        <w:rPr>
          <w:sz w:val="20"/>
          <w:szCs w:val="20"/>
          <w:color w:val="auto"/>
        </w:rPr>
      </w:pPr>
    </w:p>
    <w:p>
      <w:pPr>
        <w:jc w:val="both"/>
        <w:ind w:left="2180"/>
        <w:spacing w:after="0" w:line="279" w:lineRule="auto"/>
        <w:rPr>
          <w:sz w:val="20"/>
          <w:szCs w:val="20"/>
          <w:color w:val="auto"/>
        </w:rPr>
      </w:pPr>
      <w:r>
        <w:rPr>
          <w:rFonts w:ascii="Times New Roman" w:cs="Times New Roman" w:eastAsia="Times New Roman" w:hAnsi="Times New Roman"/>
          <w:sz w:val="19"/>
          <w:szCs w:val="19"/>
          <w:b w:val="1"/>
          <w:bCs w:val="1"/>
          <w:color w:val="auto"/>
        </w:rPr>
        <w:t xml:space="preserve">10.22 HVAC. </w:t>
      </w:r>
      <w:r>
        <w:rPr>
          <w:rFonts w:ascii="Times New Roman" w:cs="Times New Roman" w:eastAsia="Times New Roman" w:hAnsi="Times New Roman"/>
          <w:sz w:val="17"/>
          <w:szCs w:val="17"/>
          <w:color w:val="auto"/>
        </w:rPr>
        <w:t>Extraordinary HVAC requirements must be handled by multiple units that include the option for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7"/>
          <w:szCs w:val="17"/>
          <w:color w:val="auto"/>
        </w:rPr>
        <w:t>return air component. Tenant is obligated to minimize re-entrainment. Tenant is solely responsible to other of Landlord's tenants if its failure to minimize re-entrainment adversely affects other of Landlord's tenants.</w:t>
      </w:r>
    </w:p>
    <w:p>
      <w:pPr>
        <w:spacing w:after="0" w:line="183" w:lineRule="exact"/>
        <w:rPr>
          <w:sz w:val="20"/>
          <w:szCs w:val="20"/>
          <w:color w:val="auto"/>
        </w:rPr>
      </w:pPr>
    </w:p>
    <w:p>
      <w:pPr>
        <w:jc w:val="both"/>
        <w:ind w:left="2180"/>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10.23. Control Zones. </w:t>
      </w:r>
      <w:r>
        <w:rPr>
          <w:rFonts w:ascii="Times New Roman" w:cs="Times New Roman" w:eastAsia="Times New Roman" w:hAnsi="Times New Roman"/>
          <w:sz w:val="17"/>
          <w:szCs w:val="17"/>
          <w:color w:val="auto"/>
        </w:rPr>
        <w:t>Landlord acknowledges that Tenant wishes to increase the number of fire code control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7"/>
          <w:szCs w:val="17"/>
          <w:color w:val="auto"/>
        </w:rPr>
        <w:t>zones. Such work shall be the responsibility of Tenant within Tenant Improvements, to be reviewed by an architect and/or engineer, and subject to Landlord's approval. Increasing the number of control zones shall be at Tenant's sole expense, subject to Section 1.6 of the Lease as amended by Section l.f. of this Amendment.</w:t>
      </w:r>
    </w:p>
    <w:p>
      <w:pPr>
        <w:spacing w:after="0" w:line="158" w:lineRule="exact"/>
        <w:rPr>
          <w:sz w:val="20"/>
          <w:szCs w:val="20"/>
          <w:color w:val="auto"/>
        </w:rPr>
      </w:pPr>
    </w:p>
    <w:p>
      <w:pPr>
        <w:jc w:val="both"/>
        <w:ind w:left="218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10.24. Exterior Chemical Storage. </w:t>
      </w:r>
      <w:r>
        <w:rPr>
          <w:rFonts w:ascii="Times New Roman" w:cs="Times New Roman" w:eastAsia="Times New Roman" w:hAnsi="Times New Roman"/>
          <w:sz w:val="17"/>
          <w:szCs w:val="17"/>
          <w:color w:val="auto"/>
        </w:rPr>
        <w:t>Landlord acknowledges Tenant's desire to increase exterior chemical storage.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7"/>
          <w:szCs w:val="17"/>
          <w:color w:val="auto"/>
        </w:rPr>
        <w:t>Landlord prefers to maximize use of existing chemical storage. To the extent Tenant requires additional chemical storage, such storage shall by sited and designed in a manner that is architecturally integrated with the buildings in which the Leased Premises and Expansion Premises are located, and with approval from Landlord, the Design Review Board, and any required regulatory bodies (such as the City of Madison). Landlord shall not charge any rent for exterior chemical storage constructed as part of Tenant Improvements outside of the building envelope. Upon vacation of the Leased Premises and Expansion Premises, Tenant shall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Second Amendment </w:t>
            </w:r>
            <w:r>
              <w:rPr>
                <w:rFonts w:ascii="Times New Roman" w:cs="Times New Roman" w:eastAsia="Times New Roman" w:hAnsi="Times New Roman"/>
                <w:sz w:val="11"/>
                <w:szCs w:val="11"/>
                <w:color w:val="auto"/>
              </w:rPr>
              <w:t>to Le</w:t>
            </w:r>
            <w:r>
              <w:rPr>
                <w:rFonts w:ascii="Times New Roman" w:cs="Times New Roman" w:eastAsia="Times New Roman" w:hAnsi="Times New Roman"/>
                <w:sz w:val="13"/>
                <w:szCs w:val="13"/>
                <w:color w:val="auto"/>
              </w:rPr>
              <w:t>ase_V5 _20181213</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1213181713</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00"/>
          </w:cols>
          <w:pgMar w:left="260" w:top="135" w:right="339" w:bottom="1440" w:gutter="0" w:footer="0" w:header="0"/>
        </w:sectPr>
      </w:pPr>
    </w:p>
    <w:bookmarkStart w:id="104" w:name="page105"/>
    <w:bookmarkEnd w:id="104"/>
    <w:p>
      <w:pPr>
        <w:jc w:val="both"/>
        <w:ind w:left="2180"/>
        <w:spacing w:after="0" w:line="266" w:lineRule="auto"/>
        <w:rPr>
          <w:sz w:val="20"/>
          <w:szCs w:val="20"/>
          <w:color w:val="auto"/>
        </w:rPr>
      </w:pPr>
      <w:r>
        <w:rPr>
          <w:rFonts w:ascii="Times New Roman" w:cs="Times New Roman" w:eastAsia="Times New Roman" w:hAnsi="Times New Roman"/>
          <w:sz w:val="18"/>
          <w:szCs w:val="18"/>
          <w:color w:val="auto"/>
        </w:rPr>
        <w:t>restore and remove exterior chemical storage at Tenant's expense upon request by Landlord. Throughout the Term of the Lease, Tenant shall provide Landlord all reports showing compliance with City of Madison ordinances and any other applicable regulatory body immediately upon receipt.</w:t>
      </w:r>
    </w:p>
    <w:p>
      <w:pPr>
        <w:spacing w:after="0" w:line="172" w:lineRule="exact"/>
        <w:rPr>
          <w:sz w:val="20"/>
          <w:szCs w:val="20"/>
          <w:color w:val="auto"/>
        </w:rPr>
      </w:pPr>
    </w:p>
    <w:p>
      <w:pPr>
        <w:ind w:left="1480" w:hanging="373"/>
        <w:spacing w:after="0" w:line="286" w:lineRule="auto"/>
        <w:tabs>
          <w:tab w:leader="none" w:pos="1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REFERENCES TO “PREMISES.” </w:t>
      </w:r>
      <w:r>
        <w:rPr>
          <w:rFonts w:ascii="Times New Roman" w:cs="Times New Roman" w:eastAsia="Times New Roman" w:hAnsi="Times New Roman"/>
          <w:sz w:val="18"/>
          <w:szCs w:val="18"/>
          <w:color w:val="auto"/>
        </w:rPr>
        <w:t>Beginning on the Expansion Lease Commencement, references in the Lease Agreement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shall incorporate, include, and be deemed to include both the original Leased Premises and the Expansion Leased Premises.</w:t>
      </w:r>
    </w:p>
    <w:p>
      <w:pPr>
        <w:spacing w:after="0" w:line="154" w:lineRule="exact"/>
        <w:rPr>
          <w:rFonts w:ascii="Times New Roman" w:cs="Times New Roman" w:eastAsia="Times New Roman" w:hAnsi="Times New Roman"/>
          <w:sz w:val="18"/>
          <w:szCs w:val="18"/>
          <w:color w:val="auto"/>
        </w:rPr>
      </w:pPr>
    </w:p>
    <w:p>
      <w:pPr>
        <w:jc w:val="both"/>
        <w:ind w:left="1480" w:hanging="373"/>
        <w:spacing w:after="0" w:line="256" w:lineRule="auto"/>
        <w:tabs>
          <w:tab w:leader="none" w:pos="1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BROKERAGE COMMISSION. </w:t>
      </w:r>
      <w:r>
        <w:rPr>
          <w:rFonts w:ascii="Times New Roman" w:cs="Times New Roman" w:eastAsia="Times New Roman" w:hAnsi="Times New Roman"/>
          <w:sz w:val="18"/>
          <w:szCs w:val="18"/>
          <w:color w:val="auto"/>
        </w:rPr>
        <w:t>The Parties agree and acknowledge that the real estate broker, Cresa Global, Inc., shall receive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of four percent (4%) of the Expansion Premises Base Rent amount for the initial Term of the Lease for the Expansion Lease Premises only, less rent concessions. Additionally, Cresa Global, Inc. shall receive a commission of 2% of additional future net rent to be paid on Leased Premises due to this extension. The total commission will be reduced by Eighteen Thousand, Five Hundred Ninety-Seven and 00/100 Dollars ($18,597) in recognition of overpaid commission on the original Lease. The commission shall be paid by Landlord to Cresa Global, Inc. as follows: Fifty percent (50%) to be paid not later than thirty (30) days following full execution of this Second Amendment; fifty percent (50%) to be paid not later than ten (10) months following the Expansion Lease Commencement.</w:t>
      </w:r>
    </w:p>
    <w:p>
      <w:pPr>
        <w:spacing w:after="0" w:line="209" w:lineRule="exact"/>
        <w:rPr>
          <w:rFonts w:ascii="Times New Roman" w:cs="Times New Roman" w:eastAsia="Times New Roman" w:hAnsi="Times New Roman"/>
          <w:sz w:val="18"/>
          <w:szCs w:val="18"/>
          <w:color w:val="auto"/>
        </w:rPr>
      </w:pPr>
    </w:p>
    <w:p>
      <w:pPr>
        <w:jc w:val="both"/>
        <w:ind w:left="1480" w:hanging="373"/>
        <w:spacing w:after="0" w:line="262" w:lineRule="auto"/>
        <w:tabs>
          <w:tab w:leader="none" w:pos="1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RATIFICATION; COUNTERPARTS. </w:t>
      </w:r>
      <w:r>
        <w:rPr>
          <w:rFonts w:ascii="Times New Roman" w:cs="Times New Roman" w:eastAsia="Times New Roman" w:hAnsi="Times New Roman"/>
          <w:sz w:val="18"/>
          <w:szCs w:val="18"/>
          <w:color w:val="auto"/>
        </w:rPr>
        <w:t>All other terms and conditions of the Lease, as amended by the First Amendment, shall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unchanged, and are hereby ratified and confirmed. This Second Amendment may be executed in any number of counterparts, each of which shall be deemed an original, but all of which together shall constih1te one and the same instrument. Except as otherwise defined herein, capitalized terms shall have the meanings set forth in the Lease.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Second Amendment </w:t>
            </w:r>
            <w:r>
              <w:rPr>
                <w:rFonts w:ascii="Times New Roman" w:cs="Times New Roman" w:eastAsia="Times New Roman" w:hAnsi="Times New Roman"/>
                <w:sz w:val="11"/>
                <w:szCs w:val="11"/>
                <w:color w:val="auto"/>
              </w:rPr>
              <w:t>to Le</w:t>
            </w:r>
            <w:r>
              <w:rPr>
                <w:rFonts w:ascii="Times New Roman" w:cs="Times New Roman" w:eastAsia="Times New Roman" w:hAnsi="Times New Roman"/>
                <w:sz w:val="13"/>
                <w:szCs w:val="13"/>
                <w:color w:val="auto"/>
              </w:rPr>
              <w:t>ase_V5 _20181213</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1213181713</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69850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7"/>
          <w:szCs w:val="17"/>
          <w:color w:val="auto"/>
        </w:rPr>
        <w:t>The parties hereby cause this Second Amendment to be effective as of the Effective Date.</w:t>
      </w:r>
    </w:p>
    <w:p>
      <w:pPr>
        <w:spacing w:after="0" w:line="260" w:lineRule="exact"/>
        <w:rPr>
          <w:sz w:val="20"/>
          <w:szCs w:val="20"/>
          <w:color w:val="auto"/>
        </w:rPr>
      </w:pPr>
    </w:p>
    <w:p>
      <w:pPr>
        <w:ind w:left="60"/>
        <w:spacing w:after="0"/>
        <w:tabs>
          <w:tab w:leader="none" w:pos="5640" w:val="left"/>
        </w:tabs>
        <w:rPr>
          <w:sz w:val="20"/>
          <w:szCs w:val="20"/>
          <w:color w:val="auto"/>
        </w:rPr>
      </w:pPr>
      <w:r>
        <w:rPr>
          <w:rFonts w:ascii="Times New Roman" w:cs="Times New Roman" w:eastAsia="Times New Roman" w:hAnsi="Times New Roman"/>
          <w:sz w:val="18"/>
          <w:szCs w:val="18"/>
          <w:b w:val="1"/>
          <w:bCs w:val="1"/>
          <w:color w:val="auto"/>
        </w:rPr>
        <w:t>LANDLORD:</w:t>
      </w:r>
      <w:r>
        <w:rPr>
          <w:sz w:val="20"/>
          <w:szCs w:val="20"/>
          <w:color w:val="auto"/>
        </w:rPr>
        <w:tab/>
      </w:r>
      <w:r>
        <w:rPr>
          <w:rFonts w:ascii="Times New Roman" w:cs="Times New Roman" w:eastAsia="Times New Roman" w:hAnsi="Times New Roman"/>
          <w:sz w:val="18"/>
          <w:szCs w:val="18"/>
          <w:b w:val="1"/>
          <w:bCs w:val="1"/>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45720</wp:posOffset>
            </wp:positionV>
            <wp:extent cx="5863590" cy="8915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586359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p>
      <w:pPr>
        <w:ind w:left="60"/>
        <w:spacing w:after="0"/>
        <w:tabs>
          <w:tab w:leader="none" w:pos="1380" w:val="left"/>
        </w:tabs>
        <w:rPr>
          <w:sz w:val="20"/>
          <w:szCs w:val="20"/>
          <w:color w:val="auto"/>
        </w:rPr>
      </w:pPr>
      <w:r>
        <w:rPr>
          <w:rFonts w:ascii="Times New Roman" w:cs="Times New Roman" w:eastAsia="Times New Roman" w:hAnsi="Times New Roman"/>
          <w:sz w:val="18"/>
          <w:szCs w:val="18"/>
          <w:color w:val="auto"/>
        </w:rPr>
        <w:t>Exhibit 2A-A:</w:t>
      </w:r>
      <w:r>
        <w:rPr>
          <w:sz w:val="20"/>
          <w:szCs w:val="20"/>
          <w:color w:val="auto"/>
        </w:rPr>
        <w:tab/>
      </w:r>
      <w:r>
        <w:rPr>
          <w:rFonts w:ascii="Times New Roman" w:cs="Times New Roman" w:eastAsia="Times New Roman" w:hAnsi="Times New Roman"/>
          <w:sz w:val="18"/>
          <w:szCs w:val="18"/>
          <w:color w:val="auto"/>
        </w:rPr>
        <w:t>Specific Description of Expansion Premises</w:t>
      </w:r>
    </w:p>
    <w:p>
      <w:pPr>
        <w:spacing w:after="0" w:line="27" w:lineRule="exact"/>
        <w:rPr>
          <w:sz w:val="20"/>
          <w:szCs w:val="20"/>
          <w:color w:val="auto"/>
        </w:rPr>
      </w:pPr>
    </w:p>
    <w:p>
      <w:pPr>
        <w:ind w:left="60"/>
        <w:spacing w:after="0"/>
        <w:tabs>
          <w:tab w:leader="none" w:pos="1380" w:val="left"/>
        </w:tabs>
        <w:rPr>
          <w:sz w:val="20"/>
          <w:szCs w:val="20"/>
          <w:color w:val="auto"/>
        </w:rPr>
      </w:pPr>
      <w:r>
        <w:rPr>
          <w:rFonts w:ascii="Times New Roman" w:cs="Times New Roman" w:eastAsia="Times New Roman" w:hAnsi="Times New Roman"/>
          <w:sz w:val="18"/>
          <w:szCs w:val="18"/>
          <w:color w:val="auto"/>
        </w:rPr>
        <w:t>Exhibit 2A-B:</w:t>
      </w:r>
      <w:r>
        <w:rPr>
          <w:sz w:val="20"/>
          <w:szCs w:val="20"/>
          <w:color w:val="auto"/>
        </w:rPr>
        <w:tab/>
      </w:r>
      <w:r>
        <w:rPr>
          <w:rFonts w:ascii="Times New Roman" w:cs="Times New Roman" w:eastAsia="Times New Roman" w:hAnsi="Times New Roman"/>
          <w:sz w:val="18"/>
          <w:szCs w:val="18"/>
          <w:color w:val="auto"/>
        </w:rPr>
        <w:t>Revised BOMA Rentable Area Measurement Summary</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Second Amendment </w:t>
            </w:r>
            <w:r>
              <w:rPr>
                <w:rFonts w:ascii="Times New Roman" w:cs="Times New Roman" w:eastAsia="Times New Roman" w:hAnsi="Times New Roman"/>
                <w:sz w:val="11"/>
                <w:szCs w:val="11"/>
                <w:color w:val="auto"/>
              </w:rPr>
              <w:t>to Le</w:t>
            </w:r>
            <w:r>
              <w:rPr>
                <w:rFonts w:ascii="Times New Roman" w:cs="Times New Roman" w:eastAsia="Times New Roman" w:hAnsi="Times New Roman"/>
                <w:sz w:val="13"/>
                <w:szCs w:val="13"/>
                <w:color w:val="auto"/>
              </w:rPr>
              <w:t>ase_V5 _20181213</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1213181713</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199"/>
          </w:cols>
          <w:pgMar w:left="260" w:top="121"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10.25</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LEASE AGREEMENT</w:t>
      </w:r>
    </w:p>
    <w:p>
      <w:pPr>
        <w:spacing w:after="0" w:line="171"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THIRD AMENDMENT TO LEASE AGREEMENT </w:t>
      </w:r>
      <w:r>
        <w:rPr>
          <w:rFonts w:ascii="Times New Roman" w:cs="Times New Roman" w:eastAsia="Times New Roman" w:hAnsi="Times New Roman"/>
          <w:sz w:val="18"/>
          <w:szCs w:val="18"/>
          <w:color w:val="auto"/>
        </w:rPr>
        <w:t>(the “Third Amendment”) is made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January 11</w:t>
      </w:r>
      <w:r>
        <w:rPr>
          <w:rFonts w:ascii="Times New Roman" w:cs="Times New Roman" w:eastAsia="Times New Roman" w:hAnsi="Times New Roman"/>
          <w:sz w:val="18"/>
          <w:szCs w:val="18"/>
          <w:color w:val="auto"/>
        </w:rPr>
        <w:t>, 2019 (the “Effective Date”),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between </w:t>
      </w:r>
      <w:r>
        <w:rPr>
          <w:rFonts w:ascii="Times New Roman" w:cs="Times New Roman" w:eastAsia="Times New Roman" w:hAnsi="Times New Roman"/>
          <w:sz w:val="18"/>
          <w:szCs w:val="18"/>
          <w:b w:val="1"/>
          <w:bCs w:val="1"/>
          <w:color w:val="auto"/>
        </w:rPr>
        <w:t>UNIVERSITY RESEARCH PARK, INCORPORATED,</w:t>
      </w:r>
      <w:r>
        <w:rPr>
          <w:rFonts w:ascii="Times New Roman" w:cs="Times New Roman" w:eastAsia="Times New Roman" w:hAnsi="Times New Roman"/>
          <w:sz w:val="18"/>
          <w:szCs w:val="18"/>
          <w:color w:val="auto"/>
        </w:rPr>
        <w:t xml:space="preserve"> a Wisconsin non-stock corporation (hereinafter referred to as “Landlord”) and </w:t>
      </w:r>
      <w:r>
        <w:rPr>
          <w:rFonts w:ascii="Times New Roman" w:cs="Times New Roman" w:eastAsia="Times New Roman" w:hAnsi="Times New Roman"/>
          <w:sz w:val="18"/>
          <w:szCs w:val="18"/>
          <w:b w:val="1"/>
          <w:bCs w:val="1"/>
          <w:color w:val="auto"/>
        </w:rPr>
        <w:t xml:space="preserve">ARROWHEAD MADISON INC., </w:t>
      </w:r>
      <w:r>
        <w:rPr>
          <w:rFonts w:ascii="Times New Roman" w:cs="Times New Roman" w:eastAsia="Times New Roman" w:hAnsi="Times New Roman"/>
          <w:sz w:val="18"/>
          <w:szCs w:val="18"/>
          <w:color w:val="auto"/>
        </w:rPr>
        <w:t>a Delaware corporation (hereinafter referred to as “Tenant”).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75" w:lineRule="exact"/>
        <w:rPr>
          <w:sz w:val="20"/>
          <w:szCs w:val="20"/>
          <w:color w:val="auto"/>
        </w:rPr>
      </w:pPr>
    </w:p>
    <w:p>
      <w:pPr>
        <w:jc w:val="both"/>
        <w:ind w:left="640" w:hanging="335"/>
        <w:spacing w:after="0" w:line="258"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8, 2016, Landlord and Tenant entered into that certain Lease Agreement (the “original lease”) for certain space located in 502 and 504 South Rosa Road, Madison, Wisconsin, as amended by that certain Second Amendment to Lease Agreement dated January 10, 2019, which expanded Tenant's leasehold interest to include an additional 13,197 rentable square feet (the “Expansion Leased Premises”) located in 502 South Rosa Road, Madison, Wisconsin (the “Second Amendment”; collectively, the original lease and Second Amendment shall be referred to herein as the “Lease”).</w:t>
      </w:r>
    </w:p>
    <w:p>
      <w:pPr>
        <w:spacing w:after="0" w:line="129" w:lineRule="exact"/>
        <w:rPr>
          <w:rFonts w:ascii="Times New Roman" w:cs="Times New Roman" w:eastAsia="Times New Roman" w:hAnsi="Times New Roman"/>
          <w:sz w:val="18"/>
          <w:szCs w:val="18"/>
          <w:color w:val="auto"/>
        </w:rPr>
      </w:pPr>
    </w:p>
    <w:p>
      <w:pPr>
        <w:jc w:val="both"/>
        <w:ind w:left="640" w:hanging="335"/>
        <w:spacing w:after="0" w:line="266"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Amendment contains a provision in second paragraph of the preamble conditioning the effectiveness of that amendment on the effective termination of the lease agreement between Landlord and the Vacating Tenant (as defined in the Second Amendment) and the effective surrender of the Expansion Leased Premises by the Vacating Tenant prior to December 31, 2018.</w:t>
      </w:r>
    </w:p>
    <w:p>
      <w:pPr>
        <w:spacing w:after="0" w:line="113" w:lineRule="exact"/>
        <w:rPr>
          <w:rFonts w:ascii="Times New Roman" w:cs="Times New Roman" w:eastAsia="Times New Roman" w:hAnsi="Times New Roman"/>
          <w:sz w:val="18"/>
          <w:szCs w:val="18"/>
          <w:color w:val="auto"/>
        </w:rPr>
      </w:pPr>
    </w:p>
    <w:p>
      <w:pPr>
        <w:ind w:left="640" w:hanging="335"/>
        <w:spacing w:after="0" w:line="291"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desire and agree to amend the Lease to delete the second paragraph of the Second Amendment's preamble and to cause that amendment to be considered in full force and effect.</w:t>
      </w:r>
    </w:p>
    <w:p>
      <w:pPr>
        <w:spacing w:after="0" w:line="96" w:lineRule="exact"/>
        <w:rPr>
          <w:sz w:val="20"/>
          <w:szCs w:val="20"/>
          <w:color w:val="auto"/>
        </w:rPr>
      </w:pPr>
    </w:p>
    <w:p>
      <w:pPr>
        <w:ind w:firstLine="62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by each party, the following amendments to the Lease are hereby agreed to, effective as of the Effective Date.</w:t>
      </w:r>
    </w:p>
    <w:p>
      <w:pPr>
        <w:spacing w:after="0" w:line="105" w:lineRule="exact"/>
        <w:rPr>
          <w:sz w:val="20"/>
          <w:szCs w:val="20"/>
          <w:color w:val="auto"/>
        </w:rPr>
      </w:pPr>
    </w:p>
    <w:p>
      <w:pPr>
        <w:ind w:left="640" w:hanging="335"/>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paragraph of the preamble to the Second Amendment is hereby deleted in its entirety and is of no further force or effect.</w:t>
      </w:r>
    </w:p>
    <w:p>
      <w:pPr>
        <w:spacing w:after="0" w:line="171" w:lineRule="exact"/>
        <w:rPr>
          <w:rFonts w:ascii="Times New Roman" w:cs="Times New Roman" w:eastAsia="Times New Roman" w:hAnsi="Times New Roman"/>
          <w:sz w:val="18"/>
          <w:szCs w:val="18"/>
          <w:color w:val="auto"/>
        </w:rPr>
      </w:pPr>
    </w:p>
    <w:p>
      <w:pPr>
        <w:jc w:val="both"/>
        <w:ind w:left="640" w:hanging="335"/>
        <w:spacing w:after="0" w:line="261"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hereby agree that the Expansion Lease Commencement Date (as defined in the Second Amendment) is February 1, 2019. Prior to the Expansion Lease Commencement Date, but after the Vacating Tenant duly surrenders the Expansion Leased Premises, Tenant shall be permitted to access and occupy the Expansion Leased Premises for the purposes of commencing the Tenant Improvements (as defined in the Second Amendment), subject to all terms and conditions of the Lease as amended.</w:t>
      </w:r>
    </w:p>
    <w:p>
      <w:pPr>
        <w:spacing w:after="0" w:line="125" w:lineRule="exact"/>
        <w:rPr>
          <w:rFonts w:ascii="Times New Roman" w:cs="Times New Roman" w:eastAsia="Times New Roman" w:hAnsi="Times New Roman"/>
          <w:sz w:val="18"/>
          <w:szCs w:val="18"/>
          <w:color w:val="auto"/>
        </w:rPr>
      </w:pPr>
    </w:p>
    <w:p>
      <w:pPr>
        <w:jc w:val="both"/>
        <w:ind w:left="640" w:hanging="335"/>
        <w:spacing w:after="0" w:line="266"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the Lease shall remain unchanged, and are hereby ratified and confirmed. This Third Amendment may be executed in any number of counterparts, each of which shall be deemed an original, but all of which together shall constitute one and the same instrument. Except as otherwise defined herein, capitalized terms shall have the meaning set forth in the Lease.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The parties hereby cause this Third Amendment to be effective as of the Effective Date.</w:t>
      </w:r>
    </w:p>
    <w:p>
      <w:pPr>
        <w:spacing w:after="0" w:line="249"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b w:val="1"/>
          <w:bCs w:val="1"/>
          <w:color w:val="auto"/>
        </w:rPr>
        <w:t>LANDLORD:</w:t>
      </w:r>
      <w:r>
        <w:rPr>
          <w:sz w:val="20"/>
          <w:szCs w:val="20"/>
          <w:color w:val="auto"/>
        </w:rPr>
        <w:tab/>
      </w:r>
      <w:r>
        <w:rPr>
          <w:rFonts w:ascii="Times New Roman" w:cs="Times New Roman" w:eastAsia="Times New Roman" w:hAnsi="Times New Roman"/>
          <w:sz w:val="20"/>
          <w:szCs w:val="20"/>
          <w:b w:val="1"/>
          <w:bCs w:val="1"/>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757045" cy="7626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1757045" cy="762635"/>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ARROWHEAD MADISON INC.</w:t>
      </w:r>
    </w:p>
    <w:p>
      <w:pPr>
        <w:spacing w:after="0" w:line="2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-13970</wp:posOffset>
            </wp:positionV>
            <wp:extent cx="16116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-13970</wp:posOffset>
            </wp:positionV>
            <wp:extent cx="1474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-13970</wp:posOffset>
            </wp:positionV>
            <wp:extent cx="15773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10139"/>
          </w:cols>
          <w:pgMar w:left="320" w:top="120"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color w:val="auto"/>
        </w:rPr>
        <w:t>The parties hereby cause this Third Amendment to be effective as of the Effective Date.</w:t>
      </w:r>
    </w:p>
    <w:p>
      <w:pPr>
        <w:sectPr>
          <w:pgSz w:w="11900" w:h="16838" w:orient="portrait"/>
          <w:cols w:equalWidth="0" w:num="1">
            <w:col w:w="10139"/>
          </w:cols>
          <w:pgMar w:left="320" w:top="121" w:right="1440" w:bottom="1440" w:gutter="0" w:footer="0" w:header="0"/>
        </w:sect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TENANT:</w:t>
      </w:r>
    </w:p>
    <w:p>
      <w:pPr>
        <w:spacing w:after="0" w:line="43" w:lineRule="exact"/>
        <w:rPr>
          <w:sz w:val="20"/>
          <w:szCs w:val="20"/>
          <w:color w:val="auto"/>
        </w:rPr>
      </w:pPr>
    </w:p>
    <w:p>
      <w:pPr>
        <w:sectPr>
          <w:pgSz w:w="11900" w:h="16838" w:orient="portrait"/>
          <w:cols w:equalWidth="0" w:num="2">
            <w:col w:w="3440" w:space="720"/>
            <w:col w:w="5979"/>
          </w:cols>
          <w:pgMar w:left="320" w:top="121"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UNIVERSITY RESEARCH,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ARROWHEAD MADISON INC.</w:t>
      </w:r>
    </w:p>
    <w:p>
      <w:pPr>
        <w:spacing w:after="0" w:line="12" w:lineRule="exact"/>
        <w:rPr>
          <w:sz w:val="20"/>
          <w:szCs w:val="20"/>
          <w:color w:val="auto"/>
        </w:rPr>
      </w:pPr>
    </w:p>
    <w:p>
      <w:pPr>
        <w:sectPr>
          <w:pgSz w:w="11900" w:h="16838" w:orient="portrait"/>
          <w:cols w:equalWidth="0" w:num="2">
            <w:col w:w="3440" w:space="720"/>
            <w:col w:w="5979"/>
          </w:cols>
          <w:pgMar w:left="320" w:top="121"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33020</wp:posOffset>
            </wp:positionV>
            <wp:extent cx="1765935" cy="5746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1765935" cy="5746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474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8"/>
          <w:szCs w:val="18"/>
          <w:color w:val="auto"/>
        </w:rPr>
        <w:t>Aaron Olver</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Assistant Secretary/Treasurer</w:t>
      </w:r>
    </w:p>
    <w:p>
      <w:pPr>
        <w:sectPr>
          <w:pgSz w:w="11900" w:h="16838" w:orient="portrait"/>
          <w:cols w:equalWidth="0" w:num="1">
            <w:col w:w="10139"/>
          </w:cols>
          <w:pgMar w:left="320" w:top="121" w:right="1440"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FOURTH AMENDMENT TO LEASE AGREEMENT</w:t>
      </w:r>
    </w:p>
    <w:p>
      <w:pPr>
        <w:spacing w:after="0" w:line="212" w:lineRule="exact"/>
        <w:rPr>
          <w:sz w:val="20"/>
          <w:szCs w:val="20"/>
          <w:color w:val="auto"/>
        </w:rPr>
      </w:pPr>
    </w:p>
    <w:p>
      <w:pPr>
        <w:jc w:val="both"/>
        <w:ind w:right="820" w:firstLine="746"/>
        <w:spacing w:after="0" w:line="256" w:lineRule="auto"/>
        <w:rPr>
          <w:sz w:val="20"/>
          <w:szCs w:val="20"/>
          <w:color w:val="auto"/>
        </w:rPr>
      </w:pPr>
      <w:r>
        <w:rPr>
          <w:rFonts w:ascii="Times New Roman" w:cs="Times New Roman" w:eastAsia="Times New Roman" w:hAnsi="Times New Roman"/>
          <w:sz w:val="20"/>
          <w:szCs w:val="20"/>
          <w:color w:val="auto"/>
        </w:rPr>
        <w:t xml:space="preserve">This Fourth Amendment to Lease Agreement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xml:space="preserve"> is between University Research Park, Incorporated, a Wisconsin nonstock corporation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xml:space="preserve"> and Arrowhead Madison Inc., a Delaware corporation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 xml:space="preserve"> and is dated as of </w:t>
      </w:r>
      <w:r>
        <w:rPr>
          <w:rFonts w:ascii="Times New Roman" w:cs="Times New Roman" w:eastAsia="Times New Roman" w:hAnsi="Times New Roman"/>
          <w:sz w:val="20"/>
          <w:szCs w:val="20"/>
          <w:u w:val="single" w:color="auto"/>
          <w:color w:val="auto"/>
        </w:rPr>
        <w:t>September 19</w:t>
      </w:r>
      <w:r>
        <w:rPr>
          <w:rFonts w:ascii="Times New Roman" w:cs="Times New Roman" w:eastAsia="Times New Roman" w:hAnsi="Times New Roman"/>
          <w:sz w:val="20"/>
          <w:szCs w:val="20"/>
          <w:color w:val="auto"/>
        </w:rPr>
        <w:t>, 2019.</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16" w:lineRule="exact"/>
        <w:rPr>
          <w:sz w:val="20"/>
          <w:szCs w:val="20"/>
          <w:color w:val="auto"/>
        </w:rPr>
      </w:pPr>
    </w:p>
    <w:p>
      <w:pPr>
        <w:jc w:val="both"/>
        <w:ind w:right="20" w:firstLine="765"/>
        <w:spacing w:after="0" w:line="259" w:lineRule="auto"/>
        <w:tabs>
          <w:tab w:leader="none" w:pos="159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 and Tenant are parties to that certain Lease Agreement dated as of January 8, 2016, as amended by that certain First Amendment to Lease Agreement dated October 22,2018, that certain Second Amendment to Lease Agreement dated January 10, 2019, and that certain Third Amendment to Lease Agreement dated January 11, 2019 (collectively, the </w:t>
      </w:r>
      <w:r>
        <w:rPr>
          <w:rFonts w:ascii="Times New Roman" w:cs="Times New Roman" w:eastAsia="Times New Roman" w:hAnsi="Times New Roman"/>
          <w:sz w:val="20"/>
          <w:szCs w:val="20"/>
          <w:b w:val="1"/>
          <w:bCs w:val="1"/>
          <w:color w:val="auto"/>
        </w:rPr>
        <w:t>“Original Lease”).</w:t>
      </w:r>
      <w:r>
        <w:rPr>
          <w:rFonts w:ascii="Times New Roman" w:cs="Times New Roman" w:eastAsia="Times New Roman" w:hAnsi="Times New Roman"/>
          <w:sz w:val="20"/>
          <w:szCs w:val="20"/>
          <w:color w:val="auto"/>
        </w:rPr>
        <w:t xml:space="preserve"> The Original Lease and this Amendment are together referred to herein as the </w:t>
      </w:r>
      <w:r>
        <w:rPr>
          <w:rFonts w:ascii="Times New Roman" w:cs="Times New Roman" w:eastAsia="Times New Roman" w:hAnsi="Times New Roman"/>
          <w:sz w:val="20"/>
          <w:szCs w:val="20"/>
          <w:b w:val="1"/>
          <w:bCs w:val="1"/>
          <w:color w:val="auto"/>
        </w:rPr>
        <w:t>“Lease.”</w:t>
      </w:r>
    </w:p>
    <w:p>
      <w:pPr>
        <w:spacing w:after="0" w:line="168" w:lineRule="exact"/>
        <w:rPr>
          <w:rFonts w:ascii="Times New Roman" w:cs="Times New Roman" w:eastAsia="Times New Roman" w:hAnsi="Times New Roman"/>
          <w:sz w:val="20"/>
          <w:szCs w:val="20"/>
          <w:color w:val="auto"/>
        </w:rPr>
      </w:pPr>
    </w:p>
    <w:p>
      <w:pPr>
        <w:ind w:right="160" w:firstLine="752"/>
        <w:spacing w:after="0" w:line="262" w:lineRule="auto"/>
        <w:tabs>
          <w:tab w:leader="none" w:pos="157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the Original Lease, Tenant leases from Landlord approximately 63,662 rentable square feet located at 502 South Rosa Road, Madison, Wisconsin and approximately 7,558 rentable square feet located at 504 South Rosa Road, Madison, Wisconsin, each as more particularly defined in the Original Lease (the </w:t>
      </w:r>
      <w:r>
        <w:rPr>
          <w:rFonts w:ascii="Times New Roman" w:cs="Times New Roman" w:eastAsia="Times New Roman" w:hAnsi="Times New Roman"/>
          <w:sz w:val="20"/>
          <w:szCs w:val="20"/>
          <w:b w:val="1"/>
          <w:bCs w:val="1"/>
          <w:color w:val="auto"/>
        </w:rPr>
        <w:t>“Leased Premises”).</w:t>
      </w:r>
    </w:p>
    <w:p>
      <w:pPr>
        <w:spacing w:after="0" w:line="164" w:lineRule="exact"/>
        <w:rPr>
          <w:rFonts w:ascii="Times New Roman" w:cs="Times New Roman" w:eastAsia="Times New Roman" w:hAnsi="Times New Roman"/>
          <w:sz w:val="20"/>
          <w:szCs w:val="20"/>
          <w:color w:val="auto"/>
        </w:rPr>
      </w:pPr>
    </w:p>
    <w:p>
      <w:pPr>
        <w:ind w:right="320" w:firstLine="759"/>
        <w:spacing w:after="0" w:line="269" w:lineRule="auto"/>
        <w:tabs>
          <w:tab w:leader="none" w:pos="158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wish to amend the Lease to allow Tenant, at Tenant’s expense, to expand the Leased Premises as more particularly set forth in this Amendment.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AGREEMENTS</w:t>
      </w:r>
    </w:p>
    <w:p>
      <w:pPr>
        <w:spacing w:after="0" w:line="216" w:lineRule="exact"/>
        <w:rPr>
          <w:sz w:val="20"/>
          <w:szCs w:val="20"/>
          <w:color w:val="auto"/>
        </w:rPr>
      </w:pPr>
    </w:p>
    <w:p>
      <w:pPr>
        <w:ind w:right="160" w:firstLine="748"/>
        <w:spacing w:after="0" w:line="269"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is hereby acknowledged, Landlord and Tenant hereby agree as follows:</w:t>
      </w:r>
    </w:p>
    <w:p>
      <w:pPr>
        <w:spacing w:after="0" w:line="161" w:lineRule="exact"/>
        <w:rPr>
          <w:sz w:val="20"/>
          <w:szCs w:val="20"/>
          <w:color w:val="auto"/>
        </w:rPr>
      </w:pPr>
    </w:p>
    <w:p>
      <w:pPr>
        <w:ind w:right="160" w:firstLine="772"/>
        <w:spacing w:after="0" w:line="256" w:lineRule="auto"/>
        <w:tabs>
          <w:tab w:leader="none" w:pos="15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color w:val="auto"/>
        </w:rPr>
        <w:t xml:space="preserve">Defined Terms. </w:t>
      </w:r>
      <w:r>
        <w:rPr>
          <w:rFonts w:ascii="Times New Roman" w:cs="Times New Roman" w:eastAsia="Times New Roman" w:hAnsi="Times New Roman"/>
          <w:sz w:val="19"/>
          <w:szCs w:val="19"/>
          <w:color w:val="auto"/>
        </w:rPr>
        <w:t>Terms that are not defined in this Amendment but are defined in the Original Lease have the meanings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given in the Original Lease.</w:t>
      </w:r>
    </w:p>
    <w:p>
      <w:pPr>
        <w:spacing w:after="0" w:line="173" w:lineRule="exact"/>
        <w:rPr>
          <w:rFonts w:ascii="Times New Roman" w:cs="Times New Roman" w:eastAsia="Times New Roman" w:hAnsi="Times New Roman"/>
          <w:sz w:val="20"/>
          <w:szCs w:val="20"/>
          <w:color w:val="auto"/>
        </w:rPr>
      </w:pPr>
    </w:p>
    <w:p>
      <w:pPr>
        <w:ind w:left="1560" w:hanging="788"/>
        <w:spacing w:after="0"/>
        <w:tabs>
          <w:tab w:leader="none" w:pos="15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color w:val="auto"/>
        </w:rPr>
        <w:t xml:space="preserve">Amendment of Lease. </w:t>
      </w:r>
      <w:r>
        <w:rPr>
          <w:rFonts w:ascii="Times New Roman" w:cs="Times New Roman" w:eastAsia="Times New Roman" w:hAnsi="Times New Roman"/>
          <w:sz w:val="19"/>
          <w:szCs w:val="19"/>
          <w:color w:val="auto"/>
        </w:rPr>
        <w:t>The Lease is hereby amended as follows:</w:t>
      </w:r>
    </w:p>
    <w:p>
      <w:pPr>
        <w:spacing w:after="0" w:line="217" w:lineRule="exact"/>
        <w:rPr>
          <w:rFonts w:ascii="Times New Roman" w:cs="Times New Roman" w:eastAsia="Times New Roman" w:hAnsi="Times New Roman"/>
          <w:sz w:val="20"/>
          <w:szCs w:val="20"/>
          <w:color w:val="auto"/>
        </w:rPr>
      </w:pPr>
    </w:p>
    <w:p>
      <w:pPr>
        <w:jc w:val="both"/>
        <w:ind w:right="60" w:firstLine="1520"/>
        <w:spacing w:after="0" w:line="256" w:lineRule="auto"/>
        <w:tabs>
          <w:tab w:leader="none" w:pos="229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color w:val="auto"/>
        </w:rPr>
        <w:t xml:space="preserve">Second Expansion Premises. </w:t>
      </w:r>
      <w:r>
        <w:rPr>
          <w:rFonts w:ascii="Times New Roman" w:cs="Times New Roman" w:eastAsia="Times New Roman" w:hAnsi="Times New Roman"/>
          <w:sz w:val="19"/>
          <w:szCs w:val="19"/>
          <w:color w:val="auto"/>
        </w:rPr>
        <w:t>Subject to the provisions of this Amendment, effective as of the date hereof,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 xml:space="preserve">Leased Premises shall be expanded to include the approximately 2,971 rentable square feet of space (equal to 2,661 rsf for liquid storage and 310 rsf for vestibule enclosure) depicted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(the </w:t>
      </w:r>
      <w:r>
        <w:rPr>
          <w:rFonts w:ascii="Times New Roman" w:cs="Times New Roman" w:eastAsia="Times New Roman" w:hAnsi="Times New Roman"/>
          <w:sz w:val="20"/>
          <w:szCs w:val="20"/>
          <w:b w:val="1"/>
          <w:bCs w:val="1"/>
          <w:color w:val="auto"/>
        </w:rPr>
        <w:t>“Second Expansion Premises”).</w:t>
      </w:r>
    </w:p>
    <w:p>
      <w:pPr>
        <w:spacing w:after="0" w:line="171" w:lineRule="exact"/>
        <w:rPr>
          <w:rFonts w:ascii="Times New Roman" w:cs="Times New Roman" w:eastAsia="Times New Roman" w:hAnsi="Times New Roman"/>
          <w:sz w:val="20"/>
          <w:szCs w:val="20"/>
          <w:color w:val="auto"/>
        </w:rPr>
      </w:pPr>
    </w:p>
    <w:p>
      <w:pPr>
        <w:ind w:left="2320" w:hanging="800"/>
        <w:spacing w:after="0"/>
        <w:tabs>
          <w:tab w:leader="none" w:pos="23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color w:val="auto"/>
        </w:rPr>
        <w:t xml:space="preserve">Base Rent. </w:t>
      </w:r>
      <w:r>
        <w:rPr>
          <w:rFonts w:ascii="Times New Roman" w:cs="Times New Roman" w:eastAsia="Times New Roman" w:hAnsi="Times New Roman"/>
          <w:sz w:val="19"/>
          <w:szCs w:val="19"/>
          <w:color w:val="auto"/>
        </w:rPr>
        <w:t>No Base Rent shall be payable on the Second Expansion Premises for the entire Term and any</w:t>
      </w:r>
    </w:p>
    <w:p>
      <w:pPr>
        <w:spacing w:after="0" w:line="2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Extended Term.</w:t>
      </w:r>
    </w:p>
    <w:p>
      <w:pPr>
        <w:spacing w:after="0" w:line="194" w:lineRule="exact"/>
        <w:rPr>
          <w:rFonts w:ascii="Times New Roman" w:cs="Times New Roman" w:eastAsia="Times New Roman" w:hAnsi="Times New Roman"/>
          <w:sz w:val="20"/>
          <w:szCs w:val="20"/>
          <w:color w:val="auto"/>
        </w:rPr>
      </w:pPr>
    </w:p>
    <w:p>
      <w:pPr>
        <w:ind w:right="160" w:firstLine="1520"/>
        <w:spacing w:after="0" w:line="253" w:lineRule="auto"/>
        <w:tabs>
          <w:tab w:leader="none" w:pos="229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color w:val="auto"/>
        </w:rPr>
        <w:t xml:space="preserve">Tenant’s Proportionate Share. </w:t>
      </w:r>
      <w:r>
        <w:rPr>
          <w:rFonts w:ascii="Times New Roman" w:cs="Times New Roman" w:eastAsia="Times New Roman" w:hAnsi="Times New Roman"/>
          <w:sz w:val="19"/>
          <w:szCs w:val="19"/>
          <w:color w:val="auto"/>
        </w:rPr>
        <w:t>Effective January 1, 2020 (without regard to the status of completion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 xml:space="preserve">Tenant Second Expansion Improvements, as defined below), Tenant’s Proportionate Share shall be increased to approximately 50.8% (resulting from 74,191 rsf divided by 146,036 rsf) as a result of the inclusion of the Second Expansion Premises within the Leased Premises and Tenant shall thereafter in accordance with Section 2.2 of the Original Lease pay, as additional rent, Tenant’s Proportionate Share of all amounts set forth in </w:t>
      </w:r>
      <w:r>
        <w:rPr>
          <w:rFonts w:ascii="Times New Roman" w:cs="Times New Roman" w:eastAsia="Times New Roman" w:hAnsi="Times New Roman"/>
          <w:sz w:val="20"/>
          <w:szCs w:val="20"/>
          <w:color w:val="auto"/>
        </w:rPr>
        <w:t>the Original Lease, including, without limitation, Real Estate Taxes, Common Area/Operating Expenses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Landlord’s insurance and utilities based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42007883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0" w:name="page111"/>
    <w:bookmarkEnd w:id="110"/>
    <w:p>
      <w:pPr>
        <w:ind w:right="60" w:firstLine="1520"/>
        <w:spacing w:after="0" w:line="254" w:lineRule="auto"/>
        <w:tabs>
          <w:tab w:leader="none" w:pos="237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Second Expansion Premises Condition; Tenant Second Expansion Improvements. </w:t>
      </w:r>
      <w:r>
        <w:rPr>
          <w:rFonts w:ascii="Times New Roman" w:cs="Times New Roman" w:eastAsia="Times New Roman" w:hAnsi="Times New Roman"/>
          <w:sz w:val="20"/>
          <w:szCs w:val="20"/>
          <w:color w:val="auto"/>
        </w:rPr>
        <w:t>Tenant accepts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19"/>
          <w:szCs w:val="19"/>
          <w:color w:val="auto"/>
        </w:rPr>
        <w:t>Second Expansion Premises</w:t>
      </w:r>
      <w:r>
        <w:rPr>
          <w:rFonts w:ascii="Times New Roman" w:cs="Times New Roman" w:eastAsia="Times New Roman" w:hAnsi="Times New Roman"/>
          <w:sz w:val="20"/>
          <w:szCs w:val="20"/>
          <w:color w:val="auto"/>
        </w:rPr>
        <w:t xml:space="preserve"> in as-is, where-is condition and acknowledges that Landlord has not made any representation or warranty related thereto and Landlord shall not be required to construct, modify or otherwise improve the Second Expansion Premises in any manner. Promptly following the date hereof, Tenant shall in a diligent, good and workmanlike manner in accordance with plans to be approved by Landlord and in compliance with all applicable federal, state and local laws, rules, regulations and ordinances, improve the Second Expansion Premises pursuant to the process as described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at Tenant’s sole expense (collectively, “Tenant Second Expansion Improvements”). Section 1.6 in the Original Lease shall not apply to construction of the Tenant Second Expansion Improvements, which shall be governed solely by this Amendment.</w:t>
      </w:r>
    </w:p>
    <w:p>
      <w:pPr>
        <w:spacing w:after="0" w:line="164" w:lineRule="exact"/>
        <w:rPr>
          <w:rFonts w:ascii="Times New Roman" w:cs="Times New Roman" w:eastAsia="Times New Roman" w:hAnsi="Times New Roman"/>
          <w:sz w:val="22"/>
          <w:szCs w:val="22"/>
          <w:color w:val="auto"/>
        </w:rPr>
      </w:pPr>
    </w:p>
    <w:p>
      <w:pPr>
        <w:ind w:right="80" w:firstLine="1520"/>
        <w:spacing w:after="0" w:line="263" w:lineRule="auto"/>
        <w:tabs>
          <w:tab w:leader="none" w:pos="2303"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Review Fee. </w:t>
      </w:r>
      <w:r>
        <w:rPr>
          <w:rFonts w:ascii="Times New Roman" w:cs="Times New Roman" w:eastAsia="Times New Roman" w:hAnsi="Times New Roman"/>
          <w:sz w:val="20"/>
          <w:szCs w:val="20"/>
          <w:color w:val="auto"/>
        </w:rPr>
        <w:t>Tenant shall pay to Landlord within 30 days of the date hereof a review fee in an amount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to exceed $7,500 to compensate Landlord for its actual and verifiable costs incurred prior to the execution of this Amendment in connection with outside counsel legal fees for the drafting and legal review of this Amendment and the architectural review by Strang of the Tenant Second Expansion Improvements.</w:t>
      </w:r>
    </w:p>
    <w:p>
      <w:pPr>
        <w:spacing w:after="0" w:line="154" w:lineRule="exact"/>
        <w:rPr>
          <w:rFonts w:ascii="Times New Roman" w:cs="Times New Roman" w:eastAsia="Times New Roman" w:hAnsi="Times New Roman"/>
          <w:sz w:val="21"/>
          <w:szCs w:val="21"/>
          <w:color w:val="auto"/>
        </w:rPr>
      </w:pPr>
    </w:p>
    <w:p>
      <w:pPr>
        <w:ind w:right="60" w:firstLine="1520"/>
        <w:spacing w:after="0" w:line="253" w:lineRule="auto"/>
        <w:tabs>
          <w:tab w:leader="none" w:pos="228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Maintenance and Repair of Second Expansion Premises. </w:t>
      </w:r>
      <w:r>
        <w:rPr>
          <w:rFonts w:ascii="Times New Roman" w:cs="Times New Roman" w:eastAsia="Times New Roman" w:hAnsi="Times New Roman"/>
          <w:sz w:val="20"/>
          <w:szCs w:val="20"/>
          <w:color w:val="auto"/>
        </w:rPr>
        <w:t>Notwithstanding any provision in the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to the contrary (including the replacement reimbursement provisions set forth in Section 3.1 or with respect to Section 3.2), Landlord shall have no obligation to maintain, repair or replace the Second Expansion Premises or Tenant Second Expansion Improvements in any manner (including, without limitation, with respect to the foundations, exterior walls, roof or structural components thereof or to reimburse Tenant for any HVAC or elevator expenses related thereto). Tenant shall, in a good and workmanlike manner, at Tenant’s sole expense, keep the Second Expansion Premises and all components and systems thereof in good order, condition and repair, reasonable wear and tear and casualty excepted. To the extent that any warranties related to the Tenant Second Expansion Improvements remain in effect upon the expiration or earlier termination of this Lease, Tenant shall assign all such warranties to Landlord.</w:t>
      </w:r>
    </w:p>
    <w:p>
      <w:pPr>
        <w:spacing w:after="0" w:line="200" w:lineRule="exact"/>
        <w:rPr>
          <w:rFonts w:ascii="Times New Roman" w:cs="Times New Roman" w:eastAsia="Times New Roman" w:hAnsi="Times New Roman"/>
          <w:sz w:val="21"/>
          <w:szCs w:val="21"/>
          <w:color w:val="auto"/>
        </w:rPr>
      </w:pPr>
    </w:p>
    <w:p>
      <w:pPr>
        <w:spacing w:after="0" w:line="215" w:lineRule="exact"/>
        <w:rPr>
          <w:rFonts w:ascii="Times New Roman" w:cs="Times New Roman" w:eastAsia="Times New Roman" w:hAnsi="Times New Roman"/>
          <w:sz w:val="21"/>
          <w:szCs w:val="21"/>
          <w:color w:val="auto"/>
        </w:rPr>
      </w:pPr>
    </w:p>
    <w:p>
      <w:pPr>
        <w:ind w:firstLine="1520"/>
        <w:spacing w:after="0" w:line="254" w:lineRule="auto"/>
        <w:tabs>
          <w:tab w:leader="none" w:pos="231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Insurance of Second Expansion Premises. </w:t>
      </w:r>
      <w:r>
        <w:rPr>
          <w:rFonts w:ascii="Times New Roman" w:cs="Times New Roman" w:eastAsia="Times New Roman" w:hAnsi="Times New Roman"/>
          <w:sz w:val="20"/>
          <w:szCs w:val="20"/>
          <w:color w:val="auto"/>
        </w:rPr>
        <w:t>Tenant shall be responsible for obtaining Builder’s 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Insurance with industry standard coverage during construction of the Tenant Second Expansion Improvements with commercially reasonable limits. Following Substantial Completion (as defined in Exhibit B), Landlord shall thereafter add that portion of the Tenant Second Expansion Improvements including the building and building systems (excluding any Tenant trade fixtures, furniture and equipment) to the property insurance policy maintained by Landlord pursuant to Section 6.1 of the Original Lease. Tenant shall provide to Landlord with its cost of construction of the Tenant Second Expansion Improvements, including reasonable supporting information so that Landlord can adjust its insurance policy appropriately.</w:t>
      </w:r>
    </w:p>
    <w:p>
      <w:pPr>
        <w:spacing w:after="0" w:line="164" w:lineRule="exact"/>
        <w:rPr>
          <w:rFonts w:ascii="Times New Roman" w:cs="Times New Roman" w:eastAsia="Times New Roman" w:hAnsi="Times New Roman"/>
          <w:sz w:val="21"/>
          <w:szCs w:val="21"/>
          <w:color w:val="auto"/>
        </w:rPr>
      </w:pPr>
    </w:p>
    <w:p>
      <w:pPr>
        <w:ind w:right="80" w:firstLine="1520"/>
        <w:spacing w:after="0" w:line="254" w:lineRule="auto"/>
        <w:tabs>
          <w:tab w:leader="none" w:pos="231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Construction Liens. </w:t>
      </w:r>
      <w:r>
        <w:rPr>
          <w:rFonts w:ascii="Times New Roman" w:cs="Times New Roman" w:eastAsia="Times New Roman" w:hAnsi="Times New Roman"/>
          <w:sz w:val="20"/>
          <w:szCs w:val="20"/>
          <w:color w:val="auto"/>
        </w:rPr>
        <w:t>Nothing contained herein shall imply any consent or agreement on the part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Landlord or any ground or underlying lessors or mortgagees having an interest in the Property to subject their respective estates or interests to liability under any mechanic’s or other lien law and, to the extent a lien arises out of any work performed by or at the direction of Tenant, such lien shall be limited to Tenant’s interest in this Lease. Nothing in this Section 2.h. shall be interpreted to limit Tenant’s indemnity and other obligations set forth in Section 3.6 of the Original Lease. Tenant shall, at the same time that Tenant makes payment to its contractors, subcontractors and material suppliers in connection with the Tenant Second Expansion Improvements, provide Landlord with copies of the draw requests and supporting information together with valid construction lien waivers from all parties paid in connection with such draw requests (such lien waivers may be partial waivers during construction and during construction, subcontractors and material suppliers may supply such lien waivers on a “draw delay” basis). Upon Substantial Completion, Tenant shall provide Landlord with full and final lien waivers from all contractors, subcontractors and material suppliers.</w:t>
      </w:r>
    </w:p>
    <w:p>
      <w:pPr>
        <w:spacing w:after="0" w:line="173" w:lineRule="exact"/>
        <w:rPr>
          <w:sz w:val="20"/>
          <w:szCs w:val="20"/>
          <w:color w:val="auto"/>
        </w:rPr>
      </w:pPr>
    </w:p>
    <w:p>
      <w:pPr>
        <w:ind w:right="120" w:firstLine="772"/>
        <w:spacing w:after="0" w:line="256" w:lineRule="auto"/>
        <w:tabs>
          <w:tab w:leader="none" w:pos="1567"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Effect. </w:t>
      </w:r>
      <w:r>
        <w:rPr>
          <w:rFonts w:ascii="Times New Roman" w:cs="Times New Roman" w:eastAsia="Times New Roman" w:hAnsi="Times New Roman"/>
          <w:sz w:val="21"/>
          <w:szCs w:val="21"/>
          <w:color w:val="auto"/>
        </w:rPr>
        <w:t>Except as amended by this Amendment, all of the terms, covenants, conditions, provisions, and agreements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Original Lease remain in full force and effect. The provisions of this Amendment supersede and control over any conflicting provisions in the Original Lease.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42007883</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1" w:name="page112"/>
    <w:bookmarkEnd w:id="111"/>
    <w:p>
      <w:pPr>
        <w:ind w:firstLine="772"/>
        <w:spacing w:after="0" w:line="247" w:lineRule="auto"/>
        <w:tabs>
          <w:tab w:leader="none" w:pos="156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Estoppel. </w:t>
      </w:r>
      <w:r>
        <w:rPr>
          <w:rFonts w:ascii="Times New Roman" w:cs="Times New Roman" w:eastAsia="Times New Roman" w:hAnsi="Times New Roman"/>
          <w:sz w:val="21"/>
          <w:szCs w:val="21"/>
          <w:color w:val="auto"/>
        </w:rPr>
        <w:t>Tenant and Landlord hereby represent and warrant that, as of the date hereof (to the best of their actual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knowledge with respect to items (b) and (c)), (a) the Lease is in full force and effect and has not been modified or amended, except as set forth herein, (b) neither Tenant nor Landlord is in default under the Lease nor does Tenant or Landlord have any knowledge of any event which with the giving of notice and passage of time would result in a default, and (c) Landlord and Tenant have performed all obligations on each of their respective parts under the Lease, and neither Party has any claims against the other Party, including any claims of offset against any rent or other sums payable by Tenant under the Lease.</w:t>
      </w:r>
    </w:p>
    <w:p>
      <w:pPr>
        <w:spacing w:after="0" w:line="182" w:lineRule="exact"/>
        <w:rPr>
          <w:rFonts w:ascii="Times New Roman" w:cs="Times New Roman" w:eastAsia="Times New Roman" w:hAnsi="Times New Roman"/>
          <w:sz w:val="21"/>
          <w:szCs w:val="21"/>
          <w:color w:val="auto"/>
        </w:rPr>
      </w:pPr>
    </w:p>
    <w:p>
      <w:pPr>
        <w:jc w:val="both"/>
        <w:ind w:firstLine="772"/>
        <w:spacing w:after="0" w:line="251" w:lineRule="auto"/>
        <w:tabs>
          <w:tab w:leader="none" w:pos="156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Miscellaneous. </w:t>
      </w:r>
      <w:r>
        <w:rPr>
          <w:rFonts w:ascii="Times New Roman" w:cs="Times New Roman" w:eastAsia="Times New Roman" w:hAnsi="Times New Roman"/>
          <w:sz w:val="21"/>
          <w:szCs w:val="21"/>
          <w:color w:val="auto"/>
        </w:rPr>
        <w:t>This Amendment and the Lease embodies the entire agreement between the parties as to its subject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matter and supersedes any prior agreements with respect thereto. There are no agreements or understandings between the parties with respect to the subject matter of this Amendment not set forth in this Amendment or the Lease. This Amendment cannot be modified except by a writing signed by both parties.</w:t>
      </w:r>
    </w:p>
    <w:p>
      <w:pPr>
        <w:spacing w:after="0" w:line="177" w:lineRule="exact"/>
        <w:rPr>
          <w:rFonts w:ascii="Times New Roman" w:cs="Times New Roman" w:eastAsia="Times New Roman" w:hAnsi="Times New Roman"/>
          <w:sz w:val="21"/>
          <w:szCs w:val="21"/>
          <w:color w:val="auto"/>
        </w:rPr>
      </w:pPr>
    </w:p>
    <w:p>
      <w:pPr>
        <w:ind w:firstLine="772"/>
        <w:spacing w:after="0" w:line="260" w:lineRule="auto"/>
        <w:tabs>
          <w:tab w:leader="none" w:pos="156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Signing and Delivery. </w:t>
      </w:r>
      <w:r>
        <w:rPr>
          <w:rFonts w:ascii="Times New Roman" w:cs="Times New Roman" w:eastAsia="Times New Roman" w:hAnsi="Times New Roman"/>
          <w:sz w:val="20"/>
          <w:szCs w:val="20"/>
          <w:color w:val="auto"/>
        </w:rPr>
        <w:t>This Amendment will be effective only when both Landlord and Tenant have signed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it. Landlord’s submission of an unsigned copy this Amendment to Tenant for evaluation, negotiation, or signature by Tenant will not constitute signature of this Amendment by Landlord or otherwise bind Landlord, regardless of whether the cover letter or email transmitting that copy of this Amendment is signed or contains words of approval. This Amendment may be signed in counterparts and, when counterparts of this Amendment have been signed and delivered by the required parties as provided in this section, this Amendment will be fully binding and effective, just as if both of the parties had signed and delivered a single counterpart of this Amendment. Any counterpart transmitted by facsimile or email shall, in all cases, be deemed an original signature.</w:t>
      </w:r>
    </w:p>
    <w:p>
      <w:pPr>
        <w:spacing w:after="0" w:line="1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42007883</w:t>
      </w:r>
    </w:p>
    <w:p>
      <w:pPr>
        <w:spacing w:after="0" w:line="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4" w:right="479" w:bottom="1440" w:gutter="0" w:footer="0" w:header="0"/>
        </w:sectPr>
      </w:pPr>
    </w:p>
    <w:bookmarkStart w:id="112" w:name="page113"/>
    <w:bookmarkEnd w:id="112"/>
    <w:p>
      <w:pPr>
        <w:ind w:left="780"/>
        <w:spacing w:after="0"/>
        <w:rPr>
          <w:sz w:val="20"/>
          <w:szCs w:val="20"/>
          <w:color w:val="auto"/>
        </w:rPr>
      </w:pPr>
      <w:r>
        <w:rPr>
          <w:rFonts w:ascii="Times New Roman" w:cs="Times New Roman" w:eastAsia="Times New Roman" w:hAnsi="Times New Roman"/>
          <w:sz w:val="21"/>
          <w:szCs w:val="21"/>
          <w:color w:val="auto"/>
        </w:rPr>
        <w:t>IN WITNESS WHEREOF, this Fourth Amendment to Lease is signed by the parties as of the date set forth above.</w:t>
      </w:r>
    </w:p>
    <w:p>
      <w:pPr>
        <w:spacing w:after="0" w:line="200" w:lineRule="exact"/>
        <w:rPr>
          <w:sz w:val="20"/>
          <w:szCs w:val="20"/>
          <w:color w:val="auto"/>
        </w:rPr>
      </w:pPr>
    </w:p>
    <w:p>
      <w:pPr>
        <w:spacing w:after="0" w:line="2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b w:val="1"/>
          <w:bCs w:val="1"/>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2794635" cy="925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279463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b w:val="1"/>
          <w:bCs w:val="1"/>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2828925" cy="8058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282892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The undersigned Guarantor consents to the terms of this Fourth Amendment to Lease Agreement and agrees that except as limited by the First Amendment to Lease Agreement dated October 22, 2018, the Guaranty Agreement dated January 8, 2016 remains in full force and effect, including with respect to Tenant’s obligations pursuant to this Fourth Amendment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140970</wp:posOffset>
            </wp:positionV>
            <wp:extent cx="3068955" cy="10972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306895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42007883</w:t>
      </w:r>
    </w:p>
    <w:p>
      <w:pPr>
        <w:sectPr>
          <w:pgSz w:w="11900" w:h="16838" w:orient="portrait"/>
          <w:cols w:equalWidth="0" w:num="1">
            <w:col w:w="11240"/>
          </w:cols>
          <w:pgMar w:left="320" w:top="12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color w:val="auto"/>
        </w:rPr>
        <w:t>DocuSign Envelope ID: 256996CC-2BE8-4440-9C25-54EC12980524</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10.27</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FIFTH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21"/>
          <w:szCs w:val="21"/>
          <w:b w:val="1"/>
          <w:bCs w:val="1"/>
          <w:color w:val="auto"/>
        </w:rPr>
        <w:t xml:space="preserve"> TO </w:t>
      </w:r>
      <w:r>
        <w:rPr>
          <w:rFonts w:ascii="Times New Roman" w:cs="Times New Roman" w:eastAsia="Times New Roman" w:hAnsi="Times New Roman"/>
          <w:sz w:val="19"/>
          <w:szCs w:val="19"/>
          <w:b w:val="1"/>
          <w:bCs w:val="1"/>
          <w:color w:val="auto"/>
        </w:rPr>
        <w:t>LEASE AGREEMENT</w:t>
      </w:r>
    </w:p>
    <w:p>
      <w:pPr>
        <w:spacing w:after="0" w:line="172" w:lineRule="exact"/>
        <w:rPr>
          <w:sz w:val="20"/>
          <w:szCs w:val="20"/>
          <w:color w:val="auto"/>
        </w:rPr>
      </w:pPr>
    </w:p>
    <w:p>
      <w:pPr>
        <w:ind w:right="20" w:firstLine="749"/>
        <w:spacing w:after="0" w:line="279" w:lineRule="auto"/>
        <w:rPr>
          <w:sz w:val="20"/>
          <w:szCs w:val="20"/>
          <w:color w:val="auto"/>
        </w:rPr>
      </w:pPr>
      <w:r>
        <w:rPr>
          <w:rFonts w:ascii="Times New Roman" w:cs="Times New Roman" w:eastAsia="Times New Roman" w:hAnsi="Times New Roman"/>
          <w:sz w:val="20"/>
          <w:szCs w:val="20"/>
          <w:color w:val="auto"/>
        </w:rPr>
        <w:t>This Fifth Amendment to Lease Agreement (this“</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is between University Research Park, Incorporated, a Wisconsin nonstock corporation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and Arrowhead Madison Inc., a Delaware corporation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 xml:space="preserve">”) and is dated as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May 14, 2020.</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2" w:lineRule="exact"/>
        <w:rPr>
          <w:sz w:val="20"/>
          <w:szCs w:val="20"/>
          <w:color w:val="auto"/>
        </w:rPr>
      </w:pPr>
    </w:p>
    <w:p>
      <w:pPr>
        <w:ind w:right="80" w:firstLine="757"/>
        <w:spacing w:after="0" w:line="249" w:lineRule="auto"/>
        <w:tabs>
          <w:tab w:leader="none" w:pos="158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 and Tenant are parties to that certain Lease Agreement dated as of January </w:t>
      </w:r>
      <w:r>
        <w:rPr>
          <w:rFonts w:ascii="Times New Roman" w:cs="Times New Roman" w:eastAsia="Times New Roman" w:hAnsi="Times New Roman"/>
          <w:sz w:val="18"/>
          <w:szCs w:val="18"/>
          <w:color w:val="auto"/>
        </w:rPr>
        <w:t>8,</w:t>
      </w:r>
      <w:r>
        <w:rPr>
          <w:rFonts w:ascii="Times New Roman" w:cs="Times New Roman" w:eastAsia="Times New Roman" w:hAnsi="Times New Roman"/>
          <w:sz w:val="20"/>
          <w:szCs w:val="20"/>
          <w:color w:val="auto"/>
        </w:rPr>
        <w:t xml:space="preserve"> 2016, as amended by that certain First Amendment to Lease Agreement dated October 22, 2018, that certain Second Amendment to Lease Agreement dated January 10, 2019, that certain Third Amendment to Lease Agreement dated January 11, 2019 and that certain Fourth Amendment to Lease Agreement dated September 19,2019 (collectively, the “</w:t>
      </w:r>
      <w:r>
        <w:rPr>
          <w:rFonts w:ascii="Times New Roman" w:cs="Times New Roman" w:eastAsia="Times New Roman" w:hAnsi="Times New Roman"/>
          <w:sz w:val="20"/>
          <w:szCs w:val="20"/>
          <w:b w:val="1"/>
          <w:bCs w:val="1"/>
          <w:color w:val="auto"/>
        </w:rPr>
        <w:t>Original Lease</w:t>
      </w:r>
      <w:r>
        <w:rPr>
          <w:rFonts w:ascii="Times New Roman" w:cs="Times New Roman" w:eastAsia="Times New Roman" w:hAnsi="Times New Roman"/>
          <w:sz w:val="20"/>
          <w:szCs w:val="20"/>
          <w:color w:val="auto"/>
        </w:rPr>
        <w:t>”). The Original Lease and this Amendment are together referred to herein as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w:t>
      </w:r>
    </w:p>
    <w:p>
      <w:pPr>
        <w:spacing w:after="0" w:line="140" w:lineRule="exact"/>
        <w:rPr>
          <w:rFonts w:ascii="Times New Roman" w:cs="Times New Roman" w:eastAsia="Times New Roman" w:hAnsi="Times New Roman"/>
          <w:sz w:val="20"/>
          <w:szCs w:val="20"/>
          <w:color w:val="auto"/>
        </w:rPr>
      </w:pPr>
    </w:p>
    <w:p>
      <w:pPr>
        <w:ind w:right="140" w:firstLine="757"/>
        <w:spacing w:after="0" w:line="249" w:lineRule="auto"/>
        <w:tabs>
          <w:tab w:leader="none" w:pos="157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Original Lease, Tenant leases from Landlord approximately 63,662 rentable square feet located at 502 South Rosa Road, Madison, Wisconsin (the “</w:t>
      </w:r>
      <w:r>
        <w:rPr>
          <w:rFonts w:ascii="Times New Roman" w:cs="Times New Roman" w:eastAsia="Times New Roman" w:hAnsi="Times New Roman"/>
          <w:sz w:val="20"/>
          <w:szCs w:val="20"/>
          <w:b w:val="1"/>
          <w:bCs w:val="1"/>
          <w:color w:val="auto"/>
        </w:rPr>
        <w:t>502 Building</w:t>
      </w:r>
      <w:r>
        <w:rPr>
          <w:rFonts w:ascii="Times New Roman" w:cs="Times New Roman" w:eastAsia="Times New Roman" w:hAnsi="Times New Roman"/>
          <w:sz w:val="20"/>
          <w:szCs w:val="20"/>
          <w:color w:val="auto"/>
        </w:rPr>
        <w:t xml:space="preserve">”), an additional2,971 rentable square feet </w:t>
      </w:r>
      <w:r>
        <w:rPr>
          <w:rFonts w:ascii="Times New Roman" w:cs="Times New Roman" w:eastAsia="Times New Roman" w:hAnsi="Times New Roman"/>
          <w:sz w:val="18"/>
          <w:szCs w:val="18"/>
          <w:color w:val="auto"/>
        </w:rPr>
        <w:t>in</w:t>
      </w:r>
      <w:r>
        <w:rPr>
          <w:rFonts w:ascii="Times New Roman" w:cs="Times New Roman" w:eastAsia="Times New Roman" w:hAnsi="Times New Roman"/>
          <w:sz w:val="20"/>
          <w:szCs w:val="20"/>
          <w:color w:val="auto"/>
        </w:rPr>
        <w:t xml:space="preserve"> the 502 Building and approximately 7,558 rentable square feet located at 504 South Rosa Road, Madison, Wisconsin (the “</w:t>
      </w:r>
      <w:r>
        <w:rPr>
          <w:rFonts w:ascii="Times New Roman" w:cs="Times New Roman" w:eastAsia="Times New Roman" w:hAnsi="Times New Roman"/>
          <w:sz w:val="20"/>
          <w:szCs w:val="20"/>
          <w:b w:val="1"/>
          <w:bCs w:val="1"/>
          <w:color w:val="auto"/>
        </w:rPr>
        <w:t>504 Building</w:t>
      </w:r>
      <w:r>
        <w:rPr>
          <w:rFonts w:ascii="Times New Roman" w:cs="Times New Roman" w:eastAsia="Times New Roman" w:hAnsi="Times New Roman"/>
          <w:sz w:val="20"/>
          <w:szCs w:val="20"/>
          <w:color w:val="auto"/>
        </w:rPr>
        <w:t>”), each as more particularly defined in the Original Lease (the “</w:t>
      </w:r>
      <w:r>
        <w:rPr>
          <w:rFonts w:ascii="Times New Roman" w:cs="Times New Roman" w:eastAsia="Times New Roman" w:hAnsi="Times New Roman"/>
          <w:sz w:val="20"/>
          <w:szCs w:val="20"/>
          <w:b w:val="1"/>
          <w:bCs w:val="1"/>
          <w:color w:val="auto"/>
        </w:rPr>
        <w:t>Leased Premises</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ind w:right="340" w:firstLine="757"/>
        <w:spacing w:after="0" w:line="269" w:lineRule="auto"/>
        <w:tabs>
          <w:tab w:leader="none" w:pos="157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Landlord and Tenant wish to amend the Lease to expand the Leased Premises, extend the term and make certain other adjustments as more particularly set forth in this Amendment.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AGREEMENTS</w:t>
      </w:r>
    </w:p>
    <w:p>
      <w:pPr>
        <w:spacing w:after="0" w:line="178" w:lineRule="exact"/>
        <w:rPr>
          <w:sz w:val="20"/>
          <w:szCs w:val="20"/>
          <w:color w:val="auto"/>
        </w:rPr>
      </w:pPr>
    </w:p>
    <w:p>
      <w:pPr>
        <w:ind w:right="140" w:firstLine="749"/>
        <w:spacing w:after="0" w:line="288" w:lineRule="auto"/>
        <w:rPr>
          <w:sz w:val="20"/>
          <w:szCs w:val="20"/>
          <w:color w:val="auto"/>
        </w:rPr>
      </w:pPr>
      <w:r>
        <w:rPr>
          <w:rFonts w:ascii="Times New Roman" w:cs="Times New Roman" w:eastAsia="Times New Roman" w:hAnsi="Times New Roman"/>
          <w:sz w:val="20"/>
          <w:szCs w:val="20"/>
          <w:color w:val="auto"/>
        </w:rPr>
        <w:t xml:space="preserve">NOW THEREFORE, for good and valuable consideration, the receipt and sufficiency </w:t>
      </w:r>
      <w:r>
        <w:rPr>
          <w:rFonts w:ascii="Times New Roman" w:cs="Times New Roman" w:eastAsia="Times New Roman" w:hAnsi="Times New Roman"/>
          <w:sz w:val="22"/>
          <w:szCs w:val="22"/>
          <w:color w:val="auto"/>
        </w:rPr>
        <w:t>of</w:t>
      </w:r>
      <w:r>
        <w:rPr>
          <w:rFonts w:ascii="Times New Roman" w:cs="Times New Roman" w:eastAsia="Times New Roman" w:hAnsi="Times New Roman"/>
          <w:sz w:val="20"/>
          <w:szCs w:val="20"/>
          <w:color w:val="auto"/>
        </w:rPr>
        <w:t xml:space="preserve"> which </w:t>
      </w:r>
      <w:r>
        <w:rPr>
          <w:rFonts w:ascii="Times New Roman" w:cs="Times New Roman" w:eastAsia="Times New Roman" w:hAnsi="Times New Roman"/>
          <w:sz w:val="18"/>
          <w:szCs w:val="18"/>
          <w:color w:val="auto"/>
        </w:rPr>
        <w:t>is</w:t>
      </w:r>
      <w:r>
        <w:rPr>
          <w:rFonts w:ascii="Times New Roman" w:cs="Times New Roman" w:eastAsia="Times New Roman" w:hAnsi="Times New Roman"/>
          <w:sz w:val="20"/>
          <w:szCs w:val="20"/>
          <w:color w:val="auto"/>
        </w:rPr>
        <w:t xml:space="preserve"> hereby acknowledged, Landlord and Tenant hereby agree as follows:</w:t>
      </w:r>
    </w:p>
    <w:p>
      <w:pPr>
        <w:spacing w:after="0" w:line="106" w:lineRule="exact"/>
        <w:rPr>
          <w:sz w:val="20"/>
          <w:szCs w:val="20"/>
          <w:color w:val="auto"/>
        </w:rPr>
      </w:pPr>
    </w:p>
    <w:p>
      <w:pPr>
        <w:ind w:right="240" w:firstLine="757"/>
        <w:spacing w:after="0" w:line="273" w:lineRule="auto"/>
        <w:tabs>
          <w:tab w:leader="none" w:pos="154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Terms that are not defined in this Amendment but are defined in the Original Lease have the meanings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given in the Original Lease.</w:t>
      </w:r>
    </w:p>
    <w:p>
      <w:pPr>
        <w:spacing w:after="0" w:line="116" w:lineRule="exact"/>
        <w:rPr>
          <w:rFonts w:ascii="Times New Roman" w:cs="Times New Roman" w:eastAsia="Times New Roman" w:hAnsi="Times New Roman"/>
          <w:sz w:val="20"/>
          <w:szCs w:val="20"/>
          <w:color w:val="auto"/>
        </w:rPr>
      </w:pPr>
    </w:p>
    <w:p>
      <w:pPr>
        <w:ind w:left="1540" w:hanging="783"/>
        <w:spacing w:after="0"/>
        <w:tabs>
          <w:tab w:leader="none" w:pos="154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Amendment of Lease</w:t>
      </w:r>
      <w:r>
        <w:rPr>
          <w:rFonts w:ascii="Times New Roman" w:cs="Times New Roman" w:eastAsia="Times New Roman" w:hAnsi="Times New Roman"/>
          <w:sz w:val="20"/>
          <w:szCs w:val="20"/>
          <w:color w:val="auto"/>
        </w:rPr>
        <w:t>. The Original Lease is hereby amended as follows:</w:t>
      </w:r>
    </w:p>
    <w:p>
      <w:pPr>
        <w:spacing w:after="0" w:line="182" w:lineRule="exact"/>
        <w:rPr>
          <w:rFonts w:ascii="Times New Roman" w:cs="Times New Roman" w:eastAsia="Times New Roman" w:hAnsi="Times New Roman"/>
          <w:sz w:val="19"/>
          <w:szCs w:val="19"/>
          <w:color w:val="auto"/>
        </w:rPr>
      </w:pPr>
    </w:p>
    <w:p>
      <w:pPr>
        <w:ind w:right="60" w:firstLine="1497"/>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0"/>
          <w:szCs w:val="20"/>
          <w:b w:val="1"/>
          <w:bCs w:val="1"/>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b w:val="1"/>
          <w:bCs w:val="1"/>
          <w:color w:val="auto"/>
        </w:rPr>
        <w:t>Expansion Premises</w:t>
      </w:r>
      <w:r>
        <w:rPr>
          <w:rFonts w:ascii="Times New Roman" w:cs="Times New Roman" w:eastAsia="Times New Roman" w:hAnsi="Times New Roman"/>
          <w:sz w:val="19"/>
          <w:szCs w:val="19"/>
          <w:color w:val="auto"/>
        </w:rPr>
        <w:t>. Subject to the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this Amendment, effective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the day following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date that the Third Expansion Premises (defined below) </w:t>
      </w:r>
      <w:r>
        <w:rPr>
          <w:rFonts w:ascii="Times New Roman" w:cs="Times New Roman" w:eastAsia="Times New Roman" w:hAnsi="Times New Roman"/>
          <w:sz w:val="18"/>
          <w:szCs w:val="18"/>
          <w:color w:val="auto"/>
        </w:rPr>
        <w:t>is</w:t>
      </w:r>
      <w:r>
        <w:rPr>
          <w:rFonts w:ascii="Times New Roman" w:cs="Times New Roman" w:eastAsia="Times New Roman" w:hAnsi="Times New Roman"/>
          <w:sz w:val="19"/>
          <w:szCs w:val="19"/>
          <w:color w:val="auto"/>
        </w:rPr>
        <w:t xml:space="preserve"> vacated by both Nimble Therapeutics, Inc. or its affiliate (“</w:t>
      </w:r>
      <w:r>
        <w:rPr>
          <w:rFonts w:ascii="Times New Roman" w:cs="Times New Roman" w:eastAsia="Times New Roman" w:hAnsi="Times New Roman"/>
          <w:sz w:val="19"/>
          <w:szCs w:val="19"/>
          <w:b w:val="1"/>
          <w:bCs w:val="1"/>
          <w:color w:val="auto"/>
        </w:rPr>
        <w:t>Nimble</w:t>
      </w:r>
      <w:r>
        <w:rPr>
          <w:rFonts w:ascii="Times New Roman" w:cs="Times New Roman" w:eastAsia="Times New Roman" w:hAnsi="Times New Roman"/>
          <w:sz w:val="19"/>
          <w:szCs w:val="19"/>
          <w:color w:val="auto"/>
        </w:rPr>
        <w:t>”) and Roche Nimblegen, Inc. or its affiliate (“</w:t>
      </w:r>
      <w:r>
        <w:rPr>
          <w:rFonts w:ascii="Times New Roman" w:cs="Times New Roman" w:eastAsia="Times New Roman" w:hAnsi="Times New Roman"/>
          <w:sz w:val="19"/>
          <w:szCs w:val="19"/>
          <w:b w:val="1"/>
          <w:bCs w:val="1"/>
          <w:color w:val="auto"/>
        </w:rPr>
        <w:t>Roche</w:t>
      </w:r>
      <w:r>
        <w:rPr>
          <w:rFonts w:ascii="Times New Roman" w:cs="Times New Roman" w:eastAsia="Times New Roman" w:hAnsi="Times New Roman"/>
          <w:sz w:val="19"/>
          <w:szCs w:val="19"/>
          <w:color w:val="auto"/>
        </w:rPr>
        <w:t>”) as more particularly described in Section 2.b. below and delivered to Tenant in the condition described in Section 2.c. below (the “</w:t>
      </w:r>
      <w:r>
        <w:rPr>
          <w:rFonts w:ascii="Times New Roman" w:cs="Times New Roman" w:eastAsia="Times New Roman" w:hAnsi="Times New Roman"/>
          <w:sz w:val="19"/>
          <w:szCs w:val="19"/>
          <w:b w:val="1"/>
          <w:bCs w:val="1"/>
          <w:color w:val="auto"/>
        </w:rPr>
        <w:t>Third Expansion Premises Commencement Date</w:t>
      </w:r>
      <w:r>
        <w:rPr>
          <w:rFonts w:ascii="Times New Roman" w:cs="Times New Roman" w:eastAsia="Times New Roman" w:hAnsi="Times New Roman"/>
          <w:sz w:val="19"/>
          <w:szCs w:val="19"/>
          <w:color w:val="auto"/>
        </w:rPr>
        <w:t xml:space="preserve">”), the Leased Premises shall be expanded to include the 25,965 rentable square feet </w:t>
      </w:r>
      <w:r>
        <w:rPr>
          <w:rFonts w:ascii="Times New Roman" w:cs="Times New Roman" w:eastAsia="Times New Roman" w:hAnsi="Times New Roman"/>
          <w:sz w:val="20"/>
          <w:szCs w:val="20"/>
          <w:color w:val="auto"/>
        </w:rPr>
        <w:t>of</w:t>
      </w:r>
      <w:r>
        <w:rPr>
          <w:rFonts w:ascii="Times New Roman" w:cs="Times New Roman" w:eastAsia="Times New Roman" w:hAnsi="Times New Roman"/>
          <w:sz w:val="19"/>
          <w:szCs w:val="19"/>
          <w:color w:val="auto"/>
        </w:rPr>
        <w:t xml:space="preserve"> space located at 500 South Rosa Road, Madison, Wisconsin (the “</w:t>
      </w:r>
      <w:r>
        <w:rPr>
          <w:rFonts w:ascii="Times New Roman" w:cs="Times New Roman" w:eastAsia="Times New Roman" w:hAnsi="Times New Roman"/>
          <w:sz w:val="19"/>
          <w:szCs w:val="19"/>
          <w:b w:val="1"/>
          <w:bCs w:val="1"/>
          <w:color w:val="auto"/>
        </w:rPr>
        <w:t>500 Building</w:t>
      </w:r>
      <w:r>
        <w:rPr>
          <w:rFonts w:ascii="Times New Roman" w:cs="Times New Roman" w:eastAsia="Times New Roman" w:hAnsi="Times New Roman"/>
          <w:sz w:val="19"/>
          <w:szCs w:val="19"/>
          <w:color w:val="auto"/>
        </w:rPr>
        <w:t xml:space="preserve">”) depicted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(the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Expansion Premises</w:t>
      </w:r>
      <w:r>
        <w:rPr>
          <w:rFonts w:ascii="Times New Roman" w:cs="Times New Roman" w:eastAsia="Times New Roman" w:hAnsi="Times New Roman"/>
          <w:sz w:val="19"/>
          <w:szCs w:val="19"/>
          <w:color w:val="auto"/>
        </w:rPr>
        <w:t xml:space="preserve">”). Following the Third Expansion Premises Commencement Date, the Leased Premises shall include a total </w:t>
      </w:r>
      <w:r>
        <w:rPr>
          <w:rFonts w:ascii="Times New Roman" w:cs="Times New Roman" w:eastAsia="Times New Roman" w:hAnsi="Times New Roman"/>
          <w:sz w:val="21"/>
          <w:szCs w:val="21"/>
          <w:color w:val="auto"/>
        </w:rPr>
        <w:t>of</w:t>
      </w:r>
      <w:r>
        <w:rPr>
          <w:rFonts w:ascii="Times New Roman" w:cs="Times New Roman" w:eastAsia="Times New Roman" w:hAnsi="Times New Roman"/>
          <w:sz w:val="19"/>
          <w:szCs w:val="19"/>
          <w:color w:val="auto"/>
        </w:rPr>
        <w:t xml:space="preserve"> 100,156 rentable square feet. The 500 Building, 502 Building and 504 Building are collectively referred to hereinafter as the “</w:t>
      </w:r>
      <w:r>
        <w:rPr>
          <w:rFonts w:ascii="Times New Roman" w:cs="Times New Roman" w:eastAsia="Times New Roman" w:hAnsi="Times New Roman"/>
          <w:sz w:val="19"/>
          <w:szCs w:val="19"/>
          <w:b w:val="1"/>
          <w:bCs w:val="1"/>
          <w:color w:val="auto"/>
        </w:rPr>
        <w:t>Buildings</w:t>
      </w:r>
      <w:r>
        <w:rPr>
          <w:rFonts w:ascii="Times New Roman" w:cs="Times New Roman" w:eastAsia="Times New Roman" w:hAnsi="Times New Roman"/>
          <w:sz w:val="19"/>
          <w:szCs w:val="19"/>
          <w:color w:val="auto"/>
        </w:rPr>
        <w:t xml:space="preserve">.” Beginning July </w:t>
      </w:r>
      <w:r>
        <w:rPr>
          <w:rFonts w:ascii="Times New Roman" w:cs="Times New Roman" w:eastAsia="Times New Roman" w:hAnsi="Times New Roman"/>
          <w:sz w:val="18"/>
          <w:szCs w:val="18"/>
          <w:color w:val="auto"/>
        </w:rPr>
        <w:t>1,</w:t>
      </w:r>
      <w:r>
        <w:rPr>
          <w:rFonts w:ascii="Times New Roman" w:cs="Times New Roman" w:eastAsia="Times New Roman" w:hAnsi="Times New Roman"/>
          <w:sz w:val="19"/>
          <w:szCs w:val="19"/>
          <w:color w:val="auto"/>
        </w:rPr>
        <w:t xml:space="preserve"> 2020, Tenant and its employees, contractors and agents shall, upon reasonable prior written notice (but in no event less than 24 hours’ prior written notice) be provided with reasonable access to the Third Expansion Premises during business hours in order to evaluate the space and plan for the Tenant Improvements provided that such right is exercised (i) in a manner so as to not interfere with the business operations of Nimble, Roche or any other occupant of the 500 Building and (ii) in compliance with any security, confidentiality or other reasonable protocols established by Landlord, Nimble or Roche (the </w:t>
      </w:r>
      <w:r>
        <w:rPr>
          <w:rFonts w:ascii="Times New Roman" w:cs="Times New Roman" w:eastAsia="Times New Roman" w:hAnsi="Times New Roman"/>
          <w:sz w:val="19"/>
          <w:szCs w:val="19"/>
          <w:b w:val="1"/>
          <w:bCs w:val="1"/>
          <w:color w:val="auto"/>
        </w:rPr>
        <w:t>“Early Access</w:t>
      </w:r>
      <w:r>
        <w:rPr>
          <w:rFonts w:ascii="Times New Roman" w:cs="Times New Roman" w:eastAsia="Times New Roman" w:hAnsi="Times New Roman"/>
          <w:sz w:val="19"/>
          <w:szCs w:val="19"/>
          <w:color w:val="auto"/>
        </w:rPr>
        <w:t>”). Early Access to that portion of the Third Expansion Premises occupied by Nimble and/or Roche may reasonably be withheld from time to time based upon the reasonable requirements of Nimble and/or Roche. Tenant’s Early Access shall not exceed twenty (20) cumulative (in total; not consecutive) hours in space actually occupied by Nimble and/or Roche. For the avoidance of doubt, that portion of the Third Expansion Premises which is not occupied by Nimble or Roche shall not be subject to the time limitation set forth in the immediately preceding sentence.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43149540v7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3"/>
          <w:szCs w:val="13"/>
          <w:color w:val="auto"/>
        </w:rPr>
        <w:t>DocuSign Envelope ID: 256996CC-2BE8-4440-9C25-54EC12980524</w:t>
      </w:r>
    </w:p>
    <w:p>
      <w:pPr>
        <w:spacing w:after="0" w:line="214" w:lineRule="exact"/>
        <w:rPr>
          <w:sz w:val="20"/>
          <w:szCs w:val="20"/>
          <w:color w:val="auto"/>
        </w:rPr>
      </w:pPr>
    </w:p>
    <w:p>
      <w:pPr>
        <w:ind w:firstLine="1505"/>
        <w:spacing w:after="0" w:line="241" w:lineRule="auto"/>
        <w:tabs>
          <w:tab w:leader="none" w:pos="229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Existing Tenants. </w:t>
      </w:r>
      <w:r>
        <w:rPr>
          <w:rFonts w:ascii="Times New Roman" w:cs="Times New Roman" w:eastAsia="Times New Roman" w:hAnsi="Times New Roman"/>
          <w:sz w:val="20"/>
          <w:szCs w:val="20"/>
          <w:color w:val="auto"/>
        </w:rPr>
        <w:t>The Third Expansion Premises is currently occupied by Nimble pursuant to a short term 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expiring September 30, 2020 and by Roche pursuant to a lease expiring June 30, 2020. In the event that the Third Expansion Premises is not vacated by Nimble or Roche on or before October I, 2020, Landlord agrees to, at Landlord’s expense, take commercially reasonable steps to cause Roche and/or Nimble, as applicable, to vacate the space promptly, including, without limitation, delivering any statutorily required notices, filing an eviction action and diligently prosecuting the same to completion as permitted by applicable law, if necessary. In the event of a hold over by Nimble beyond October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20"/>
          <w:szCs w:val="20"/>
          <w:color w:val="auto"/>
        </w:rPr>
        <w:t xml:space="preserve"> 2020, as Tenant’s sole remedy as a result of such delay, Tenant shall be entitled to a delivery delay penalty from Landlord in the amount of $27,334 per month, prorated on a daily basis for each day on or after October I, 2020 in which the Third Expansion Premises is not delivered to Tenant by Landlord in the condition required in this Amendment. Landlord represents and warrants that the base rent payable by Nimble pursuant to its short term lease is $13,667 per month. Further, in the event of a hold over by Roche or any other third party other than Nimble beyond October 1, 2020, as Tenant’s sole remedy as a result of such delay, Tenant shall be entitled to any holdover damages (including any base rent owed and any holdover penalties) actually paid by Roche or such third party other than Nimble to Landlord for the period beyond October 1, 2020, less Landlord’s cost of collection and expressly excluding additional rent (which has a meaning consistent with how that term is defined in Section 2.2 of the Lease) for such period, and Landlord shall take commercially reasonable steps to collect any holdover damages (including any base rent owed and any holdover penalties) or other amounts from Roche or such third party other than Nimble that may be due.</w:t>
      </w:r>
    </w:p>
    <w:p>
      <w:pPr>
        <w:spacing w:after="0" w:line="153" w:lineRule="exact"/>
        <w:rPr>
          <w:rFonts w:ascii="Times New Roman" w:cs="Times New Roman" w:eastAsia="Times New Roman" w:hAnsi="Times New Roman"/>
          <w:sz w:val="20"/>
          <w:szCs w:val="20"/>
          <w:color w:val="auto"/>
        </w:rPr>
      </w:pPr>
    </w:p>
    <w:p>
      <w:pPr>
        <w:ind w:right="100" w:firstLine="1505"/>
        <w:spacing w:after="0" w:line="247" w:lineRule="auto"/>
        <w:tabs>
          <w:tab w:leader="none" w:pos="228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Third Expansion Premises Condition. </w:t>
      </w:r>
      <w:r>
        <w:rPr>
          <w:rFonts w:ascii="Times New Roman" w:cs="Times New Roman" w:eastAsia="Times New Roman" w:hAnsi="Times New Roman"/>
          <w:sz w:val="20"/>
          <w:szCs w:val="20"/>
          <w:color w:val="auto"/>
        </w:rPr>
        <w:t>Subject to vacation of the Third Expansion Premises in broom clean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condition and removal of all personal property therefrom, Tenant accepts the Third Expansion Premises in as-is, where-is condition and acknowledges that Landlord has not made any representation or warranty related thereto and Landlord shall not be required to construct, modify or otherwise improve the Third Expansion Premises in any manner except as explicitly set forth in Landlord’s Work to be completed following the Third Expansion Premises Commencement Date in accordance with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w:t>
      </w:r>
    </w:p>
    <w:p>
      <w:pPr>
        <w:spacing w:after="0" w:line="153" w:lineRule="exact"/>
        <w:rPr>
          <w:rFonts w:ascii="Times New Roman" w:cs="Times New Roman" w:eastAsia="Times New Roman" w:hAnsi="Times New Roman"/>
          <w:sz w:val="20"/>
          <w:szCs w:val="20"/>
          <w:color w:val="auto"/>
        </w:rPr>
      </w:pPr>
    </w:p>
    <w:p>
      <w:pPr>
        <w:ind w:right="160" w:firstLine="1505"/>
        <w:spacing w:after="0" w:line="269" w:lineRule="auto"/>
        <w:tabs>
          <w:tab w:leader="none" w:pos="2293"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Term. </w:t>
      </w:r>
      <w:r>
        <w:rPr>
          <w:rFonts w:ascii="Times New Roman" w:cs="Times New Roman" w:eastAsia="Times New Roman" w:hAnsi="Times New Roman"/>
          <w:sz w:val="19"/>
          <w:szCs w:val="19"/>
          <w:color w:val="auto"/>
        </w:rPr>
        <w:t>The Term for the entire Leased Premises (including, without limitation, the Third Expansion Premises,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following the Third Expansion Premises Commencement Date) is hereby extended through and shall expire at midnight on September 30, 2031. Section 1.3 of the Original Lease remains that Tenant is required to give Landlord written </w:t>
      </w:r>
      <w:r>
        <w:rPr>
          <w:rFonts w:ascii="Times New Roman" w:cs="Times New Roman" w:eastAsia="Times New Roman" w:hAnsi="Times New Roman"/>
          <w:sz w:val="17"/>
          <w:szCs w:val="17"/>
          <w:color w:val="auto"/>
        </w:rPr>
        <w:t>notice of its intention to exercise its option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extend the Term no later than twelve (12) months prior to the expiration of the Term, as the same is extended, and Tenant has two (2) options to extend the term of the Lease for five (5) years each beyond the expiration of the Term during which Base Rent shall increase 2.5% annually.</w:t>
      </w:r>
    </w:p>
    <w:p>
      <w:pPr>
        <w:spacing w:after="0" w:line="119" w:lineRule="exact"/>
        <w:rPr>
          <w:rFonts w:ascii="Times New Roman" w:cs="Times New Roman" w:eastAsia="Times New Roman" w:hAnsi="Times New Roman"/>
          <w:sz w:val="19"/>
          <w:szCs w:val="19"/>
          <w:color w:val="auto"/>
        </w:rPr>
      </w:pPr>
    </w:p>
    <w:p>
      <w:pPr>
        <w:ind w:firstLine="1505"/>
        <w:spacing w:after="0" w:line="242" w:lineRule="auto"/>
        <w:tabs>
          <w:tab w:leader="none" w:pos="2276"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Base Rent</w:t>
      </w:r>
      <w:r>
        <w:rPr>
          <w:rFonts w:ascii="Times New Roman" w:cs="Times New Roman" w:eastAsia="Times New Roman" w:hAnsi="Times New Roman"/>
          <w:sz w:val="19"/>
          <w:szCs w:val="19"/>
          <w:color w:val="auto"/>
        </w:rPr>
        <w:t>. Effective as of the Third Expansion Premises Commencement Date, Tenant shall pay Base Rent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entire Leased Premises as set forth in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attached hereto. As set forth in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and so long as Tenant is not in default beyond any applicable cure period, Base Rent and Additional Rent (totaling approximately $57,534.11 per month) related to the Third Expansion Premises shall be conditionally abated for the period beginning on the Third Expansion Premises Commencement Date and extending through the earlier of the following (the “Rent Abatement Period”) (i) Tenant’s use of the Third Expansion Premises for the operation of its business or (ii) the date that is eight (8) months following the Third Expansion Premises Commencement Date (without regard to the status of Tenant’s Improvements). In the event of Tenant’s default beyond any applicable cure period, the unamortized amount of abated rent shall become immediately due and payable.</w:t>
      </w:r>
    </w:p>
    <w:p>
      <w:pPr>
        <w:spacing w:after="0" w:line="145" w:lineRule="exact"/>
        <w:rPr>
          <w:rFonts w:ascii="Times New Roman" w:cs="Times New Roman" w:eastAsia="Times New Roman" w:hAnsi="Times New Roman"/>
          <w:sz w:val="19"/>
          <w:szCs w:val="19"/>
          <w:color w:val="auto"/>
        </w:rPr>
      </w:pPr>
    </w:p>
    <w:p>
      <w:pPr>
        <w:ind w:right="60" w:firstLine="1505"/>
        <w:spacing w:after="0"/>
        <w:tabs>
          <w:tab w:leader="none" w:pos="2255"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Tenant’s Proportionate Share</w:t>
      </w:r>
      <w:r>
        <w:rPr>
          <w:rFonts w:ascii="Times New Roman" w:cs="Times New Roman" w:eastAsia="Times New Roman" w:hAnsi="Times New Roman"/>
          <w:sz w:val="19"/>
          <w:szCs w:val="19"/>
          <w:color w:val="auto"/>
        </w:rPr>
        <w:t>. Effective as of the Third Expansion Premises Commencement Date, Tenant’s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Proportionate Share of the Buildings shall be increased to 70.18% (100,156 square feet of Leased Premises divided by 142,714 square feet in the Buildings). Tenant shall thereafter in accordance with Section 2.2 of the Original Lease pay, as additional rent, Tenant’s Proportionate Share of all amounts set forth in the Lease, including, without limitation, Real Estate Taxes, Common Area/Operating Expenses and Landlord’s insurance and utilities based thereon. In the event that Tenant occupies the entire leasable premises in any one or more of the Buildings, Landlord may allocate all of the foregoing costs related to such Buildings to Tenant in which case (i) Tenant’s Proportionate Share would only apply to those Building(s) which are partially occupied by Tenant and (ii) Tenant’s Proportionate Share would instead be calculated based on Tenant’s percentage share of a multi-tenant Building. Notwithstanding the foregoing and anything to the contrary in the Original Lease: (i) for the eighteen (18) month period beginning on the Third Expansion Premises Commencement Date, Common Area costs related to the 500 Building shall not include any capital expenditure (as determined pursuant to generally accepted accounting principles consistently applied (“</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related to the repair or replacement of the roof, building structure or building envelope (provided, however, that Tenant shall be responsible for any damage to the extent arising from or related to work</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43149540v7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color w:val="auto"/>
        </w:rPr>
        <w:t>DocuSign Envelope ID: 256996CC-2BE8-4440-9C25-54EC12980524</w:t>
      </w:r>
    </w:p>
    <w:p>
      <w:pPr>
        <w:spacing w:after="0" w:line="215"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9"/>
          <w:szCs w:val="19"/>
          <w:color w:val="auto"/>
        </w:rPr>
        <w:t>performed by or at the direction of Tenant); and (ii) following such eighteen (18) month period, such capital expenditures may be included in Common Area costs when amortized over such item’s useful life in accordance with GAAP subject, however, to the limitations and exclusions on Tenant’s obligations for payment of Common Area/Operating Expenses set forth in Lease (including, but not limited to, as set forth in Exhibit E to the Original Lease).</w:t>
      </w:r>
    </w:p>
    <w:p>
      <w:pPr>
        <w:spacing w:after="0" w:line="140" w:lineRule="exact"/>
        <w:rPr>
          <w:sz w:val="20"/>
          <w:szCs w:val="20"/>
          <w:color w:val="auto"/>
        </w:rPr>
      </w:pPr>
    </w:p>
    <w:p>
      <w:pPr>
        <w:ind w:right="240" w:firstLine="1397"/>
        <w:spacing w:after="0" w:line="270" w:lineRule="auto"/>
        <w:tabs>
          <w:tab w:leader="none" w:pos="2179"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Security Deposit</w:t>
      </w:r>
      <w:r>
        <w:rPr>
          <w:rFonts w:ascii="Times New Roman" w:cs="Times New Roman" w:eastAsia="Times New Roman" w:hAnsi="Times New Roman"/>
          <w:sz w:val="19"/>
          <w:szCs w:val="19"/>
          <w:color w:val="auto"/>
        </w:rPr>
        <w:t>. On the date hereof, Tenant shall deposit an additional $57,534.11 with Landlord bringing the total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Security Deposit to $199,183.62.</w:t>
      </w:r>
    </w:p>
    <w:p>
      <w:pPr>
        <w:spacing w:after="0" w:line="129" w:lineRule="exact"/>
        <w:rPr>
          <w:rFonts w:ascii="Times New Roman" w:cs="Times New Roman" w:eastAsia="Times New Roman" w:hAnsi="Times New Roman"/>
          <w:sz w:val="19"/>
          <w:szCs w:val="19"/>
          <w:color w:val="auto"/>
        </w:rPr>
      </w:pPr>
    </w:p>
    <w:p>
      <w:pPr>
        <w:ind w:right="220" w:firstLine="1505"/>
        <w:spacing w:after="0" w:line="270" w:lineRule="auto"/>
        <w:tabs>
          <w:tab w:leader="none" w:pos="2287"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Utilities</w:t>
      </w:r>
      <w:r>
        <w:rPr>
          <w:rFonts w:ascii="Times New Roman" w:cs="Times New Roman" w:eastAsia="Times New Roman" w:hAnsi="Times New Roman"/>
          <w:sz w:val="19"/>
          <w:szCs w:val="19"/>
          <w:color w:val="auto"/>
        </w:rPr>
        <w:t>. Commencing on the Third Expansion Premises Commencement Date, Tenant shall pay all utilities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Third Expansion Premises (and the remainder of the Leased Premises).</w:t>
      </w:r>
    </w:p>
    <w:p>
      <w:pPr>
        <w:spacing w:after="0" w:line="115" w:lineRule="exact"/>
        <w:rPr>
          <w:rFonts w:ascii="Times New Roman" w:cs="Times New Roman" w:eastAsia="Times New Roman" w:hAnsi="Times New Roman"/>
          <w:sz w:val="19"/>
          <w:szCs w:val="19"/>
          <w:color w:val="auto"/>
        </w:rPr>
      </w:pPr>
    </w:p>
    <w:p>
      <w:pPr>
        <w:ind w:right="60" w:firstLine="1505"/>
        <w:spacing w:after="0" w:line="245" w:lineRule="auto"/>
        <w:tabs>
          <w:tab w:leader="none" w:pos="22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Tenant Improvements</w:t>
      </w:r>
      <w:r>
        <w:rPr>
          <w:rFonts w:ascii="Times New Roman" w:cs="Times New Roman" w:eastAsia="Times New Roman" w:hAnsi="Times New Roman"/>
          <w:sz w:val="19"/>
          <w:szCs w:val="19"/>
          <w:color w:val="auto"/>
        </w:rPr>
        <w:t>. Promptly following the Third Expansion Premises Commencement Date, Tenant shall in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diligent, good and workmanlike manner in accordance with plans to be approved by Landlord and in compliance with all applicable federal, state and local laws, rules, regulations and ordinances, improve the Third Expansion Premises pursuant to the process as described on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attached hereto (collectively, “Tenant Improvements”). Section 1.6 in the Original Lease shall not apply to construction of the Tenant Improvements, which shall be governed solely by this Amendment.</w:t>
      </w:r>
    </w:p>
    <w:p>
      <w:pPr>
        <w:spacing w:after="0" w:line="140" w:lineRule="exact"/>
        <w:rPr>
          <w:sz w:val="20"/>
          <w:szCs w:val="20"/>
          <w:color w:val="auto"/>
        </w:rPr>
      </w:pPr>
    </w:p>
    <w:p>
      <w:pPr>
        <w:ind w:firstLine="1505"/>
        <w:spacing w:after="0"/>
        <w:tabs>
          <w:tab w:leader="none" w:pos="288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Temporary Area</w:t>
      </w:r>
      <w:r>
        <w:rPr>
          <w:rFonts w:ascii="Times New Roman" w:cs="Times New Roman" w:eastAsia="Times New Roman" w:hAnsi="Times New Roman"/>
          <w:sz w:val="19"/>
          <w:szCs w:val="19"/>
          <w:color w:val="auto"/>
        </w:rPr>
        <w:t>. Beginning on the date hereof and continuing during the Rent Abatement Period, Landlord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 provide Tenant with up to 3,000 square feet of land area behind the Buildings in its as-is condition to enable Tenant, at Tenant’s sole expense, to place trailers for temporary office, laboratory and/or commercial space (the “</w:t>
      </w:r>
      <w:r>
        <w:rPr>
          <w:rFonts w:ascii="Times New Roman" w:cs="Times New Roman" w:eastAsia="Times New Roman" w:hAnsi="Times New Roman"/>
          <w:sz w:val="19"/>
          <w:szCs w:val="19"/>
          <w:b w:val="1"/>
          <w:bCs w:val="1"/>
          <w:color w:val="auto"/>
        </w:rPr>
        <w:t>Temporary Space</w:t>
      </w:r>
      <w:r>
        <w:rPr>
          <w:rFonts w:ascii="Times New Roman" w:cs="Times New Roman" w:eastAsia="Times New Roman" w:hAnsi="Times New Roman"/>
          <w:sz w:val="19"/>
          <w:szCs w:val="19"/>
          <w:color w:val="auto"/>
        </w:rPr>
        <w:t>”). The exact location of the Temporary Space will be determined by the parties in good faith, provided that it shall not restrict access to the loading dock or otherwise interfere with the use of the 500 Building. All utilities and other expenses attributable to the Temporary Space shall be paid by Tenant. No later than the expiration of the Rent Abatement Period, Tenant shall remove all temporary trailers and other improvements installed pursuant to this section and restore the area to its prior condition or as close thereto as reasonably possible, including, without limitation repairing damage to asphalt and landscaping. In the event that Tenant does not timely remove the temporary trailers and other improvements and repair any damage as set forth in the immediately preceding sentence, Landlord shall notify Tenant of the failure and if Tenant does not thereafter comply with its obligation in the preceding sentence within fifteen (15) days, Landlord may thereafter complete the same and Landlord’s costs shall be reimbursed by Tenant as set forth in Section3.1 of the Lease.</w:t>
      </w:r>
    </w:p>
    <w:p>
      <w:pPr>
        <w:spacing w:after="0" w:line="161" w:lineRule="exact"/>
        <w:rPr>
          <w:rFonts w:ascii="Times New Roman" w:cs="Times New Roman" w:eastAsia="Times New Roman" w:hAnsi="Times New Roman"/>
          <w:sz w:val="18"/>
          <w:szCs w:val="18"/>
          <w:color w:val="auto"/>
        </w:rPr>
      </w:pPr>
    </w:p>
    <w:p>
      <w:pPr>
        <w:ind w:left="2280" w:hanging="775"/>
        <w:spacing w:after="0"/>
        <w:tabs>
          <w:tab w:leader="none" w:pos="2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Generator at 502 Building</w:t>
      </w:r>
      <w:r>
        <w:rPr>
          <w:rFonts w:ascii="Times New Roman" w:cs="Times New Roman" w:eastAsia="Times New Roman" w:hAnsi="Times New Roman"/>
          <w:sz w:val="19"/>
          <w:szCs w:val="19"/>
          <w:color w:val="auto"/>
        </w:rPr>
        <w:t>. Section 5 of the Second Amendment to Lease is hereby deleted in its entirety. Section</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10.20 of the Lease is amended by adding the following at the end of the section:</w:t>
      </w:r>
    </w:p>
    <w:p>
      <w:pPr>
        <w:spacing w:after="0" w:line="153" w:lineRule="exact"/>
        <w:rPr>
          <w:sz w:val="20"/>
          <w:szCs w:val="20"/>
          <w:color w:val="auto"/>
        </w:rPr>
      </w:pPr>
    </w:p>
    <w:p>
      <w:pPr>
        <w:ind w:left="1500" w:right="160"/>
        <w:spacing w:after="0" w:line="272" w:lineRule="auto"/>
        <w:rPr>
          <w:sz w:val="20"/>
          <w:szCs w:val="20"/>
          <w:color w:val="auto"/>
        </w:rPr>
      </w:pPr>
      <w:r>
        <w:rPr>
          <w:rFonts w:ascii="Times New Roman" w:cs="Times New Roman" w:eastAsia="Times New Roman" w:hAnsi="Times New Roman"/>
          <w:sz w:val="18"/>
          <w:szCs w:val="18"/>
          <w:color w:val="auto"/>
        </w:rPr>
        <w:t>Landlord purchased a new generator to serve the property located at 504 Rosa Road and then dedicated the current generator exclusively to the Leased Premises and Expansion Premises for Tenant. Prior to the expiration of the Rent Abatement Period, Tenant shall pay to Landlord a one-time generator fee equal to $53,000.00, which amount may be paid from the TI Allowance.</w:t>
      </w:r>
    </w:p>
    <w:p>
      <w:pPr>
        <w:spacing w:after="0" w:line="116" w:lineRule="exact"/>
        <w:rPr>
          <w:sz w:val="20"/>
          <w:szCs w:val="20"/>
          <w:color w:val="auto"/>
        </w:rPr>
      </w:pPr>
    </w:p>
    <w:p>
      <w:pPr>
        <w:ind w:right="80" w:firstLine="1505"/>
        <w:spacing w:after="0" w:line="243" w:lineRule="auto"/>
        <w:tabs>
          <w:tab w:leader="none" w:pos="2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Generator at 500 Building</w:t>
      </w:r>
      <w:r>
        <w:rPr>
          <w:rFonts w:ascii="Times New Roman" w:cs="Times New Roman" w:eastAsia="Times New Roman" w:hAnsi="Times New Roman"/>
          <w:sz w:val="19"/>
          <w:szCs w:val="19"/>
          <w:color w:val="auto"/>
        </w:rPr>
        <w:t>. To the extent that Roche and/or Nimble abandons its generator serving the 500 Building,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Landlord will quit claim Landlord’s interest in such generator to Tenant, without representation or warranty of any kind, following which Landlord shall have no obligation to maintain, repair or replace the same and the generator shall be treated as part of Tenant’s Improvements, to be maintained, repaired, replaced and/or removed by Tenant. In the event that Roche and/or Nimble abandons its generator as set forth in the immediately preceding sentence, Landlord will use reasonable efforts to obtain and provide to Tenant historic preventative maintenance logs and reports regarding the generator.</w:t>
      </w:r>
    </w:p>
    <w:p>
      <w:pPr>
        <w:spacing w:after="0" w:line="157" w:lineRule="exact"/>
        <w:rPr>
          <w:rFonts w:ascii="Times New Roman" w:cs="Times New Roman" w:eastAsia="Times New Roman" w:hAnsi="Times New Roman"/>
          <w:sz w:val="18"/>
          <w:szCs w:val="18"/>
          <w:color w:val="auto"/>
        </w:rPr>
      </w:pPr>
    </w:p>
    <w:p>
      <w:pPr>
        <w:jc w:val="both"/>
        <w:ind w:firstLine="1505"/>
        <w:spacing w:after="0" w:line="252" w:lineRule="auto"/>
        <w:tabs>
          <w:tab w:leader="none" w:pos="233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Common Areas/Parking</w:t>
      </w:r>
      <w:r>
        <w:rPr>
          <w:rFonts w:ascii="Times New Roman" w:cs="Times New Roman" w:eastAsia="Times New Roman" w:hAnsi="Times New Roman"/>
          <w:sz w:val="19"/>
          <w:szCs w:val="19"/>
          <w:color w:val="auto"/>
        </w:rPr>
        <w:t>. Without limiting Section 5.1 of the Original Lease, Tenant acknowledges that Landlord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reserves the right to increase, decrease, alter, add to or eliminate the Common Area or portions thereof and to construct improvements thereon, including the designation by Landlord of parking spaces or other Common Areas for the exclusive use by one or more tenant, occupant or user; provided, however, that reasonable access to and use of the Leased Premises is provided and Landlord uses reasonable measures to minimize disruption or interruption to the conduct of Tenant’s business operations at the Leased Premises. Landlord further reserves the right to implement a district parking management program which would assign employee parking to new locations or structures within reasonable walking distance to the Buildings, which program Tenant shall implement and abide by, provided, however, that any such program would not</w:t>
      </w:r>
    </w:p>
    <w:p>
      <w:pPr>
        <w:spacing w:after="0" w:line="3" w:lineRule="exact"/>
        <w:rPr>
          <w:rFonts w:ascii="Times New Roman" w:cs="Times New Roman" w:eastAsia="Times New Roman" w:hAnsi="Times New Roman"/>
          <w:sz w:val="18"/>
          <w:szCs w:val="18"/>
          <w:color w:val="auto"/>
        </w:rPr>
      </w:pPr>
    </w:p>
    <w:p>
      <w:pPr>
        <w:ind w:firstLine="8"/>
        <w:spacing w:after="0" w:line="246" w:lineRule="auto"/>
        <w:tabs>
          <w:tab w:leader="none" w:pos="24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overall parking available to Tenant or (ii) increase the Rent payable by Tenant, without Tenant’s written consent which may be withheld in Tenant’s sole discretion.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43149540v7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3"/>
          <w:szCs w:val="13"/>
          <w:color w:val="auto"/>
        </w:rPr>
        <w:t>DocuSign Envelope ID: 256996CC-2BE8-4440-9C25-54EC12980524</w:t>
      </w:r>
    </w:p>
    <w:p>
      <w:pPr>
        <w:spacing w:after="0" w:line="214" w:lineRule="exact"/>
        <w:rPr>
          <w:sz w:val="20"/>
          <w:szCs w:val="20"/>
          <w:color w:val="auto"/>
        </w:rPr>
      </w:pPr>
    </w:p>
    <w:p>
      <w:pPr>
        <w:jc w:val="both"/>
        <w:ind w:firstLine="1402"/>
        <w:spacing w:after="0" w:line="256" w:lineRule="auto"/>
        <w:tabs>
          <w:tab w:leader="none" w:pos="219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Installation, Repair and Maintenance. </w:t>
      </w:r>
      <w:r>
        <w:rPr>
          <w:rFonts w:ascii="Times New Roman" w:cs="Times New Roman" w:eastAsia="Times New Roman" w:hAnsi="Times New Roman"/>
          <w:sz w:val="20"/>
          <w:szCs w:val="20"/>
          <w:color w:val="auto"/>
        </w:rPr>
        <w:t>Sections 3.1 and 3.2 of the Original Lease are amended and restated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their entirety as follows (but remain subject to Landlord’s obligations under this Fifth Amendment including but not limited to Landlord’s obligation to complete Landlord’s Work in accordance with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32" w:lineRule="exact"/>
        <w:rPr>
          <w:sz w:val="20"/>
          <w:szCs w:val="20"/>
          <w:color w:val="auto"/>
        </w:rPr>
      </w:pPr>
    </w:p>
    <w:p>
      <w:pPr>
        <w:ind w:left="1500" w:right="80"/>
        <w:spacing w:after="0" w:line="254" w:lineRule="auto"/>
        <w:rPr>
          <w:sz w:val="20"/>
          <w:szCs w:val="20"/>
          <w:color w:val="auto"/>
        </w:rPr>
      </w:pPr>
      <w:r>
        <w:rPr>
          <w:rFonts w:ascii="Times New Roman" w:cs="Times New Roman" w:eastAsia="Times New Roman" w:hAnsi="Times New Roman"/>
          <w:sz w:val="19"/>
          <w:szCs w:val="19"/>
          <w:color w:val="auto"/>
        </w:rPr>
        <w:t>“3.1. Maintenance by Tenant. Tenant shall at all times keep the Leased Premises and all partitions, doors, fixtures, equipment and appurtenances thereof (including but not limited to electrical, lighting, HVAC and plumbing equipment, lines and equipment or systems servicing only the Leased Premises), all Tenant Improvements and other alterations made by Tenant and those items set forth on Schedule 3.1 attached hereto in good order, condition and repair, reasonable wear and tear excepted. Tenant shall provide Landlord with evidence at such times as set forth on Schedule 3.1 and at such other times as may be reasonably requested by Landlord, including to the extent applicable, service contracts, invoices, payment records, preventative maintenance logs and reports and other records reasonably requested by Landlord, to evidence that Tenant is timely performing its obligations in a good and workmanlike manner. Landlord shall be provided with reasonable access to the Leased Premises from time to time to verify Tenant’s compliance with the maintenance, repair and replacement obligations. If Tenant refuses or neglects to repair as required hereunder and to the reasonable satisfaction of Landlord as soon as reasonably possible after written demand, Landlord may access the Leased Premises and may make such repairs without liability to Tenant for any loss or damage that may accrue to Tenant’s property or to Tenant’s business by reason thereof and upon completion thereof, Tenant shall pay Landlord’s costs for making such repairs plus twenty percent (20%) for overhead, upon presentation of a bill therefore, as additional rent. When used in this section, the term “repairs” shall include replacements and renewals when necessary and all such repairs shall be equal in quality and class of original work. For the avoidance of doubt, all repairs to be completed and paid for by Tenant as set forth above and in Schedule 3.1 will not be included in Common Area costs pursuant to Section 5.5.</w:t>
      </w:r>
    </w:p>
    <w:p>
      <w:pPr>
        <w:spacing w:after="0" w:line="160" w:lineRule="exact"/>
        <w:rPr>
          <w:sz w:val="20"/>
          <w:szCs w:val="20"/>
          <w:color w:val="auto"/>
        </w:rPr>
      </w:pPr>
    </w:p>
    <w:p>
      <w:pPr>
        <w:ind w:left="1500" w:right="20"/>
        <w:spacing w:after="0" w:line="244" w:lineRule="auto"/>
        <w:rPr>
          <w:sz w:val="20"/>
          <w:szCs w:val="20"/>
          <w:color w:val="auto"/>
        </w:rPr>
      </w:pPr>
      <w:r>
        <w:rPr>
          <w:rFonts w:ascii="Times New Roman" w:cs="Times New Roman" w:eastAsia="Times New Roman" w:hAnsi="Times New Roman"/>
          <w:sz w:val="20"/>
          <w:szCs w:val="20"/>
          <w:color w:val="auto"/>
        </w:rPr>
        <w:t>3.2. Maintenance by Landlord. Landlord shall keep the foundation, exterior and structural portions of exterior walls, roof, all other structural members of the Leased Premises and all Common Areas, including any electrical, HVAC and plumbing lines and equipment not exclusively servicing the Leased Premises (all of which shall be considered as part of Common Areas and included as a Common Area charge pursuant to Section 5.5) in good repair and shall have access to the Leased Premises for such purpose, but Landlord shall not be required to make any such repairs which become necessary or desirable by reason of the negligence of Tenant, its agents, servants, employees or customers or to the extent related to Tenant Improvements or other alterations.”</w:t>
      </w:r>
    </w:p>
    <w:p>
      <w:pPr>
        <w:spacing w:after="0" w:line="145" w:lineRule="exact"/>
        <w:rPr>
          <w:sz w:val="20"/>
          <w:szCs w:val="20"/>
          <w:color w:val="auto"/>
        </w:rPr>
      </w:pPr>
    </w:p>
    <w:p>
      <w:pPr>
        <w:ind w:right="180" w:firstLine="757"/>
        <w:spacing w:after="0" w:line="259" w:lineRule="auto"/>
        <w:tabs>
          <w:tab w:leader="none" w:pos="154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Force Majeure. </w:t>
      </w:r>
      <w:r>
        <w:rPr>
          <w:rFonts w:ascii="Times New Roman" w:cs="Times New Roman" w:eastAsia="Times New Roman" w:hAnsi="Times New Roman"/>
          <w:sz w:val="19"/>
          <w:szCs w:val="19"/>
          <w:color w:val="auto"/>
        </w:rPr>
        <w:t>The first sentence of Section 10.17 of the Original Lease is amended to clarify that force majeure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include a pandemic, public health crisis or other health-related events that cause any government or health agency to declare a public health emergency, quarantine, travel restrictions or limitations on public gatherings or that cause governmental agencies or businesses to close or adopt restrictive practices in the area in which the Premises is located that materially interfere with the ability of a party to perform a particular obligation pursuant to the Lease.</w:t>
      </w:r>
    </w:p>
    <w:p>
      <w:pPr>
        <w:spacing w:after="0" w:line="131" w:lineRule="exact"/>
        <w:rPr>
          <w:rFonts w:ascii="Times New Roman" w:cs="Times New Roman" w:eastAsia="Times New Roman" w:hAnsi="Times New Roman"/>
          <w:sz w:val="20"/>
          <w:szCs w:val="20"/>
          <w:color w:val="auto"/>
        </w:rPr>
      </w:pPr>
    </w:p>
    <w:p>
      <w:pPr>
        <w:ind w:right="320" w:firstLine="757"/>
        <w:spacing w:after="0" w:line="258" w:lineRule="auto"/>
        <w:tabs>
          <w:tab w:leader="none" w:pos="154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Additional Expansion Opportunities (500 Building). </w:t>
      </w:r>
      <w:r>
        <w:rPr>
          <w:rFonts w:ascii="Times New Roman" w:cs="Times New Roman" w:eastAsia="Times New Roman" w:hAnsi="Times New Roman"/>
          <w:sz w:val="19"/>
          <w:szCs w:val="19"/>
          <w:color w:val="auto"/>
        </w:rPr>
        <w:t>Subject to any and all necessary approvals, licensing, permitting,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an agreement to cost allocation and rental rates, Tenant and Landlord verbally agreed that they will jointly pursue the construction of approximately 3,700 square feet on the east side of the 500 Building, generally as shown herein in Exhibit E. Upon execution of this Fifth Lease Amendment, the Parties shall use commercially reasonable efforts, act in a commercially reasonable manner and negotiate in good faith to reach an agreement in the form of a new amendment to the Lease regarding the construction and lease of this additional space to Tenant, with the mutual understanding that Tenant desires to have such additional square footage constructed promptly.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43149540v7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3"/>
          <w:szCs w:val="13"/>
          <w:color w:val="auto"/>
        </w:rPr>
        <w:t>DocuSign Envelope ID: 256996CC-2BE8-4440-9C25-54EC12980524</w:t>
      </w:r>
    </w:p>
    <w:p>
      <w:pPr>
        <w:spacing w:after="0" w:line="218" w:lineRule="exact"/>
        <w:rPr>
          <w:sz w:val="20"/>
          <w:szCs w:val="20"/>
          <w:color w:val="auto"/>
        </w:rPr>
      </w:pPr>
    </w:p>
    <w:p>
      <w:pPr>
        <w:ind w:firstLine="757"/>
        <w:spacing w:after="0" w:line="256" w:lineRule="auto"/>
        <w:tabs>
          <w:tab w:leader="none" w:pos="154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Additional Expansion Opportunities (University Research Park). </w:t>
      </w:r>
      <w:r>
        <w:rPr>
          <w:rFonts w:ascii="Times New Roman" w:cs="Times New Roman" w:eastAsia="Times New Roman" w:hAnsi="Times New Roman"/>
          <w:sz w:val="19"/>
          <w:szCs w:val="19"/>
          <w:color w:val="auto"/>
        </w:rPr>
        <w:t>In the event Tenant seeks additional space, including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Landlord’s long-term expansion plan, Tenant may notify Landlord of its requirements (including programmatic requirements and timetable). Landlord and Tenant may negotiate for additional space subject to a separate and mutually agreeable lease or amendment. At Tenant’s request (including programmatic requirements and timetable), Landlord will provide Tenant with a proposal to construct additional contiguous space to the Leased Premises or an alternate location determined by Landlord. Such proposal will include construction of the exterior structure, façade, walls, structural support and roof and will be based on conditions at the time of the proposal, including market rents, current and projected interest rates, construction costs, the expansion size, availability/site control of nearby land, the required parking solution and the long term value of the expansion to Landlord.</w:t>
      </w:r>
    </w:p>
    <w:p>
      <w:pPr>
        <w:spacing w:after="0" w:line="134" w:lineRule="exact"/>
        <w:rPr>
          <w:rFonts w:ascii="Times New Roman" w:cs="Times New Roman" w:eastAsia="Times New Roman" w:hAnsi="Times New Roman"/>
          <w:sz w:val="20"/>
          <w:szCs w:val="20"/>
          <w:color w:val="auto"/>
        </w:rPr>
      </w:pPr>
    </w:p>
    <w:p>
      <w:pPr>
        <w:ind w:firstLine="757"/>
        <w:spacing w:after="0" w:line="266" w:lineRule="auto"/>
        <w:tabs>
          <w:tab w:leader="none" w:pos="154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Effect. </w:t>
      </w:r>
      <w:r>
        <w:rPr>
          <w:rFonts w:ascii="Times New Roman" w:cs="Times New Roman" w:eastAsia="Times New Roman" w:hAnsi="Times New Roman"/>
          <w:sz w:val="19"/>
          <w:szCs w:val="19"/>
          <w:color w:val="auto"/>
        </w:rPr>
        <w:t>Except as amended by this Amendment, all of the terms, covenants, conditions, provisions, and agreements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Original Lease remain in full force and effect. The provisions of this Amendment supersede and control over any conflicting provisions in the Original Lease.</w:t>
      </w:r>
    </w:p>
    <w:p>
      <w:pPr>
        <w:spacing w:after="0" w:line="138" w:lineRule="exact"/>
        <w:rPr>
          <w:rFonts w:ascii="Times New Roman" w:cs="Times New Roman" w:eastAsia="Times New Roman" w:hAnsi="Times New Roman"/>
          <w:sz w:val="20"/>
          <w:szCs w:val="20"/>
          <w:color w:val="auto"/>
        </w:rPr>
      </w:pPr>
    </w:p>
    <w:p>
      <w:pPr>
        <w:ind w:right="100" w:firstLine="757"/>
        <w:spacing w:after="0" w:line="257" w:lineRule="auto"/>
        <w:tabs>
          <w:tab w:leader="none" w:pos="154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Estoppel. </w:t>
      </w:r>
      <w:r>
        <w:rPr>
          <w:rFonts w:ascii="Times New Roman" w:cs="Times New Roman" w:eastAsia="Times New Roman" w:hAnsi="Times New Roman"/>
          <w:sz w:val="19"/>
          <w:szCs w:val="19"/>
          <w:color w:val="auto"/>
        </w:rPr>
        <w:t>Tenant and Landlord hereby represent and warrant that, as of the date hereof (to the best of their actual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knowledge with respect to items (b) and (c)), (a) the Lease is in full force and effect and has not been modified or amended, except as set forth herein, (b) neither Tenant nor Landlord is in default under the Lease nor does Tenant or Landlord have any knowledge of any event which with the giving of notice and passage of time would result in a default, and (c) Landlord and Tenant have performed all obligations on each of their respective parts under the Lease, and neither Party has any claims against the other Party, including any claims of offset against any rent or other sums payable by Tenant under the Lease. Without limiting the forgoing, Tenant hereby consents and waives and rights or claims against Landlord related to Nimble or Roche’s occupancy of the Third Expansion Premises as set forth above.</w:t>
      </w:r>
    </w:p>
    <w:p>
      <w:pPr>
        <w:spacing w:after="0" w:line="128" w:lineRule="exact"/>
        <w:rPr>
          <w:rFonts w:ascii="Times New Roman" w:cs="Times New Roman" w:eastAsia="Times New Roman" w:hAnsi="Times New Roman"/>
          <w:sz w:val="20"/>
          <w:szCs w:val="20"/>
          <w:color w:val="auto"/>
        </w:rPr>
      </w:pPr>
    </w:p>
    <w:p>
      <w:pPr>
        <w:ind w:right="60" w:firstLine="757"/>
        <w:spacing w:after="0" w:line="250" w:lineRule="auto"/>
        <w:tabs>
          <w:tab w:leader="none" w:pos="154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This Amendment and the Original Lease embodies the entire agreement between the patties as to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matter and supersedes any prior agreements with respect thereto. There are no agreements or understandings between the parties with respect to the subject matter of this Amendment not set forth in this Amendment or the Original Lease. This Amendment cannot be modified except by a writing signed by both parties.</w:t>
      </w:r>
    </w:p>
    <w:p>
      <w:pPr>
        <w:spacing w:after="0" w:line="135" w:lineRule="exact"/>
        <w:rPr>
          <w:rFonts w:ascii="Times New Roman" w:cs="Times New Roman" w:eastAsia="Times New Roman" w:hAnsi="Times New Roman"/>
          <w:sz w:val="20"/>
          <w:szCs w:val="20"/>
          <w:color w:val="auto"/>
        </w:rPr>
      </w:pPr>
    </w:p>
    <w:p>
      <w:pPr>
        <w:ind w:right="40" w:firstLine="757"/>
        <w:spacing w:after="0" w:line="245" w:lineRule="auto"/>
        <w:tabs>
          <w:tab w:leader="none" w:pos="154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Signing and Delivery. </w:t>
      </w:r>
      <w:r>
        <w:rPr>
          <w:rFonts w:ascii="Times New Roman" w:cs="Times New Roman" w:eastAsia="Times New Roman" w:hAnsi="Times New Roman"/>
          <w:sz w:val="20"/>
          <w:szCs w:val="20"/>
          <w:color w:val="auto"/>
        </w:rPr>
        <w:t>This Amendment will be effective only when both Landlord and Tenant have signed and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Landlord’s submission of an unsigned copy this Amendment to Tenant for evaluation, negotiation, or signature by Tenant will not constitute signature of this Amendment by Landlord or otherwise bind Landlord, regardless of whether the cover letter or email transmitting that copy of this Amendment is signed or contains words of approval. This Amendment may be signed in counterparts and, when counterparts of this Amendment have been signed and delivered by the required parties as provided in this section, this Amendment will be fully binding and effective, just as if both of the parties had signed and delivered a single counterpart of this Amendment. Any counterpart transmitted by facsimile or email shall, in all cases, be deemed an original signature.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43149540v7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3"/>
          <w:szCs w:val="13"/>
          <w:color w:val="auto"/>
        </w:rPr>
        <w:t>DocuSign Envelope ID: 256996CC-2BE8-4440-9C25-54EC12980524</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this Fifth Amendment to Lease is signed by the pmties as of the date set fmth above.</w:t>
      </w:r>
    </w:p>
    <w:p>
      <w:pPr>
        <w:spacing w:after="0" w:line="17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b w:val="1"/>
          <w:bCs w:val="1"/>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170815</wp:posOffset>
            </wp:positionV>
            <wp:extent cx="2623185" cy="916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262318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b w:val="1"/>
          <w:bCs w:val="1"/>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170815</wp:posOffset>
            </wp:positionV>
            <wp:extent cx="2554605" cy="7200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25546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3"/>
        <w:spacing w:after="0" w:line="254" w:lineRule="auto"/>
        <w:rPr>
          <w:sz w:val="20"/>
          <w:szCs w:val="20"/>
          <w:color w:val="auto"/>
        </w:rPr>
      </w:pPr>
      <w:r>
        <w:rPr>
          <w:rFonts w:ascii="Times New Roman" w:cs="Times New Roman" w:eastAsia="Times New Roman" w:hAnsi="Times New Roman"/>
          <w:sz w:val="20"/>
          <w:szCs w:val="20"/>
          <w:color w:val="auto"/>
        </w:rPr>
        <w:t>The undersigned Guarantor consents to the terms of this Fifth Amendment to Lease Agreement and agrees that except as limited by the First Amendment to Lease Agreement dated October 22, 2018, the Guaranty Agreement dated January 8, 2016 remains in full force and effect, including with respect to Tenant’s obligations pursuant to this Fifth Amendment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142240</wp:posOffset>
            </wp:positionV>
            <wp:extent cx="2828925" cy="1054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282892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43149540v7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3"/>
          <w:szCs w:val="13"/>
          <w:color w:val="auto"/>
        </w:rPr>
        <w:t>DocuSign Envelope ID: 256996CC-2BE8-4440-9C25-54EC12980524</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161615"/>
        </w:rPr>
        <w:t>Exhibit C</w:t>
      </w:r>
    </w:p>
    <w:p>
      <w:pPr>
        <w:spacing w:after="0" w:line="244" w:lineRule="exact"/>
        <w:rPr>
          <w:sz w:val="20"/>
          <w:szCs w:val="20"/>
          <w:color w:val="auto"/>
        </w:rPr>
      </w:pPr>
    </w:p>
    <w:tbl>
      <w:tblPr>
        <w:tblLayout w:type="fixed"/>
        <w:tblInd w:w="30" w:type="dxa"/>
        <w:tblCellMar>
          <w:top w:w="0" w:type="dxa"/>
          <w:left w:w="0" w:type="dxa"/>
          <w:bottom w:w="0" w:type="dxa"/>
          <w:right w:w="0" w:type="dxa"/>
        </w:tblCellMar>
      </w:tblPr>
      <w:tr>
        <w:trPr>
          <w:trHeight w:val="191"/>
        </w:trPr>
        <w:tc>
          <w:tcPr>
            <w:tcW w:w="880" w:type="dxa"/>
            <w:vAlign w:val="bottom"/>
            <w:tcBorders>
              <w:right w:val="single" w:sz="8" w:color="auto"/>
            </w:tcBorders>
          </w:tcPr>
          <w:p>
            <w:pPr>
              <w:spacing w:after="0"/>
              <w:rPr>
                <w:sz w:val="16"/>
                <w:szCs w:val="16"/>
                <w:color w:val="auto"/>
              </w:rPr>
            </w:pPr>
          </w:p>
        </w:tc>
        <w:tc>
          <w:tcPr>
            <w:tcW w:w="1500" w:type="dxa"/>
            <w:vAlign w:val="bottom"/>
            <w:tcBorders>
              <w:top w:val="single" w:sz="8" w:color="auto"/>
              <w:right w:val="single" w:sz="8" w:color="auto"/>
            </w:tcBorders>
          </w:tcPr>
          <w:p>
            <w:pPr>
              <w:spacing w:after="0"/>
              <w:rPr>
                <w:sz w:val="16"/>
                <w:szCs w:val="16"/>
                <w:color w:val="auto"/>
              </w:rPr>
            </w:pP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Base</w:t>
            </w:r>
          </w:p>
        </w:tc>
        <w:tc>
          <w:tcPr>
            <w:tcW w:w="17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Base</w:t>
            </w:r>
          </w:p>
        </w:tc>
        <w:tc>
          <w:tcPr>
            <w:tcW w:w="1360" w:type="dxa"/>
            <w:vAlign w:val="bottom"/>
            <w:tcBorders>
              <w:top w:val="single" w:sz="8" w:color="auto"/>
              <w:right w:val="single" w:sz="8" w:color="auto"/>
            </w:tcBorders>
            <w:shd w:val="clear" w:color="auto" w:fill="FEFCE3"/>
          </w:tcPr>
          <w:p>
            <w:pPr>
              <w:spacing w:after="0"/>
              <w:rPr>
                <w:sz w:val="16"/>
                <w:szCs w:val="16"/>
                <w:color w:val="auto"/>
              </w:rPr>
            </w:pPr>
          </w:p>
        </w:tc>
        <w:tc>
          <w:tcPr>
            <w:tcW w:w="1380" w:type="dxa"/>
            <w:vAlign w:val="bottom"/>
            <w:tcBorders>
              <w:top w:val="single" w:sz="8" w:color="auto"/>
              <w:right w:val="single" w:sz="8" w:color="auto"/>
            </w:tcBorders>
            <w:vMerge w:val="restart"/>
            <w:shd w:val="clear" w:color="auto" w:fill="FEFCE3"/>
          </w:tcPr>
          <w:p>
            <w:pPr>
              <w:jc w:val="center"/>
              <w:spacing w:after="0"/>
              <w:rPr>
                <w:sz w:val="20"/>
                <w:szCs w:val="20"/>
                <w:color w:val="auto"/>
              </w:rPr>
            </w:pPr>
            <w:r>
              <w:rPr>
                <w:rFonts w:ascii="Times New Roman" w:cs="Times New Roman" w:eastAsia="Times New Roman" w:hAnsi="Times New Roman"/>
                <w:sz w:val="14"/>
                <w:szCs w:val="14"/>
                <w:b w:val="1"/>
                <w:bCs w:val="1"/>
                <w:color w:val="auto"/>
              </w:rPr>
              <w:t>Total Base</w:t>
            </w:r>
          </w:p>
        </w:tc>
        <w:tc>
          <w:tcPr>
            <w:tcW w:w="1380" w:type="dxa"/>
            <w:vAlign w:val="bottom"/>
            <w:tcBorders>
              <w:top w:val="single" w:sz="8" w:color="auto"/>
              <w:right w:val="single" w:sz="8" w:color="auto"/>
            </w:tcBorders>
            <w:shd w:val="clear" w:color="auto" w:fill="FEFCE3"/>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4"/>
                <w:szCs w:val="14"/>
                <w:b w:val="1"/>
                <w:bCs w:val="1"/>
                <w:color w:val="auto"/>
              </w:rPr>
              <w:t>Monthly</w:t>
            </w: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Base</w:t>
            </w:r>
          </w:p>
        </w:tc>
        <w:tc>
          <w:tcPr>
            <w:tcW w:w="0" w:type="dxa"/>
            <w:vAlign w:val="bottom"/>
          </w:tcPr>
          <w:p>
            <w:pPr>
              <w:spacing w:after="0"/>
              <w:rPr>
                <w:sz w:val="1"/>
                <w:szCs w:val="1"/>
                <w:color w:val="auto"/>
              </w:rPr>
            </w:pPr>
          </w:p>
        </w:tc>
      </w:tr>
      <w:tr>
        <w:trPr>
          <w:trHeight w:val="160"/>
        </w:trPr>
        <w:tc>
          <w:tcPr>
            <w:tcW w:w="88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vMerge w:val="continue"/>
          </w:tcPr>
          <w:p>
            <w:pPr>
              <w:spacing w:after="0"/>
              <w:rPr>
                <w:sz w:val="13"/>
                <w:szCs w:val="13"/>
                <w:color w:val="auto"/>
              </w:rPr>
            </w:pPr>
          </w:p>
        </w:tc>
        <w:tc>
          <w:tcPr>
            <w:tcW w:w="1760" w:type="dxa"/>
            <w:vAlign w:val="bottom"/>
            <w:tcBorders>
              <w:right w:val="single" w:sz="8" w:color="auto"/>
            </w:tcBorders>
            <w:vMerge w:val="continue"/>
          </w:tcPr>
          <w:p>
            <w:pPr>
              <w:spacing w:after="0"/>
              <w:rPr>
                <w:sz w:val="13"/>
                <w:szCs w:val="13"/>
                <w:color w:val="auto"/>
              </w:rPr>
            </w:pPr>
          </w:p>
        </w:tc>
        <w:tc>
          <w:tcPr>
            <w:tcW w:w="1360" w:type="dxa"/>
            <w:vAlign w:val="bottom"/>
            <w:tcBorders>
              <w:right w:val="single" w:sz="8" w:color="auto"/>
            </w:tcBorders>
            <w:shd w:val="clear" w:color="auto" w:fill="FEFCE3"/>
          </w:tcPr>
          <w:p>
            <w:pPr>
              <w:ind w:left="460"/>
              <w:spacing w:after="0" w:line="160" w:lineRule="exact"/>
              <w:rPr>
                <w:sz w:val="20"/>
                <w:szCs w:val="20"/>
                <w:color w:val="auto"/>
              </w:rPr>
            </w:pPr>
            <w:r>
              <w:rPr>
                <w:rFonts w:ascii="Times New Roman" w:cs="Times New Roman" w:eastAsia="Times New Roman" w:hAnsi="Times New Roman"/>
                <w:sz w:val="14"/>
                <w:szCs w:val="14"/>
                <w:b w:val="1"/>
                <w:bCs w:val="1"/>
                <w:color w:val="auto"/>
              </w:rPr>
              <w:t>Third</w:t>
            </w:r>
          </w:p>
        </w:tc>
        <w:tc>
          <w:tcPr>
            <w:tcW w:w="1380" w:type="dxa"/>
            <w:vAlign w:val="bottom"/>
            <w:tcBorders>
              <w:right w:val="single" w:sz="8" w:color="auto"/>
            </w:tcBorders>
            <w:vMerge w:val="continue"/>
            <w:shd w:val="clear" w:color="auto" w:fill="FEFCE3"/>
          </w:tcPr>
          <w:p>
            <w:pPr>
              <w:spacing w:after="0"/>
              <w:rPr>
                <w:sz w:val="13"/>
                <w:szCs w:val="13"/>
                <w:color w:val="auto"/>
              </w:rPr>
            </w:pPr>
          </w:p>
        </w:tc>
        <w:tc>
          <w:tcPr>
            <w:tcW w:w="1380" w:type="dxa"/>
            <w:vAlign w:val="bottom"/>
            <w:tcBorders>
              <w:right w:val="single" w:sz="8" w:color="auto"/>
            </w:tcBorders>
            <w:shd w:val="clear" w:color="auto" w:fill="FEFCE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Rent</w:t>
            </w:r>
          </w:p>
        </w:tc>
        <w:tc>
          <w:tcPr>
            <w:tcW w:w="1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Rent/Monthly</w:t>
            </w:r>
          </w:p>
        </w:tc>
        <w:tc>
          <w:tcPr>
            <w:tcW w:w="1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Rent/Monthly First</w:t>
            </w:r>
          </w:p>
        </w:tc>
        <w:tc>
          <w:tcPr>
            <w:tcW w:w="1360" w:type="dxa"/>
            <w:vAlign w:val="bottom"/>
            <w:tcBorders>
              <w:right w:val="single" w:sz="8" w:color="auto"/>
            </w:tcBorders>
            <w:shd w:val="clear" w:color="auto" w:fill="FEFCE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Expansion</w:t>
            </w:r>
          </w:p>
        </w:tc>
        <w:tc>
          <w:tcPr>
            <w:tcW w:w="1380" w:type="dxa"/>
            <w:vAlign w:val="bottom"/>
            <w:tcBorders>
              <w:right w:val="single" w:sz="8" w:color="auto"/>
            </w:tcBorders>
            <w:shd w:val="clear" w:color="auto" w:fill="FEFCE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Rent/Monthly</w:t>
            </w:r>
          </w:p>
        </w:tc>
        <w:tc>
          <w:tcPr>
            <w:tcW w:w="1380" w:type="dxa"/>
            <w:vAlign w:val="bottom"/>
            <w:tcBorders>
              <w:right w:val="single" w:sz="8" w:color="auto"/>
            </w:tcBorders>
            <w:shd w:val="clear" w:color="auto" w:fill="FEFCE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Concession</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Rent/Monthly</w:t>
            </w:r>
          </w:p>
        </w:tc>
        <w:tc>
          <w:tcPr>
            <w:tcW w:w="0" w:type="dxa"/>
            <w:vAlign w:val="bottom"/>
          </w:tcPr>
          <w:p>
            <w:pPr>
              <w:spacing w:after="0"/>
              <w:rPr>
                <w:sz w:val="1"/>
                <w:szCs w:val="1"/>
                <w:color w:val="auto"/>
              </w:rPr>
            </w:pPr>
          </w:p>
        </w:tc>
      </w:tr>
      <w:tr>
        <w:trPr>
          <w:trHeight w:val="189"/>
        </w:trPr>
        <w:tc>
          <w:tcPr>
            <w:tcW w:w="8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Original Premises</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Second</w:t>
            </w:r>
          </w:p>
        </w:tc>
        <w:tc>
          <w:tcPr>
            <w:tcW w:w="1360" w:type="dxa"/>
            <w:vAlign w:val="bottom"/>
            <w:tcBorders>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4"/>
                <w:szCs w:val="14"/>
                <w:b w:val="1"/>
                <w:bCs w:val="1"/>
                <w:color w:val="auto"/>
              </w:rPr>
              <w:t>Premises**</w:t>
            </w:r>
          </w:p>
        </w:tc>
        <w:tc>
          <w:tcPr>
            <w:tcW w:w="1380" w:type="dxa"/>
            <w:vAlign w:val="bottom"/>
            <w:tcBorders>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380" w:type="dxa"/>
            <w:vAlign w:val="bottom"/>
            <w:tcBorders>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56"/>
        </w:trPr>
        <w:tc>
          <w:tcPr>
            <w:tcW w:w="88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600" w:type="dxa"/>
            <w:vAlign w:val="bottom"/>
            <w:tcBorders>
              <w:right w:val="single" w:sz="8" w:color="auto"/>
            </w:tcBorders>
          </w:tcPr>
          <w:p>
            <w:pPr>
              <w:spacing w:after="0"/>
              <w:rPr>
                <w:sz w:val="4"/>
                <w:szCs w:val="4"/>
                <w:color w:val="auto"/>
              </w:rPr>
            </w:pPr>
          </w:p>
        </w:tc>
        <w:tc>
          <w:tcPr>
            <w:tcW w:w="1760" w:type="dxa"/>
            <w:vAlign w:val="bottom"/>
            <w:tcBorders>
              <w:right w:val="single" w:sz="8" w:color="auto"/>
            </w:tcBorders>
          </w:tcPr>
          <w:p>
            <w:pPr>
              <w:jc w:val="center"/>
              <w:spacing w:after="0" w:line="57" w:lineRule="exact"/>
              <w:rPr>
                <w:sz w:val="20"/>
                <w:szCs w:val="20"/>
                <w:color w:val="auto"/>
              </w:rPr>
            </w:pPr>
            <w:r>
              <w:rPr>
                <w:rFonts w:ascii="Times New Roman" w:cs="Times New Roman" w:eastAsia="Times New Roman" w:hAnsi="Times New Roman"/>
                <w:sz w:val="6"/>
                <w:szCs w:val="6"/>
                <w:b w:val="1"/>
                <w:bCs w:val="1"/>
                <w:color w:val="auto"/>
              </w:rPr>
              <w:t>Expansion</w:t>
            </w:r>
          </w:p>
        </w:tc>
        <w:tc>
          <w:tcPr>
            <w:tcW w:w="1360" w:type="dxa"/>
            <w:vAlign w:val="bottom"/>
            <w:tcBorders>
              <w:right w:val="single" w:sz="8" w:color="auto"/>
            </w:tcBorders>
            <w:shd w:val="clear" w:color="auto" w:fill="FEFCE3"/>
          </w:tcPr>
          <w:p>
            <w:pPr>
              <w:spacing w:after="0"/>
              <w:rPr>
                <w:sz w:val="4"/>
                <w:szCs w:val="4"/>
                <w:color w:val="auto"/>
              </w:rPr>
            </w:pPr>
          </w:p>
        </w:tc>
        <w:tc>
          <w:tcPr>
            <w:tcW w:w="1380" w:type="dxa"/>
            <w:vAlign w:val="bottom"/>
            <w:tcBorders>
              <w:right w:val="single" w:sz="8" w:color="auto"/>
            </w:tcBorders>
            <w:shd w:val="clear" w:color="auto" w:fill="FEFCE3"/>
          </w:tcPr>
          <w:p>
            <w:pPr>
              <w:jc w:val="center"/>
              <w:spacing w:after="0" w:line="57" w:lineRule="exact"/>
              <w:rPr>
                <w:sz w:val="20"/>
                <w:szCs w:val="20"/>
                <w:color w:val="auto"/>
              </w:rPr>
            </w:pPr>
            <w:r>
              <w:rPr>
                <w:rFonts w:ascii="Times New Roman" w:cs="Times New Roman" w:eastAsia="Times New Roman" w:hAnsi="Times New Roman"/>
                <w:sz w:val="6"/>
                <w:szCs w:val="6"/>
                <w:b w:val="1"/>
                <w:bCs w:val="1"/>
                <w:color w:val="auto"/>
              </w:rPr>
              <w:t>Expansion</w:t>
            </w:r>
          </w:p>
        </w:tc>
        <w:tc>
          <w:tcPr>
            <w:tcW w:w="1380" w:type="dxa"/>
            <w:vAlign w:val="bottom"/>
            <w:tcBorders>
              <w:right w:val="single" w:sz="8" w:color="auto"/>
            </w:tcBorders>
            <w:vMerge w:val="restart"/>
            <w:shd w:val="clear" w:color="auto" w:fill="FEFCE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Expansion</w:t>
            </w:r>
          </w:p>
        </w:tc>
        <w:tc>
          <w:tcPr>
            <w:tcW w:w="1380" w:type="dxa"/>
            <w:vAlign w:val="bottom"/>
            <w:tcBorders>
              <w:right w:val="single" w:sz="8" w:color="auto"/>
            </w:tcBorders>
          </w:tcPr>
          <w:p>
            <w:pPr>
              <w:jc w:val="center"/>
              <w:spacing w:after="0" w:line="57" w:lineRule="exact"/>
              <w:rPr>
                <w:sz w:val="20"/>
                <w:szCs w:val="20"/>
                <w:color w:val="auto"/>
              </w:rPr>
            </w:pPr>
            <w:r>
              <w:rPr>
                <w:rFonts w:ascii="Times New Roman" w:cs="Times New Roman" w:eastAsia="Times New Roman" w:hAnsi="Times New Roman"/>
                <w:sz w:val="6"/>
                <w:szCs w:val="6"/>
                <w:b w:val="1"/>
                <w:bCs w:val="1"/>
                <w:color w:val="auto"/>
              </w:rPr>
              <w:t>Premises</w:t>
            </w:r>
          </w:p>
        </w:tc>
        <w:tc>
          <w:tcPr>
            <w:tcW w:w="0" w:type="dxa"/>
            <w:vAlign w:val="bottom"/>
          </w:tcPr>
          <w:p>
            <w:pPr>
              <w:spacing w:after="0"/>
              <w:rPr>
                <w:sz w:val="1"/>
                <w:szCs w:val="1"/>
                <w:color w:val="auto"/>
              </w:rPr>
            </w:pPr>
          </w:p>
        </w:tc>
      </w:tr>
      <w:tr>
        <w:trPr>
          <w:trHeight w:val="92"/>
        </w:trPr>
        <w:tc>
          <w:tcPr>
            <w:tcW w:w="88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Premises</w:t>
            </w:r>
          </w:p>
        </w:tc>
        <w:tc>
          <w:tcPr>
            <w:tcW w:w="1360" w:type="dxa"/>
            <w:vAlign w:val="bottom"/>
            <w:tcBorders>
              <w:right w:val="single" w:sz="8" w:color="auto"/>
            </w:tcBorders>
            <w:shd w:val="clear" w:color="auto" w:fill="FEFCE3"/>
          </w:tcPr>
          <w:p>
            <w:pPr>
              <w:spacing w:after="0"/>
              <w:rPr>
                <w:sz w:val="8"/>
                <w:szCs w:val="8"/>
                <w:color w:val="auto"/>
              </w:rPr>
            </w:pPr>
          </w:p>
        </w:tc>
        <w:tc>
          <w:tcPr>
            <w:tcW w:w="1380" w:type="dxa"/>
            <w:vAlign w:val="bottom"/>
            <w:tcBorders>
              <w:right w:val="single" w:sz="8" w:color="auto"/>
            </w:tcBorders>
            <w:vMerge w:val="restart"/>
            <w:shd w:val="clear" w:color="auto" w:fill="FEFCE3"/>
          </w:tcPr>
          <w:p>
            <w:pPr>
              <w:jc w:val="center"/>
              <w:spacing w:after="0"/>
              <w:rPr>
                <w:sz w:val="20"/>
                <w:szCs w:val="20"/>
                <w:color w:val="auto"/>
              </w:rPr>
            </w:pPr>
            <w:r>
              <w:rPr>
                <w:rFonts w:ascii="Times New Roman" w:cs="Times New Roman" w:eastAsia="Times New Roman" w:hAnsi="Times New Roman"/>
                <w:sz w:val="14"/>
                <w:szCs w:val="14"/>
                <w:b w:val="1"/>
                <w:bCs w:val="1"/>
                <w:color w:val="auto"/>
              </w:rPr>
              <w:t>Premises</w:t>
            </w:r>
          </w:p>
        </w:tc>
        <w:tc>
          <w:tcPr>
            <w:tcW w:w="1380" w:type="dxa"/>
            <w:vAlign w:val="bottom"/>
            <w:tcBorders>
              <w:right w:val="single" w:sz="8" w:color="auto"/>
            </w:tcBorders>
            <w:vMerge w:val="continue"/>
            <w:shd w:val="clear" w:color="auto" w:fill="FEFCE3"/>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8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shd w:val="clear" w:color="auto" w:fill="FEFCE3"/>
          </w:tcPr>
          <w:p>
            <w:pPr>
              <w:spacing w:after="0"/>
              <w:rPr>
                <w:sz w:val="8"/>
                <w:szCs w:val="8"/>
                <w:color w:val="auto"/>
              </w:rPr>
            </w:pPr>
          </w:p>
        </w:tc>
        <w:tc>
          <w:tcPr>
            <w:tcW w:w="1380" w:type="dxa"/>
            <w:vAlign w:val="bottom"/>
            <w:tcBorders>
              <w:right w:val="single" w:sz="8" w:color="auto"/>
            </w:tcBorders>
            <w:vMerge w:val="continue"/>
            <w:shd w:val="clear" w:color="auto" w:fill="FEFCE3"/>
          </w:tcPr>
          <w:p>
            <w:pPr>
              <w:spacing w:after="0"/>
              <w:rPr>
                <w:sz w:val="8"/>
                <w:szCs w:val="8"/>
                <w:color w:val="auto"/>
              </w:rPr>
            </w:pPr>
          </w:p>
        </w:tc>
        <w:tc>
          <w:tcPr>
            <w:tcW w:w="1380" w:type="dxa"/>
            <w:vAlign w:val="bottom"/>
            <w:tcBorders>
              <w:right w:val="single" w:sz="8" w:color="auto"/>
            </w:tcBorders>
            <w:vMerge w:val="restart"/>
            <w:shd w:val="clear" w:color="auto" w:fill="FEFCE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Premises (up</w:t>
            </w:r>
          </w:p>
        </w:tc>
        <w:tc>
          <w:tcPr>
            <w:tcW w:w="1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88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shd w:val="clear" w:color="auto" w:fill="FEFCE3"/>
          </w:tcPr>
          <w:p>
            <w:pPr>
              <w:spacing w:after="0"/>
              <w:rPr>
                <w:sz w:val="4"/>
                <w:szCs w:val="4"/>
                <w:color w:val="auto"/>
              </w:rPr>
            </w:pPr>
          </w:p>
        </w:tc>
        <w:tc>
          <w:tcPr>
            <w:tcW w:w="1380" w:type="dxa"/>
            <w:vAlign w:val="bottom"/>
            <w:tcBorders>
              <w:right w:val="single" w:sz="8" w:color="auto"/>
            </w:tcBorders>
            <w:shd w:val="clear" w:color="auto" w:fill="FEFCE3"/>
          </w:tcPr>
          <w:p>
            <w:pPr>
              <w:spacing w:after="0"/>
              <w:rPr>
                <w:sz w:val="4"/>
                <w:szCs w:val="4"/>
                <w:color w:val="auto"/>
              </w:rPr>
            </w:pPr>
          </w:p>
        </w:tc>
        <w:tc>
          <w:tcPr>
            <w:tcW w:w="1380" w:type="dxa"/>
            <w:vAlign w:val="bottom"/>
            <w:tcBorders>
              <w:right w:val="single" w:sz="8" w:color="auto"/>
            </w:tcBorders>
            <w:vMerge w:val="continue"/>
            <w:shd w:val="clear" w:color="auto" w:fill="FEFCE3"/>
          </w:tcPr>
          <w:p>
            <w:pPr>
              <w:spacing w:after="0"/>
              <w:rPr>
                <w:sz w:val="4"/>
                <w:szCs w:val="4"/>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97,185 RSF</w:t>
            </w:r>
          </w:p>
        </w:tc>
        <w:tc>
          <w:tcPr>
            <w:tcW w:w="0" w:type="dxa"/>
            <w:vAlign w:val="bottom"/>
          </w:tcPr>
          <w:p>
            <w:pPr>
              <w:spacing w:after="0"/>
              <w:rPr>
                <w:sz w:val="1"/>
                <w:szCs w:val="1"/>
                <w:color w:val="auto"/>
              </w:rPr>
            </w:pPr>
          </w:p>
        </w:tc>
      </w:tr>
      <w:tr>
        <w:trPr>
          <w:trHeight w:val="148"/>
        </w:trPr>
        <w:tc>
          <w:tcPr>
            <w:tcW w:w="8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58,023 RSF</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13,197 RSF</w:t>
            </w:r>
          </w:p>
        </w:tc>
        <w:tc>
          <w:tcPr>
            <w:tcW w:w="1360" w:type="dxa"/>
            <w:vAlign w:val="bottom"/>
            <w:tcBorders>
              <w:right w:val="single" w:sz="8" w:color="auto"/>
            </w:tcBorders>
            <w:shd w:val="clear" w:color="auto" w:fill="FEFCE3"/>
          </w:tcPr>
          <w:p>
            <w:pPr>
              <w:spacing w:after="0"/>
              <w:rPr>
                <w:sz w:val="12"/>
                <w:szCs w:val="12"/>
                <w:color w:val="auto"/>
              </w:rPr>
            </w:pPr>
          </w:p>
        </w:tc>
        <w:tc>
          <w:tcPr>
            <w:tcW w:w="1380" w:type="dxa"/>
            <w:vAlign w:val="bottom"/>
            <w:tcBorders>
              <w:right w:val="single" w:sz="8" w:color="auto"/>
            </w:tcBorders>
            <w:shd w:val="clear" w:color="auto" w:fill="FEFCE3"/>
          </w:tcPr>
          <w:p>
            <w:pPr>
              <w:spacing w:after="0"/>
              <w:rPr>
                <w:sz w:val="12"/>
                <w:szCs w:val="12"/>
                <w:color w:val="auto"/>
              </w:rPr>
            </w:pPr>
          </w:p>
        </w:tc>
        <w:tc>
          <w:tcPr>
            <w:tcW w:w="1380" w:type="dxa"/>
            <w:vAlign w:val="bottom"/>
            <w:tcBorders>
              <w:right w:val="single" w:sz="8" w:color="auto"/>
            </w:tcBorders>
            <w:shd w:val="clear" w:color="auto" w:fill="FEFCE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8 initial</w:t>
            </w:r>
          </w:p>
        </w:tc>
        <w:tc>
          <w:tcPr>
            <w:tcW w:w="13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8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vMerge w:val="continue"/>
          </w:tcPr>
          <w:p>
            <w:pPr>
              <w:spacing w:after="0"/>
              <w:rPr>
                <w:sz w:val="13"/>
                <w:szCs w:val="13"/>
                <w:color w:val="auto"/>
              </w:rPr>
            </w:pPr>
          </w:p>
        </w:tc>
        <w:tc>
          <w:tcPr>
            <w:tcW w:w="1760" w:type="dxa"/>
            <w:vAlign w:val="bottom"/>
            <w:tcBorders>
              <w:right w:val="single" w:sz="8" w:color="auto"/>
            </w:tcBorders>
            <w:vMerge w:val="continue"/>
          </w:tcPr>
          <w:p>
            <w:pPr>
              <w:spacing w:after="0"/>
              <w:rPr>
                <w:sz w:val="13"/>
                <w:szCs w:val="13"/>
                <w:color w:val="auto"/>
              </w:rPr>
            </w:pPr>
          </w:p>
        </w:tc>
        <w:tc>
          <w:tcPr>
            <w:tcW w:w="1360" w:type="dxa"/>
            <w:vAlign w:val="bottom"/>
            <w:tcBorders>
              <w:right w:val="single" w:sz="8" w:color="auto"/>
            </w:tcBorders>
            <w:shd w:val="clear" w:color="auto" w:fill="FEFCE3"/>
          </w:tcPr>
          <w:p>
            <w:pPr>
              <w:spacing w:after="0"/>
              <w:rPr>
                <w:sz w:val="13"/>
                <w:szCs w:val="13"/>
                <w:color w:val="auto"/>
              </w:rPr>
            </w:pPr>
          </w:p>
        </w:tc>
        <w:tc>
          <w:tcPr>
            <w:tcW w:w="1380" w:type="dxa"/>
            <w:vAlign w:val="bottom"/>
            <w:tcBorders>
              <w:right w:val="single" w:sz="8" w:color="auto"/>
            </w:tcBorders>
            <w:vMerge w:val="restart"/>
            <w:shd w:val="clear" w:color="auto" w:fill="FEFCE3"/>
          </w:tcPr>
          <w:p>
            <w:pPr>
              <w:jc w:val="center"/>
              <w:spacing w:after="0"/>
              <w:rPr>
                <w:sz w:val="20"/>
                <w:szCs w:val="20"/>
                <w:color w:val="auto"/>
              </w:rPr>
            </w:pPr>
            <w:r>
              <w:rPr>
                <w:rFonts w:ascii="Times New Roman" w:cs="Times New Roman" w:eastAsia="Times New Roman" w:hAnsi="Times New Roman"/>
                <w:sz w:val="14"/>
                <w:szCs w:val="14"/>
                <w:b w:val="1"/>
                <w:bCs w:val="1"/>
                <w:color w:val="auto"/>
              </w:rPr>
              <w:t>25,965 RSF**</w:t>
            </w:r>
          </w:p>
        </w:tc>
        <w:tc>
          <w:tcPr>
            <w:tcW w:w="1380" w:type="dxa"/>
            <w:vAlign w:val="bottom"/>
            <w:tcBorders>
              <w:right w:val="single" w:sz="8" w:color="auto"/>
            </w:tcBorders>
            <w:shd w:val="clear" w:color="auto" w:fill="FEFCE3"/>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months)***</w:t>
            </w:r>
          </w:p>
        </w:tc>
        <w:tc>
          <w:tcPr>
            <w:tcW w:w="138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chargeable*</w:t>
            </w:r>
          </w:p>
        </w:tc>
        <w:tc>
          <w:tcPr>
            <w:tcW w:w="0" w:type="dxa"/>
            <w:vAlign w:val="bottom"/>
          </w:tcPr>
          <w:p>
            <w:pPr>
              <w:spacing w:after="0"/>
              <w:rPr>
                <w:sz w:val="1"/>
                <w:szCs w:val="1"/>
                <w:color w:val="auto"/>
              </w:rPr>
            </w:pPr>
          </w:p>
        </w:tc>
      </w:tr>
      <w:tr>
        <w:trPr>
          <w:trHeight w:val="190"/>
        </w:trPr>
        <w:tc>
          <w:tcPr>
            <w:tcW w:w="8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chargeable*</w:t>
            </w:r>
          </w:p>
        </w:tc>
        <w:tc>
          <w:tcPr>
            <w:tcW w:w="1360" w:type="dxa"/>
            <w:vAlign w:val="bottom"/>
            <w:tcBorders>
              <w:right w:val="single" w:sz="8" w:color="auto"/>
            </w:tcBorders>
            <w:shd w:val="clear" w:color="auto" w:fill="FEFCE3"/>
          </w:tcPr>
          <w:p>
            <w:pPr>
              <w:spacing w:after="0"/>
              <w:rPr>
                <w:sz w:val="16"/>
                <w:szCs w:val="16"/>
                <w:color w:val="auto"/>
              </w:rPr>
            </w:pPr>
          </w:p>
        </w:tc>
        <w:tc>
          <w:tcPr>
            <w:tcW w:w="1380" w:type="dxa"/>
            <w:vAlign w:val="bottom"/>
            <w:tcBorders>
              <w:right w:val="single" w:sz="8" w:color="auto"/>
            </w:tcBorders>
            <w:vMerge w:val="continue"/>
            <w:shd w:val="clear" w:color="auto" w:fill="FEFCE3"/>
          </w:tcPr>
          <w:p>
            <w:pPr>
              <w:spacing w:after="0"/>
              <w:rPr>
                <w:sz w:val="16"/>
                <w:szCs w:val="16"/>
                <w:color w:val="auto"/>
              </w:rPr>
            </w:pPr>
          </w:p>
        </w:tc>
        <w:tc>
          <w:tcPr>
            <w:tcW w:w="1380" w:type="dxa"/>
            <w:vAlign w:val="bottom"/>
            <w:tcBorders>
              <w:right w:val="single" w:sz="8" w:color="auto"/>
            </w:tcBorders>
            <w:shd w:val="clear" w:color="auto" w:fill="FEFCE3"/>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80" w:type="dxa"/>
            <w:vAlign w:val="bottom"/>
            <w:tcBorders>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shd w:val="clear" w:color="auto" w:fill="FEFCE3"/>
          </w:tcPr>
          <w:p>
            <w:pPr>
              <w:spacing w:after="0"/>
              <w:rPr>
                <w:sz w:val="19"/>
                <w:szCs w:val="19"/>
                <w:color w:val="auto"/>
              </w:rPr>
            </w:pPr>
          </w:p>
        </w:tc>
        <w:tc>
          <w:tcPr>
            <w:tcW w:w="1380" w:type="dxa"/>
            <w:vAlign w:val="bottom"/>
            <w:tcBorders>
              <w:bottom w:val="single" w:sz="8" w:color="auto"/>
              <w:right w:val="single" w:sz="8" w:color="auto"/>
            </w:tcBorders>
            <w:shd w:val="clear" w:color="auto" w:fill="FEFCE3"/>
          </w:tcPr>
          <w:p>
            <w:pPr>
              <w:spacing w:after="0"/>
              <w:rPr>
                <w:sz w:val="19"/>
                <w:szCs w:val="19"/>
                <w:color w:val="auto"/>
              </w:rPr>
            </w:pPr>
          </w:p>
        </w:tc>
        <w:tc>
          <w:tcPr>
            <w:tcW w:w="1380" w:type="dxa"/>
            <w:vAlign w:val="bottom"/>
            <w:tcBorders>
              <w:bottom w:val="single" w:sz="8" w:color="auto"/>
              <w:right w:val="single" w:sz="8" w:color="auto"/>
            </w:tcBorders>
            <w:shd w:val="clear" w:color="auto" w:fill="FEFCE3"/>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8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10/1/19 - 9/30/20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$83,311.36</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$18,002.92</w:t>
            </w:r>
          </w:p>
        </w:tc>
        <w:tc>
          <w:tcPr>
            <w:tcW w:w="1360" w:type="dxa"/>
            <w:vAlign w:val="bottom"/>
            <w:tcBorders>
              <w:bottom w:val="single" w:sz="8" w:color="auto"/>
              <w:right w:val="single" w:sz="8" w:color="auto"/>
            </w:tcBorders>
            <w:shd w:val="clear" w:color="auto" w:fill="FEFCE3"/>
          </w:tcPr>
          <w:p>
            <w:pPr>
              <w:spacing w:after="0"/>
              <w:rPr>
                <w:sz w:val="20"/>
                <w:szCs w:val="20"/>
                <w:color w:val="auto"/>
              </w:rPr>
            </w:pPr>
          </w:p>
        </w:tc>
        <w:tc>
          <w:tcPr>
            <w:tcW w:w="1380" w:type="dxa"/>
            <w:vAlign w:val="bottom"/>
            <w:tcBorders>
              <w:bottom w:val="single" w:sz="8" w:color="auto"/>
              <w:right w:val="single" w:sz="8" w:color="auto"/>
            </w:tcBorders>
            <w:shd w:val="clear" w:color="auto" w:fill="FEFCE3"/>
          </w:tcPr>
          <w:p>
            <w:pPr>
              <w:spacing w:after="0"/>
              <w:rPr>
                <w:sz w:val="20"/>
                <w:szCs w:val="20"/>
                <w:color w:val="auto"/>
              </w:rPr>
            </w:pPr>
          </w:p>
        </w:tc>
        <w:tc>
          <w:tcPr>
            <w:tcW w:w="1380" w:type="dxa"/>
            <w:vAlign w:val="bottom"/>
            <w:tcBorders>
              <w:bottom w:val="single" w:sz="8" w:color="auto"/>
              <w:right w:val="single" w:sz="8" w:color="auto"/>
            </w:tcBorders>
            <w:shd w:val="clear" w:color="auto" w:fill="FEFCE3"/>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$101,314.28</w:t>
            </w:r>
          </w:p>
        </w:tc>
        <w:tc>
          <w:tcPr>
            <w:tcW w:w="0" w:type="dxa"/>
            <w:vAlign w:val="bottom"/>
          </w:tcPr>
          <w:p>
            <w:pPr>
              <w:spacing w:after="0"/>
              <w:rPr>
                <w:sz w:val="1"/>
                <w:szCs w:val="1"/>
                <w:color w:val="auto"/>
              </w:rPr>
            </w:pPr>
          </w:p>
        </w:tc>
      </w:tr>
      <w:tr>
        <w:trPr>
          <w:trHeight w:val="237"/>
        </w:trPr>
        <w:tc>
          <w:tcPr>
            <w:tcW w:w="88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10/1/20 - 9/30/21</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$85,390.52</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$18,452.99</w:t>
            </w:r>
          </w:p>
        </w:tc>
        <w:tc>
          <w:tcPr>
            <w:tcW w:w="136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$21.75</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$47,061.56</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FF0000"/>
              </w:rPr>
              <w:t>($57,534.11)</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$93,370.96</w:t>
            </w:r>
          </w:p>
        </w:tc>
        <w:tc>
          <w:tcPr>
            <w:tcW w:w="0" w:type="dxa"/>
            <w:vAlign w:val="bottom"/>
          </w:tcPr>
          <w:p>
            <w:pPr>
              <w:spacing w:after="0"/>
              <w:rPr>
                <w:sz w:val="1"/>
                <w:szCs w:val="1"/>
                <w:color w:val="auto"/>
              </w:rPr>
            </w:pPr>
          </w:p>
        </w:tc>
      </w:tr>
      <w:tr>
        <w:trPr>
          <w:trHeight w:val="237"/>
        </w:trPr>
        <w:tc>
          <w:tcPr>
            <w:tcW w:w="88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10/1/21 - 9/30/22</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$87,518.03</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$18,914.31</w:t>
            </w:r>
          </w:p>
        </w:tc>
        <w:tc>
          <w:tcPr>
            <w:tcW w:w="136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$22.29</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$48,238.10</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$154,670.44</w:t>
            </w:r>
          </w:p>
        </w:tc>
        <w:tc>
          <w:tcPr>
            <w:tcW w:w="0" w:type="dxa"/>
            <w:vAlign w:val="bottom"/>
          </w:tcPr>
          <w:p>
            <w:pPr>
              <w:spacing w:after="0"/>
              <w:rPr>
                <w:sz w:val="1"/>
                <w:szCs w:val="1"/>
                <w:color w:val="auto"/>
              </w:rPr>
            </w:pPr>
          </w:p>
        </w:tc>
      </w:tr>
      <w:tr>
        <w:trPr>
          <w:trHeight w:val="237"/>
        </w:trPr>
        <w:tc>
          <w:tcPr>
            <w:tcW w:w="88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10/1/22 - 9/30/23</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$89,693.89</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$19,387.17</w:t>
            </w:r>
          </w:p>
        </w:tc>
        <w:tc>
          <w:tcPr>
            <w:tcW w:w="136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$22.85</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$49,444.05</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$158,525.11</w:t>
            </w:r>
          </w:p>
        </w:tc>
        <w:tc>
          <w:tcPr>
            <w:tcW w:w="0" w:type="dxa"/>
            <w:vAlign w:val="bottom"/>
          </w:tcPr>
          <w:p>
            <w:pPr>
              <w:spacing w:after="0"/>
              <w:rPr>
                <w:sz w:val="1"/>
                <w:szCs w:val="1"/>
                <w:color w:val="auto"/>
              </w:rPr>
            </w:pPr>
          </w:p>
        </w:tc>
      </w:tr>
      <w:tr>
        <w:trPr>
          <w:trHeight w:val="237"/>
        </w:trPr>
        <w:tc>
          <w:tcPr>
            <w:tcW w:w="88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10/1/23 - 9/30/24</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$91,918.10</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$19,871.85</w:t>
            </w:r>
          </w:p>
        </w:tc>
        <w:tc>
          <w:tcPr>
            <w:tcW w:w="136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$23.42</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$50,680.16</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$162,470.11</w:t>
            </w:r>
          </w:p>
        </w:tc>
        <w:tc>
          <w:tcPr>
            <w:tcW w:w="0" w:type="dxa"/>
            <w:vAlign w:val="bottom"/>
          </w:tcPr>
          <w:p>
            <w:pPr>
              <w:spacing w:after="0"/>
              <w:rPr>
                <w:sz w:val="1"/>
                <w:szCs w:val="1"/>
                <w:color w:val="auto"/>
              </w:rPr>
            </w:pPr>
          </w:p>
        </w:tc>
      </w:tr>
      <w:tr>
        <w:trPr>
          <w:trHeight w:val="236"/>
        </w:trPr>
        <w:tc>
          <w:tcPr>
            <w:tcW w:w="88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10/1/24 - 9/30/25</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$94,239.02</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$20,368.65</w:t>
            </w:r>
          </w:p>
        </w:tc>
        <w:tc>
          <w:tcPr>
            <w:tcW w:w="136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$24.01</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$51,947.16</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$166,554.83</w:t>
            </w:r>
          </w:p>
        </w:tc>
        <w:tc>
          <w:tcPr>
            <w:tcW w:w="0" w:type="dxa"/>
            <w:vAlign w:val="bottom"/>
          </w:tcPr>
          <w:p>
            <w:pPr>
              <w:spacing w:after="0"/>
              <w:rPr>
                <w:sz w:val="1"/>
                <w:szCs w:val="1"/>
                <w:color w:val="auto"/>
              </w:rPr>
            </w:pPr>
          </w:p>
        </w:tc>
      </w:tr>
      <w:tr>
        <w:trPr>
          <w:trHeight w:val="237"/>
        </w:trPr>
        <w:tc>
          <w:tcPr>
            <w:tcW w:w="88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10/1/25 - 9/30/26</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$96,608.30</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$20,877.86</w:t>
            </w:r>
          </w:p>
        </w:tc>
        <w:tc>
          <w:tcPr>
            <w:tcW w:w="136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$24.61</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$53,245.84</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$170,732.00</w:t>
            </w:r>
          </w:p>
        </w:tc>
        <w:tc>
          <w:tcPr>
            <w:tcW w:w="0" w:type="dxa"/>
            <w:vAlign w:val="bottom"/>
          </w:tcPr>
          <w:p>
            <w:pPr>
              <w:spacing w:after="0"/>
              <w:rPr>
                <w:sz w:val="1"/>
                <w:szCs w:val="1"/>
                <w:color w:val="auto"/>
              </w:rPr>
            </w:pPr>
          </w:p>
        </w:tc>
      </w:tr>
      <w:tr>
        <w:trPr>
          <w:trHeight w:val="237"/>
        </w:trPr>
        <w:tc>
          <w:tcPr>
            <w:tcW w:w="88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10/1/26 - 9/30/27</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$99,025.92</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$21,399.81</w:t>
            </w:r>
          </w:p>
        </w:tc>
        <w:tc>
          <w:tcPr>
            <w:tcW w:w="136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$25.22</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$54,576.98</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$175,002.71</w:t>
            </w:r>
          </w:p>
        </w:tc>
        <w:tc>
          <w:tcPr>
            <w:tcW w:w="0" w:type="dxa"/>
            <w:vAlign w:val="bottom"/>
          </w:tcPr>
          <w:p>
            <w:pPr>
              <w:spacing w:after="0"/>
              <w:rPr>
                <w:sz w:val="1"/>
                <w:szCs w:val="1"/>
                <w:color w:val="auto"/>
              </w:rPr>
            </w:pPr>
          </w:p>
        </w:tc>
      </w:tr>
      <w:tr>
        <w:trPr>
          <w:trHeight w:val="236"/>
        </w:trPr>
        <w:tc>
          <w:tcPr>
            <w:tcW w:w="88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10/1/27 - 9/30/28</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$101,491.90</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$21,934.81</w:t>
            </w:r>
          </w:p>
        </w:tc>
        <w:tc>
          <w:tcPr>
            <w:tcW w:w="136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$25.85</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$55,941.41</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$179,368.12</w:t>
            </w:r>
          </w:p>
        </w:tc>
        <w:tc>
          <w:tcPr>
            <w:tcW w:w="0" w:type="dxa"/>
            <w:vAlign w:val="bottom"/>
          </w:tcPr>
          <w:p>
            <w:pPr>
              <w:spacing w:after="0"/>
              <w:rPr>
                <w:sz w:val="1"/>
                <w:szCs w:val="1"/>
                <w:color w:val="auto"/>
              </w:rPr>
            </w:pPr>
          </w:p>
        </w:tc>
      </w:tr>
      <w:tr>
        <w:trPr>
          <w:trHeight w:val="237"/>
        </w:trPr>
        <w:tc>
          <w:tcPr>
            <w:tcW w:w="88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10/1/28 - 9/30/29</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$104,006.23</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$22,483.18</w:t>
            </w:r>
          </w:p>
        </w:tc>
        <w:tc>
          <w:tcPr>
            <w:tcW w:w="136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$26.50</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$57,339.94</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$183,829.35</w:t>
            </w:r>
          </w:p>
        </w:tc>
        <w:tc>
          <w:tcPr>
            <w:tcW w:w="0" w:type="dxa"/>
            <w:vAlign w:val="bottom"/>
          </w:tcPr>
          <w:p>
            <w:pPr>
              <w:spacing w:after="0"/>
              <w:rPr>
                <w:sz w:val="1"/>
                <w:szCs w:val="1"/>
                <w:color w:val="auto"/>
              </w:rPr>
            </w:pPr>
          </w:p>
        </w:tc>
      </w:tr>
      <w:tr>
        <w:trPr>
          <w:trHeight w:val="241"/>
        </w:trPr>
        <w:tc>
          <w:tcPr>
            <w:tcW w:w="880" w:type="dxa"/>
            <w:vAlign w:val="bottom"/>
            <w:tcBorders>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10/1/29 - 9/30/30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$106,606.39</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$23,045.26</w:t>
            </w:r>
          </w:p>
        </w:tc>
        <w:tc>
          <w:tcPr>
            <w:tcW w:w="136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$27.16</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$58,773.44</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$188,426.09</w:t>
            </w:r>
          </w:p>
        </w:tc>
        <w:tc>
          <w:tcPr>
            <w:tcW w:w="0" w:type="dxa"/>
            <w:vAlign w:val="bottom"/>
          </w:tcPr>
          <w:p>
            <w:pPr>
              <w:spacing w:after="0"/>
              <w:rPr>
                <w:sz w:val="1"/>
                <w:szCs w:val="1"/>
                <w:color w:val="auto"/>
              </w:rPr>
            </w:pPr>
          </w:p>
        </w:tc>
      </w:tr>
      <w:tr>
        <w:trPr>
          <w:trHeight w:val="233"/>
        </w:trPr>
        <w:tc>
          <w:tcPr>
            <w:tcW w:w="880" w:type="dxa"/>
            <w:vAlign w:val="bottom"/>
            <w:tcBorders>
              <w:bottom w:val="single" w:sz="8" w:color="F0F0F0"/>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10/1/30 - 9/30/31</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$109,271.55</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$23,621.39</w:t>
            </w:r>
          </w:p>
        </w:tc>
        <w:tc>
          <w:tcPr>
            <w:tcW w:w="136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$27.84</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$60,242.78</w:t>
            </w:r>
          </w:p>
        </w:tc>
        <w:tc>
          <w:tcPr>
            <w:tcW w:w="1380" w:type="dxa"/>
            <w:vAlign w:val="bottom"/>
            <w:tcBorders>
              <w:bottom w:val="single" w:sz="8" w:color="auto"/>
              <w:right w:val="single" w:sz="8" w:color="auto"/>
            </w:tcBorders>
            <w:shd w:val="clear" w:color="auto" w:fill="FEFCE3"/>
          </w:tcPr>
          <w:p>
            <w:pPr>
              <w:jc w:val="center"/>
              <w:spacing w:after="0"/>
              <w:rPr>
                <w:sz w:val="20"/>
                <w:szCs w:val="20"/>
                <w:color w:val="auto"/>
              </w:rPr>
            </w:pPr>
            <w:r>
              <w:rPr>
                <w:rFonts w:ascii="Times New Roman" w:cs="Times New Roman" w:eastAsia="Times New Roman" w:hAnsi="Times New Roman"/>
                <w:sz w:val="15"/>
                <w:szCs w:val="15"/>
                <w:color w:val="auto"/>
              </w:rPr>
              <w:t>$2.00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$193,137.72</w:t>
            </w:r>
          </w:p>
        </w:tc>
        <w:tc>
          <w:tcPr>
            <w:tcW w:w="0" w:type="dxa"/>
            <w:vAlign w:val="bottom"/>
          </w:tcPr>
          <w:p>
            <w:pPr>
              <w:spacing w:after="0"/>
              <w:rPr>
                <w:sz w:val="1"/>
                <w:szCs w:val="1"/>
                <w:color w:val="auto"/>
              </w:rPr>
            </w:pPr>
          </w:p>
        </w:tc>
      </w:tr>
      <w:tr>
        <w:trPr>
          <w:trHeight w:val="237"/>
        </w:trPr>
        <w:tc>
          <w:tcPr>
            <w:tcW w:w="880" w:type="dxa"/>
            <w:vAlign w:val="bottom"/>
            <w:tcBorders>
              <w:left w:val="single" w:sz="8" w:color="auto"/>
              <w:bottom w:val="single" w:sz="8" w:color="F0F0F0"/>
              <w:right w:val="single" w:sz="8" w:color="auto"/>
            </w:tcBorders>
            <w:shd w:val="clear" w:color="auto" w:fill="F0F0F0"/>
          </w:tcPr>
          <w:p>
            <w:pPr>
              <w:spacing w:after="0"/>
              <w:rPr>
                <w:sz w:val="20"/>
                <w:szCs w:val="20"/>
                <w:color w:val="auto"/>
              </w:rPr>
            </w:pPr>
          </w:p>
        </w:tc>
        <w:tc>
          <w:tcPr>
            <w:tcW w:w="150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10/1/31 - 9/30/32</w:t>
            </w:r>
          </w:p>
        </w:tc>
        <w:tc>
          <w:tcPr>
            <w:tcW w:w="160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$112,003.33</w:t>
            </w:r>
          </w:p>
        </w:tc>
        <w:tc>
          <w:tcPr>
            <w:tcW w:w="176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$24,211.93</w:t>
            </w:r>
          </w:p>
        </w:tc>
        <w:tc>
          <w:tcPr>
            <w:tcW w:w="136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$28.54</w:t>
            </w:r>
          </w:p>
        </w:tc>
        <w:tc>
          <w:tcPr>
            <w:tcW w:w="138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$61,748.85</w:t>
            </w:r>
          </w:p>
        </w:tc>
        <w:tc>
          <w:tcPr>
            <w:tcW w:w="138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$197,964.11</w:t>
            </w:r>
          </w:p>
        </w:tc>
        <w:tc>
          <w:tcPr>
            <w:tcW w:w="0" w:type="dxa"/>
            <w:vAlign w:val="bottom"/>
          </w:tcPr>
          <w:p>
            <w:pPr>
              <w:spacing w:after="0"/>
              <w:rPr>
                <w:sz w:val="1"/>
                <w:szCs w:val="1"/>
                <w:color w:val="auto"/>
              </w:rPr>
            </w:pPr>
          </w:p>
        </w:tc>
      </w:tr>
      <w:tr>
        <w:trPr>
          <w:trHeight w:val="245"/>
        </w:trPr>
        <w:tc>
          <w:tcPr>
            <w:tcW w:w="880" w:type="dxa"/>
            <w:vAlign w:val="bottom"/>
            <w:tcBorders>
              <w:left w:val="single" w:sz="8" w:color="auto"/>
              <w:bottom w:val="single" w:sz="8" w:color="F0F0F0"/>
              <w:right w:val="single" w:sz="8" w:color="auto"/>
            </w:tcBorders>
            <w:shd w:val="clear" w:color="auto" w:fill="F0F0F0"/>
          </w:tcPr>
          <w:p>
            <w:pPr>
              <w:jc w:val="center"/>
              <w:ind w:left="9"/>
              <w:spacing w:after="0"/>
              <w:rPr>
                <w:sz w:val="20"/>
                <w:szCs w:val="20"/>
                <w:color w:val="auto"/>
              </w:rPr>
            </w:pPr>
            <w:r>
              <w:rPr>
                <w:rFonts w:ascii="Times New Roman" w:cs="Times New Roman" w:eastAsia="Times New Roman" w:hAnsi="Times New Roman"/>
                <w:sz w:val="15"/>
                <w:szCs w:val="15"/>
                <w:color w:val="auto"/>
                <w:w w:val="98"/>
              </w:rPr>
              <w:t>Optional</w:t>
            </w:r>
          </w:p>
        </w:tc>
        <w:tc>
          <w:tcPr>
            <w:tcW w:w="1500" w:type="dxa"/>
            <w:vAlign w:val="bottom"/>
            <w:tcBorders>
              <w:bottom w:val="single" w:sz="8" w:color="F0F0F0"/>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10/1/32 - 9/30/33</w:t>
            </w:r>
          </w:p>
        </w:tc>
        <w:tc>
          <w:tcPr>
            <w:tcW w:w="1600" w:type="dxa"/>
            <w:vAlign w:val="bottom"/>
            <w:tcBorders>
              <w:bottom w:val="single" w:sz="8" w:color="F0F0F0"/>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$114,803.42</w:t>
            </w:r>
          </w:p>
        </w:tc>
        <w:tc>
          <w:tcPr>
            <w:tcW w:w="1760" w:type="dxa"/>
            <w:vAlign w:val="bottom"/>
            <w:tcBorders>
              <w:bottom w:val="single" w:sz="8" w:color="F0F0F0"/>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$24,817.22</w:t>
            </w:r>
          </w:p>
        </w:tc>
        <w:tc>
          <w:tcPr>
            <w:tcW w:w="1360" w:type="dxa"/>
            <w:vAlign w:val="bottom"/>
            <w:tcBorders>
              <w:bottom w:val="single" w:sz="8" w:color="F0F0F0"/>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$29.25</w:t>
            </w:r>
          </w:p>
        </w:tc>
        <w:tc>
          <w:tcPr>
            <w:tcW w:w="1380" w:type="dxa"/>
            <w:vAlign w:val="bottom"/>
            <w:tcBorders>
              <w:bottom w:val="single" w:sz="8" w:color="F0F0F0"/>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$63,292.57</w:t>
            </w:r>
          </w:p>
        </w:tc>
        <w:tc>
          <w:tcPr>
            <w:tcW w:w="1380" w:type="dxa"/>
            <w:vAlign w:val="bottom"/>
            <w:tcBorders>
              <w:bottom w:val="single" w:sz="8" w:color="F0F0F0"/>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F0F0F0"/>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$202,913.21</w:t>
            </w:r>
          </w:p>
        </w:tc>
        <w:tc>
          <w:tcPr>
            <w:tcW w:w="0" w:type="dxa"/>
            <w:vAlign w:val="bottom"/>
          </w:tcPr>
          <w:p>
            <w:pPr>
              <w:spacing w:after="0"/>
              <w:rPr>
                <w:sz w:val="1"/>
                <w:szCs w:val="1"/>
                <w:color w:val="auto"/>
              </w:rPr>
            </w:pPr>
          </w:p>
        </w:tc>
      </w:tr>
      <w:tr>
        <w:trPr>
          <w:trHeight w:val="98"/>
        </w:trPr>
        <w:tc>
          <w:tcPr>
            <w:tcW w:w="880" w:type="dxa"/>
            <w:vAlign w:val="bottom"/>
            <w:tcBorders>
              <w:top w:val="single" w:sz="8" w:color="F0F0F0"/>
              <w:left w:val="single" w:sz="8" w:color="auto"/>
              <w:right w:val="single" w:sz="8" w:color="auto"/>
            </w:tcBorders>
            <w:shd w:val="clear" w:color="auto" w:fill="F0F0F0"/>
          </w:tcPr>
          <w:p>
            <w:pPr>
              <w:jc w:val="center"/>
              <w:ind w:left="9"/>
              <w:spacing w:after="0" w:line="98" w:lineRule="exact"/>
              <w:rPr>
                <w:sz w:val="20"/>
                <w:szCs w:val="20"/>
                <w:color w:val="auto"/>
              </w:rPr>
            </w:pPr>
            <w:r>
              <w:rPr>
                <w:rFonts w:ascii="Times New Roman" w:cs="Times New Roman" w:eastAsia="Times New Roman" w:hAnsi="Times New Roman"/>
                <w:sz w:val="11"/>
                <w:szCs w:val="11"/>
                <w:color w:val="auto"/>
              </w:rPr>
              <w:t>Extension</w:t>
            </w:r>
          </w:p>
        </w:tc>
        <w:tc>
          <w:tcPr>
            <w:tcW w:w="1500" w:type="dxa"/>
            <w:vAlign w:val="bottom"/>
            <w:tcBorders>
              <w:top w:val="single" w:sz="8" w:color="auto"/>
              <w:right w:val="single" w:sz="8" w:color="auto"/>
            </w:tcBorders>
            <w:vMerge w:val="restart"/>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10/1/33 - 9/30/34</w:t>
            </w:r>
          </w:p>
        </w:tc>
        <w:tc>
          <w:tcPr>
            <w:tcW w:w="1600" w:type="dxa"/>
            <w:vAlign w:val="bottom"/>
            <w:tcBorders>
              <w:top w:val="single" w:sz="8" w:color="auto"/>
              <w:right w:val="single" w:sz="8" w:color="auto"/>
            </w:tcBorders>
            <w:vMerge w:val="restart"/>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$117,673.50</w:t>
            </w:r>
          </w:p>
        </w:tc>
        <w:tc>
          <w:tcPr>
            <w:tcW w:w="1760" w:type="dxa"/>
            <w:vAlign w:val="bottom"/>
            <w:tcBorders>
              <w:top w:val="single" w:sz="8" w:color="auto"/>
              <w:right w:val="single" w:sz="8" w:color="auto"/>
            </w:tcBorders>
            <w:vMerge w:val="restart"/>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$25,437.65</w:t>
            </w:r>
          </w:p>
        </w:tc>
        <w:tc>
          <w:tcPr>
            <w:tcW w:w="1360" w:type="dxa"/>
            <w:vAlign w:val="bottom"/>
            <w:tcBorders>
              <w:top w:val="single" w:sz="8" w:color="auto"/>
              <w:right w:val="single" w:sz="8" w:color="auto"/>
            </w:tcBorders>
            <w:vMerge w:val="restart"/>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$29.98</w:t>
            </w:r>
          </w:p>
        </w:tc>
        <w:tc>
          <w:tcPr>
            <w:tcW w:w="1380" w:type="dxa"/>
            <w:vAlign w:val="bottom"/>
            <w:tcBorders>
              <w:top w:val="single" w:sz="8" w:color="auto"/>
              <w:right w:val="single" w:sz="8" w:color="auto"/>
            </w:tcBorders>
            <w:vMerge w:val="restart"/>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$64,874.88</w:t>
            </w:r>
          </w:p>
        </w:tc>
        <w:tc>
          <w:tcPr>
            <w:tcW w:w="1380" w:type="dxa"/>
            <w:vAlign w:val="bottom"/>
            <w:tcBorders>
              <w:top w:val="single" w:sz="8" w:color="auto"/>
              <w:right w:val="single" w:sz="8" w:color="auto"/>
            </w:tcBorders>
            <w:vMerge w:val="restart"/>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top w:val="single" w:sz="8" w:color="auto"/>
              <w:right w:val="single" w:sz="8" w:color="auto"/>
            </w:tcBorders>
            <w:vMerge w:val="restart"/>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$207,986.04</w:t>
            </w:r>
          </w:p>
        </w:tc>
        <w:tc>
          <w:tcPr>
            <w:tcW w:w="0" w:type="dxa"/>
            <w:vAlign w:val="bottom"/>
          </w:tcPr>
          <w:p>
            <w:pPr>
              <w:spacing w:after="0"/>
              <w:rPr>
                <w:sz w:val="1"/>
                <w:szCs w:val="1"/>
                <w:color w:val="auto"/>
              </w:rPr>
            </w:pPr>
          </w:p>
        </w:tc>
      </w:tr>
      <w:tr>
        <w:trPr>
          <w:trHeight w:val="132"/>
        </w:trPr>
        <w:tc>
          <w:tcPr>
            <w:tcW w:w="880" w:type="dxa"/>
            <w:vAlign w:val="bottom"/>
            <w:tcBorders>
              <w:left w:val="single" w:sz="8" w:color="auto"/>
              <w:bottom w:val="single" w:sz="8" w:color="F0F0F0"/>
              <w:right w:val="single" w:sz="8" w:color="auto"/>
            </w:tcBorders>
            <w:shd w:val="clear" w:color="auto" w:fill="F0F0F0"/>
          </w:tcPr>
          <w:p>
            <w:pPr>
              <w:jc w:val="center"/>
              <w:ind w:left="9"/>
              <w:spacing w:after="0" w:line="133" w:lineRule="exact"/>
              <w:rPr>
                <w:sz w:val="20"/>
                <w:szCs w:val="20"/>
                <w:color w:val="auto"/>
              </w:rPr>
            </w:pPr>
            <w:r>
              <w:rPr>
                <w:rFonts w:ascii="Times New Roman" w:cs="Times New Roman" w:eastAsia="Times New Roman" w:hAnsi="Times New Roman"/>
                <w:sz w:val="15"/>
                <w:szCs w:val="15"/>
                <w:color w:val="auto"/>
              </w:rPr>
              <w:t>#1 (5</w:t>
            </w:r>
          </w:p>
        </w:tc>
        <w:tc>
          <w:tcPr>
            <w:tcW w:w="1500" w:type="dxa"/>
            <w:vAlign w:val="bottom"/>
            <w:tcBorders>
              <w:bottom w:val="single" w:sz="8" w:color="auto"/>
              <w:right w:val="single" w:sz="8" w:color="auto"/>
            </w:tcBorders>
            <w:vMerge w:val="continue"/>
            <w:shd w:val="clear" w:color="auto" w:fill="F0F0F0"/>
          </w:tcPr>
          <w:p>
            <w:pPr>
              <w:spacing w:after="0"/>
              <w:rPr>
                <w:sz w:val="11"/>
                <w:szCs w:val="11"/>
                <w:color w:val="auto"/>
              </w:rPr>
            </w:pPr>
          </w:p>
        </w:tc>
        <w:tc>
          <w:tcPr>
            <w:tcW w:w="1600" w:type="dxa"/>
            <w:vAlign w:val="bottom"/>
            <w:tcBorders>
              <w:bottom w:val="single" w:sz="8" w:color="auto"/>
              <w:right w:val="single" w:sz="8" w:color="auto"/>
            </w:tcBorders>
            <w:vMerge w:val="continue"/>
            <w:shd w:val="clear" w:color="auto" w:fill="F0F0F0"/>
          </w:tcPr>
          <w:p>
            <w:pPr>
              <w:spacing w:after="0"/>
              <w:rPr>
                <w:sz w:val="11"/>
                <w:szCs w:val="11"/>
                <w:color w:val="auto"/>
              </w:rPr>
            </w:pPr>
          </w:p>
        </w:tc>
        <w:tc>
          <w:tcPr>
            <w:tcW w:w="1760" w:type="dxa"/>
            <w:vAlign w:val="bottom"/>
            <w:tcBorders>
              <w:bottom w:val="single" w:sz="8" w:color="auto"/>
              <w:right w:val="single" w:sz="8" w:color="auto"/>
            </w:tcBorders>
            <w:vMerge w:val="continue"/>
            <w:shd w:val="clear" w:color="auto" w:fill="F0F0F0"/>
          </w:tcPr>
          <w:p>
            <w:pPr>
              <w:spacing w:after="0"/>
              <w:rPr>
                <w:sz w:val="11"/>
                <w:szCs w:val="11"/>
                <w:color w:val="auto"/>
              </w:rPr>
            </w:pPr>
          </w:p>
        </w:tc>
        <w:tc>
          <w:tcPr>
            <w:tcW w:w="1360" w:type="dxa"/>
            <w:vAlign w:val="bottom"/>
            <w:tcBorders>
              <w:bottom w:val="single" w:sz="8" w:color="auto"/>
              <w:right w:val="single" w:sz="8" w:color="auto"/>
            </w:tcBorders>
            <w:vMerge w:val="continue"/>
            <w:shd w:val="clear" w:color="auto" w:fill="F0F0F0"/>
          </w:tcPr>
          <w:p>
            <w:pPr>
              <w:spacing w:after="0"/>
              <w:rPr>
                <w:sz w:val="11"/>
                <w:szCs w:val="11"/>
                <w:color w:val="auto"/>
              </w:rPr>
            </w:pPr>
          </w:p>
        </w:tc>
        <w:tc>
          <w:tcPr>
            <w:tcW w:w="1380" w:type="dxa"/>
            <w:vAlign w:val="bottom"/>
            <w:tcBorders>
              <w:bottom w:val="single" w:sz="8" w:color="auto"/>
              <w:right w:val="single" w:sz="8" w:color="auto"/>
            </w:tcBorders>
            <w:vMerge w:val="continue"/>
            <w:shd w:val="clear" w:color="auto" w:fill="F0F0F0"/>
          </w:tcPr>
          <w:p>
            <w:pPr>
              <w:spacing w:after="0"/>
              <w:rPr>
                <w:sz w:val="11"/>
                <w:szCs w:val="11"/>
                <w:color w:val="auto"/>
              </w:rPr>
            </w:pPr>
          </w:p>
        </w:tc>
        <w:tc>
          <w:tcPr>
            <w:tcW w:w="1380" w:type="dxa"/>
            <w:vAlign w:val="bottom"/>
            <w:tcBorders>
              <w:bottom w:val="single" w:sz="8" w:color="auto"/>
              <w:right w:val="single" w:sz="8" w:color="auto"/>
            </w:tcBorders>
            <w:vMerge w:val="continue"/>
            <w:shd w:val="clear" w:color="auto" w:fill="F0F0F0"/>
          </w:tcPr>
          <w:p>
            <w:pPr>
              <w:spacing w:after="0"/>
              <w:rPr>
                <w:sz w:val="11"/>
                <w:szCs w:val="11"/>
                <w:color w:val="auto"/>
              </w:rPr>
            </w:pPr>
          </w:p>
        </w:tc>
        <w:tc>
          <w:tcPr>
            <w:tcW w:w="1380" w:type="dxa"/>
            <w:vAlign w:val="bottom"/>
            <w:tcBorders>
              <w:bottom w:val="single" w:sz="8" w:color="auto"/>
              <w:right w:val="single" w:sz="8" w:color="auto"/>
            </w:tcBorders>
            <w:vMerge w:val="continue"/>
            <w:shd w:val="clear" w:color="auto" w:fill="F0F0F0"/>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880" w:type="dxa"/>
            <w:vAlign w:val="bottom"/>
            <w:tcBorders>
              <w:left w:val="single" w:sz="8" w:color="auto"/>
              <w:bottom w:val="single" w:sz="8" w:color="F0F0F0"/>
              <w:right w:val="single" w:sz="8" w:color="auto"/>
            </w:tcBorders>
            <w:shd w:val="clear" w:color="auto" w:fill="F0F0F0"/>
          </w:tcPr>
          <w:p>
            <w:pPr>
              <w:jc w:val="center"/>
              <w:ind w:left="9"/>
              <w:spacing w:after="0"/>
              <w:rPr>
                <w:sz w:val="20"/>
                <w:szCs w:val="20"/>
                <w:color w:val="auto"/>
              </w:rPr>
            </w:pPr>
            <w:r>
              <w:rPr>
                <w:rFonts w:ascii="Times New Roman" w:cs="Times New Roman" w:eastAsia="Times New Roman" w:hAnsi="Times New Roman"/>
                <w:sz w:val="15"/>
                <w:szCs w:val="15"/>
                <w:color w:val="auto"/>
                <w:w w:val="98"/>
              </w:rPr>
              <w:t>years)</w:t>
            </w:r>
          </w:p>
        </w:tc>
        <w:tc>
          <w:tcPr>
            <w:tcW w:w="150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10/1/34 - 9/30/35</w:t>
            </w:r>
          </w:p>
        </w:tc>
        <w:tc>
          <w:tcPr>
            <w:tcW w:w="160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$120,615.34</w:t>
            </w:r>
          </w:p>
        </w:tc>
        <w:tc>
          <w:tcPr>
            <w:tcW w:w="176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$26,073.60</w:t>
            </w:r>
          </w:p>
        </w:tc>
        <w:tc>
          <w:tcPr>
            <w:tcW w:w="136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$30.73</w:t>
            </w:r>
          </w:p>
        </w:tc>
        <w:tc>
          <w:tcPr>
            <w:tcW w:w="138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$66,496.76</w:t>
            </w:r>
          </w:p>
        </w:tc>
        <w:tc>
          <w:tcPr>
            <w:tcW w:w="138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$213,185.69</w:t>
            </w:r>
          </w:p>
        </w:tc>
        <w:tc>
          <w:tcPr>
            <w:tcW w:w="0" w:type="dxa"/>
            <w:vAlign w:val="bottom"/>
          </w:tcPr>
          <w:p>
            <w:pPr>
              <w:spacing w:after="0"/>
              <w:rPr>
                <w:sz w:val="1"/>
                <w:szCs w:val="1"/>
                <w:color w:val="auto"/>
              </w:rPr>
            </w:pPr>
          </w:p>
        </w:tc>
      </w:tr>
      <w:tr>
        <w:trPr>
          <w:trHeight w:val="236"/>
        </w:trPr>
        <w:tc>
          <w:tcPr>
            <w:tcW w:w="880" w:type="dxa"/>
            <w:vAlign w:val="bottom"/>
            <w:tcBorders>
              <w:left w:val="single" w:sz="8" w:color="auto"/>
              <w:bottom w:val="single" w:sz="8" w:color="auto"/>
              <w:right w:val="single" w:sz="8" w:color="auto"/>
            </w:tcBorders>
            <w:shd w:val="clear" w:color="auto" w:fill="F0F0F0"/>
          </w:tcPr>
          <w:p>
            <w:pPr>
              <w:spacing w:after="0"/>
              <w:rPr>
                <w:sz w:val="20"/>
                <w:szCs w:val="20"/>
                <w:color w:val="auto"/>
              </w:rPr>
            </w:pPr>
          </w:p>
        </w:tc>
        <w:tc>
          <w:tcPr>
            <w:tcW w:w="150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10/1/35 - 9/30/36</w:t>
            </w:r>
          </w:p>
        </w:tc>
        <w:tc>
          <w:tcPr>
            <w:tcW w:w="160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$123,630.72</w:t>
            </w:r>
          </w:p>
        </w:tc>
        <w:tc>
          <w:tcPr>
            <w:tcW w:w="176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$26,725.44</w:t>
            </w:r>
          </w:p>
        </w:tc>
        <w:tc>
          <w:tcPr>
            <w:tcW w:w="136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$ 31.50</w:t>
            </w:r>
          </w:p>
        </w:tc>
        <w:tc>
          <w:tcPr>
            <w:tcW w:w="138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$68,159.17</w:t>
            </w:r>
          </w:p>
        </w:tc>
        <w:tc>
          <w:tcPr>
            <w:tcW w:w="138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Times New Roman" w:cs="Times New Roman" w:eastAsia="Times New Roman" w:hAnsi="Times New Roman"/>
                <w:sz w:val="15"/>
                <w:szCs w:val="15"/>
                <w:color w:val="auto"/>
              </w:rPr>
              <w:t>$218,515.33</w:t>
            </w:r>
          </w:p>
        </w:tc>
        <w:tc>
          <w:tcPr>
            <w:tcW w:w="0" w:type="dxa"/>
            <w:vAlign w:val="bottom"/>
          </w:tcPr>
          <w:p>
            <w:pPr>
              <w:spacing w:after="0"/>
              <w:rPr>
                <w:sz w:val="1"/>
                <w:szCs w:val="1"/>
                <w:color w:val="auto"/>
              </w:rPr>
            </w:pPr>
          </w:p>
        </w:tc>
      </w:tr>
      <w:tr>
        <w:trPr>
          <w:trHeight w:val="237"/>
        </w:trPr>
        <w:tc>
          <w:tcPr>
            <w:tcW w:w="880" w:type="dxa"/>
            <w:vAlign w:val="bottom"/>
            <w:tcBorders>
              <w:left w:val="single" w:sz="8" w:color="auto"/>
              <w:bottom w:val="single" w:sz="8" w:color="F3F3F3"/>
              <w:right w:val="single" w:sz="8" w:color="auto"/>
            </w:tcBorders>
            <w:shd w:val="clear" w:color="auto" w:fill="F3F3F3"/>
          </w:tcPr>
          <w:p>
            <w:pPr>
              <w:spacing w:after="0"/>
              <w:rPr>
                <w:sz w:val="20"/>
                <w:szCs w:val="20"/>
                <w:color w:val="auto"/>
              </w:rPr>
            </w:pPr>
          </w:p>
        </w:tc>
        <w:tc>
          <w:tcPr>
            <w:tcW w:w="150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10/1/36 - 9/30/37</w:t>
            </w:r>
          </w:p>
        </w:tc>
        <w:tc>
          <w:tcPr>
            <w:tcW w:w="160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$126,721.49</w:t>
            </w:r>
          </w:p>
        </w:tc>
        <w:tc>
          <w:tcPr>
            <w:tcW w:w="17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$27,393.57</w:t>
            </w:r>
          </w:p>
        </w:tc>
        <w:tc>
          <w:tcPr>
            <w:tcW w:w="13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$32.29</w:t>
            </w:r>
          </w:p>
        </w:tc>
        <w:tc>
          <w:tcPr>
            <w:tcW w:w="13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$69,863.15</w:t>
            </w:r>
          </w:p>
        </w:tc>
        <w:tc>
          <w:tcPr>
            <w:tcW w:w="13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$223,978.22</w:t>
            </w:r>
          </w:p>
        </w:tc>
        <w:tc>
          <w:tcPr>
            <w:tcW w:w="0" w:type="dxa"/>
            <w:vAlign w:val="bottom"/>
          </w:tcPr>
          <w:p>
            <w:pPr>
              <w:spacing w:after="0"/>
              <w:rPr>
                <w:sz w:val="1"/>
                <w:szCs w:val="1"/>
                <w:color w:val="auto"/>
              </w:rPr>
            </w:pPr>
          </w:p>
        </w:tc>
      </w:tr>
      <w:tr>
        <w:trPr>
          <w:trHeight w:val="245"/>
        </w:trPr>
        <w:tc>
          <w:tcPr>
            <w:tcW w:w="880" w:type="dxa"/>
            <w:vAlign w:val="bottom"/>
            <w:tcBorders>
              <w:left w:val="single" w:sz="8" w:color="auto"/>
              <w:bottom w:val="single" w:sz="8" w:color="F3F3F3"/>
              <w:right w:val="single" w:sz="8" w:color="auto"/>
            </w:tcBorders>
            <w:shd w:val="clear" w:color="auto" w:fill="F3F3F3"/>
          </w:tcPr>
          <w:p>
            <w:pPr>
              <w:jc w:val="center"/>
              <w:ind w:left="9"/>
              <w:spacing w:after="0"/>
              <w:rPr>
                <w:sz w:val="20"/>
                <w:szCs w:val="20"/>
                <w:color w:val="auto"/>
              </w:rPr>
            </w:pPr>
            <w:r>
              <w:rPr>
                <w:rFonts w:ascii="Times New Roman" w:cs="Times New Roman" w:eastAsia="Times New Roman" w:hAnsi="Times New Roman"/>
                <w:sz w:val="15"/>
                <w:szCs w:val="15"/>
                <w:color w:val="auto"/>
                <w:w w:val="98"/>
              </w:rPr>
              <w:t>Optional</w:t>
            </w:r>
          </w:p>
        </w:tc>
        <w:tc>
          <w:tcPr>
            <w:tcW w:w="150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10/1/37 - 9/30/38</w:t>
            </w:r>
          </w:p>
        </w:tc>
        <w:tc>
          <w:tcPr>
            <w:tcW w:w="160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$129,889.53</w:t>
            </w:r>
          </w:p>
        </w:tc>
        <w:tc>
          <w:tcPr>
            <w:tcW w:w="176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$28,078.41</w:t>
            </w:r>
          </w:p>
        </w:tc>
        <w:tc>
          <w:tcPr>
            <w:tcW w:w="136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$33.10</w:t>
            </w:r>
          </w:p>
        </w:tc>
        <w:tc>
          <w:tcPr>
            <w:tcW w:w="138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$71,609.73</w:t>
            </w:r>
          </w:p>
        </w:tc>
        <w:tc>
          <w:tcPr>
            <w:tcW w:w="138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$229,577.67</w:t>
            </w:r>
          </w:p>
        </w:tc>
        <w:tc>
          <w:tcPr>
            <w:tcW w:w="0" w:type="dxa"/>
            <w:vAlign w:val="bottom"/>
          </w:tcPr>
          <w:p>
            <w:pPr>
              <w:spacing w:after="0"/>
              <w:rPr>
                <w:sz w:val="1"/>
                <w:szCs w:val="1"/>
                <w:color w:val="auto"/>
              </w:rPr>
            </w:pPr>
          </w:p>
        </w:tc>
      </w:tr>
      <w:tr>
        <w:trPr>
          <w:trHeight w:val="98"/>
        </w:trPr>
        <w:tc>
          <w:tcPr>
            <w:tcW w:w="880" w:type="dxa"/>
            <w:vAlign w:val="bottom"/>
            <w:tcBorders>
              <w:top w:val="single" w:sz="8" w:color="F3F3F3"/>
              <w:left w:val="single" w:sz="8" w:color="auto"/>
              <w:right w:val="single" w:sz="8" w:color="auto"/>
            </w:tcBorders>
            <w:shd w:val="clear" w:color="auto" w:fill="F3F3F3"/>
          </w:tcPr>
          <w:p>
            <w:pPr>
              <w:jc w:val="center"/>
              <w:ind w:left="9"/>
              <w:spacing w:after="0" w:line="98" w:lineRule="exact"/>
              <w:rPr>
                <w:sz w:val="20"/>
                <w:szCs w:val="20"/>
                <w:color w:val="auto"/>
              </w:rPr>
            </w:pPr>
            <w:r>
              <w:rPr>
                <w:rFonts w:ascii="Times New Roman" w:cs="Times New Roman" w:eastAsia="Times New Roman" w:hAnsi="Times New Roman"/>
                <w:sz w:val="11"/>
                <w:szCs w:val="11"/>
                <w:color w:val="auto"/>
              </w:rPr>
              <w:t>Extension</w:t>
            </w:r>
          </w:p>
        </w:tc>
        <w:tc>
          <w:tcPr>
            <w:tcW w:w="150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10/1/38 - 9/30/39</w:t>
            </w:r>
          </w:p>
        </w:tc>
        <w:tc>
          <w:tcPr>
            <w:tcW w:w="160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$133,136.77</w:t>
            </w:r>
          </w:p>
        </w:tc>
        <w:tc>
          <w:tcPr>
            <w:tcW w:w="176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$28,780.37</w:t>
            </w:r>
          </w:p>
        </w:tc>
        <w:tc>
          <w:tcPr>
            <w:tcW w:w="136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$33.92</w:t>
            </w:r>
          </w:p>
        </w:tc>
        <w:tc>
          <w:tcPr>
            <w:tcW w:w="138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$73,399.98</w:t>
            </w:r>
          </w:p>
        </w:tc>
        <w:tc>
          <w:tcPr>
            <w:tcW w:w="138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top w:val="single" w:sz="8" w:color="auto"/>
              <w:right w:val="single" w:sz="8" w:color="auto"/>
            </w:tcBorders>
            <w:vMerge w:val="restart"/>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$235,317.11</w:t>
            </w:r>
          </w:p>
        </w:tc>
        <w:tc>
          <w:tcPr>
            <w:tcW w:w="0" w:type="dxa"/>
            <w:vAlign w:val="bottom"/>
          </w:tcPr>
          <w:p>
            <w:pPr>
              <w:spacing w:after="0"/>
              <w:rPr>
                <w:sz w:val="1"/>
                <w:szCs w:val="1"/>
                <w:color w:val="auto"/>
              </w:rPr>
            </w:pPr>
          </w:p>
        </w:tc>
      </w:tr>
      <w:tr>
        <w:trPr>
          <w:trHeight w:val="132"/>
        </w:trPr>
        <w:tc>
          <w:tcPr>
            <w:tcW w:w="880" w:type="dxa"/>
            <w:vAlign w:val="bottom"/>
            <w:tcBorders>
              <w:left w:val="single" w:sz="8" w:color="auto"/>
              <w:bottom w:val="single" w:sz="8" w:color="F3F3F3"/>
              <w:right w:val="single" w:sz="8" w:color="auto"/>
            </w:tcBorders>
            <w:shd w:val="clear" w:color="auto" w:fill="F3F3F3"/>
          </w:tcPr>
          <w:p>
            <w:pPr>
              <w:jc w:val="center"/>
              <w:ind w:left="9"/>
              <w:spacing w:after="0" w:line="133" w:lineRule="exact"/>
              <w:rPr>
                <w:sz w:val="20"/>
                <w:szCs w:val="20"/>
                <w:color w:val="auto"/>
              </w:rPr>
            </w:pPr>
            <w:r>
              <w:rPr>
                <w:rFonts w:ascii="Times New Roman" w:cs="Times New Roman" w:eastAsia="Times New Roman" w:hAnsi="Times New Roman"/>
                <w:sz w:val="15"/>
                <w:szCs w:val="15"/>
                <w:color w:val="auto"/>
              </w:rPr>
              <w:t>#2 (5</w:t>
            </w:r>
          </w:p>
        </w:tc>
        <w:tc>
          <w:tcPr>
            <w:tcW w:w="150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60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76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36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38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38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1380" w:type="dxa"/>
            <w:vAlign w:val="bottom"/>
            <w:tcBorders>
              <w:bottom w:val="single" w:sz="8" w:color="auto"/>
              <w:right w:val="single" w:sz="8" w:color="auto"/>
            </w:tcBorders>
            <w:vMerge w:val="continue"/>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880" w:type="dxa"/>
            <w:vAlign w:val="bottom"/>
            <w:tcBorders>
              <w:left w:val="single" w:sz="8" w:color="auto"/>
              <w:bottom w:val="single" w:sz="8" w:color="F3F3F3"/>
              <w:right w:val="single" w:sz="8" w:color="auto"/>
            </w:tcBorders>
            <w:shd w:val="clear" w:color="auto" w:fill="F3F3F3"/>
          </w:tcPr>
          <w:p>
            <w:pPr>
              <w:jc w:val="center"/>
              <w:ind w:left="9"/>
              <w:spacing w:after="0"/>
              <w:rPr>
                <w:sz w:val="20"/>
                <w:szCs w:val="20"/>
                <w:color w:val="auto"/>
              </w:rPr>
            </w:pPr>
            <w:r>
              <w:rPr>
                <w:rFonts w:ascii="Times New Roman" w:cs="Times New Roman" w:eastAsia="Times New Roman" w:hAnsi="Times New Roman"/>
                <w:sz w:val="15"/>
                <w:szCs w:val="15"/>
                <w:color w:val="auto"/>
                <w:w w:val="98"/>
              </w:rPr>
              <w:t>years)</w:t>
            </w:r>
          </w:p>
        </w:tc>
        <w:tc>
          <w:tcPr>
            <w:tcW w:w="150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10/1/39 - 9/30/40</w:t>
            </w:r>
          </w:p>
        </w:tc>
        <w:tc>
          <w:tcPr>
            <w:tcW w:w="160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$136,465.19</w:t>
            </w:r>
          </w:p>
        </w:tc>
        <w:tc>
          <w:tcPr>
            <w:tcW w:w="17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$29,499.88</w:t>
            </w:r>
          </w:p>
        </w:tc>
        <w:tc>
          <w:tcPr>
            <w:tcW w:w="13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$34.77</w:t>
            </w:r>
          </w:p>
        </w:tc>
        <w:tc>
          <w:tcPr>
            <w:tcW w:w="13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$75,234.98</w:t>
            </w:r>
          </w:p>
        </w:tc>
        <w:tc>
          <w:tcPr>
            <w:tcW w:w="13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$241,200.04</w:t>
            </w:r>
          </w:p>
        </w:tc>
        <w:tc>
          <w:tcPr>
            <w:tcW w:w="0" w:type="dxa"/>
            <w:vAlign w:val="bottom"/>
          </w:tcPr>
          <w:p>
            <w:pPr>
              <w:spacing w:after="0"/>
              <w:rPr>
                <w:sz w:val="1"/>
                <w:szCs w:val="1"/>
                <w:color w:val="auto"/>
              </w:rPr>
            </w:pPr>
          </w:p>
        </w:tc>
      </w:tr>
      <w:tr>
        <w:trPr>
          <w:trHeight w:val="236"/>
        </w:trPr>
        <w:tc>
          <w:tcPr>
            <w:tcW w:w="880" w:type="dxa"/>
            <w:vAlign w:val="bottom"/>
            <w:tcBorders>
              <w:left w:val="single" w:sz="8" w:color="auto"/>
              <w:bottom w:val="single" w:sz="8" w:color="auto"/>
              <w:right w:val="single" w:sz="8" w:color="auto"/>
            </w:tcBorders>
            <w:shd w:val="clear" w:color="auto" w:fill="F3F3F3"/>
          </w:tcPr>
          <w:p>
            <w:pPr>
              <w:spacing w:after="0"/>
              <w:rPr>
                <w:sz w:val="20"/>
                <w:szCs w:val="20"/>
                <w:color w:val="auto"/>
              </w:rPr>
            </w:pPr>
          </w:p>
        </w:tc>
        <w:tc>
          <w:tcPr>
            <w:tcW w:w="150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10/1/40 - 9/30/41</w:t>
            </w:r>
          </w:p>
        </w:tc>
        <w:tc>
          <w:tcPr>
            <w:tcW w:w="160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$139,876.82</w:t>
            </w:r>
          </w:p>
        </w:tc>
        <w:tc>
          <w:tcPr>
            <w:tcW w:w="17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$30,237.38</w:t>
            </w:r>
          </w:p>
        </w:tc>
        <w:tc>
          <w:tcPr>
            <w:tcW w:w="136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$35.64</w:t>
            </w:r>
          </w:p>
        </w:tc>
        <w:tc>
          <w:tcPr>
            <w:tcW w:w="13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$77,115.85</w:t>
            </w:r>
          </w:p>
        </w:tc>
        <w:tc>
          <w:tcPr>
            <w:tcW w:w="13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$0.00</w:t>
            </w:r>
          </w:p>
        </w:tc>
        <w:tc>
          <w:tcPr>
            <w:tcW w:w="1380" w:type="dxa"/>
            <w:vAlign w:val="bottom"/>
            <w:tcBorders>
              <w:bottom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5"/>
                <w:szCs w:val="15"/>
                <w:color w:val="auto"/>
              </w:rPr>
              <w:t>$247,230.04</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760" w:right="820" w:hanging="3"/>
        <w:spacing w:after="0" w:line="224" w:lineRule="auto"/>
        <w:tabs>
          <w:tab w:leader="none" w:pos="91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15"/>
          <w:szCs w:val="15"/>
          <w:color w:val="auto"/>
        </w:rPr>
        <w:t>Per the Fourth Lease Amendment, 2,971 RSF (i.e., the Second Expansion Premises or chemical storage expansion area) is included for calculating Tenant’s proportionate share but not included for base rent calculations.</w:t>
      </w:r>
    </w:p>
    <w:p>
      <w:pPr>
        <w:ind w:left="1040" w:hanging="278"/>
        <w:spacing w:after="0" w:line="217" w:lineRule="auto"/>
        <w:tabs>
          <w:tab w:leader="none" w:pos="10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5"/>
          <w:szCs w:val="15"/>
          <w:color w:val="auto"/>
        </w:rPr>
        <w:t xml:space="preserve">Base </w:t>
      </w:r>
      <w:r>
        <w:rPr>
          <w:rFonts w:ascii="Times New Roman" w:cs="Times New Roman" w:eastAsia="Times New Roman" w:hAnsi="Times New Roman"/>
          <w:sz w:val="14"/>
          <w:szCs w:val="14"/>
          <w:color w:val="auto"/>
        </w:rPr>
        <w:t>&amp;</w:t>
      </w:r>
      <w:r>
        <w:rPr>
          <w:rFonts w:ascii="Times New Roman" w:cs="Times New Roman" w:eastAsia="Times New Roman" w:hAnsi="Times New Roman"/>
          <w:sz w:val="15"/>
          <w:szCs w:val="15"/>
          <w:color w:val="auto"/>
        </w:rPr>
        <w:t xml:space="preserve"> Add I Rent is owed upon Third Expansion Rent Commencement Date, but offset by Rent Concession</w:t>
      </w:r>
    </w:p>
    <w:p>
      <w:pPr>
        <w:spacing w:after="0" w:line="22" w:lineRule="exact"/>
        <w:rPr>
          <w:rFonts w:ascii="Times New Roman" w:cs="Times New Roman" w:eastAsia="Times New Roman" w:hAnsi="Times New Roman"/>
          <w:sz w:val="22"/>
          <w:szCs w:val="22"/>
          <w:color w:val="auto"/>
        </w:rPr>
      </w:pPr>
    </w:p>
    <w:p>
      <w:pPr>
        <w:ind w:left="1160" w:hanging="398"/>
        <w:spacing w:after="0" w:line="235" w:lineRule="auto"/>
        <w:tabs>
          <w:tab w:leader="none" w:pos="116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5"/>
          <w:szCs w:val="15"/>
          <w:color w:val="auto"/>
        </w:rPr>
        <w:t>See lease for details of 8 month rent concession; commencing upon delivery/rent commencement</w:t>
      </w:r>
    </w:p>
    <w:p>
      <w:pPr>
        <w:sectPr>
          <w:pgSz w:w="11900" w:h="16838" w:orient="portrait"/>
          <w:cols w:equalWidth="0" w:num="1">
            <w:col w:w="11260"/>
          </w:cols>
          <w:pgMar w:left="320" w:top="127" w:right="3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56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09"/>
        </w:trPr>
        <w:tc>
          <w:tcPr>
            <w:tcW w:w="5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Arrowhead Madison Inc.</w:t>
            </w:r>
          </w:p>
        </w:tc>
        <w:tc>
          <w:tcPr>
            <w:tcW w:w="56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5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Arrowhead Australia Pty Ltd</w:t>
            </w:r>
          </w:p>
        </w:tc>
        <w:tc>
          <w:tcPr>
            <w:tcW w:w="56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Australia</w:t>
            </w:r>
          </w:p>
        </w:tc>
      </w:tr>
    </w:tbl>
    <w:p>
      <w:pPr>
        <w:sectPr>
          <w:pgSz w:w="11900" w:h="16838" w:orient="portrait"/>
          <w:cols w:equalWidth="0" w:num="1">
            <w:col w:w="11240"/>
          </w:cols>
          <w:pgMar w:left="320" w:top="11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S-1 (Nos. 333-164039 and 333-161344), Forms S-3 (Nos. 333-235324, 333-228598, 333-214315, 333-214311, 333-213484, 333-202737, 333-191922, 333-188718, 333-178532, 333-178073, 333-178072, 333-144109, 333-137329, 333-132310, 333-124065, and 333-113065), and Forms S-8 (Nos. 333-238616, 333-230621, 333-223836, 333-210117, 333-202741, 333-198920, 333-194596, 333-190970, 333-180692, 333-170252, 333-136225, 333-124066, and 333-120072) of Arrowhead Pharmaceuticals, Inc. of our report dated November 23, 2020, with respect to the consolidated balance sheets of Arrowhead Pharmaceuticals, Inc. and Subsidiaries as of September 30, 2020 and September 30, 2019, and the related consolidated statements of operations and comprehensive income (loss), stockholders’ equity and cash flows for each of the years in the three-year period ended September 30, 2020, and the effectiveness of internal control over financial reporting as of September 30, 2020, which reports appear in the September 30, 2020 annual report on Form 10-K of Arrowhead Pharmaceuticals, Inc.</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Snyder &amp; Jacobs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2020</w:t>
      </w:r>
    </w:p>
    <w:p>
      <w:pPr>
        <w:sectPr>
          <w:pgSz w:w="11900" w:h="16838" w:orient="portrait"/>
          <w:cols w:equalWidth="0" w:num="1">
            <w:col w:w="11240"/>
          </w:cols>
          <w:pgMar w:left="320" w:top="819"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Anzalone, Chief Executive Officer of Arrowhead Pharmaceuticals, Inc., certify that:</w:t>
      </w:r>
    </w:p>
    <w:p>
      <w:pPr>
        <w:spacing w:after="0" w:line="117" w:lineRule="exact"/>
        <w:rPr>
          <w:sz w:val="20"/>
          <w:szCs w:val="20"/>
          <w:color w:val="auto"/>
        </w:rPr>
      </w:pPr>
    </w:p>
    <w:p>
      <w:pPr>
        <w:ind w:left="700" w:hanging="182"/>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Arrowhead Pharmaceuticals, Inc.;</w:t>
      </w:r>
    </w:p>
    <w:p>
      <w:pPr>
        <w:spacing w:after="0" w:line="117"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8"/>
        <w:spacing w:after="0" w:line="266" w:lineRule="auto"/>
        <w:tabs>
          <w:tab w:leader="none" w:pos="69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484"/>
        <w:spacing w:after="0" w:line="266" w:lineRule="auto"/>
        <w:tabs>
          <w:tab w:leader="none" w:pos="125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60" w:firstLine="484"/>
        <w:spacing w:after="0" w:line="266" w:lineRule="auto"/>
        <w:tabs>
          <w:tab w:leader="none" w:pos="126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00" w:firstLine="484"/>
        <w:spacing w:after="0" w:line="282" w:lineRule="auto"/>
        <w:tabs>
          <w:tab w:leader="none" w:pos="125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60" w:firstLine="484"/>
        <w:spacing w:after="0" w:line="266" w:lineRule="auto"/>
        <w:tabs>
          <w:tab w:leader="none" w:pos="126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8"/>
        <w:spacing w:after="0" w:line="282" w:lineRule="auto"/>
        <w:tabs>
          <w:tab w:leader="none" w:pos="69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20" w:firstLine="484"/>
        <w:spacing w:after="0" w:line="282" w:lineRule="auto"/>
        <w:tabs>
          <w:tab w:leader="none" w:pos="124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00" w:firstLine="484"/>
        <w:spacing w:after="0" w:line="282" w:lineRule="auto"/>
        <w:tabs>
          <w:tab w:leader="none" w:pos="125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23, 2020</w:t>
      </w:r>
    </w:p>
    <w:p>
      <w:pPr>
        <w:spacing w:after="0" w:line="239"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2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Myszkowski, Chief Financial Officer of Arrowhead Pharmaceuticals, Inc., certify that:</w:t>
      </w:r>
    </w:p>
    <w:p>
      <w:pPr>
        <w:spacing w:after="0" w:line="117" w:lineRule="exact"/>
        <w:rPr>
          <w:sz w:val="20"/>
          <w:szCs w:val="20"/>
          <w:color w:val="auto"/>
        </w:rPr>
      </w:pPr>
    </w:p>
    <w:p>
      <w:pPr>
        <w:ind w:left="700" w:hanging="182"/>
        <w:spacing w:after="0"/>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Arrowhead Pharmaceuticals, Inc.;</w:t>
      </w:r>
    </w:p>
    <w:p>
      <w:pPr>
        <w:spacing w:after="0" w:line="117"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8"/>
        <w:spacing w:after="0" w:line="266" w:lineRule="auto"/>
        <w:tabs>
          <w:tab w:leader="none" w:pos="69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484"/>
        <w:spacing w:after="0" w:line="266" w:lineRule="auto"/>
        <w:tabs>
          <w:tab w:leader="none" w:pos="125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60" w:firstLine="484"/>
        <w:spacing w:after="0" w:line="266" w:lineRule="auto"/>
        <w:tabs>
          <w:tab w:leader="none" w:pos="126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00" w:firstLine="484"/>
        <w:spacing w:after="0" w:line="282" w:lineRule="auto"/>
        <w:tabs>
          <w:tab w:leader="none" w:pos="125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60" w:firstLine="484"/>
        <w:spacing w:after="0" w:line="266" w:lineRule="auto"/>
        <w:tabs>
          <w:tab w:leader="none" w:pos="126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8"/>
        <w:spacing w:after="0" w:line="282" w:lineRule="auto"/>
        <w:tabs>
          <w:tab w:leader="none" w:pos="69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20" w:firstLine="484"/>
        <w:spacing w:after="0" w:line="282" w:lineRule="auto"/>
        <w:tabs>
          <w:tab w:leader="none" w:pos="124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00" w:firstLine="484"/>
        <w:spacing w:after="0" w:line="282" w:lineRule="auto"/>
        <w:tabs>
          <w:tab w:leader="none" w:pos="125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23, 2020</w:t>
      </w:r>
    </w:p>
    <w:p>
      <w:pPr>
        <w:spacing w:after="0" w:line="2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2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207"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I, Christopher Anzalone, Chief Executive Officer of Arrowhead Pharmaceuticals, Inc. (the “Company”), certify, pursuant to Rule 13(a)-14(b) or Rule 15(d)-14(b) of the Securities Exchange Act of 1934 and 18 U.S.C. Section 1350, that (i) the Annual Report on Form 10-K of the Company for the year ended September 30, 2020,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23, 2020</w:t>
      </w:r>
    </w:p>
    <w:p>
      <w:pPr>
        <w:spacing w:after="0" w:line="23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/s/Christopher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2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207"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I, Kenneth A. Myszkowski, Chief Financial Officer of Arrowhead Pharmaceuticals, Inc. (the “Company”), certify, pursuant to Rule 13(a)-14(b) or Rule 15(d)-14(b) of the Securities Exchange Act of 1934 and 18 U.S.C. Section 1350, that (i) the Annual Report on Form 10-K of the Company for the year ended September 30, 2020,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23, 2020</w:t>
      </w:r>
    </w:p>
    <w:p>
      <w:pPr>
        <w:spacing w:after="0" w:line="2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2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6"/>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1)"/>
      <w:numFmt w:val="lowerLetter"/>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3"/>
    </w:lvl>
  </w:abstractNum>
  <w:abstractNum w:abstractNumId="31">
    <w:nsid w:val="649BB77C"/>
    <w:multiLevelType w:val="hybridMultilevel"/>
    <w:lvl w:ilvl="0">
      <w:lvlJc w:val="left"/>
      <w:lvlText w:val="%1"/>
      <w:numFmt w:val="decimal"/>
      <w:start w:val="104"/>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endash "/>
      <w:numFmt w:val="bullet"/>
      <w:start w:val="1"/>
    </w:lvl>
  </w:abstractNum>
  <w:abstractNum w:abstractNumId="38">
    <w:nsid w:val="354FE9F9"/>
    <w:multiLevelType w:val="hybridMultilevel"/>
    <w:lvl w:ilvl="0">
      <w:lvlJc w:val="left"/>
      <w:lvlText w:val="&amp;"/>
      <w:numFmt w:val="bullet"/>
      <w:start w:val="1"/>
    </w:lvl>
  </w:abstractNum>
  <w:abstractNum w:abstractNumId="39">
    <w:nsid w:val="15B5AF5C"/>
    <w:multiLevelType w:val="hybridMultilevel"/>
    <w:lvl w:ilvl="0">
      <w:lvlJc w:val="left"/>
      <w:lvlText w:val="%1."/>
      <w:numFmt w:val="decimal"/>
      <w:start w:val="521"/>
    </w:lvl>
  </w:abstractNum>
  <w:abstractNum w:abstractNumId="40">
    <w:nsid w:val="741226BB"/>
    <w:multiLevelType w:val="hybridMultilevel"/>
    <w:lvl w:ilvl="0">
      <w:lvlJc w:val="left"/>
      <w:lvlText w:val="%1."/>
      <w:numFmt w:val="upperLetter"/>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1."/>
      <w:numFmt w:val="decimal"/>
      <w:start w:val="4"/>
    </w:lvl>
  </w:abstractNum>
  <w:abstractNum w:abstractNumId="43">
    <w:nsid w:val="3F6AB60F"/>
    <w:multiLevelType w:val="hybridMultilevel"/>
    <w:lvl w:ilvl="0">
      <w:lvlJc w:val="left"/>
      <w:lvlText w:val="%1."/>
      <w:numFmt w:val="upperLetter"/>
      <w:start w:val="1"/>
    </w:lvl>
  </w:abstractNum>
  <w:abstractNum w:abstractNumId="44">
    <w:nsid w:val="61574095"/>
    <w:multiLevelType w:val="hybridMultilevel"/>
    <w:lvl w:ilvl="0">
      <w:lvlJc w:val="left"/>
      <w:lvlText w:val="%1."/>
      <w:numFmt w:val="decimal"/>
      <w:start w:val="1"/>
    </w:lvl>
    <w:lvl w:ilvl="1">
      <w:lvlJc w:val="left"/>
      <w:lvlText w:val="%2"/>
      <w:numFmt w:val="lowerLetter"/>
      <w:start w:val="1"/>
    </w:lvl>
  </w:abstractNum>
  <w:abstractNum w:abstractNumId="45">
    <w:nsid w:val="7E0C57B1"/>
    <w:multiLevelType w:val="hybridMultilevel"/>
    <w:lvl w:ilvl="0">
      <w:lvlJc w:val="left"/>
      <w:lvlText w:val="%1."/>
      <w:numFmt w:val="lowerLetter"/>
      <w:start w:val="2"/>
    </w:lvl>
  </w:abstractNum>
  <w:abstractNum w:abstractNumId="46">
    <w:nsid w:val="77AE35EB"/>
    <w:multiLevelType w:val="hybridMultilevel"/>
    <w:lvl w:ilvl="0">
      <w:lvlJc w:val="left"/>
      <w:lvlText w:val="%1."/>
      <w:numFmt w:val="lowerLetter"/>
      <w:start w:val="3"/>
    </w:lvl>
  </w:abstractNum>
  <w:abstractNum w:abstractNumId="47">
    <w:nsid w:val="579BE4F1"/>
    <w:multiLevelType w:val="hybridMultilevel"/>
    <w:lvl w:ilvl="0">
      <w:lvlJc w:val="left"/>
      <w:lvlText w:val="%1."/>
      <w:numFmt w:val="lowerLetter"/>
      <w:start w:val="4"/>
    </w:lvl>
  </w:abstractNum>
  <w:abstractNum w:abstractNumId="48">
    <w:nsid w:val="310C50B3"/>
    <w:multiLevelType w:val="hybridMultilevel"/>
    <w:lvl w:ilvl="0">
      <w:lvlJc w:val="left"/>
      <w:lvlText w:val="%1."/>
      <w:numFmt w:val="lowerLetter"/>
      <w:start w:val="6"/>
    </w:lvl>
  </w:abstractNum>
  <w:abstractNum w:abstractNumId="49">
    <w:nsid w:val="5FF87E05"/>
    <w:multiLevelType w:val="hybridMultilevel"/>
    <w:lvl w:ilvl="0">
      <w:lvlJc w:val="left"/>
      <w:lvlText w:val="%1."/>
      <w:numFmt w:val="lowerLetter"/>
      <w:start w:val="7"/>
    </w:lvl>
  </w:abstractNum>
  <w:abstractNum w:abstractNumId="50">
    <w:nsid w:val="2F305DEF"/>
    <w:multiLevelType w:val="hybridMultilevel"/>
    <w:lvl w:ilvl="0">
      <w:lvlJc w:val="left"/>
      <w:lvlText w:val="%1."/>
      <w:numFmt w:val="lowerLetter"/>
      <w:start w:val="8"/>
    </w:lvl>
  </w:abstractNum>
  <w:abstractNum w:abstractNumId="51">
    <w:nsid w:val="25A70BF7"/>
    <w:multiLevelType w:val="hybridMultilevel"/>
    <w:lvl w:ilvl="0">
      <w:lvlJc w:val="left"/>
      <w:lvlText w:val="%1."/>
      <w:numFmt w:val="decimal"/>
      <w:start w:val="2"/>
    </w:lvl>
    <w:lvl w:ilvl="1">
      <w:lvlJc w:val="left"/>
      <w:lvlText w:val="%2"/>
      <w:numFmt w:val="lowerLetter"/>
      <w:start w:val="1"/>
    </w:lvl>
  </w:abstractNum>
  <w:abstractNum w:abstractNumId="52">
    <w:nsid w:val="1DBABF00"/>
    <w:multiLevelType w:val="hybridMultilevel"/>
    <w:lvl w:ilvl="0">
      <w:lvlJc w:val="left"/>
      <w:lvlText w:val="%1"/>
      <w:numFmt w:val="decimal"/>
      <w:start w:val="1"/>
    </w:lvl>
    <w:lvl w:ilvl="1">
      <w:lvlJc w:val="left"/>
      <w:lvlText w:val="%2."/>
      <w:numFmt w:val="lowerLetter"/>
      <w:start w:val="2"/>
    </w:lvl>
  </w:abstractNum>
  <w:abstractNum w:abstractNumId="53">
    <w:nsid w:val="4AD084E9"/>
    <w:multiLevelType w:val="hybridMultilevel"/>
    <w:lvl w:ilvl="0">
      <w:lvlJc w:val="left"/>
      <w:lvlText w:val="%1."/>
      <w:numFmt w:val="decimal"/>
      <w:start w:val="3"/>
    </w:lvl>
    <w:lvl w:ilvl="1">
      <w:lvlJc w:val="left"/>
      <w:lvlText w:val="%2"/>
      <w:numFmt w:val="lowerLetter"/>
      <w:start w:val="1"/>
    </w:lvl>
  </w:abstractNum>
  <w:abstractNum w:abstractNumId="54">
    <w:nsid w:val="1F48EAA1"/>
    <w:multiLevelType w:val="hybridMultilevel"/>
    <w:lvl w:ilvl="0">
      <w:lvlJc w:val="left"/>
      <w:lvlText w:val="%1."/>
      <w:numFmt w:val="decimal"/>
      <w:start w:val="5"/>
    </w:lvl>
  </w:abstractNum>
  <w:abstractNum w:abstractNumId="55">
    <w:nsid w:val="1381823A"/>
    <w:multiLevelType w:val="hybridMultilevel"/>
    <w:lvl w:ilvl="0">
      <w:lvlJc w:val="left"/>
      <w:lvlText w:val="%1."/>
      <w:numFmt w:val="decimal"/>
      <w:start w:val="6"/>
    </w:lvl>
  </w:abstractNum>
  <w:abstractNum w:abstractNumId="56">
    <w:nsid w:val="5DB70AE5"/>
    <w:multiLevelType w:val="hybridMultilevel"/>
    <w:lvl w:ilvl="0">
      <w:lvlJc w:val="left"/>
      <w:lvlText w:val="%1."/>
      <w:numFmt w:val="decimal"/>
      <w:start w:val="7"/>
    </w:lvl>
  </w:abstractNum>
  <w:abstractNum w:abstractNumId="57">
    <w:nsid w:val="100F8FCA"/>
    <w:multiLevelType w:val="hybridMultilevel"/>
    <w:lvl w:ilvl="0">
      <w:lvlJc w:val="left"/>
      <w:lvlText w:val="%1."/>
      <w:numFmt w:val="upperLetter"/>
      <w:start w:val="1"/>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upperLetter"/>
      <w:start w:val="1"/>
    </w:lvl>
    <w:lvl w:ilvl="1">
      <w:lvlJc w:val="left"/>
      <w:lvlText w:val="%2."/>
      <w:numFmt w:val="upperLetter"/>
      <w:start w:val="1"/>
    </w:lvl>
  </w:abstractNum>
  <w:abstractNum w:abstractNumId="60">
    <w:nsid w:val="5F5E7FD0"/>
    <w:multiLevelType w:val="hybridMultilevel"/>
    <w:lvl w:ilvl="0">
      <w:lvlJc w:val="left"/>
      <w:lvlText w:val="%1."/>
      <w:numFmt w:val="upperLetter"/>
      <w:start w:val="2"/>
    </w:lvl>
    <w:lvl w:ilvl="1">
      <w:lvlJc w:val="left"/>
      <w:lvlText w:val="%2"/>
      <w:numFmt w:val="upperLetter"/>
      <w:start w:val="1"/>
    </w:lvl>
  </w:abstractNum>
  <w:abstractNum w:abstractNumId="61">
    <w:nsid w:val="98A3148"/>
    <w:multiLevelType w:val="hybridMultilevel"/>
    <w:lvl w:ilvl="0">
      <w:lvlJc w:val="left"/>
      <w:lvlText w:val="%1."/>
      <w:numFmt w:val="decimal"/>
      <w:start w:val="1"/>
    </w:lvl>
    <w:lvl w:ilvl="1">
      <w:lvlJc w:val="left"/>
      <w:lvlText w:val="%2."/>
      <w:numFmt w:val="lowerLetter"/>
      <w:start w:val="1"/>
    </w:lvl>
  </w:abstractNum>
  <w:abstractNum w:abstractNumId="62">
    <w:nsid w:val="799D0247"/>
    <w:multiLevelType w:val="hybridMultilevel"/>
    <w:lvl w:ilvl="0">
      <w:lvlJc w:val="left"/>
      <w:lvlText w:val="%1."/>
      <w:numFmt w:val="lowerLetter"/>
      <w:start w:val="4"/>
    </w:lvl>
  </w:abstractNum>
  <w:abstractNum w:abstractNumId="63">
    <w:nsid w:val="6B94764"/>
    <w:multiLevelType w:val="hybridMultilevel"/>
    <w:lvl w:ilvl="0">
      <w:lvlJc w:val="left"/>
      <w:lvlText w:val="%1."/>
      <w:numFmt w:val="decimal"/>
      <w:start w:val="3"/>
    </w:lvl>
  </w:abstractNum>
  <w:abstractNum w:abstractNumId="64">
    <w:nsid w:val="42C296BD"/>
    <w:multiLevelType w:val="hybridMultilevel"/>
    <w:lvl w:ilvl="0">
      <w:lvlJc w:val="left"/>
      <w:lvlText w:val="%1."/>
      <w:numFmt w:val="decimal"/>
      <w:start w:val="4"/>
    </w:lvl>
  </w:abstractNum>
  <w:abstractNum w:abstractNumId="65">
    <w:nsid w:val="168E121F"/>
    <w:multiLevelType w:val="hybridMultilevel"/>
    <w:lvl w:ilvl="0">
      <w:lvlJc w:val="left"/>
      <w:lvlText w:val="%1."/>
      <w:numFmt w:val="upperLetter"/>
      <w:start w:val="1"/>
    </w:lvl>
  </w:abstractNum>
  <w:abstractNum w:abstractNumId="66">
    <w:nsid w:val="1EBA5D23"/>
    <w:multiLevelType w:val="hybridMultilevel"/>
    <w:lvl w:ilvl="0">
      <w:lvlJc w:val="left"/>
      <w:lvlText w:val="%1."/>
      <w:numFmt w:val="decimal"/>
      <w:start w:val="1"/>
    </w:lvl>
    <w:lvl w:ilvl="1">
      <w:lvlJc w:val="left"/>
      <w:lvlText w:val="%2"/>
      <w:numFmt w:val="lowerLetter"/>
      <w:start w:val="1"/>
    </w:lvl>
  </w:abstractNum>
  <w:abstractNum w:abstractNumId="67">
    <w:nsid w:val="661E3F1E"/>
    <w:multiLevelType w:val="hybridMultilevel"/>
    <w:lvl w:ilvl="0">
      <w:lvlJc w:val="left"/>
      <w:lvlText w:val="%1."/>
      <w:numFmt w:val="lowerLetter"/>
      <w:start w:val="2"/>
    </w:lvl>
  </w:abstractNum>
  <w:abstractNum w:abstractNumId="68">
    <w:nsid w:val="5DC79EA8"/>
    <w:multiLevelType w:val="hybridMultilevel"/>
    <w:lvl w:ilvl="0">
      <w:lvlJc w:val="left"/>
      <w:lvlText w:val="%1."/>
      <w:numFmt w:val="lowerLetter"/>
      <w:start w:val="7"/>
    </w:lvl>
    <w:lvl w:ilvl="1">
      <w:lvlJc w:val="left"/>
      <w:lvlText w:val="%2."/>
      <w:numFmt w:val="lowerLetter"/>
      <w:start w:val="8"/>
    </w:lvl>
  </w:abstractNum>
  <w:abstractNum w:abstractNumId="69">
    <w:nsid w:val="540A471C"/>
    <w:multiLevelType w:val="hybridMultilevel"/>
    <w:lvl w:ilvl="0">
      <w:lvlJc w:val="left"/>
      <w:lvlText w:val="%1."/>
      <w:numFmt w:val="lowerLetter"/>
      <w:start w:val="10"/>
    </w:lvl>
  </w:abstractNum>
  <w:abstractNum w:abstractNumId="70">
    <w:nsid w:val="7BD3EE7B"/>
    <w:multiLevelType w:val="hybridMultilevel"/>
    <w:lvl w:ilvl="0">
      <w:lvlJc w:val="left"/>
      <w:lvlText w:val="%1"/>
      <w:numFmt w:val="lowerRoman"/>
      <w:start w:val="1"/>
    </w:lvl>
    <w:lvl w:ilvl="1">
      <w:lvlJc w:val="left"/>
      <w:lvlText w:val="%2."/>
      <w:numFmt w:val="lowerLetter"/>
      <w:start w:val="12"/>
    </w:lvl>
  </w:abstractNum>
  <w:abstractNum w:abstractNumId="71">
    <w:nsid w:val="51D9C564"/>
    <w:multiLevelType w:val="hybridMultilevel"/>
    <w:lvl w:ilvl="0">
      <w:lvlJc w:val="left"/>
      <w:lvlText w:val="(%1)"/>
      <w:numFmt w:val="lowerRoman"/>
      <w:start w:val="1"/>
    </w:lvl>
    <w:lvl w:ilvl="1">
      <w:lvlJc w:val="left"/>
      <w:lvlText w:val="%2"/>
      <w:numFmt w:val="lowerLetter"/>
      <w:start w:val="1"/>
    </w:lvl>
  </w:abstractNum>
  <w:abstractNum w:abstractNumId="72">
    <w:nsid w:val="613EFDC5"/>
    <w:multiLevelType w:val="hybridMultilevel"/>
    <w:lvl w:ilvl="0">
      <w:lvlJc w:val="left"/>
      <w:lvlText w:val="%1."/>
      <w:numFmt w:val="lowerLetter"/>
      <w:start w:val="14"/>
    </w:lvl>
  </w:abstractNum>
  <w:abstractNum w:abstractNumId="73">
    <w:nsid w:val="BF72B14"/>
    <w:multiLevelType w:val="hybridMultilevel"/>
    <w:lvl w:ilvl="0">
      <w:lvlJc w:val="left"/>
      <w:lvlText w:val="%1."/>
      <w:numFmt w:val="decimal"/>
      <w:start w:val="3"/>
    </w:lvl>
  </w:abstractNum>
  <w:abstractNum w:abstractNumId="74">
    <w:nsid w:val="11447B73"/>
    <w:multiLevelType w:val="hybridMultilevel"/>
    <w:lvl w:ilvl="0">
      <w:lvlJc w:val="left"/>
      <w:lvlText w:val="%1."/>
      <w:numFmt w:val="decimal"/>
      <w:start w:val="5"/>
    </w:lvl>
  </w:abstractNum>
  <w:abstractNum w:abstractNumId="75">
    <w:nsid w:val="42963E5A"/>
    <w:multiLevelType w:val="hybridMultilevel"/>
    <w:lvl w:ilvl="0">
      <w:lvlJc w:val="left"/>
      <w:lvlText w:val="*"/>
      <w:numFmt w:val="bullet"/>
      <w:start w:val="1"/>
    </w:lvl>
    <w:lvl w:ilvl="1">
      <w:lvlJc w:val="left"/>
      <w:lvlText w:val="**"/>
      <w:numFmt w:val="bullet"/>
      <w:start w:val="1"/>
    </w:lvl>
  </w:abstractNum>
  <w:abstractNum w:abstractNumId="76">
    <w:nsid w:val="A0382C5"/>
    <w:multiLevelType w:val="hybridMultilevel"/>
    <w:lvl w:ilvl="0">
      <w:lvlJc w:val="left"/>
      <w:lvlText w:val="*"/>
      <w:numFmt w:val="bullet"/>
      <w:start w:val="1"/>
    </w:lvl>
    <w:lvl w:ilvl="1">
      <w:lvlJc w:val="left"/>
      <w:lvlText w:val="***"/>
      <w:numFmt w:val="bullet"/>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22"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jpeg"/><Relationship Id="rId162" Type="http://schemas.openxmlformats.org/officeDocument/2006/relationships/image" Target="media/image127.jpe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jpe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jpe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jpeg"/><Relationship Id="rId184" Type="http://schemas.openxmlformats.org/officeDocument/2006/relationships/image" Target="media/image149.jpeg"/><Relationship Id="rId185" Type="http://schemas.openxmlformats.org/officeDocument/2006/relationships/image" Target="media/image150.jpe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jpeg"/><Relationship Id="rId192" Type="http://schemas.openxmlformats.org/officeDocument/2006/relationships/image" Target="media/image157.jpeg"/><Relationship Id="rId193" Type="http://schemas.openxmlformats.org/officeDocument/2006/relationships/image" Target="media/image158.jpe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92" Type="http://schemas.openxmlformats.org/officeDocument/2006/relationships/hyperlink" Target="http://www.sec.gov/Archives/edgar/data/879407/000156459020036812/arwr-ex11_467.htm" TargetMode="External"/><Relationship Id="rId93" Type="http://schemas.openxmlformats.org/officeDocument/2006/relationships/hyperlink" Target="http://www.sec.gov/Archives/edgar/data/879407/000119312511347334/d265091dex21.htm" TargetMode="External"/><Relationship Id="rId94" Type="http://schemas.openxmlformats.org/officeDocument/2006/relationships/hyperlink" Target="http://www.sec.gov/Archives/edgar/data/879407/000156459015003902/arwr-ex21_20150331298.htm" TargetMode="External"/><Relationship Id="rId95" Type="http://schemas.openxmlformats.org/officeDocument/2006/relationships/hyperlink" Target="http://www.sec.gov/Archives/edgar/data/879407/000119312516532364/d175317dex33.htm" TargetMode="External"/><Relationship Id="rId96" Type="http://schemas.openxmlformats.org/officeDocument/2006/relationships/hyperlink" Target="http://www.sec.gov/Archives/edgar/data/879407/000119312516532364/d175317dex34.htm" TargetMode="External"/><Relationship Id="rId97" Type="http://schemas.openxmlformats.org/officeDocument/2006/relationships/hyperlink" Target="http://www.sec.gov/Archives/edgar/data/879407/000119312516532364/d175317dex41.htm" TargetMode="External"/><Relationship Id="rId98" Type="http://schemas.openxmlformats.org/officeDocument/2006/relationships/hyperlink" Target="http://www.sec.gov/Archives/edgar/data/879407/000119312516751770/d278005dex42.htm" TargetMode="External"/><Relationship Id="rId99" Type="http://schemas.openxmlformats.org/officeDocument/2006/relationships/hyperlink" Target="http://www.sec.gov/Archives/edgar/data/879407/000119312517092797/d319463dex41.htm" TargetMode="External"/><Relationship Id="rId100" Type="http://schemas.openxmlformats.org/officeDocument/2006/relationships/hyperlink" Target="http://www.sec.gov/Archives/edgar/data/879407/000119312512009893/d275001ddef14a.htm" TargetMode="External"/><Relationship Id="rId101" Type="http://schemas.openxmlformats.org/officeDocument/2006/relationships/hyperlink" Target="http://www.sec.gov/Archives/edgar/data/879407/000119312513481209/d647635ddef14a.htm" TargetMode="External"/><Relationship Id="rId102" Type="http://schemas.openxmlformats.org/officeDocument/2006/relationships/hyperlink" Target="http://www.sec.gov/Archives/edgar/data/879407/000119312514048097/d675317dex101.htm" TargetMode="External"/><Relationship Id="rId103" Type="http://schemas.openxmlformats.org/officeDocument/2006/relationships/hyperlink" Target="http://www.sec.gov/Archives/edgar/data/879407/000119312514048097/d675317dex102.htm" TargetMode="External"/><Relationship Id="rId104" Type="http://schemas.openxmlformats.org/officeDocument/2006/relationships/hyperlink" Target="http://www.sec.gov/Archives/edgar/data/879407/000119312506253375/dex1011.htm" TargetMode="External"/><Relationship Id="rId105" Type="http://schemas.openxmlformats.org/officeDocument/2006/relationships/hyperlink" Target="http://www.sec.gov/Archives/edgar/data/879407/000119312508133616/dex101.htm" TargetMode="External"/><Relationship Id="rId106" Type="http://schemas.openxmlformats.org/officeDocument/2006/relationships/hyperlink" Target="http://www.sec.gov/Archives/edgar/data/879407/000119312509258134/dex108.htm" TargetMode="External"/><Relationship Id="rId107" Type="http://schemas.openxmlformats.org/officeDocument/2006/relationships/hyperlink" Target="http://www.sec.gov/Archives/edgar/data/879407/000119312511347334/d265091dex1033.htm" TargetMode="External"/><Relationship Id="rId111" Type="http://schemas.openxmlformats.org/officeDocument/2006/relationships/hyperlink" Target="http://www.sec.gov/Archives/edgar/data/879407/000119312511347334/d265091dex1036.htm" TargetMode="External"/><Relationship Id="rId112" Type="http://schemas.openxmlformats.org/officeDocument/2006/relationships/hyperlink" Target="http://www.sec.gov/Archives/edgar/data/879407/000156459014003557/arwr-ex10_20140630353.htm" TargetMode="External"/><Relationship Id="rId113" Type="http://schemas.openxmlformats.org/officeDocument/2006/relationships/hyperlink" Target="http://www.sec.gov/Archives/edgar/data/879407/000156459016012515/arwr-ex101_83.htm" TargetMode="External"/><Relationship Id="rId114" Type="http://schemas.openxmlformats.org/officeDocument/2006/relationships/hyperlink" Target="http://www.sec.gov/Archives/edgar/data/879407/000156459016030217/arwr-ex1018_310.htm" TargetMode="External"/><Relationship Id="rId115" Type="http://schemas.openxmlformats.org/officeDocument/2006/relationships/hyperlink" Target="http://www.sec.gov/Archives/edgar/data/879407/000156459016030217/arwr-ex1019_309.htm" TargetMode="External"/><Relationship Id="rId116" Type="http://schemas.openxmlformats.org/officeDocument/2006/relationships/hyperlink" Target="http://www.sec.gov/Archives/edgar/data/879407/000119312516776646/d272157dex101.htm" TargetMode="External"/><Relationship Id="rId117" Type="http://schemas.openxmlformats.org/officeDocument/2006/relationships/hyperlink" Target="http://www.sec.gov/Archives/edgar/data/879407/000095012319000828/arwr-ex101_156.htm" TargetMode="External"/><Relationship Id="rId118" Type="http://schemas.openxmlformats.org/officeDocument/2006/relationships/hyperlink" Target="http://www.sec.gov/Archives/edgar/data/879407/000095012319000828/arwr-ex102_155.htm" TargetMode="External"/><Relationship Id="rId119" Type="http://schemas.openxmlformats.org/officeDocument/2006/relationships/hyperlink" Target="http://www.sec.gov/Archives/edgar/data/879407/000095012319000828/arwr-ex103_154.htm" TargetMode="External"/><Relationship Id="rId120" Type="http://schemas.openxmlformats.org/officeDocument/2006/relationships/hyperlink" Target="http://www.sec.gov/Archives/edgar/data/879407/000095012319000828/arwr-ex104_153.htm" TargetMode="External"/><Relationship Id="rId121" Type="http://schemas.openxmlformats.org/officeDocument/2006/relationships/hyperlink" Target="http://www.sec.gov/Archives/edgar/data/879407/000156459019028760/arwr-ex101_67.htm" TargetMode="External"/><Relationship Id="rId123" Type="http://schemas.openxmlformats.org/officeDocument/2006/relationships/hyperlink" Target="http://www.sec.gov/Archives/edgar/data/879407/000156459020022860/arwr-ex101_2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2020-11-23T15:40:10Z</dcterms:created>
  <dcterms:modified xsi:type="dcterms:W3CDTF">2020-11-23T15:40:10Z</dcterms:modified>
</cp:coreProperties>
</file>