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213995</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265430</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UNITED STATES</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SECURITIES AND EXCHANGE COMMISSION</w:t>
      </w:r>
    </w:p>
    <w:p>
      <w:pPr>
        <w:spacing w:after="0" w:line="4"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Washington, D.C. 20549</w:t>
      </w:r>
    </w:p>
    <w:p>
      <w:pPr>
        <w:spacing w:after="0" w:line="80"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SCHEDULE 14A</w:t>
      </w:r>
    </w:p>
    <w:p>
      <w:pPr>
        <w:spacing w:after="0" w:line="2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(Rule 14a-101)</w:t>
      </w:r>
    </w:p>
    <w:p>
      <w:pPr>
        <w:spacing w:after="0" w:line="83"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color w:val="auto"/>
        </w:rPr>
        <w:t>INFORMATION REQUIRED IN PROXY STATEMENT</w:t>
      </w:r>
    </w:p>
    <w:p>
      <w:pPr>
        <w:spacing w:after="0" w:line="97"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color w:val="auto"/>
        </w:rPr>
        <w:t>SCHEDULE 14A INFORMATION</w:t>
      </w:r>
    </w:p>
    <w:p>
      <w:pPr>
        <w:spacing w:after="0" w:line="105"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19"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Securities Exchange Act of 1934</w:t>
      </w:r>
    </w:p>
    <w:p>
      <w:pPr>
        <w:spacing w:after="0" w:line="71" w:lineRule="exact"/>
        <w:rPr>
          <w:sz w:val="24"/>
          <w:szCs w:val="24"/>
          <w:color w:val="auto"/>
        </w:rPr>
      </w:pPr>
    </w:p>
    <w:p>
      <w:pPr>
        <w:ind w:left="220"/>
        <w:spacing w:after="0" w:line="161" w:lineRule="exact"/>
        <w:tabs>
          <w:tab w:leader="none" w:pos="300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60" w:lineRule="exact"/>
        <w:rPr>
          <w:sz w:val="24"/>
          <w:szCs w:val="24"/>
          <w:color w:val="auto"/>
        </w:rPr>
      </w:pPr>
    </w:p>
    <w:p>
      <w:pPr>
        <w:ind w:left="220"/>
        <w:spacing w:after="0"/>
        <w:rPr>
          <w:sz w:val="20"/>
          <w:szCs w:val="20"/>
          <w:color w:val="auto"/>
        </w:rPr>
      </w:pPr>
      <w:r>
        <w:rPr>
          <w:rFonts w:ascii="Arial" w:cs="Arial" w:eastAsia="Arial" w:hAnsi="Arial"/>
          <w:sz w:val="14"/>
          <w:szCs w:val="14"/>
          <w:color w:val="auto"/>
        </w:rPr>
        <w:t>Check the appropriate box:</w:t>
      </w:r>
    </w:p>
    <w:p>
      <w:pPr>
        <w:spacing w:after="0" w:line="136" w:lineRule="exact"/>
        <w:rPr>
          <w:sz w:val="24"/>
          <w:szCs w:val="24"/>
          <w:color w:val="auto"/>
        </w:rPr>
      </w:pPr>
    </w:p>
    <w:p>
      <w:pPr>
        <w:ind w:left="760" w:hanging="550"/>
        <w:spacing w:after="0"/>
        <w:tabs>
          <w:tab w:leader="none" w:pos="7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04" w:lineRule="exact"/>
        <w:rPr>
          <w:rFonts w:ascii="MS PGothic" w:cs="MS PGothic" w:eastAsia="MS PGothic" w:hAnsi="MS PGothic"/>
          <w:sz w:val="14"/>
          <w:szCs w:val="14"/>
          <w:color w:val="auto"/>
        </w:rPr>
      </w:pPr>
    </w:p>
    <w:p>
      <w:pPr>
        <w:ind w:left="760" w:hanging="550"/>
        <w:spacing w:after="0"/>
        <w:tabs>
          <w:tab w:leader="none" w:pos="7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14a-6(e)(2))</w:t>
      </w:r>
    </w:p>
    <w:p>
      <w:pPr>
        <w:spacing w:after="0" w:line="140" w:lineRule="exact"/>
        <w:rPr>
          <w:sz w:val="24"/>
          <w:szCs w:val="24"/>
          <w:color w:val="auto"/>
        </w:rPr>
      </w:pPr>
    </w:p>
    <w:p>
      <w:pPr>
        <w:ind w:left="760" w:hanging="550"/>
        <w:spacing w:after="0"/>
        <w:tabs>
          <w:tab w:leader="none" w:pos="7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2" w:lineRule="exact"/>
        <w:rPr>
          <w:sz w:val="24"/>
          <w:szCs w:val="24"/>
          <w:color w:val="auto"/>
        </w:rPr>
      </w:pPr>
    </w:p>
    <w:p>
      <w:pPr>
        <w:ind w:left="760" w:hanging="550"/>
        <w:spacing w:after="0"/>
        <w:tabs>
          <w:tab w:leader="none" w:pos="7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760" w:hanging="550"/>
        <w:spacing w:after="0"/>
        <w:tabs>
          <w:tab w:leader="none" w:pos="7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64" w:lineRule="exact"/>
        <w:rPr>
          <w:sz w:val="24"/>
          <w:szCs w:val="24"/>
          <w:color w:val="auto"/>
        </w:rPr>
      </w:pPr>
    </w:p>
    <w:p>
      <w:pPr>
        <w:jc w:val="center"/>
        <w:ind w:right="-319"/>
        <w:spacing w:after="0"/>
        <w:rPr>
          <w:sz w:val="20"/>
          <w:szCs w:val="20"/>
          <w:color w:val="auto"/>
        </w:rPr>
      </w:pPr>
      <w:r>
        <w:rPr>
          <w:rFonts w:ascii="Arial" w:cs="Arial" w:eastAsia="Arial" w:hAnsi="Arial"/>
          <w:sz w:val="29"/>
          <w:szCs w:val="29"/>
          <w:b w:val="1"/>
          <w:bCs w:val="1"/>
          <w:color w:val="auto"/>
        </w:rPr>
        <w:t>ARROWHEAD PHARMACEUTICALS, INC.</w:t>
      </w:r>
    </w:p>
    <w:p>
      <w:pPr>
        <w:spacing w:after="0" w:line="49"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91" w:lineRule="exact"/>
        <w:rPr>
          <w:sz w:val="24"/>
          <w:szCs w:val="24"/>
          <w:color w:val="auto"/>
        </w:rPr>
      </w:pPr>
    </w:p>
    <w:p>
      <w:pPr>
        <w:ind w:left="33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7" w:lineRule="exact"/>
        <w:rPr>
          <w:sz w:val="24"/>
          <w:szCs w:val="24"/>
          <w:color w:val="auto"/>
        </w:rPr>
      </w:pPr>
    </w:p>
    <w:p>
      <w:pPr>
        <w:ind w:left="220"/>
        <w:spacing w:after="0"/>
        <w:rPr>
          <w:sz w:val="20"/>
          <w:szCs w:val="20"/>
          <w:color w:val="auto"/>
        </w:rPr>
      </w:pPr>
      <w:r>
        <w:rPr>
          <w:rFonts w:ascii="Arial" w:cs="Arial" w:eastAsia="Arial" w:hAnsi="Arial"/>
          <w:sz w:val="14"/>
          <w:szCs w:val="14"/>
          <w:color w:val="auto"/>
        </w:rPr>
        <w:t>Payment of filing fee (Check the appropriate box):</w:t>
      </w:r>
    </w:p>
    <w:p>
      <w:pPr>
        <w:spacing w:after="0" w:line="217" w:lineRule="exact"/>
        <w:rPr>
          <w:sz w:val="24"/>
          <w:szCs w:val="24"/>
          <w:color w:val="auto"/>
        </w:rPr>
      </w:pPr>
    </w:p>
    <w:p>
      <w:pPr>
        <w:ind w:left="780" w:hanging="570"/>
        <w:spacing w:after="0"/>
        <w:tabs>
          <w:tab w:leader="none" w:pos="7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30" w:lineRule="exact"/>
        <w:rPr>
          <w:sz w:val="24"/>
          <w:szCs w:val="24"/>
          <w:color w:val="auto"/>
        </w:rPr>
      </w:pPr>
    </w:p>
    <w:p>
      <w:pPr>
        <w:ind w:left="780" w:hanging="570"/>
        <w:spacing w:after="0"/>
        <w:tabs>
          <w:tab w:leader="none" w:pos="7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30" w:lineRule="exact"/>
        <w:rPr>
          <w:rFonts w:ascii="MS PGothic" w:cs="MS PGothic" w:eastAsia="MS PGothic" w:hAnsi="MS PGothic"/>
          <w:sz w:val="14"/>
          <w:szCs w:val="14"/>
          <w:color w:val="auto"/>
        </w:rPr>
      </w:pPr>
    </w:p>
    <w:p>
      <w:pPr>
        <w:ind w:left="1320" w:hanging="543"/>
        <w:spacing w:after="0"/>
        <w:tabs>
          <w:tab w:leader="none" w:pos="13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32" w:lineRule="exact"/>
        <w:rPr>
          <w:rFonts w:ascii="Arial" w:cs="Arial" w:eastAsia="Arial" w:hAnsi="Arial"/>
          <w:sz w:val="14"/>
          <w:szCs w:val="14"/>
          <w:color w:val="auto"/>
        </w:rPr>
      </w:pPr>
    </w:p>
    <w:p>
      <w:pPr>
        <w:ind w:left="1320" w:hanging="543"/>
        <w:spacing w:after="0"/>
        <w:tabs>
          <w:tab w:leader="none" w:pos="13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232" w:lineRule="exact"/>
        <w:rPr>
          <w:rFonts w:ascii="Arial" w:cs="Arial" w:eastAsia="Arial" w:hAnsi="Arial"/>
          <w:sz w:val="14"/>
          <w:szCs w:val="14"/>
          <w:color w:val="auto"/>
        </w:rPr>
      </w:pPr>
    </w:p>
    <w:p>
      <w:pPr>
        <w:ind w:left="1320" w:right="460" w:hanging="543"/>
        <w:spacing w:after="0" w:line="257" w:lineRule="auto"/>
        <w:tabs>
          <w:tab w:leader="none" w:pos="13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spacing w:after="0" w:line="210" w:lineRule="exact"/>
        <w:rPr>
          <w:rFonts w:ascii="Arial" w:cs="Arial" w:eastAsia="Arial" w:hAnsi="Arial"/>
          <w:sz w:val="14"/>
          <w:szCs w:val="14"/>
          <w:color w:val="auto"/>
        </w:rPr>
      </w:pPr>
    </w:p>
    <w:p>
      <w:pPr>
        <w:ind w:left="1320" w:hanging="543"/>
        <w:spacing w:after="0"/>
        <w:tabs>
          <w:tab w:leader="none" w:pos="13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232" w:lineRule="exact"/>
        <w:rPr>
          <w:rFonts w:ascii="Arial" w:cs="Arial" w:eastAsia="Arial" w:hAnsi="Arial"/>
          <w:sz w:val="14"/>
          <w:szCs w:val="14"/>
          <w:color w:val="auto"/>
        </w:rPr>
      </w:pPr>
    </w:p>
    <w:p>
      <w:pPr>
        <w:ind w:left="1320" w:hanging="543"/>
        <w:spacing w:after="0"/>
        <w:tabs>
          <w:tab w:leader="none" w:pos="13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32" w:lineRule="exact"/>
        <w:rPr>
          <w:rFonts w:ascii="Arial" w:cs="Arial" w:eastAsia="Arial" w:hAnsi="Arial"/>
          <w:sz w:val="14"/>
          <w:szCs w:val="14"/>
          <w:color w:val="auto"/>
        </w:rPr>
      </w:pPr>
    </w:p>
    <w:p>
      <w:pPr>
        <w:ind w:left="780" w:hanging="570"/>
        <w:spacing w:after="0"/>
        <w:tabs>
          <w:tab w:leader="none" w:pos="7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30" w:lineRule="exact"/>
        <w:rPr>
          <w:rFonts w:ascii="MS PGothic" w:cs="MS PGothic" w:eastAsia="MS PGothic" w:hAnsi="MS PGothic"/>
          <w:sz w:val="14"/>
          <w:szCs w:val="14"/>
          <w:color w:val="auto"/>
        </w:rPr>
      </w:pPr>
    </w:p>
    <w:p>
      <w:pPr>
        <w:ind w:left="780" w:hanging="570"/>
        <w:spacing w:after="0" w:line="257" w:lineRule="auto"/>
        <w:tabs>
          <w:tab w:leader="none" w:pos="7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MS PGothic" w:cs="MS PGothic" w:eastAsia="MS PGothic" w:hAnsi="MS PGothic"/>
          <w:sz w:val="14"/>
          <w:szCs w:val="14"/>
          <w:color w:val="auto"/>
        </w:rPr>
      </w:pPr>
    </w:p>
    <w:p>
      <w:pPr>
        <w:ind w:left="1320" w:hanging="543"/>
        <w:spacing w:after="0"/>
        <w:tabs>
          <w:tab w:leader="none" w:pos="13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0" w:lineRule="exact"/>
        <w:rPr>
          <w:rFonts w:ascii="Arial" w:cs="Arial" w:eastAsia="Arial" w:hAnsi="Arial"/>
          <w:sz w:val="14"/>
          <w:szCs w:val="14"/>
          <w:color w:val="auto"/>
        </w:rPr>
      </w:pPr>
    </w:p>
    <w:p>
      <w:pPr>
        <w:spacing w:after="0" w:line="232" w:lineRule="exact"/>
        <w:rPr>
          <w:rFonts w:ascii="Arial" w:cs="Arial" w:eastAsia="Arial" w:hAnsi="Arial"/>
          <w:sz w:val="14"/>
          <w:szCs w:val="14"/>
          <w:color w:val="auto"/>
        </w:rPr>
      </w:pPr>
    </w:p>
    <w:p>
      <w:pPr>
        <w:ind w:left="1320" w:hanging="543"/>
        <w:spacing w:after="0"/>
        <w:tabs>
          <w:tab w:leader="none" w:pos="13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232" w:lineRule="exact"/>
        <w:rPr>
          <w:rFonts w:ascii="Arial" w:cs="Arial" w:eastAsia="Arial" w:hAnsi="Arial"/>
          <w:sz w:val="14"/>
          <w:szCs w:val="14"/>
          <w:color w:val="auto"/>
        </w:rPr>
      </w:pPr>
    </w:p>
    <w:p>
      <w:pPr>
        <w:ind w:left="1320" w:hanging="543"/>
        <w:spacing w:after="0"/>
        <w:tabs>
          <w:tab w:leader="none" w:pos="13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0" w:lineRule="exact"/>
        <w:rPr>
          <w:rFonts w:ascii="Arial" w:cs="Arial" w:eastAsia="Arial" w:hAnsi="Arial"/>
          <w:sz w:val="14"/>
          <w:szCs w:val="14"/>
          <w:color w:val="auto"/>
        </w:rPr>
      </w:pPr>
    </w:p>
    <w:p>
      <w:pPr>
        <w:spacing w:after="0" w:line="232" w:lineRule="exact"/>
        <w:rPr>
          <w:rFonts w:ascii="Arial" w:cs="Arial" w:eastAsia="Arial" w:hAnsi="Arial"/>
          <w:sz w:val="14"/>
          <w:szCs w:val="14"/>
          <w:color w:val="auto"/>
        </w:rPr>
      </w:pPr>
    </w:p>
    <w:p>
      <w:pPr>
        <w:ind w:left="1320" w:hanging="543"/>
        <w:spacing w:after="0"/>
        <w:tabs>
          <w:tab w:leader="none" w:pos="13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835660</wp:posOffset>
            </wp:positionH>
            <wp:positionV relativeFrom="paragraph">
              <wp:posOffset>-3453765</wp:posOffset>
            </wp:positionV>
            <wp:extent cx="6287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-3077210</wp:posOffset>
            </wp:positionV>
            <wp:extent cx="6287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-2597150</wp:posOffset>
            </wp:positionV>
            <wp:extent cx="62871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-2220595</wp:posOffset>
            </wp:positionV>
            <wp:extent cx="6287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-1843405</wp:posOffset>
            </wp:positionV>
            <wp:extent cx="6287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-875665</wp:posOffset>
            </wp:positionV>
            <wp:extent cx="6287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-498475</wp:posOffset>
            </wp:positionV>
            <wp:extent cx="6287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-121920</wp:posOffset>
            </wp:positionV>
            <wp:extent cx="62871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254635</wp:posOffset>
            </wp:positionV>
            <wp:extent cx="62871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374650</wp:posOffset>
            </wp:positionV>
            <wp:extent cx="6989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426085</wp:posOffset>
            </wp:positionV>
            <wp:extent cx="6989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100"/>
          </w:cols>
          <w:pgMar w:left="240" w:top="230" w:right="55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219710</wp:posOffset>
            </wp:positionV>
            <wp:extent cx="7181850" cy="9251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205105</wp:posOffset>
            </wp:positionV>
            <wp:extent cx="2261235"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6123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Arial" w:cs="Arial" w:eastAsia="Arial" w:hAnsi="Arial"/>
          <w:sz w:val="35"/>
          <w:szCs w:val="35"/>
          <w:b w:val="1"/>
          <w:bCs w:val="1"/>
          <w:color w:val="0071CE"/>
        </w:rPr>
        <w:t>Notice of Annual Meeting of Stockholders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To Be Held on Thursday, 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229235</wp:posOffset>
            </wp:positionV>
            <wp:extent cx="2800985" cy="5756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00985" cy="575627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spacing w:after="0" w:line="254" w:lineRule="auto"/>
        <w:rPr>
          <w:sz w:val="20"/>
          <w:szCs w:val="20"/>
          <w:color w:val="auto"/>
        </w:rPr>
      </w:pPr>
      <w:r>
        <w:rPr>
          <w:rFonts w:ascii="Arial" w:cs="Arial" w:eastAsia="Arial" w:hAnsi="Arial"/>
          <w:sz w:val="16"/>
          <w:szCs w:val="16"/>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postage-prepaid return envelope provided.</w:t>
      </w:r>
    </w:p>
    <w:p>
      <w:pPr>
        <w:spacing w:after="0" w:line="167" w:lineRule="exact"/>
        <w:rPr>
          <w:sz w:val="20"/>
          <w:szCs w:val="20"/>
          <w:color w:val="auto"/>
        </w:rPr>
      </w:pPr>
    </w:p>
    <w:p>
      <w:pPr>
        <w:ind w:left="320" w:right="100"/>
        <w:spacing w:after="0" w:line="266" w:lineRule="auto"/>
        <w:rPr>
          <w:sz w:val="20"/>
          <w:szCs w:val="20"/>
          <w:color w:val="auto"/>
        </w:rPr>
      </w:pPr>
      <w:r>
        <w:rPr>
          <w:rFonts w:ascii="Arial" w:cs="Arial" w:eastAsia="Arial" w:hAnsi="Arial"/>
          <w:sz w:val="16"/>
          <w:szCs w:val="16"/>
          <w:b w:val="1"/>
          <w:bCs w:val="1"/>
          <w:color w:val="auto"/>
        </w:rPr>
        <w:t>Voting promptly will help avoid the additional expense of further solicitation to assure a quorum at the meeting.</w:t>
      </w:r>
    </w:p>
    <w:p>
      <w:pPr>
        <w:spacing w:after="0" w:line="157" w:lineRule="exact"/>
        <w:rPr>
          <w:sz w:val="20"/>
          <w:szCs w:val="20"/>
          <w:color w:val="auto"/>
        </w:rPr>
      </w:pPr>
    </w:p>
    <w:p>
      <w:pPr>
        <w:ind w:left="320" w:right="220"/>
        <w:spacing w:after="0" w:line="259" w:lineRule="auto"/>
        <w:rPr>
          <w:sz w:val="20"/>
          <w:szCs w:val="20"/>
          <w:color w:val="auto"/>
        </w:rPr>
      </w:pPr>
      <w:r>
        <w:rPr>
          <w:rFonts w:ascii="Arial" w:cs="Arial" w:eastAsia="Arial" w:hAnsi="Arial"/>
          <w:sz w:val="16"/>
          <w:szCs w:val="16"/>
          <w:b w:val="1"/>
          <w:bCs w:val="1"/>
          <w:color w:val="auto"/>
        </w:rPr>
        <w:t>Please note, however, that if your shares are held of record by a broker, bank or other nominee and you wish to vote at the meeting, you must obtain a proxy issued in your name from that record holder.</w:t>
      </w:r>
    </w:p>
    <w:p>
      <w:pPr>
        <w:spacing w:after="0" w:line="164" w:lineRule="exact"/>
        <w:rPr>
          <w:sz w:val="20"/>
          <w:szCs w:val="20"/>
          <w:color w:val="auto"/>
        </w:rPr>
      </w:pPr>
    </w:p>
    <w:p>
      <w:pPr>
        <w:jc w:val="both"/>
        <w:ind w:left="320" w:right="260"/>
        <w:spacing w:after="0" w:line="266"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Thursday, March 19, 2020:</w:t>
      </w:r>
    </w:p>
    <w:p>
      <w:pPr>
        <w:spacing w:after="0" w:line="177" w:lineRule="exact"/>
        <w:rPr>
          <w:sz w:val="20"/>
          <w:szCs w:val="20"/>
          <w:color w:val="auto"/>
        </w:rPr>
      </w:pPr>
    </w:p>
    <w:p>
      <w:pPr>
        <w:ind w:left="320" w:right="760"/>
        <w:spacing w:after="0" w:line="260" w:lineRule="auto"/>
        <w:rPr>
          <w:sz w:val="20"/>
          <w:szCs w:val="20"/>
          <w:color w:val="auto"/>
        </w:rPr>
      </w:pPr>
      <w:r>
        <w:rPr>
          <w:rFonts w:ascii="Arial" w:cs="Arial" w:eastAsia="Arial" w:hAnsi="Arial"/>
          <w:sz w:val="16"/>
          <w:szCs w:val="16"/>
          <w:color w:val="auto"/>
        </w:rPr>
        <w:t>You may access the following proxy materials at www.virtualshareholdermeeting.com/ARWR2020</w:t>
      </w:r>
    </w:p>
    <w:p>
      <w:pPr>
        <w:spacing w:after="0" w:line="100" w:lineRule="exact"/>
        <w:rPr>
          <w:sz w:val="20"/>
          <w:szCs w:val="20"/>
          <w:color w:val="auto"/>
        </w:rPr>
      </w:pPr>
    </w:p>
    <w:p>
      <w:pPr>
        <w:ind w:left="440" w:hanging="149"/>
        <w:spacing w:after="0"/>
        <w:tabs>
          <w:tab w:leader="none" w:pos="440" w:val="left"/>
        </w:tabs>
        <w:numPr>
          <w:ilvl w:val="0"/>
          <w:numId w:val="6"/>
        </w:numPr>
        <w:rPr>
          <w:rFonts w:ascii="Arial" w:cs="Arial" w:eastAsia="Arial" w:hAnsi="Arial"/>
          <w:sz w:val="16"/>
          <w:szCs w:val="16"/>
          <w:color w:val="0071CE"/>
        </w:rPr>
      </w:pPr>
      <w:r>
        <w:rPr>
          <w:rFonts w:ascii="Arial" w:cs="Arial" w:eastAsia="Arial" w:hAnsi="Arial"/>
          <w:sz w:val="16"/>
          <w:szCs w:val="16"/>
          <w:color w:val="auto"/>
        </w:rPr>
        <w:t>Notice of the 2020 Annual Meeting of Stockholders;</w:t>
      </w:r>
    </w:p>
    <w:p>
      <w:pPr>
        <w:spacing w:after="0" w:line="126" w:lineRule="exact"/>
        <w:rPr>
          <w:rFonts w:ascii="Arial" w:cs="Arial" w:eastAsia="Arial" w:hAnsi="Arial"/>
          <w:sz w:val="16"/>
          <w:szCs w:val="16"/>
          <w:color w:val="0071CE"/>
        </w:rPr>
      </w:pPr>
    </w:p>
    <w:p>
      <w:pPr>
        <w:ind w:left="440" w:hanging="149"/>
        <w:spacing w:after="0"/>
        <w:tabs>
          <w:tab w:leader="none" w:pos="440" w:val="left"/>
        </w:tabs>
        <w:numPr>
          <w:ilvl w:val="0"/>
          <w:numId w:val="6"/>
        </w:numPr>
        <w:rPr>
          <w:rFonts w:ascii="Arial" w:cs="Arial" w:eastAsia="Arial" w:hAnsi="Arial"/>
          <w:sz w:val="16"/>
          <w:szCs w:val="16"/>
          <w:color w:val="0071CE"/>
        </w:rPr>
      </w:pPr>
      <w:r>
        <w:rPr>
          <w:rFonts w:ascii="Arial" w:cs="Arial" w:eastAsia="Arial" w:hAnsi="Arial"/>
          <w:sz w:val="16"/>
          <w:szCs w:val="16"/>
          <w:color w:val="auto"/>
        </w:rPr>
        <w:t>Company’s 2020 Proxy Statement;</w:t>
      </w:r>
    </w:p>
    <w:p>
      <w:pPr>
        <w:spacing w:after="0" w:line="126" w:lineRule="exact"/>
        <w:rPr>
          <w:rFonts w:ascii="Arial" w:cs="Arial" w:eastAsia="Arial" w:hAnsi="Arial"/>
          <w:sz w:val="16"/>
          <w:szCs w:val="16"/>
          <w:color w:val="0071CE"/>
        </w:rPr>
      </w:pPr>
    </w:p>
    <w:p>
      <w:pPr>
        <w:ind w:left="460" w:right="360" w:hanging="169"/>
        <w:spacing w:after="0" w:line="260" w:lineRule="auto"/>
        <w:tabs>
          <w:tab w:leader="none" w:pos="446" w:val="left"/>
        </w:tabs>
        <w:numPr>
          <w:ilvl w:val="0"/>
          <w:numId w:val="6"/>
        </w:numPr>
        <w:rPr>
          <w:rFonts w:ascii="Arial" w:cs="Arial" w:eastAsia="Arial" w:hAnsi="Arial"/>
          <w:sz w:val="16"/>
          <w:szCs w:val="16"/>
          <w:color w:val="0071CE"/>
        </w:rPr>
      </w:pPr>
      <w:r>
        <w:rPr>
          <w:rFonts w:ascii="Arial" w:cs="Arial" w:eastAsia="Arial" w:hAnsi="Arial"/>
          <w:sz w:val="16"/>
          <w:szCs w:val="16"/>
          <w:color w:val="auto"/>
        </w:rPr>
        <w:t>Company’s Annual Report on Form 10-K for the year ended September 30, 2019; and</w:t>
      </w:r>
    </w:p>
    <w:p>
      <w:pPr>
        <w:spacing w:after="0" w:line="100" w:lineRule="exact"/>
        <w:rPr>
          <w:rFonts w:ascii="Arial" w:cs="Arial" w:eastAsia="Arial" w:hAnsi="Arial"/>
          <w:sz w:val="16"/>
          <w:szCs w:val="16"/>
          <w:color w:val="0071CE"/>
        </w:rPr>
      </w:pPr>
    </w:p>
    <w:p>
      <w:pPr>
        <w:ind w:left="440" w:hanging="149"/>
        <w:spacing w:after="0"/>
        <w:tabs>
          <w:tab w:leader="none" w:pos="440" w:val="left"/>
        </w:tabs>
        <w:numPr>
          <w:ilvl w:val="0"/>
          <w:numId w:val="6"/>
        </w:numPr>
        <w:rPr>
          <w:rFonts w:ascii="Arial" w:cs="Arial" w:eastAsia="Arial" w:hAnsi="Arial"/>
          <w:sz w:val="16"/>
          <w:szCs w:val="16"/>
          <w:color w:val="0071CE"/>
        </w:rPr>
      </w:pPr>
      <w:r>
        <w:rPr>
          <w:rFonts w:ascii="Arial" w:cs="Arial" w:eastAsia="Arial" w:hAnsi="Arial"/>
          <w:sz w:val="16"/>
          <w:szCs w:val="16"/>
          <w:color w:val="auto"/>
        </w:rPr>
        <w:t>Form of Proxy Card</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9"/>
        <w:spacing w:after="0"/>
        <w:rPr>
          <w:sz w:val="20"/>
          <w:szCs w:val="20"/>
          <w:color w:val="auto"/>
        </w:rPr>
      </w:pPr>
      <w:r>
        <w:rPr>
          <w:rFonts w:ascii="Arial" w:cs="Arial" w:eastAsia="Arial" w:hAnsi="Arial"/>
          <w:sz w:val="16"/>
          <w:szCs w:val="16"/>
          <w:color w:val="auto"/>
        </w:rPr>
        <w:t>TO THE STOCKHOLDERS OF ARROWHEAD PHARMACEUTICALS, INC.:</w:t>
      </w:r>
    </w:p>
    <w:p>
      <w:pPr>
        <w:spacing w:after="0" w:line="99" w:lineRule="exact"/>
        <w:rPr>
          <w:sz w:val="20"/>
          <w:szCs w:val="20"/>
          <w:color w:val="auto"/>
        </w:rPr>
      </w:pPr>
    </w:p>
    <w:p>
      <w:pPr>
        <w:ind w:left="9" w:right="20"/>
        <w:spacing w:after="0" w:line="248" w:lineRule="auto"/>
        <w:rPr>
          <w:sz w:val="20"/>
          <w:szCs w:val="20"/>
          <w:color w:val="auto"/>
        </w:rPr>
      </w:pPr>
      <w:r>
        <w:rPr>
          <w:rFonts w:ascii="Arial" w:cs="Arial" w:eastAsia="Arial" w:hAnsi="Arial"/>
          <w:sz w:val="16"/>
          <w:szCs w:val="16"/>
          <w:color w:val="auto"/>
        </w:rPr>
        <w:t>NOTICE IS HEREBY GIVEN that the 2020 Annual Meeting of Stockholders of Arrowhead Pharmaceuticals, Inc., a Delaware corporation (the “Company”), will be held on Thursday, March 19, 2020, at 10:00 a.m., Pacific time (the “Annual Meeting”). This year’s meeting will be a completely “virtual” meeting of stockholders. You can attend the Annual Meeting online, vote your shares electronically, and submit your questions during the Annual Meeting by visiting www.virtualshareholdermeeting.com/ARWR2020. Prior to the Annual Meeting, you will be able to vote at www.proxyvote.com for the purpose of considering and voting upon the following proposals:</w:t>
      </w:r>
    </w:p>
    <w:p>
      <w:pPr>
        <w:spacing w:after="0" w:line="57" w:lineRule="exact"/>
        <w:rPr>
          <w:sz w:val="20"/>
          <w:szCs w:val="20"/>
          <w:color w:val="auto"/>
        </w:rPr>
      </w:pPr>
    </w:p>
    <w:p>
      <w:pPr>
        <w:ind w:left="329" w:hanging="329"/>
        <w:spacing w:after="0" w:line="253" w:lineRule="auto"/>
        <w:tabs>
          <w:tab w:leader="none" w:pos="31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the six directors named in the Proxy Statement to serve as members of the Company’s Board of Directors until the next Annual Meeting or until their successors are elected;</w:t>
      </w:r>
    </w:p>
    <w:p>
      <w:pPr>
        <w:spacing w:after="0" w:line="52" w:lineRule="exact"/>
        <w:rPr>
          <w:sz w:val="20"/>
          <w:szCs w:val="20"/>
          <w:color w:val="auto"/>
        </w:rPr>
      </w:pPr>
    </w:p>
    <w:p>
      <w:pPr>
        <w:ind w:left="9"/>
        <w:spacing w:after="0"/>
        <w:tabs>
          <w:tab w:leader="none" w:pos="289" w:val="left"/>
        </w:tabs>
        <w:rPr>
          <w:sz w:val="20"/>
          <w:szCs w:val="20"/>
          <w:color w:val="auto"/>
        </w:rPr>
      </w:pPr>
      <w:r>
        <w:rPr>
          <w:rFonts w:ascii="Arial" w:cs="Arial" w:eastAsia="Arial" w:hAnsi="Arial"/>
          <w:sz w:val="16"/>
          <w:szCs w:val="16"/>
          <w:color w:val="auto"/>
        </w:rPr>
        <w:t>2.</w:t>
        <w:tab/>
        <w:t>To conduct an advisory (non-binding) vote to approve executive compensation;</w:t>
      </w:r>
    </w:p>
    <w:p>
      <w:pPr>
        <w:spacing w:after="0" w:line="72" w:lineRule="exact"/>
        <w:rPr>
          <w:sz w:val="20"/>
          <w:szCs w:val="20"/>
          <w:color w:val="auto"/>
        </w:rPr>
      </w:pPr>
    </w:p>
    <w:p>
      <w:pPr>
        <w:ind w:left="329" w:right="220" w:hanging="329"/>
        <w:spacing w:after="0" w:line="260" w:lineRule="auto"/>
        <w:tabs>
          <w:tab w:leader="none" w:pos="31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an amendment to the Company’s Amended and Restated By-Laws to implement a majority vote standard in uncontested elections of directors; and</w:t>
      </w:r>
    </w:p>
    <w:p>
      <w:pPr>
        <w:spacing w:after="0" w:line="46" w:lineRule="exact"/>
        <w:rPr>
          <w:rFonts w:ascii="Arial" w:cs="Arial" w:eastAsia="Arial" w:hAnsi="Arial"/>
          <w:sz w:val="16"/>
          <w:szCs w:val="16"/>
          <w:color w:val="auto"/>
        </w:rPr>
      </w:pPr>
    </w:p>
    <w:p>
      <w:pPr>
        <w:ind w:left="329" w:right="60" w:hanging="329"/>
        <w:spacing w:after="0" w:line="260" w:lineRule="auto"/>
        <w:tabs>
          <w:tab w:leader="none" w:pos="31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LLP as independent auditors of the Company for the fiscal year ending September 30, 2020;</w:t>
      </w:r>
    </w:p>
    <w:p>
      <w:pPr>
        <w:spacing w:after="0" w:line="73" w:lineRule="exact"/>
        <w:rPr>
          <w:sz w:val="20"/>
          <w:szCs w:val="20"/>
          <w:color w:val="auto"/>
        </w:rPr>
      </w:pPr>
    </w:p>
    <w:p>
      <w:pPr>
        <w:ind w:left="9" w:right="140"/>
        <w:spacing w:after="0" w:line="249"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Proposal No. 1 relates solely to the election of the six directors nominated by the Board of Directors and does not include any other matters relating to the election of directors, including, without limitation, the election of directors nominated by any stockholder of the Company.</w:t>
      </w:r>
    </w:p>
    <w:p>
      <w:pPr>
        <w:spacing w:after="0" w:line="84" w:lineRule="exact"/>
        <w:rPr>
          <w:sz w:val="20"/>
          <w:szCs w:val="20"/>
          <w:color w:val="auto"/>
        </w:rPr>
      </w:pPr>
    </w:p>
    <w:p>
      <w:pPr>
        <w:ind w:left="9" w:right="240"/>
        <w:spacing w:after="0" w:line="248" w:lineRule="auto"/>
        <w:rPr>
          <w:sz w:val="20"/>
          <w:szCs w:val="20"/>
          <w:color w:val="auto"/>
        </w:rPr>
      </w:pPr>
      <w:r>
        <w:rPr>
          <w:rFonts w:ascii="Arial" w:cs="Arial" w:eastAsia="Arial" w:hAnsi="Arial"/>
          <w:sz w:val="16"/>
          <w:szCs w:val="16"/>
          <w:color w:val="auto"/>
        </w:rPr>
        <w:t>All stockholders of record are cordially invited to attend the Annual Meeting by visiting www.virtualshareholdermeeting.com/ARWR2020. We anticipate that on or about January 28, 2020, we will mail our stockholders a Notice Regarding the Availability of Proxy Materials (the “Notice of Internet Availability”) containing instructions on how to access our 2020 Proxy Statement and 2019 Annual Report on Form 10-K and to vote online. You will need to have your 16-digit Control Number included on your Notice of Internet Availability or your proxy card (if you received a printed copy of the proxy materials) to join the Annual Meeting.</w:t>
      </w:r>
    </w:p>
    <w:p>
      <w:pPr>
        <w:spacing w:after="0" w:line="84" w:lineRule="exact"/>
        <w:rPr>
          <w:sz w:val="20"/>
          <w:szCs w:val="20"/>
          <w:color w:val="auto"/>
        </w:rPr>
      </w:pPr>
    </w:p>
    <w:p>
      <w:pPr>
        <w:ind w:left="9"/>
        <w:spacing w:after="0" w:line="247" w:lineRule="auto"/>
        <w:rPr>
          <w:sz w:val="20"/>
          <w:szCs w:val="20"/>
          <w:color w:val="auto"/>
        </w:rPr>
      </w:pPr>
      <w:r>
        <w:rPr>
          <w:rFonts w:ascii="Arial" w:cs="Arial" w:eastAsia="Arial" w:hAnsi="Arial"/>
          <w:sz w:val="16"/>
          <w:szCs w:val="16"/>
          <w:color w:val="auto"/>
        </w:rPr>
        <w:t>If you prefer to receive paper copies of our proxy materials, please follow the instructions included in the Notice of Internet Availability. To ensure your representation at the meeting, you are urged to vote via the Internet or telephone as instructed in the Notice of Internet Availability, or to mark, sign, date and return the proxy card as promptly as possible in the postage-prepaid envelope enclosed for that purpose. Any stockholder of record attending the Annual Meeting may vote at the Annual Meeting even if such stockholder has previously returned a proxy. Each stockholder may appoint only one proxy holder to attend the Annual Meeting on his or her behalf. Please note, however, that if your shares are held of record by a broker, bank or other nominee and you wish to vote at the meeting, you must obtain a proxy issued in your name from that record holder.</w:t>
      </w:r>
    </w:p>
    <w:p>
      <w:pPr>
        <w:spacing w:after="0" w:line="278" w:lineRule="exact"/>
        <w:rPr>
          <w:sz w:val="20"/>
          <w:szCs w:val="20"/>
          <w:color w:val="auto"/>
        </w:rPr>
      </w:pPr>
    </w:p>
    <w:p>
      <w:pPr>
        <w:ind w:left="9"/>
        <w:spacing w:after="0"/>
        <w:rPr>
          <w:sz w:val="20"/>
          <w:szCs w:val="20"/>
          <w:color w:val="auto"/>
        </w:rPr>
      </w:pPr>
      <w:r>
        <w:rPr>
          <w:rFonts w:ascii="Arial" w:cs="Arial" w:eastAsia="Arial" w:hAnsi="Arial"/>
          <w:sz w:val="16"/>
          <w:szCs w:val="16"/>
          <w:color w:val="auto"/>
        </w:rPr>
        <w:t>/s/ Patrick O’Brien</w:t>
      </w:r>
    </w:p>
    <w:p>
      <w:pPr>
        <w:spacing w:after="0" w:line="5" w:lineRule="exact"/>
        <w:rPr>
          <w:sz w:val="20"/>
          <w:szCs w:val="20"/>
          <w:color w:val="auto"/>
        </w:rPr>
      </w:pPr>
    </w:p>
    <w:p>
      <w:pPr>
        <w:ind w:left="9"/>
        <w:spacing w:after="0"/>
        <w:tabs>
          <w:tab w:leader="none" w:pos="3169" w:val="left"/>
        </w:tabs>
        <w:rPr>
          <w:sz w:val="20"/>
          <w:szCs w:val="20"/>
          <w:color w:val="auto"/>
        </w:rPr>
      </w:pPr>
      <w:r>
        <w:rPr>
          <w:rFonts w:ascii="Arial" w:cs="Arial" w:eastAsia="Arial" w:hAnsi="Arial"/>
          <w:sz w:val="16"/>
          <w:szCs w:val="16"/>
          <w:b w:val="1"/>
          <w:bCs w:val="1"/>
          <w:color w:val="auto"/>
        </w:rPr>
        <w:t>Patrick O’Brien</w:t>
      </w:r>
      <w:r>
        <w:rPr>
          <w:sz w:val="20"/>
          <w:szCs w:val="20"/>
          <w:color w:val="auto"/>
        </w:rPr>
        <w:tab/>
      </w:r>
      <w:r>
        <w:rPr>
          <w:rFonts w:ascii="Arial" w:cs="Arial" w:eastAsia="Arial" w:hAnsi="Arial"/>
          <w:sz w:val="16"/>
          <w:szCs w:val="16"/>
          <w:color w:val="auto"/>
        </w:rPr>
        <w:t>Pasadena, California</w:t>
      </w:r>
    </w:p>
    <w:p>
      <w:pPr>
        <w:spacing w:after="0" w:line="5" w:lineRule="exact"/>
        <w:rPr>
          <w:sz w:val="20"/>
          <w:szCs w:val="20"/>
          <w:color w:val="auto"/>
        </w:rPr>
      </w:pPr>
    </w:p>
    <w:p>
      <w:pPr>
        <w:ind w:left="9"/>
        <w:spacing w:after="0"/>
        <w:tabs>
          <w:tab w:leader="none" w:pos="3169" w:val="left"/>
        </w:tabs>
        <w:rPr>
          <w:sz w:val="20"/>
          <w:szCs w:val="20"/>
          <w:color w:val="auto"/>
        </w:rPr>
      </w:pPr>
      <w:r>
        <w:rPr>
          <w:rFonts w:ascii="Arial" w:cs="Arial" w:eastAsia="Arial" w:hAnsi="Arial"/>
          <w:sz w:val="16"/>
          <w:szCs w:val="16"/>
          <w:i w:val="1"/>
          <w:iCs w:val="1"/>
          <w:color w:val="auto"/>
        </w:rPr>
        <w:t>Secretary</w:t>
      </w:r>
      <w:r>
        <w:rPr>
          <w:sz w:val="20"/>
          <w:szCs w:val="20"/>
          <w:color w:val="auto"/>
        </w:rPr>
        <w:tab/>
      </w:r>
      <w:r>
        <w:rPr>
          <w:rFonts w:ascii="Arial" w:cs="Arial" w:eastAsia="Arial" w:hAnsi="Arial"/>
          <w:sz w:val="16"/>
          <w:szCs w:val="16"/>
          <w:color w:val="auto"/>
        </w:rPr>
        <w:t>January 28, 2020</w:t>
      </w:r>
    </w:p>
    <w:p>
      <w:pPr>
        <w:spacing w:after="0" w:line="200" w:lineRule="exact"/>
        <w:rPr>
          <w:sz w:val="20"/>
          <w:szCs w:val="20"/>
          <w:color w:val="auto"/>
        </w:rPr>
      </w:pPr>
    </w:p>
    <w:p>
      <w:pPr>
        <w:sectPr>
          <w:pgSz w:w="11900" w:h="16838" w:orient="portrait"/>
          <w:cols w:equalWidth="0" w:num="2">
            <w:col w:w="4580" w:space="271"/>
            <w:col w:w="6349"/>
          </w:cols>
          <w:pgMar w:left="240" w:top="459" w:right="45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1700"/>
        <w:spacing w:after="0"/>
        <w:tabs>
          <w:tab w:leader="none" w:pos="4420" w:val="left"/>
          <w:tab w:leader="none" w:pos="4700" w:val="left"/>
          <w:tab w:leader="none" w:pos="7340" w:val="left"/>
          <w:tab w:leader="none" w:pos="7620" w:val="left"/>
        </w:tabs>
        <w:rPr>
          <w:sz w:val="20"/>
          <w:szCs w:val="20"/>
          <w:color w:val="auto"/>
        </w:rPr>
      </w:pPr>
      <w:r>
        <w:rPr>
          <w:rFonts w:ascii="Arial" w:cs="Arial" w:eastAsia="Arial" w:hAnsi="Arial"/>
          <w:sz w:val="16"/>
          <w:szCs w:val="16"/>
          <w:b w:val="1"/>
          <w:bCs w:val="1"/>
          <w:color w:val="4C4C4C"/>
        </w:rPr>
        <w:t>Arrowhead Pharmaceuticals, Inc.</w:t>
      </w:r>
      <w:r>
        <w:rPr>
          <w:sz w:val="20"/>
          <w:szCs w:val="20"/>
          <w:color w:val="auto"/>
        </w:rPr>
        <w:tab/>
      </w:r>
      <w:r>
        <w:rPr>
          <w:rFonts w:ascii="Arial" w:cs="Arial" w:eastAsia="Arial" w:hAnsi="Arial"/>
          <w:sz w:val="16"/>
          <w:szCs w:val="16"/>
          <w:color w:val="0071CE"/>
        </w:rPr>
        <w:t>●</w:t>
      </w:r>
      <w:r>
        <w:rPr>
          <w:sz w:val="20"/>
          <w:szCs w:val="20"/>
          <w:color w:val="auto"/>
        </w:rPr>
        <w:tab/>
      </w:r>
      <w:r>
        <w:rPr>
          <w:rFonts w:ascii="Arial" w:cs="Arial" w:eastAsia="Arial" w:hAnsi="Arial"/>
          <w:sz w:val="16"/>
          <w:szCs w:val="16"/>
          <w:b w:val="1"/>
          <w:bCs w:val="1"/>
          <w:color w:val="4C4C4C"/>
        </w:rPr>
        <w:t>177 E. Colorado Blvd., Suite 700</w:t>
      </w:r>
      <w:r>
        <w:rPr>
          <w:sz w:val="20"/>
          <w:szCs w:val="20"/>
          <w:color w:val="auto"/>
        </w:rPr>
        <w:tab/>
      </w:r>
      <w:r>
        <w:rPr>
          <w:rFonts w:ascii="Arial" w:cs="Arial" w:eastAsia="Arial" w:hAnsi="Arial"/>
          <w:sz w:val="16"/>
          <w:szCs w:val="16"/>
          <w:color w:val="0071CE"/>
        </w:rPr>
        <w:t>●</w:t>
      </w:r>
      <w:r>
        <w:rPr>
          <w:sz w:val="20"/>
          <w:szCs w:val="20"/>
          <w:color w:val="auto"/>
        </w:rPr>
        <w:tab/>
      </w:r>
      <w:r>
        <w:rPr>
          <w:rFonts w:ascii="Arial" w:cs="Arial" w:eastAsia="Arial" w:hAnsi="Arial"/>
          <w:sz w:val="16"/>
          <w:szCs w:val="16"/>
          <w:b w:val="1"/>
          <w:bCs w:val="1"/>
          <w:color w:val="4C4C4C"/>
        </w:rPr>
        <w:t>Pasadena, California 91105</w:t>
      </w:r>
    </w:p>
    <w:p>
      <w:pPr>
        <w:sectPr>
          <w:pgSz w:w="11900" w:h="16838" w:orient="portrait"/>
          <w:cols w:equalWidth="0" w:num="1">
            <w:col w:w="11200"/>
          </w:cols>
          <w:pgMar w:left="240" w:top="459" w:right="4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tcPr>
          <w:p>
            <w:pPr>
              <w:ind w:left="1040"/>
              <w:spacing w:after="0"/>
              <w:rPr>
                <w:sz w:val="20"/>
                <w:szCs w:val="20"/>
                <w:color w:val="auto"/>
              </w:rPr>
            </w:pPr>
            <w:r>
              <w:rPr>
                <w:rFonts w:ascii="Arial" w:cs="Arial" w:eastAsia="Arial" w:hAnsi="Arial"/>
                <w:sz w:val="14"/>
                <w:szCs w:val="14"/>
                <w:b w:val="1"/>
                <w:bCs w:val="1"/>
                <w:color w:val="0071CE"/>
              </w:rPr>
              <w:t>2020 PROXY STATEMENT</w:t>
            </w:r>
          </w:p>
        </w:tc>
        <w:tc>
          <w:tcPr>
            <w:tcW w:w="1300" w:type="dxa"/>
            <w:vAlign w:val="bottom"/>
          </w:tcPr>
          <w:p>
            <w:pPr>
              <w:jc w:val="right"/>
              <w:spacing w:after="0"/>
              <w:rPr>
                <w:sz w:val="20"/>
                <w:szCs w:val="20"/>
                <w:color w:val="auto"/>
              </w:rPr>
            </w:pPr>
            <w:r>
              <w:rPr>
                <w:rFonts w:ascii="Arial" w:cs="Arial" w:eastAsia="Arial" w:hAnsi="Arial"/>
                <w:sz w:val="14"/>
                <w:szCs w:val="14"/>
                <w:b w:val="1"/>
                <w:bCs w:val="1"/>
                <w:i w:val="1"/>
                <w:iCs w:val="1"/>
                <w:color w:val="3FAE2A"/>
              </w:rPr>
              <w:t>Table of Contents</w:t>
            </w:r>
          </w:p>
        </w:tc>
      </w:tr>
      <w:tr>
        <w:trPr>
          <w:trHeight w:val="565"/>
        </w:trPr>
        <w:tc>
          <w:tcPr>
            <w:tcW w:w="9700" w:type="dxa"/>
            <w:vAlign w:val="bottom"/>
            <w:gridSpan w:val="38"/>
          </w:tcPr>
          <w:p>
            <w:pPr>
              <w:spacing w:after="0"/>
              <w:rPr>
                <w:sz w:val="20"/>
                <w:szCs w:val="20"/>
                <w:color w:val="auto"/>
              </w:rPr>
            </w:pPr>
            <w:r>
              <w:rPr>
                <w:rFonts w:ascii="Arial" w:cs="Arial" w:eastAsia="Arial" w:hAnsi="Arial"/>
                <w:sz w:val="36"/>
                <w:szCs w:val="36"/>
                <w:b w:val="1"/>
                <w:bCs w:val="1"/>
                <w:color w:val="0071CE"/>
              </w:rPr>
              <w:t>Table of Contents</w:t>
            </w:r>
          </w:p>
        </w:tc>
        <w:tc>
          <w:tcPr>
            <w:tcW w:w="1300" w:type="dxa"/>
            <w:vAlign w:val="bottom"/>
          </w:tcPr>
          <w:p>
            <w:pPr>
              <w:spacing w:after="0"/>
              <w:rPr>
                <w:sz w:val="24"/>
                <w:szCs w:val="24"/>
                <w:color w:val="auto"/>
              </w:rPr>
            </w:pPr>
          </w:p>
        </w:tc>
      </w:tr>
      <w:tr>
        <w:trPr>
          <w:trHeight w:val="526"/>
        </w:trPr>
        <w:tc>
          <w:tcPr>
            <w:tcW w:w="4740" w:type="dxa"/>
            <w:vAlign w:val="bottom"/>
            <w:tcBorders>
              <w:bottom w:val="single" w:sz="8" w:color="0000EE"/>
            </w:tcBorders>
            <w:gridSpan w:val="31"/>
          </w:tcPr>
          <w:p>
            <w:pPr>
              <w:spacing w:after="0"/>
              <w:rPr>
                <w:rFonts w:ascii="Arial" w:cs="Arial" w:eastAsia="Arial" w:hAnsi="Arial"/>
                <w:sz w:val="18"/>
                <w:szCs w:val="18"/>
                <w:b w:val="1"/>
                <w:bCs w:val="1"/>
                <w:color w:val="0000EE"/>
                <w:w w:val="99"/>
              </w:rPr>
            </w:pPr>
            <w:hyperlink w:anchor="page5">
              <w:r>
                <w:rPr>
                  <w:rFonts w:ascii="Arial" w:cs="Arial" w:eastAsia="Arial" w:hAnsi="Arial"/>
                  <w:sz w:val="18"/>
                  <w:szCs w:val="18"/>
                  <w:b w:val="1"/>
                  <w:bCs w:val="1"/>
                  <w:color w:val="0000EE"/>
                  <w:w w:val="99"/>
                </w:rPr>
                <w:t>General Information Concerning Solicitation and Voting</w:t>
              </w:r>
            </w:hyperlink>
          </w:p>
        </w:tc>
        <w:tc>
          <w:tcPr>
            <w:tcW w:w="4960" w:type="dxa"/>
            <w:vAlign w:val="bottom"/>
            <w:gridSpan w:val="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w:t>
            </w:r>
          </w:p>
        </w:tc>
      </w:tr>
      <w:tr>
        <w:trPr>
          <w:trHeight w:val="223"/>
        </w:trPr>
        <w:tc>
          <w:tcPr>
            <w:tcW w:w="60" w:type="dxa"/>
            <w:vAlign w:val="bottom"/>
          </w:tcPr>
          <w:p>
            <w:pPr>
              <w:spacing w:after="0"/>
              <w:rPr>
                <w:sz w:val="19"/>
                <w:szCs w:val="19"/>
                <w:color w:val="auto"/>
              </w:rPr>
            </w:pPr>
          </w:p>
        </w:tc>
        <w:tc>
          <w:tcPr>
            <w:tcW w:w="960" w:type="dxa"/>
            <w:vAlign w:val="bottom"/>
            <w:tcBorders>
              <w:bottom w:val="single" w:sz="8" w:color="0000EE"/>
            </w:tcBorders>
            <w:gridSpan w:val="5"/>
          </w:tcPr>
          <w:p>
            <w:pPr>
              <w:spacing w:after="0"/>
              <w:rPr>
                <w:rFonts w:ascii="Arial" w:cs="Arial" w:eastAsia="Arial" w:hAnsi="Arial"/>
                <w:sz w:val="16"/>
                <w:szCs w:val="16"/>
                <w:b w:val="1"/>
                <w:bCs w:val="1"/>
                <w:color w:val="0000EE"/>
                <w:w w:val="99"/>
              </w:rPr>
            </w:pPr>
            <w:hyperlink w:anchor="page5">
              <w:r>
                <w:rPr>
                  <w:rFonts w:ascii="Arial" w:cs="Arial" w:eastAsia="Arial" w:hAnsi="Arial"/>
                  <w:sz w:val="16"/>
                  <w:szCs w:val="16"/>
                  <w:b w:val="1"/>
                  <w:bCs w:val="1"/>
                  <w:color w:val="0000EE"/>
                  <w:w w:val="99"/>
                </w:rPr>
                <w:t>Record Date</w:t>
              </w:r>
            </w:hyperlink>
          </w:p>
        </w:tc>
        <w:tc>
          <w:tcPr>
            <w:tcW w:w="8680" w:type="dxa"/>
            <w:vAlign w:val="bottom"/>
            <w:gridSpan w:val="32"/>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1</w:t>
            </w:r>
          </w:p>
        </w:tc>
      </w:tr>
      <w:tr>
        <w:trPr>
          <w:trHeight w:val="223"/>
        </w:trPr>
        <w:tc>
          <w:tcPr>
            <w:tcW w:w="60" w:type="dxa"/>
            <w:vAlign w:val="bottom"/>
          </w:tcPr>
          <w:p>
            <w:pPr>
              <w:spacing w:after="0"/>
              <w:rPr>
                <w:sz w:val="19"/>
                <w:szCs w:val="19"/>
                <w:color w:val="auto"/>
              </w:rPr>
            </w:pPr>
          </w:p>
        </w:tc>
        <w:tc>
          <w:tcPr>
            <w:tcW w:w="9640" w:type="dxa"/>
            <w:vAlign w:val="bottom"/>
            <w:gridSpan w:val="37"/>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Revocability of Proxies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1</w:t>
            </w:r>
          </w:p>
        </w:tc>
      </w:tr>
      <w:tr>
        <w:trPr>
          <w:trHeight w:val="223"/>
        </w:trPr>
        <w:tc>
          <w:tcPr>
            <w:tcW w:w="60" w:type="dxa"/>
            <w:vAlign w:val="bottom"/>
          </w:tcPr>
          <w:p>
            <w:pPr>
              <w:spacing w:after="0"/>
              <w:rPr>
                <w:sz w:val="19"/>
                <w:szCs w:val="19"/>
                <w:color w:val="auto"/>
              </w:rPr>
            </w:pPr>
          </w:p>
        </w:tc>
        <w:tc>
          <w:tcPr>
            <w:tcW w:w="1780" w:type="dxa"/>
            <w:vAlign w:val="bottom"/>
            <w:tcBorders>
              <w:top w:val="single" w:sz="8" w:color="0000EE"/>
            </w:tcBorders>
            <w:gridSpan w:val="8"/>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Voting and Solicitation</w:t>
              </w:r>
            </w:hyperlink>
          </w:p>
        </w:tc>
        <w:tc>
          <w:tcPr>
            <w:tcW w:w="7860" w:type="dxa"/>
            <w:vAlign w:val="bottom"/>
            <w:gridSpan w:val="29"/>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1</w:t>
            </w: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640" w:type="dxa"/>
            <w:vAlign w:val="bottom"/>
            <w:gridSpan w:val="37"/>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Quorum; Abstentions; Broker Non-Votes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2</w:t>
            </w: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3580" w:type="dxa"/>
            <w:vAlign w:val="bottom"/>
            <w:tcBorders>
              <w:bottom w:val="single" w:sz="8" w:color="0000EE"/>
            </w:tcBorders>
            <w:gridSpan w:val="26"/>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Deadline for Receipt of Stockholder Proposals</w:t>
              </w:r>
            </w:hyperlink>
          </w:p>
        </w:tc>
        <w:tc>
          <w:tcPr>
            <w:tcW w:w="6060" w:type="dxa"/>
            <w:vAlign w:val="bottom"/>
            <w:gridSpan w:val="11"/>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2</w:t>
            </w:r>
          </w:p>
        </w:tc>
      </w:tr>
      <w:tr>
        <w:trPr>
          <w:trHeight w:val="344"/>
        </w:trPr>
        <w:tc>
          <w:tcPr>
            <w:tcW w:w="3200" w:type="dxa"/>
            <w:vAlign w:val="bottom"/>
            <w:tcBorders>
              <w:bottom w:val="single" w:sz="8" w:color="0000EE"/>
            </w:tcBorders>
            <w:gridSpan w:val="21"/>
          </w:tcPr>
          <w:p>
            <w:pPr>
              <w:spacing w:after="0"/>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Proposal One — Election of Directors</w:t>
              </w:r>
            </w:hyperlink>
          </w:p>
        </w:tc>
        <w:tc>
          <w:tcPr>
            <w:tcW w:w="6500" w:type="dxa"/>
            <w:vAlign w:val="bottom"/>
            <w:gridSpan w:val="1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3</w:t>
            </w:r>
          </w:p>
        </w:tc>
      </w:tr>
      <w:tr>
        <w:trPr>
          <w:trHeight w:val="223"/>
        </w:trPr>
        <w:tc>
          <w:tcPr>
            <w:tcW w:w="60" w:type="dxa"/>
            <w:vAlign w:val="bottom"/>
          </w:tcPr>
          <w:p>
            <w:pPr>
              <w:spacing w:after="0"/>
              <w:rPr>
                <w:sz w:val="19"/>
                <w:szCs w:val="19"/>
                <w:color w:val="auto"/>
              </w:rPr>
            </w:pPr>
          </w:p>
        </w:tc>
        <w:tc>
          <w:tcPr>
            <w:tcW w:w="9640" w:type="dxa"/>
            <w:vAlign w:val="bottom"/>
            <w:gridSpan w:val="37"/>
          </w:tcPr>
          <w:p>
            <w:pPr>
              <w:spacing w:after="0"/>
              <w:rPr>
                <w:rFonts w:ascii="Arial" w:cs="Arial" w:eastAsia="Arial" w:hAnsi="Arial"/>
                <w:sz w:val="16"/>
                <w:szCs w:val="16"/>
                <w:b w:val="1"/>
                <w:bCs w:val="1"/>
                <w:color w:val="0000EE"/>
              </w:rPr>
            </w:pPr>
            <w:hyperlink w:anchor="page11">
              <w:r>
                <w:rPr>
                  <w:rFonts w:ascii="Arial" w:cs="Arial" w:eastAsia="Arial" w:hAnsi="Arial"/>
                  <w:sz w:val="16"/>
                  <w:szCs w:val="16"/>
                  <w:b w:val="1"/>
                  <w:bCs w:val="1"/>
                  <w:color w:val="0000EE"/>
                </w:rPr>
                <w:t>Board Composition and Nominating Process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7</w:t>
            </w: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640" w:type="dxa"/>
            <w:vAlign w:val="bottom"/>
            <w:gridSpan w:val="37"/>
          </w:tcPr>
          <w:p>
            <w:pPr>
              <w:spacing w:after="0"/>
              <w:rPr>
                <w:rFonts w:ascii="Arial" w:cs="Arial" w:eastAsia="Arial" w:hAnsi="Arial"/>
                <w:sz w:val="16"/>
                <w:szCs w:val="16"/>
                <w:b w:val="1"/>
                <w:bCs w:val="1"/>
                <w:color w:val="0000EE"/>
              </w:rPr>
            </w:pPr>
            <w:hyperlink w:anchor="page11">
              <w:r>
                <w:rPr>
                  <w:rFonts w:ascii="Arial" w:cs="Arial" w:eastAsia="Arial" w:hAnsi="Arial"/>
                  <w:sz w:val="16"/>
                  <w:szCs w:val="16"/>
                  <w:b w:val="1"/>
                  <w:bCs w:val="1"/>
                  <w:color w:val="0000EE"/>
                </w:rPr>
                <w:t>Corporate Governance Policies and Practices</w:t>
              </w:r>
            </w:hyperlink>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7</w:t>
            </w:r>
          </w:p>
        </w:tc>
      </w:tr>
      <w:tr>
        <w:trPr>
          <w:trHeight w:val="223"/>
        </w:trPr>
        <w:tc>
          <w:tcPr>
            <w:tcW w:w="60" w:type="dxa"/>
            <w:vAlign w:val="bottom"/>
          </w:tcPr>
          <w:p>
            <w:pPr>
              <w:spacing w:after="0"/>
              <w:rPr>
                <w:sz w:val="19"/>
                <w:szCs w:val="19"/>
                <w:color w:val="auto"/>
              </w:rPr>
            </w:pPr>
          </w:p>
        </w:tc>
        <w:tc>
          <w:tcPr>
            <w:tcW w:w="3440" w:type="dxa"/>
            <w:vAlign w:val="bottom"/>
            <w:tcBorders>
              <w:top w:val="single" w:sz="8" w:color="0000EE"/>
              <w:bottom w:val="single" w:sz="8" w:color="0000EE"/>
            </w:tcBorders>
            <w:gridSpan w:val="24"/>
          </w:tcPr>
          <w:p>
            <w:pPr>
              <w:spacing w:after="0"/>
              <w:rPr>
                <w:rFonts w:ascii="Arial" w:cs="Arial" w:eastAsia="Arial" w:hAnsi="Arial"/>
                <w:sz w:val="16"/>
                <w:szCs w:val="16"/>
                <w:b w:val="1"/>
                <w:bCs w:val="1"/>
                <w:color w:val="0000EE"/>
              </w:rPr>
            </w:pPr>
            <w:hyperlink w:anchor="page12">
              <w:r>
                <w:rPr>
                  <w:rFonts w:ascii="Arial" w:cs="Arial" w:eastAsia="Arial" w:hAnsi="Arial"/>
                  <w:sz w:val="16"/>
                  <w:szCs w:val="16"/>
                  <w:b w:val="1"/>
                  <w:bCs w:val="1"/>
                  <w:color w:val="0000EE"/>
                </w:rPr>
                <w:t>Stockholder Communications with Directors</w:t>
              </w:r>
            </w:hyperlink>
          </w:p>
        </w:tc>
        <w:tc>
          <w:tcPr>
            <w:tcW w:w="60" w:type="dxa"/>
            <w:vAlign w:val="bottom"/>
            <w:tcBorders>
              <w:top w:val="single" w:sz="8" w:color="0000EE"/>
            </w:tcBorders>
          </w:tcPr>
          <w:p>
            <w:pPr>
              <w:spacing w:after="0"/>
              <w:rPr>
                <w:sz w:val="19"/>
                <w:szCs w:val="19"/>
                <w:color w:val="auto"/>
              </w:rPr>
            </w:pPr>
          </w:p>
        </w:tc>
        <w:tc>
          <w:tcPr>
            <w:tcW w:w="6140" w:type="dxa"/>
            <w:vAlign w:val="bottom"/>
            <w:gridSpan w:val="12"/>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8</w:t>
            </w:r>
          </w:p>
        </w:tc>
      </w:tr>
      <w:tr>
        <w:trPr>
          <w:trHeight w:val="223"/>
        </w:trPr>
        <w:tc>
          <w:tcPr>
            <w:tcW w:w="60" w:type="dxa"/>
            <w:vAlign w:val="bottom"/>
          </w:tcPr>
          <w:p>
            <w:pPr>
              <w:spacing w:after="0"/>
              <w:rPr>
                <w:sz w:val="19"/>
                <w:szCs w:val="19"/>
                <w:color w:val="auto"/>
              </w:rPr>
            </w:pPr>
          </w:p>
        </w:tc>
        <w:tc>
          <w:tcPr>
            <w:tcW w:w="2520" w:type="dxa"/>
            <w:vAlign w:val="bottom"/>
            <w:tcBorders>
              <w:bottom w:val="single" w:sz="8" w:color="0000EE"/>
            </w:tcBorders>
            <w:gridSpan w:val="14"/>
          </w:tcPr>
          <w:p>
            <w:pPr>
              <w:spacing w:after="0"/>
              <w:rPr>
                <w:rFonts w:ascii="Arial" w:cs="Arial" w:eastAsia="Arial" w:hAnsi="Arial"/>
                <w:sz w:val="16"/>
                <w:szCs w:val="16"/>
                <w:b w:val="1"/>
                <w:bCs w:val="1"/>
                <w:color w:val="0000EE"/>
              </w:rPr>
            </w:pPr>
            <w:hyperlink w:anchor="page12">
              <w:r>
                <w:rPr>
                  <w:rFonts w:ascii="Arial" w:cs="Arial" w:eastAsia="Arial" w:hAnsi="Arial"/>
                  <w:sz w:val="16"/>
                  <w:szCs w:val="16"/>
                  <w:b w:val="1"/>
                  <w:bCs w:val="1"/>
                  <w:color w:val="0000EE"/>
                </w:rPr>
                <w:t>Board Meetings and Committees</w:t>
              </w:r>
            </w:hyperlink>
          </w:p>
        </w:tc>
        <w:tc>
          <w:tcPr>
            <w:tcW w:w="7120" w:type="dxa"/>
            <w:vAlign w:val="bottom"/>
            <w:gridSpan w:val="23"/>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8</w:t>
            </w:r>
          </w:p>
        </w:tc>
      </w:tr>
      <w:tr>
        <w:trPr>
          <w:trHeight w:val="344"/>
        </w:trPr>
        <w:tc>
          <w:tcPr>
            <w:tcW w:w="1980" w:type="dxa"/>
            <w:vAlign w:val="bottom"/>
            <w:tcBorders>
              <w:bottom w:val="single" w:sz="8" w:color="0000EE"/>
            </w:tcBorders>
            <w:gridSpan w:val="11"/>
          </w:tcPr>
          <w:p>
            <w:pPr>
              <w:spacing w:after="0"/>
              <w:rPr>
                <w:rFonts w:ascii="Arial" w:cs="Arial" w:eastAsia="Arial" w:hAnsi="Arial"/>
                <w:sz w:val="18"/>
                <w:szCs w:val="18"/>
                <w:b w:val="1"/>
                <w:bCs w:val="1"/>
                <w:color w:val="0000EE"/>
                <w:w w:val="98"/>
              </w:rPr>
            </w:pPr>
            <w:hyperlink w:anchor="page14">
              <w:r>
                <w:rPr>
                  <w:rFonts w:ascii="Arial" w:cs="Arial" w:eastAsia="Arial" w:hAnsi="Arial"/>
                  <w:sz w:val="18"/>
                  <w:szCs w:val="18"/>
                  <w:b w:val="1"/>
                  <w:bCs w:val="1"/>
                  <w:color w:val="0000EE"/>
                  <w:w w:val="98"/>
                </w:rPr>
                <w:t>Director Compensation</w:t>
              </w:r>
            </w:hyperlink>
          </w:p>
        </w:tc>
        <w:tc>
          <w:tcPr>
            <w:tcW w:w="7720" w:type="dxa"/>
            <w:vAlign w:val="bottom"/>
            <w:gridSpan w:val="2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10</w:t>
            </w:r>
          </w:p>
        </w:tc>
      </w:tr>
      <w:tr>
        <w:trPr>
          <w:trHeight w:val="344"/>
        </w:trPr>
        <w:tc>
          <w:tcPr>
            <w:tcW w:w="5820" w:type="dxa"/>
            <w:vAlign w:val="bottom"/>
            <w:tcBorders>
              <w:bottom w:val="single" w:sz="8" w:color="0000EE"/>
            </w:tcBorders>
            <w:gridSpan w:val="33"/>
          </w:tcPr>
          <w:p>
            <w:pPr>
              <w:spacing w:after="0"/>
              <w:rPr>
                <w:rFonts w:ascii="Arial" w:cs="Arial" w:eastAsia="Arial" w:hAnsi="Arial"/>
                <w:sz w:val="18"/>
                <w:szCs w:val="18"/>
                <w:b w:val="1"/>
                <w:bCs w:val="1"/>
                <w:color w:val="0000EE"/>
                <w:w w:val="98"/>
              </w:rPr>
            </w:pPr>
            <w:hyperlink w:anchor="page16">
              <w:r>
                <w:rPr>
                  <w:rFonts w:ascii="Arial" w:cs="Arial" w:eastAsia="Arial" w:hAnsi="Arial"/>
                  <w:sz w:val="18"/>
                  <w:szCs w:val="18"/>
                  <w:b w:val="1"/>
                  <w:bCs w:val="1"/>
                  <w:color w:val="0000EE"/>
                  <w:w w:val="98"/>
                </w:rPr>
                <w:t>Proposal Two — Advisory Vote to Approve Executive Compensation</w:t>
              </w:r>
            </w:hyperlink>
          </w:p>
        </w:tc>
        <w:tc>
          <w:tcPr>
            <w:tcW w:w="3880" w:type="dxa"/>
            <w:vAlign w:val="bottom"/>
            <w:gridSpan w:val="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12</w:t>
            </w:r>
          </w:p>
        </w:tc>
      </w:tr>
      <w:tr>
        <w:trPr>
          <w:trHeight w:val="344"/>
        </w:trPr>
        <w:tc>
          <w:tcPr>
            <w:tcW w:w="9700" w:type="dxa"/>
            <w:vAlign w:val="bottom"/>
            <w:gridSpan w:val="38"/>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Proposal Three — Amendment to Bylaws to Elect Directors by a Majority Vote</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13</w:t>
            </w:r>
          </w:p>
        </w:tc>
      </w:tr>
      <w:tr>
        <w:trPr>
          <w:trHeight w:val="344"/>
        </w:trPr>
        <w:tc>
          <w:tcPr>
            <w:tcW w:w="6620" w:type="dxa"/>
            <w:vAlign w:val="bottom"/>
            <w:tcBorders>
              <w:top w:val="single" w:sz="8" w:color="0000EE"/>
            </w:tcBorders>
            <w:gridSpan w:val="36"/>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Executive Compensation</w:t>
              </w:r>
            </w:hyperlink>
          </w:p>
        </w:tc>
        <w:tc>
          <w:tcPr>
            <w:tcW w:w="308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14</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3120" w:type="dxa"/>
            <w:vAlign w:val="bottom"/>
            <w:tcBorders>
              <w:bottom w:val="single" w:sz="8" w:color="0000EE"/>
            </w:tcBorders>
            <w:gridSpan w:val="19"/>
          </w:tcPr>
          <w:p>
            <w:pPr>
              <w:spacing w:after="0"/>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Compensation Discussion and Analysis</w:t>
              </w:r>
            </w:hyperlink>
          </w:p>
        </w:tc>
        <w:tc>
          <w:tcPr>
            <w:tcW w:w="6520" w:type="dxa"/>
            <w:vAlign w:val="bottom"/>
            <w:gridSpan w:val="18"/>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4C4C4C"/>
              </w:rPr>
              <w:t>14</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bottom w:val="single" w:sz="8" w:color="0000EE"/>
            </w:tcBorders>
            <w:gridSpan w:val="5"/>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Our Company</w:t>
              </w:r>
            </w:hyperlink>
          </w:p>
        </w:tc>
        <w:tc>
          <w:tcPr>
            <w:tcW w:w="8460" w:type="dxa"/>
            <w:vAlign w:val="bottom"/>
            <w:gridSpan w:val="31"/>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Borders>
              <w:bottom w:val="single" w:sz="8" w:color="0000EE"/>
            </w:tcBorders>
            <w:gridSpan w:val="8"/>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Business Development</w:t>
              </w:r>
            </w:hyperlink>
          </w:p>
        </w:tc>
        <w:tc>
          <w:tcPr>
            <w:tcW w:w="7820" w:type="dxa"/>
            <w:vAlign w:val="bottom"/>
            <w:gridSpan w:val="28"/>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80" w:type="dxa"/>
            <w:vAlign w:val="bottom"/>
            <w:gridSpan w:val="36"/>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Platform</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0000EE"/>
              <w:bottom w:val="single" w:sz="8" w:color="0000EE"/>
            </w:tcBorders>
          </w:tcPr>
          <w:p>
            <w:pPr>
              <w:spacing w:after="0"/>
              <w:rPr>
                <w:rFonts w:ascii="Arial" w:cs="Arial" w:eastAsia="Arial" w:hAnsi="Arial"/>
                <w:sz w:val="16"/>
                <w:szCs w:val="16"/>
                <w:color w:val="0000EE"/>
                <w:w w:val="98"/>
              </w:rPr>
            </w:pPr>
            <w:hyperlink w:anchor="page19">
              <w:r>
                <w:rPr>
                  <w:rFonts w:ascii="Arial" w:cs="Arial" w:eastAsia="Arial" w:hAnsi="Arial"/>
                  <w:sz w:val="16"/>
                  <w:szCs w:val="16"/>
                  <w:color w:val="0000EE"/>
                  <w:w w:val="98"/>
                </w:rPr>
                <w:t>Pipeline</w:t>
              </w:r>
            </w:hyperlink>
          </w:p>
        </w:tc>
        <w:tc>
          <w:tcPr>
            <w:tcW w:w="20" w:type="dxa"/>
            <w:vAlign w:val="bottom"/>
            <w:tcBorders>
              <w:top w:val="single" w:sz="8" w:color="0000EE"/>
            </w:tcBorders>
          </w:tcPr>
          <w:p>
            <w:pPr>
              <w:spacing w:after="0"/>
              <w:rPr>
                <w:sz w:val="19"/>
                <w:szCs w:val="19"/>
                <w:color w:val="auto"/>
              </w:rPr>
            </w:pPr>
          </w:p>
        </w:tc>
        <w:tc>
          <w:tcPr>
            <w:tcW w:w="8880" w:type="dxa"/>
            <w:vAlign w:val="bottom"/>
            <w:gridSpan w:val="34"/>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tcBorders>
              <w:bottom w:val="single" w:sz="8" w:color="0000EE"/>
            </w:tcBorders>
            <w:gridSpan w:val="17"/>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Executive Compensation Philosophy</w:t>
              </w:r>
            </w:hyperlink>
          </w:p>
        </w:tc>
        <w:tc>
          <w:tcPr>
            <w:tcW w:w="6840" w:type="dxa"/>
            <w:vAlign w:val="bottom"/>
            <w:gridSpan w:val="19"/>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80" w:type="dxa"/>
            <w:vAlign w:val="bottom"/>
            <w:gridSpan w:val="36"/>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Executive Compensation Program Design</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80" w:type="dxa"/>
            <w:vAlign w:val="bottom"/>
            <w:gridSpan w:val="36"/>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Governance of Executive Compensation Program</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Borders>
              <w:top w:val="single" w:sz="8" w:color="0000EE"/>
              <w:bottom w:val="single" w:sz="8" w:color="0000EE"/>
            </w:tcBorders>
            <w:gridSpan w:val="15"/>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Individual Compensation Elements</w:t>
              </w:r>
            </w:hyperlink>
          </w:p>
        </w:tc>
        <w:tc>
          <w:tcPr>
            <w:tcW w:w="1060" w:type="dxa"/>
            <w:vAlign w:val="bottom"/>
            <w:tcBorders>
              <w:top w:val="single" w:sz="8" w:color="0000EE"/>
            </w:tcBorders>
            <w:gridSpan w:val="12"/>
          </w:tcPr>
          <w:p>
            <w:pPr>
              <w:spacing w:after="0"/>
              <w:rPr>
                <w:sz w:val="19"/>
                <w:szCs w:val="19"/>
                <w:color w:val="auto"/>
              </w:rPr>
            </w:pPr>
          </w:p>
        </w:tc>
        <w:tc>
          <w:tcPr>
            <w:tcW w:w="5920" w:type="dxa"/>
            <w:vAlign w:val="bottom"/>
            <w:gridSpan w:val="9"/>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80" w:type="dxa"/>
            <w:vAlign w:val="bottom"/>
            <w:gridSpan w:val="3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Employment Arrangements</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40" w:type="dxa"/>
            <w:vAlign w:val="bottom"/>
            <w:tcBorders>
              <w:bottom w:val="single" w:sz="8" w:color="0000EE"/>
            </w:tcBorders>
            <w:gridSpan w:val="26"/>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Post-Employment Compensation Arrangements</w:t>
              </w:r>
            </w:hyperlink>
          </w:p>
        </w:tc>
        <w:tc>
          <w:tcPr>
            <w:tcW w:w="6040" w:type="dxa"/>
            <w:vAlign w:val="bottom"/>
            <w:gridSpan w:val="10"/>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80" w:type="dxa"/>
            <w:vAlign w:val="bottom"/>
            <w:gridSpan w:val="36"/>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Other Compensation Policies and Practices</w:t>
              </w:r>
            </w:hyperlink>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tcBorders>
              <w:top w:val="single" w:sz="8" w:color="0000EE"/>
            </w:tcBorders>
            <w:gridSpan w:val="22"/>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Tax and Accounting Considerations</w:t>
              </w:r>
            </w:hyperlink>
          </w:p>
        </w:tc>
        <w:tc>
          <w:tcPr>
            <w:tcW w:w="6360" w:type="dxa"/>
            <w:vAlign w:val="bottom"/>
            <w:gridSpan w:val="14"/>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23"/>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tcBorders>
              <w:top w:val="single" w:sz="8" w:color="0000EE"/>
              <w:bottom w:val="single" w:sz="8" w:color="0000EE"/>
            </w:tcBorders>
            <w:gridSpan w:val="12"/>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Compensation Risk Assessment</w:t>
              </w:r>
            </w:hyperlink>
          </w:p>
        </w:tc>
        <w:tc>
          <w:tcPr>
            <w:tcW w:w="200" w:type="dxa"/>
            <w:vAlign w:val="bottom"/>
            <w:tcBorders>
              <w:top w:val="single" w:sz="8" w:color="0000EE"/>
            </w:tcBorders>
            <w:gridSpan w:val="4"/>
          </w:tcPr>
          <w:p>
            <w:pPr>
              <w:spacing w:after="0"/>
              <w:rPr>
                <w:sz w:val="19"/>
                <w:szCs w:val="19"/>
                <w:color w:val="auto"/>
              </w:rPr>
            </w:pPr>
          </w:p>
        </w:tc>
        <w:tc>
          <w:tcPr>
            <w:tcW w:w="6940" w:type="dxa"/>
            <w:vAlign w:val="bottom"/>
            <w:gridSpan w:val="20"/>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44"/>
        </w:trPr>
        <w:tc>
          <w:tcPr>
            <w:tcW w:w="9700" w:type="dxa"/>
            <w:vAlign w:val="bottom"/>
            <w:gridSpan w:val="38"/>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Compensation Tables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33</w:t>
            </w:r>
          </w:p>
        </w:tc>
      </w:tr>
      <w:tr>
        <w:trPr>
          <w:trHeight w:val="20"/>
        </w:trPr>
        <w:tc>
          <w:tcPr>
            <w:tcW w:w="900" w:type="dxa"/>
            <w:vAlign w:val="bottom"/>
            <w:gridSpan w:val="5"/>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4"/>
        </w:trPr>
        <w:tc>
          <w:tcPr>
            <w:tcW w:w="5980" w:type="dxa"/>
            <w:vAlign w:val="bottom"/>
            <w:tcBorders>
              <w:bottom w:val="single" w:sz="8" w:color="0000EE"/>
            </w:tcBorders>
            <w:gridSpan w:val="34"/>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Proposal Four — Ratification of Appointment of Independent Auditors</w:t>
              </w:r>
            </w:hyperlink>
          </w:p>
        </w:tc>
        <w:tc>
          <w:tcPr>
            <w:tcW w:w="3720" w:type="dxa"/>
            <w:vAlign w:val="bottom"/>
            <w:gridSpan w:val="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39</w:t>
            </w:r>
          </w:p>
        </w:tc>
      </w:tr>
      <w:tr>
        <w:trPr>
          <w:trHeight w:val="344"/>
        </w:trPr>
        <w:tc>
          <w:tcPr>
            <w:tcW w:w="9700" w:type="dxa"/>
            <w:vAlign w:val="bottom"/>
            <w:gridSpan w:val="38"/>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Audit Fees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40</w:t>
            </w:r>
          </w:p>
        </w:tc>
      </w:tr>
      <w:tr>
        <w:trPr>
          <w:trHeight w:val="20"/>
        </w:trPr>
        <w:tc>
          <w:tcPr>
            <w:tcW w:w="900" w:type="dxa"/>
            <w:vAlign w:val="bottom"/>
            <w:gridSpan w:val="5"/>
            <w:shd w:val="clear" w:color="auto" w:fill="0000EE"/>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4"/>
        </w:trPr>
        <w:tc>
          <w:tcPr>
            <w:tcW w:w="2600" w:type="dxa"/>
            <w:vAlign w:val="bottom"/>
            <w:tcBorders>
              <w:bottom w:val="single" w:sz="8" w:color="0000EE"/>
            </w:tcBorders>
            <w:gridSpan w:val="16"/>
          </w:tcPr>
          <w:p>
            <w:pPr>
              <w:spacing w:after="0"/>
              <w:rPr>
                <w:rFonts w:ascii="Arial" w:cs="Arial" w:eastAsia="Arial" w:hAnsi="Arial"/>
                <w:sz w:val="18"/>
                <w:szCs w:val="18"/>
                <w:b w:val="1"/>
                <w:bCs w:val="1"/>
                <w:color w:val="0000EE"/>
                <w:w w:val="98"/>
              </w:rPr>
            </w:pPr>
            <w:hyperlink w:anchor="page45">
              <w:r>
                <w:rPr>
                  <w:rFonts w:ascii="Arial" w:cs="Arial" w:eastAsia="Arial" w:hAnsi="Arial"/>
                  <w:sz w:val="18"/>
                  <w:szCs w:val="18"/>
                  <w:b w:val="1"/>
                  <w:bCs w:val="1"/>
                  <w:color w:val="0000EE"/>
                  <w:w w:val="98"/>
                </w:rPr>
                <w:t>Report of the Audit Committee</w:t>
              </w:r>
            </w:hyperlink>
          </w:p>
        </w:tc>
        <w:tc>
          <w:tcPr>
            <w:tcW w:w="7100" w:type="dxa"/>
            <w:vAlign w:val="bottom"/>
            <w:gridSpan w:val="2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41</w:t>
            </w:r>
          </w:p>
        </w:tc>
      </w:tr>
      <w:tr>
        <w:trPr>
          <w:trHeight w:val="344"/>
        </w:trPr>
        <w:tc>
          <w:tcPr>
            <w:tcW w:w="9700" w:type="dxa"/>
            <w:vAlign w:val="bottom"/>
            <w:gridSpan w:val="38"/>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Voting Securities of Principal Stockholders and Management</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42</w:t>
            </w:r>
          </w:p>
        </w:tc>
      </w:tr>
      <w:tr>
        <w:trPr>
          <w:trHeight w:val="344"/>
        </w:trPr>
        <w:tc>
          <w:tcPr>
            <w:tcW w:w="5180" w:type="dxa"/>
            <w:vAlign w:val="bottom"/>
            <w:tcBorders>
              <w:top w:val="single" w:sz="8" w:color="0000EE"/>
            </w:tcBorders>
            <w:gridSpan w:val="32"/>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Equity Compensation Plan Information</w:t>
              </w:r>
            </w:hyperlink>
          </w:p>
        </w:tc>
        <w:tc>
          <w:tcPr>
            <w:tcW w:w="4520" w:type="dxa"/>
            <w:vAlign w:val="bottom"/>
            <w:gridSpan w:val="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43</w:t>
            </w:r>
          </w:p>
        </w:tc>
      </w:tr>
      <w:tr>
        <w:trPr>
          <w:trHeight w:val="20"/>
        </w:trPr>
        <w:tc>
          <w:tcPr>
            <w:tcW w:w="3300" w:type="dxa"/>
            <w:vAlign w:val="bottom"/>
            <w:gridSpan w:val="23"/>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4"/>
        </w:trPr>
        <w:tc>
          <w:tcPr>
            <w:tcW w:w="4400" w:type="dxa"/>
            <w:vAlign w:val="bottom"/>
            <w:tcBorders>
              <w:bottom w:val="single" w:sz="8" w:color="0000EE"/>
            </w:tcBorders>
            <w:gridSpan w:val="30"/>
          </w:tcPr>
          <w:p>
            <w:pPr>
              <w:spacing w:after="0"/>
              <w:rPr>
                <w:rFonts w:ascii="Arial" w:cs="Arial" w:eastAsia="Arial" w:hAnsi="Arial"/>
                <w:sz w:val="18"/>
                <w:szCs w:val="18"/>
                <w:b w:val="1"/>
                <w:bCs w:val="1"/>
                <w:color w:val="0000EE"/>
                <w:w w:val="99"/>
              </w:rPr>
            </w:pPr>
            <w:hyperlink w:anchor="page50">
              <w:r>
                <w:rPr>
                  <w:rFonts w:ascii="Arial" w:cs="Arial" w:eastAsia="Arial" w:hAnsi="Arial"/>
                  <w:sz w:val="18"/>
                  <w:szCs w:val="18"/>
                  <w:b w:val="1"/>
                  <w:bCs w:val="1"/>
                  <w:color w:val="0000EE"/>
                  <w:w w:val="99"/>
                </w:rPr>
                <w:t>Review and Approval of Related-Party Transactions</w:t>
              </w:r>
            </w:hyperlink>
          </w:p>
        </w:tc>
        <w:tc>
          <w:tcPr>
            <w:tcW w:w="5300" w:type="dxa"/>
            <w:vAlign w:val="bottom"/>
            <w:gridSpan w:val="8"/>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46</w:t>
            </w:r>
          </w:p>
        </w:tc>
      </w:tr>
      <w:tr>
        <w:trPr>
          <w:trHeight w:val="344"/>
        </w:trPr>
        <w:tc>
          <w:tcPr>
            <w:tcW w:w="9700" w:type="dxa"/>
            <w:vAlign w:val="bottom"/>
            <w:gridSpan w:val="38"/>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Certain Relationships and Related Transactions, and Director Independence</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47</w:t>
            </w:r>
          </w:p>
        </w:tc>
      </w:tr>
      <w:tr>
        <w:trPr>
          <w:trHeight w:val="20"/>
        </w:trPr>
        <w:tc>
          <w:tcPr>
            <w:tcW w:w="6480" w:type="dxa"/>
            <w:vAlign w:val="bottom"/>
            <w:gridSpan w:val="3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44"/>
        </w:trPr>
        <w:tc>
          <w:tcPr>
            <w:tcW w:w="6820" w:type="dxa"/>
            <w:vAlign w:val="bottom"/>
            <w:tcBorders>
              <w:bottom w:val="single" w:sz="8" w:color="0000EE"/>
            </w:tcBorders>
            <w:gridSpan w:val="37"/>
          </w:tcPr>
          <w:p>
            <w:pPr>
              <w:spacing w:after="0"/>
              <w:rPr>
                <w:rFonts w:ascii="Arial" w:cs="Arial" w:eastAsia="Arial" w:hAnsi="Arial"/>
                <w:sz w:val="18"/>
                <w:szCs w:val="18"/>
                <w:b w:val="1"/>
                <w:bCs w:val="1"/>
                <w:color w:val="0000EE"/>
                <w:w w:val="99"/>
              </w:rPr>
            </w:pPr>
            <w:hyperlink w:anchor="page52">
              <w:r>
                <w:rPr>
                  <w:rFonts w:ascii="Arial" w:cs="Arial" w:eastAsia="Arial" w:hAnsi="Arial"/>
                  <w:sz w:val="18"/>
                  <w:szCs w:val="18"/>
                  <w:b w:val="1"/>
                  <w:bCs w:val="1"/>
                  <w:color w:val="0000EE"/>
                  <w:w w:val="99"/>
                </w:rPr>
                <w:t>Exhibit A — Amended and Restated Bylaws of Arrowhead Pharmaceuticals, Inc.</w:t>
              </w:r>
            </w:hyperlink>
          </w:p>
        </w:tc>
        <w:tc>
          <w:tcPr>
            <w:tcW w:w="28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137160</wp:posOffset>
            </wp:positionV>
            <wp:extent cx="98488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500"/>
        <w:spacing w:after="0"/>
        <w:tabs>
          <w:tab w:leader="none" w:pos="740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ARROWHEAD PHARMACEUTICALS, INC.</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177 E. Colorado Blvd., Suite 700</w:t>
      </w:r>
    </w:p>
    <w:p>
      <w:pPr>
        <w:jc w:val="center"/>
        <w:ind w:right="-219"/>
        <w:spacing w:after="0" w:line="234" w:lineRule="auto"/>
        <w:rPr>
          <w:sz w:val="20"/>
          <w:szCs w:val="20"/>
          <w:color w:val="auto"/>
        </w:rPr>
      </w:pPr>
      <w:r>
        <w:rPr>
          <w:rFonts w:ascii="Arial" w:cs="Arial" w:eastAsia="Arial" w:hAnsi="Arial"/>
          <w:sz w:val="18"/>
          <w:szCs w:val="18"/>
          <w:b w:val="1"/>
          <w:bCs w:val="1"/>
          <w:color w:val="auto"/>
        </w:rPr>
        <w:t>Pasadena, California 91105</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151765</wp:posOffset>
            </wp:positionV>
            <wp:extent cx="1473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304"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0071CE"/>
        </w:rPr>
        <w:t>PROXY STATEMENT</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0071CE"/>
        </w:rPr>
        <w:t>FOR ANNUAL MEETING OF STOCKHOLDERS</w:t>
      </w:r>
    </w:p>
    <w:p>
      <w:pPr>
        <w:spacing w:after="0" w:line="4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4C4C4C"/>
        </w:rPr>
        <w:t>To be held on Thursday, 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236855</wp:posOffset>
            </wp:positionV>
            <wp:extent cx="14732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General Information Concerning Solicitation and Voting</w:t>
      </w:r>
    </w:p>
    <w:p>
      <w:pPr>
        <w:spacing w:after="0" w:line="352" w:lineRule="exact"/>
        <w:rPr>
          <w:sz w:val="20"/>
          <w:szCs w:val="20"/>
          <w:color w:val="auto"/>
        </w:rPr>
      </w:pPr>
    </w:p>
    <w:p>
      <w:pPr>
        <w:ind w:left="220" w:right="80"/>
        <w:spacing w:after="0" w:line="252" w:lineRule="auto"/>
        <w:rPr>
          <w:sz w:val="20"/>
          <w:szCs w:val="20"/>
          <w:color w:val="auto"/>
        </w:rPr>
      </w:pPr>
      <w:r>
        <w:rPr>
          <w:rFonts w:ascii="Arial" w:cs="Arial" w:eastAsia="Arial" w:hAnsi="Arial"/>
          <w:sz w:val="16"/>
          <w:szCs w:val="16"/>
          <w:color w:val="auto"/>
        </w:rPr>
        <w:t>The enclosed Proxy is solicited on behalf of Arrowhead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Arrowhead</w:t>
      </w:r>
      <w:r>
        <w:rPr>
          <w:rFonts w:ascii="Arial" w:cs="Arial" w:eastAsia="Arial" w:hAnsi="Arial"/>
          <w:sz w:val="16"/>
          <w:szCs w:val="16"/>
          <w:color w:val="auto"/>
        </w:rPr>
        <w:t>”) for use at the 2020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on Thursday, March 19, 2020 at 10:00 a.m., Pacific time, and at any adjournment(s) thereof, for the purposes set forth herein and in the accompanying Notice of Annual Meeting of Stockholders (the “</w:t>
      </w:r>
      <w:r>
        <w:rPr>
          <w:rFonts w:ascii="Arial" w:cs="Arial" w:eastAsia="Arial" w:hAnsi="Arial"/>
          <w:sz w:val="16"/>
          <w:szCs w:val="16"/>
          <w:b w:val="1"/>
          <w:bCs w:val="1"/>
          <w:color w:val="auto"/>
        </w:rPr>
        <w:t>Notice</w:t>
      </w:r>
      <w:r>
        <w:rPr>
          <w:rFonts w:ascii="Arial" w:cs="Arial" w:eastAsia="Arial" w:hAnsi="Arial"/>
          <w:sz w:val="16"/>
          <w:szCs w:val="16"/>
          <w:color w:val="auto"/>
        </w:rPr>
        <w:t>”). This year’s meeting will be a completely “virtual” meeting of stockholders. You can attend the Annual Meeting online, vote your shares electronically, and submit your questions during the Annual Meeting, by visiting www.virtualshareholdermeeting.com/ARWR2020. You will need to have your 16-digit Control Number included on your Notice Regarding the Availability of Proxy Materials (the “</w:t>
      </w:r>
      <w:r>
        <w:rPr>
          <w:rFonts w:ascii="Arial" w:cs="Arial" w:eastAsia="Arial" w:hAnsi="Arial"/>
          <w:sz w:val="16"/>
          <w:szCs w:val="16"/>
          <w:b w:val="1"/>
          <w:bCs w:val="1"/>
          <w:color w:val="auto"/>
        </w:rPr>
        <w:t>Notice of Internet Availability</w:t>
      </w:r>
      <w:r>
        <w:rPr>
          <w:rFonts w:ascii="Arial" w:cs="Arial" w:eastAsia="Arial" w:hAnsi="Arial"/>
          <w:sz w:val="16"/>
          <w:szCs w:val="16"/>
          <w:color w:val="auto"/>
        </w:rPr>
        <w:t>”) or your proxy card (if you received a printed copy of the proxy materials) to join the Annual Meeting.</w:t>
      </w:r>
    </w:p>
    <w:p>
      <w:pPr>
        <w:spacing w:after="0" w:line="206"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The Company anticipates that the Notice of Internet Availability in connection with these proxy solicitation materials will first be mailed on or about January 28, 2020 to all stockholders entitled to vote at the Annual Meeting and we will post our proxy materials on the website referenced in the Notice of Internet Availability. As more fully described in the Notice of Internet Availability, all stockholders may choose to access our proxy materials on the website referred to in the Notice of Internet Availability or may request to receive a printed set of our proxy materials.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6"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Only holders of record of our common stock at the close of business on January 22, 2020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101,562,158 shares of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Revocability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3" w:lineRule="exact"/>
        <w:rPr>
          <w:sz w:val="20"/>
          <w:szCs w:val="20"/>
          <w:color w:val="auto"/>
        </w:rPr>
      </w:pPr>
    </w:p>
    <w:p>
      <w:pPr>
        <w:jc w:val="both"/>
        <w:ind w:left="220" w:right="100"/>
        <w:spacing w:after="0" w:line="250" w:lineRule="auto"/>
        <w:rPr>
          <w:sz w:val="20"/>
          <w:szCs w:val="20"/>
          <w:color w:val="auto"/>
        </w:rPr>
      </w:pPr>
      <w:r>
        <w:rPr>
          <w:rFonts w:ascii="Arial" w:cs="Arial" w:eastAsia="Arial" w:hAnsi="Arial"/>
          <w:sz w:val="16"/>
          <w:szCs w:val="16"/>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 Stockholders may also revoke their proxy by entering a new vote over the Internet or by telephone.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Voting and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3" w:lineRule="exact"/>
        <w:rPr>
          <w:sz w:val="20"/>
          <w:szCs w:val="20"/>
          <w:color w:val="auto"/>
        </w:rPr>
      </w:pPr>
    </w:p>
    <w:p>
      <w:pPr>
        <w:ind w:left="220" w:right="80"/>
        <w:spacing w:after="0" w:line="248" w:lineRule="auto"/>
        <w:rPr>
          <w:sz w:val="20"/>
          <w:szCs w:val="20"/>
          <w:color w:val="auto"/>
        </w:rPr>
      </w:pPr>
      <w:r>
        <w:rPr>
          <w:rFonts w:ascii="Arial" w:cs="Arial" w:eastAsia="Arial" w:hAnsi="Arial"/>
          <w:sz w:val="16"/>
          <w:szCs w:val="16"/>
          <w:color w:val="auto"/>
        </w:rPr>
        <w:t>Each share of the Company’s Common Stock is entitled to one vote on all matters presented at the Annual Meeting. Each stockholder may appoint only one proxy holder or representative to attend the Annual Meeting on his or her behalf.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the Proposals 1, 2, 3 and 4 and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206" w:lineRule="exact"/>
        <w:rPr>
          <w:sz w:val="20"/>
          <w:szCs w:val="20"/>
          <w:color w:val="auto"/>
        </w:rPr>
      </w:pPr>
    </w:p>
    <w:p>
      <w:pPr>
        <w:ind w:left="220" w:right="160"/>
        <w:spacing w:after="0" w:line="260" w:lineRule="auto"/>
        <w:rPr>
          <w:sz w:val="20"/>
          <w:szCs w:val="20"/>
          <w:color w:val="auto"/>
        </w:rPr>
      </w:pPr>
      <w:r>
        <w:rPr>
          <w:rFonts w:ascii="Arial" w:cs="Arial" w:eastAsia="Arial" w:hAnsi="Arial"/>
          <w:sz w:val="16"/>
          <w:szCs w:val="16"/>
          <w:color w:val="auto"/>
        </w:rPr>
        <w:t>If you will not be able to attend the Annual Meeting to vote in person, you may vote your shares via the Internet or by telephone or by mail as set forth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80010</wp:posOffset>
            </wp:positionV>
            <wp:extent cx="984885"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7" w:lineRule="exact"/>
        <w:rPr>
          <w:sz w:val="20"/>
          <w:szCs w:val="20"/>
          <w:color w:val="auto"/>
        </w:rPr>
      </w:pPr>
    </w:p>
    <w:p>
      <w:pPr>
        <w:ind w:left="11060"/>
        <w:spacing w:after="0"/>
        <w:rPr>
          <w:sz w:val="20"/>
          <w:szCs w:val="20"/>
          <w:color w:val="auto"/>
        </w:rPr>
      </w:pPr>
      <w:r>
        <w:rPr>
          <w:rFonts w:ascii="Arial" w:cs="Arial" w:eastAsia="Arial" w:hAnsi="Arial"/>
          <w:sz w:val="18"/>
          <w:szCs w:val="18"/>
          <w:b w:val="1"/>
          <w:bCs w:val="1"/>
          <w:color w:val="0071CE"/>
        </w:rPr>
        <w:t>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164" w:lineRule="exact"/>
        <w:rPr>
          <w:sz w:val="20"/>
          <w:szCs w:val="20"/>
          <w:color w:val="auto"/>
        </w:rPr>
      </w:pPr>
    </w:p>
    <w:p>
      <w:pPr>
        <w:jc w:val="both"/>
        <w:ind w:left="220" w:right="320"/>
        <w:spacing w:after="0" w:line="250" w:lineRule="auto"/>
        <w:rPr>
          <w:sz w:val="20"/>
          <w:szCs w:val="20"/>
          <w:color w:val="auto"/>
        </w:rPr>
      </w:pPr>
      <w:r>
        <w:rPr>
          <w:rFonts w:ascii="Arial" w:cs="Arial" w:eastAsia="Arial" w:hAnsi="Arial"/>
          <w:sz w:val="16"/>
          <w:szCs w:val="16"/>
          <w:color w:val="auto"/>
        </w:rPr>
        <w:t>The Company has engaged a proxy solicitor, Alliance Advisors, LLC, to encourage voting by our stockholders. It is estimated that the total cost for the solicitation campaign will be approximately $10,000. Proxies may also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205"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If your shares are held in street name, the voting instruction form sent to you by your broker, bank or other nominee should indicate whether the institution has a process for beneficial holders to provide voting instructions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Quorum; Abstentions;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6"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“AGAINST” or “ABSTAIN” on a matter are treated as being present at the meeting for purposes of establishing a quorum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6"/>
          <w:szCs w:val="16"/>
          <w:b w:val="1"/>
          <w:bCs w:val="1"/>
          <w:color w:val="auto"/>
        </w:rPr>
        <w:t>broker non-votes</w:t>
      </w:r>
      <w:r>
        <w:rPr>
          <w:rFonts w:ascii="Arial" w:cs="Arial" w:eastAsia="Arial" w:hAnsi="Arial"/>
          <w:sz w:val="16"/>
          <w:szCs w:val="16"/>
          <w:color w:val="auto"/>
        </w:rPr>
        <w:t>”). In accordance with the rules of Nasdaq, banks, brokerage firms and other nominees who hold Arrowhead shares in street name for their customers have authority to vote on “routine” proposals when they have not received instructions from beneficial owners. However, banks, brokerage firms and other nominees are precluded from exercising their voting discretion with respect to non-routine matters.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With regard to the election of directors, votes may be cast in favor of a director nominee or withheld. Because directors are elected by plurality,</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abstentions from voting and broker non-votes will be entirely excluded from the vote and will have no effect on its outcome. If a quorum is present at the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meeting, the nominees receiving the greatest number of votes, up to six directors, will be elected. Because Proposal Nos. 2, 3 and 4 must be approved by</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affirmative vote of a majority of the shares of Common Stock entitled to vote thereon and present in person or by proxy at the Annual Meeting (the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Vote</w:t>
      </w:r>
      <w:r>
        <w:rPr>
          <w:rFonts w:ascii="Arial" w:cs="Arial" w:eastAsia="Arial" w:hAnsi="Arial"/>
          <w:sz w:val="16"/>
          <w:szCs w:val="16"/>
          <w:color w:val="auto"/>
        </w:rPr>
        <w:t>”), abstentions will be counted in tabulations of the votes cast on each such proposal and will have the same effect as a vote against the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proposal, whereas broker non-votes will be excluded from the vote and will have no effect on its outcome.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Deadline for Receipt of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33" w:lineRule="exact"/>
        <w:rPr>
          <w:sz w:val="20"/>
          <w:szCs w:val="20"/>
          <w:color w:val="auto"/>
        </w:rPr>
      </w:pPr>
    </w:p>
    <w:p>
      <w:pPr>
        <w:ind w:left="220" w:right="280"/>
        <w:spacing w:after="0" w:line="254" w:lineRule="auto"/>
        <w:rPr>
          <w:sz w:val="20"/>
          <w:szCs w:val="20"/>
          <w:color w:val="auto"/>
        </w:rPr>
      </w:pPr>
      <w:r>
        <w:rPr>
          <w:rFonts w:ascii="Arial" w:cs="Arial" w:eastAsia="Arial" w:hAnsi="Arial"/>
          <w:sz w:val="16"/>
          <w:szCs w:val="16"/>
          <w:color w:val="auto"/>
        </w:rPr>
        <w:t>Any stockholder who meets the requirements of the proxy rules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who intends to present a proposal at the Company’s 2021 Annual Meeting of Stockholders must ensure that the proposal is received by the Corporate Secretary at Arrowhead Pharmaceuticals, Inc., 177 E. Colorado Blvd., Suite 700, Pasadena, CA 91105, not later than October 1, 2020, in order to be considered for inclusion in our proxy materials for that meeting; provided, however, that if the Company’s 2021 Annual Meeting of Stockholders is held before February 17, 2021 or after April 18, 2021, you must provide specified information to us a reasonable time before we begin to print and send our proxy statement for our 2021 Annual Meeting. Proposals received after the specified dates may be excluded from the Company’s proxy statement.</w:t>
      </w:r>
    </w:p>
    <w:p>
      <w:pPr>
        <w:spacing w:after="0" w:line="181" w:lineRule="exact"/>
        <w:rPr>
          <w:sz w:val="20"/>
          <w:szCs w:val="20"/>
          <w:color w:val="auto"/>
        </w:rPr>
      </w:pPr>
    </w:p>
    <w:p>
      <w:pPr>
        <w:ind w:left="220" w:right="40"/>
        <w:spacing w:after="0" w:line="254" w:lineRule="auto"/>
        <w:rPr>
          <w:sz w:val="20"/>
          <w:szCs w:val="20"/>
          <w:color w:val="auto"/>
        </w:rPr>
      </w:pPr>
      <w:r>
        <w:rPr>
          <w:rFonts w:ascii="Arial" w:cs="Arial" w:eastAsia="Arial" w:hAnsi="Arial"/>
          <w:sz w:val="16"/>
          <w:szCs w:val="16"/>
          <w:color w:val="auto"/>
        </w:rPr>
        <w:t>Additionally, our Amended and Restated Bylaws (“</w:t>
      </w:r>
      <w:r>
        <w:rPr>
          <w:rFonts w:ascii="Arial" w:cs="Arial" w:eastAsia="Arial" w:hAnsi="Arial"/>
          <w:sz w:val="16"/>
          <w:szCs w:val="16"/>
          <w:b w:val="1"/>
          <w:bCs w:val="1"/>
          <w:color w:val="auto"/>
        </w:rPr>
        <w:t>Bylaws</w:t>
      </w:r>
      <w:r>
        <w:rPr>
          <w:rFonts w:ascii="Arial" w:cs="Arial" w:eastAsia="Arial" w:hAnsi="Arial"/>
          <w:sz w:val="16"/>
          <w:szCs w:val="16"/>
          <w:color w:val="auto"/>
        </w:rPr>
        <w:t xml:space="preserve">”) provide for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2020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2021 Annual Meeting date is advanced by more than 30 days before or delayed by more than 60 days after the anniversary date of the 2020 Annual Meeting, then stockholders must provide notice within time periods specified in our Bylaws. Our Bylaws also specify requirements as to the form and content of a stockholder’s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83185</wp:posOffset>
            </wp:positionV>
            <wp:extent cx="98488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Proposal One — Election of Directors</w:t>
      </w:r>
    </w:p>
    <w:p>
      <w:pPr>
        <w:spacing w:after="0" w:line="372"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auto"/>
        </w:rPr>
        <w:t>The Board has nominated the following six persons as directors to serve until the 2021 Annual Meeting or until their successors have been duly elected and qualified. Each of the nominees is currently a director of Arrowhead. Except as set forth in the biographical information below, none of the nominees is related by blood, marriage or adoption to any other nominee or any executive officer of the Company. The six nominees receiving the greatest numbers of votes at the Annual Meeting will be elected to the six director positions. Unless otherwise instructed, the proxy holders will vote the proxies received by them for the six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the nominee’s age and current position with Arrowhead.</w:t>
      </w:r>
    </w:p>
    <w:p>
      <w:pPr>
        <w:spacing w:after="0" w:line="187" w:lineRule="exact"/>
        <w:rPr>
          <w:sz w:val="20"/>
          <w:szCs w:val="20"/>
          <w:color w:val="auto"/>
        </w:rPr>
      </w:pPr>
    </w:p>
    <w:p>
      <w:pPr>
        <w:ind w:left="220" w:right="240"/>
        <w:spacing w:after="0" w:line="286" w:lineRule="auto"/>
        <w:rPr>
          <w:sz w:val="20"/>
          <w:szCs w:val="20"/>
          <w:color w:val="auto"/>
        </w:rPr>
      </w:pPr>
      <w:r>
        <w:rPr>
          <w:rFonts w:ascii="Arial" w:cs="Arial" w:eastAsia="Arial" w:hAnsi="Arial"/>
          <w:sz w:val="16"/>
          <w:szCs w:val="16"/>
          <w:b w:val="1"/>
          <w:bCs w:val="1"/>
          <w:color w:val="0071CE"/>
        </w:rPr>
        <w:t>Nominees for Election as Directors</w:t>
      </w:r>
      <w:r>
        <w:rPr>
          <w:rFonts w:ascii="Arial" w:cs="Arial" w:eastAsia="Arial" w:hAnsi="Arial"/>
          <w:sz w:val="16"/>
          <w:szCs w:val="16"/>
          <w:color w:val="000000"/>
        </w:rPr>
        <w:t>. The Board unanimously adopted a resolution proposing the nominees set forth below for election as directors of</w:t>
      </w:r>
      <w:r>
        <w:rPr>
          <w:rFonts w:ascii="Arial" w:cs="Arial" w:eastAsia="Arial" w:hAnsi="Arial"/>
          <w:sz w:val="16"/>
          <w:szCs w:val="16"/>
          <w:b w:val="1"/>
          <w:bCs w:val="1"/>
          <w:color w:val="0071CE"/>
        </w:rPr>
        <w:t xml:space="preserve"> </w:t>
      </w:r>
      <w:r>
        <w:rPr>
          <w:rFonts w:ascii="Arial" w:cs="Arial" w:eastAsia="Arial" w:hAnsi="Arial"/>
          <w:sz w:val="16"/>
          <w:szCs w:val="16"/>
          <w:color w:val="000000"/>
        </w:rPr>
        <w:t>the Company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127000</wp:posOffset>
            </wp:positionV>
            <wp:extent cx="4334510" cy="539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34510" cy="539750"/>
                    </a:xfrm>
                    <a:prstGeom prst="rect">
                      <a:avLst/>
                    </a:prstGeom>
                    <a:noFill/>
                  </pic:spPr>
                </pic:pic>
              </a:graphicData>
            </a:graphic>
          </wp:anchor>
        </w:drawing>
      </w:r>
    </w:p>
    <w:p>
      <w:pPr>
        <w:spacing w:after="0" w:line="256" w:lineRule="exact"/>
        <w:rPr>
          <w:sz w:val="20"/>
          <w:szCs w:val="20"/>
          <w:color w:val="auto"/>
        </w:rPr>
      </w:pPr>
    </w:p>
    <w:p>
      <w:pPr>
        <w:ind w:left="3480" w:right="3620"/>
        <w:spacing w:after="0" w:line="274" w:lineRule="auto"/>
        <w:rPr>
          <w:sz w:val="20"/>
          <w:szCs w:val="20"/>
          <w:color w:val="auto"/>
        </w:rPr>
      </w:pPr>
      <w:r>
        <w:rPr>
          <w:rFonts w:ascii="Arial" w:cs="Arial" w:eastAsia="Arial" w:hAnsi="Arial"/>
          <w:sz w:val="16"/>
          <w:szCs w:val="16"/>
          <w:b w:val="1"/>
          <w:bCs w:val="1"/>
          <w:color w:val="auto"/>
        </w:rPr>
        <w:t xml:space="preserve">OUR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EACH OF THE NOMINEES LISTED BELOW.</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0071CE"/>
        </w:rPr>
        <w:t>Douglass Given, MD</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71CE"/>
        </w:rPr>
        <w:t>Chairman</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Serves on:</w:t>
      </w:r>
    </w:p>
    <w:p>
      <w:pPr>
        <w:spacing w:after="0" w:line="25" w:lineRule="exact"/>
        <w:rPr>
          <w:sz w:val="20"/>
          <w:szCs w:val="20"/>
          <w:color w:val="auto"/>
        </w:rPr>
      </w:pPr>
    </w:p>
    <w:p>
      <w:pPr>
        <w:ind w:left="440" w:hanging="149"/>
        <w:spacing w:after="0"/>
        <w:tabs>
          <w:tab w:leader="none" w:pos="440" w:val="left"/>
        </w:tabs>
        <w:numPr>
          <w:ilvl w:val="0"/>
          <w:numId w:val="9"/>
        </w:numPr>
        <w:rPr>
          <w:rFonts w:ascii="Arial" w:cs="Arial" w:eastAsia="Arial" w:hAnsi="Arial"/>
          <w:sz w:val="16"/>
          <w:szCs w:val="16"/>
          <w:color w:val="0071CE"/>
        </w:rPr>
      </w:pPr>
      <w:r>
        <w:rPr>
          <w:rFonts w:ascii="Arial" w:cs="Arial" w:eastAsia="Arial" w:hAnsi="Arial"/>
          <w:sz w:val="16"/>
          <w:szCs w:val="16"/>
          <w:color w:val="auto"/>
        </w:rPr>
        <w:t>Science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5"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Dr. Given is Chairman of the Board. He has been a director of the Company since 2010. Doug is Managing Partner at Health2047 Capital Partners LLC. He served as Health2047 Inc.’s Chief Executive from its founding in August 2015 until January 2018. Previously, Dr. Given spent more than a decade in venture capital as an Investment Partner and General Partner at life sciences investor Bay City Capital LLC participating in five sequential life sciences general funds and two sector-specific funds. He was associated with the partnership from 1999 to 2015. A physician and medical scientist by background, Dr. Given has been a global corporate and operating executive at Lilly, Monsanto, Schering Plough and Mallinckrodt and a serial entrepreneur, as well as a venture capitalist. In addition to a number of private companies, he led three public biotechnology and biopharmaceutical companies as CEO.</w:t>
      </w:r>
    </w:p>
    <w:p>
      <w:pPr>
        <w:spacing w:after="0" w:line="110"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Dr. Given has served on more than 20 public and private boards. He is currently a director at Health2047 Inc., board chair at Akiri Inc., Managing Partner at G5 Partners LLC, and serves on the board at First Mile Care Inc. and Vivaldi Biosciences Inc. He serves on advisory boards at the University of Chicago Medicine, Johns Hopkins Bloomberg School of Public Health, Stanford Medicine, Stanford Institute for Economic Policy Research (SIEPR), and The Houston Methodist Research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129540</wp:posOffset>
            </wp:positionV>
            <wp:extent cx="4899660" cy="864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99660" cy="864870"/>
                    </a:xfrm>
                    <a:prstGeom prst="rect">
                      <a:avLst/>
                    </a:prstGeom>
                    <a:noFill/>
                  </pic:spPr>
                </pic:pic>
              </a:graphicData>
            </a:graphic>
          </wp:anchor>
        </w:drawing>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Dr. Given’s qualifications to serve on the Board include his extensive experience as a physician scientist, in finance and business transactions, particularly investments in the life sciences industry, as well as directorship roles in biopharmaceutical companies. Dr. Given also has had significant leadership roles, including CEO of several biotech companies and Senior Vice President, at several large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52070</wp:posOffset>
            </wp:positionV>
            <wp:extent cx="6989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154940</wp:posOffset>
            </wp:positionV>
            <wp:extent cx="984885"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600"/>
          </w:cols>
          <w:pgMar w:left="240" w:top="459" w:right="439" w:bottom="1440" w:gutter="0" w:footer="0" w:header="0"/>
          <w:type w:val="continuous"/>
        </w:sectPr>
      </w:pPr>
    </w:p>
    <w:p>
      <w:pPr>
        <w:spacing w:after="0" w:line="75" w:lineRule="exact"/>
        <w:rPr>
          <w:sz w:val="20"/>
          <w:szCs w:val="20"/>
          <w:color w:val="auto"/>
        </w:rPr>
      </w:pPr>
    </w:p>
    <w:p>
      <w:pPr>
        <w:ind w:left="11060"/>
        <w:spacing w:after="0"/>
        <w:rPr>
          <w:sz w:val="20"/>
          <w:szCs w:val="20"/>
          <w:color w:val="auto"/>
        </w:rPr>
      </w:pPr>
      <w:r>
        <w:rPr>
          <w:rFonts w:ascii="Arial" w:cs="Arial" w:eastAsia="Arial" w:hAnsi="Arial"/>
          <w:sz w:val="17"/>
          <w:szCs w:val="17"/>
          <w:b w:val="1"/>
          <w:bCs w:val="1"/>
          <w:color w:val="0071CE"/>
        </w:rPr>
        <w:t>3</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00"/>
          </w:cols>
          <w:pgMar w:left="240" w:top="459" w:right="459" w:bottom="1440" w:gutter="0" w:footer="0" w:header="0"/>
        </w:sect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1CE"/>
        </w:rPr>
        <w:t>Michael S. Perry, DVM</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71CE"/>
        </w:rPr>
        <w:t>Independent Lead Director</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Serves on:</w:t>
      </w:r>
    </w:p>
    <w:p>
      <w:pPr>
        <w:spacing w:after="0" w:line="25" w:lineRule="exact"/>
        <w:rPr>
          <w:sz w:val="20"/>
          <w:szCs w:val="20"/>
          <w:color w:val="auto"/>
        </w:rPr>
      </w:pPr>
    </w:p>
    <w:p>
      <w:pPr>
        <w:ind w:left="420" w:hanging="129"/>
        <w:spacing w:after="0"/>
        <w:tabs>
          <w:tab w:leader="none" w:pos="42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Audit Committee</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Compensation Committee (Chair)</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Nominating Committee (Chair)</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Science Committee</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Other Public Company Boards:</w:t>
      </w:r>
    </w:p>
    <w:p>
      <w:pPr>
        <w:spacing w:after="0" w:line="25" w:lineRule="exact"/>
        <w:rPr>
          <w:sz w:val="20"/>
          <w:szCs w:val="20"/>
          <w:color w:val="auto"/>
        </w:rPr>
      </w:pPr>
    </w:p>
    <w:p>
      <w:pPr>
        <w:ind w:left="420" w:hanging="129"/>
        <w:spacing w:after="0"/>
        <w:tabs>
          <w:tab w:leader="none" w:pos="420" w:val="left"/>
        </w:tabs>
        <w:numPr>
          <w:ilvl w:val="0"/>
          <w:numId w:val="11"/>
        </w:numPr>
        <w:rPr>
          <w:rFonts w:ascii="Arial" w:cs="Arial" w:eastAsia="Arial" w:hAnsi="Arial"/>
          <w:sz w:val="16"/>
          <w:szCs w:val="16"/>
          <w:color w:val="0071CE"/>
        </w:rPr>
      </w:pPr>
      <w:r>
        <w:rPr>
          <w:rFonts w:ascii="Arial" w:cs="Arial" w:eastAsia="Arial" w:hAnsi="Arial"/>
          <w:sz w:val="16"/>
          <w:szCs w:val="16"/>
          <w:color w:val="auto"/>
        </w:rPr>
        <w:t>Avita Medical, Inc.</w:t>
      </w:r>
    </w:p>
    <w:p>
      <w:pPr>
        <w:spacing w:after="0" w:line="4" w:lineRule="exact"/>
        <w:rPr>
          <w:rFonts w:ascii="Arial" w:cs="Arial" w:eastAsia="Arial" w:hAnsi="Arial"/>
          <w:sz w:val="16"/>
          <w:szCs w:val="16"/>
          <w:color w:val="0071CE"/>
        </w:rPr>
      </w:pPr>
    </w:p>
    <w:p>
      <w:pPr>
        <w:ind w:left="420" w:hanging="129"/>
        <w:spacing w:after="0"/>
        <w:tabs>
          <w:tab w:leader="none" w:pos="420" w:val="left"/>
        </w:tabs>
        <w:numPr>
          <w:ilvl w:val="0"/>
          <w:numId w:val="11"/>
        </w:numPr>
        <w:rPr>
          <w:rFonts w:ascii="Arial" w:cs="Arial" w:eastAsia="Arial" w:hAnsi="Arial"/>
          <w:sz w:val="16"/>
          <w:szCs w:val="16"/>
          <w:color w:val="0071CE"/>
        </w:rPr>
      </w:pPr>
      <w:r>
        <w:rPr>
          <w:rFonts w:ascii="Arial" w:cs="Arial" w:eastAsia="Arial" w:hAnsi="Arial"/>
          <w:sz w:val="16"/>
          <w:szCs w:val="16"/>
          <w:color w:val="auto"/>
        </w:rPr>
        <w:t>Ampliphi Bioscience Corp.</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1"/>
        </w:numPr>
        <w:rPr>
          <w:rFonts w:ascii="Arial" w:cs="Arial" w:eastAsia="Arial" w:hAnsi="Arial"/>
          <w:sz w:val="16"/>
          <w:szCs w:val="16"/>
          <w:color w:val="0071CE"/>
        </w:rPr>
      </w:pPr>
      <w:r>
        <w:rPr>
          <w:rFonts w:ascii="Arial" w:cs="Arial" w:eastAsia="Arial" w:hAnsi="Arial"/>
          <w:sz w:val="16"/>
          <w:szCs w:val="16"/>
          <w:color w:val="auto"/>
        </w:rPr>
        <w:t>Gamida Cell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Dr. Perry is currently the Chief Executive Officer and President of Avita Medical Ltd., a regenerative medicine company based in Valencia, CA (ASX: AVH and OTCQX: AVMXY) and Managing Director of Bioscience Managers, a global Venture Capital firm. From 2014 to 2017, Dr. Perry served as Chief Scientific Officer of Novartis’ Cell and Gene Therapy Unit, and from 2012 to 2014 he served as Vice President and Global Head of Stem Cell Therapy for Novartis Pharmaceuticals Corp, a US affiliate of Switzerland-based Novartis AG, a global pharmaceutical company. Dr. Perry has previously served as the Global Head of R&amp;D at Baxter Healthcare, President and CEO of Cell &amp; Gene Therapy at Novartis affiliates Systemix Inc. and Genetic Therapy, Inc., VP Regulatory Affairs at Sandoz Pharmaceuticals Corp. and Syntex Corp, Director of Regulatory Affairs at Schering-Plough Corporation, and Chairman, CEO or CMO at several early stage biotech companies. He also previously served as a Venture Partner with Bay City Capital, LLC, based in San Francisco, California. Dr. Perry holds a Doctor of Veterinary Medicine, a PhD in Biomedical Pharmacology, and a B.Sc. in Physics from the University of Guelph, Ontario, Canada. He is a graduate of the International Advanced Management Program at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131445</wp:posOffset>
            </wp:positionV>
            <wp:extent cx="4899660" cy="625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99660" cy="625475"/>
                    </a:xfrm>
                    <a:prstGeom prst="rect">
                      <a:avLst/>
                    </a:prstGeom>
                    <a:noFill/>
                  </pic:spPr>
                </pic:pic>
              </a:graphicData>
            </a:graphic>
          </wp:anchor>
        </w:drawing>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auto"/>
        </w:rPr>
        <w:t>Dr. Perry’s qualifications to serve on the board include his medical expertise and his extensive experience in preclinical and clinical drug development, including executive level leadership roles and directorships in several publicly held biotech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48895</wp:posOffset>
            </wp:positionV>
            <wp:extent cx="69894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580"/>
          </w:cols>
          <w:pgMar w:left="240" w:top="459" w:right="459" w:bottom="1440" w:gutter="0" w:footer="0" w:header="0"/>
          <w:type w:val="continuous"/>
        </w:sect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1CE"/>
        </w:rPr>
        <w:t>Christopher Anzalone, PhD</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9"/>
          <w:szCs w:val="19"/>
          <w:b w:val="1"/>
          <w:bCs w:val="1"/>
          <w:i w:val="1"/>
          <w:iCs w:val="1"/>
          <w:color w:val="0071CE"/>
        </w:rPr>
        <w:t>Chief Executive Officer, President &amp; Director</w:t>
      </w:r>
    </w:p>
    <w:p>
      <w:pPr>
        <w:sectPr>
          <w:pgSz w:w="11900" w:h="16838" w:orient="portrait"/>
          <w:cols w:equalWidth="0" w:num="1">
            <w:col w:w="11200"/>
          </w:cols>
          <w:pgMar w:left="240" w:top="459" w:right="459" w:bottom="1440" w:gutter="0" w:footer="0" w:header="0"/>
          <w:type w:val="continuous"/>
        </w:sectPr>
      </w:pPr>
    </w:p>
    <w:p>
      <w:pPr>
        <w:spacing w:after="0" w:line="11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50</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2007</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Dr. Anzalone has been President, Chief Executive Officer and Director of the Company since December 1, 2007 and has led the Company’s business and technical development since then. Prior to joining Arrowhead, Dr. Anzalone formed and served as CEO of the Benet Group LLC, a private equity firm focused on creating and building new nano-biotechnology companies from university-generated science. Prior to his tenure at the Benet Group, from 1999 until 2003, he was a partner at the Washington, DC-based private equity firm Galway Partners, LLC, where he was responsible for sourcing, structuring and building new business ventures. Dr. Anzalone holds a PhD. in Biology from UCLA and a B.A. in Government from Lawrence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129540</wp:posOffset>
            </wp:positionV>
            <wp:extent cx="4899660" cy="6254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99660" cy="625475"/>
                    </a:xfrm>
                    <a:prstGeom prst="rect">
                      <a:avLst/>
                    </a:prstGeom>
                    <a:noFill/>
                  </pic:spPr>
                </pic:pic>
              </a:graphicData>
            </a:graphic>
          </wp:anchor>
        </w:drawing>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ind w:left="120" w:right="440"/>
        <w:spacing w:after="0" w:line="253" w:lineRule="auto"/>
        <w:rPr>
          <w:sz w:val="20"/>
          <w:szCs w:val="20"/>
          <w:color w:val="auto"/>
        </w:rPr>
      </w:pPr>
      <w:r>
        <w:rPr>
          <w:rFonts w:ascii="Arial" w:cs="Arial" w:eastAsia="Arial" w:hAnsi="Arial"/>
          <w:sz w:val="16"/>
          <w:szCs w:val="16"/>
          <w:color w:val="auto"/>
        </w:rPr>
        <w:t>Dr. Anzalone’s qualifications to serve on the Board include his deep understanding of the business through his role as Chief Executive Officer; in addition, Dr. Anzalone has extensive experience in business development, biotechnology, drug development, company building and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48895</wp:posOffset>
            </wp:positionV>
            <wp:extent cx="69894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151765</wp:posOffset>
            </wp:positionV>
            <wp:extent cx="984885"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580"/>
          </w:cols>
          <w:pgMar w:left="240" w:top="459" w:right="459" w:bottom="1440" w:gutter="0" w:footer="0" w:header="0"/>
          <w:type w:val="continuous"/>
        </w:sectPr>
      </w:pP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0071CE"/>
        </w:rPr>
        <w:t>4</w:t>
      </w:r>
    </w:p>
    <w:p>
      <w:pPr>
        <w:sectPr>
          <w:pgSz w:w="11900" w:h="16838" w:orient="portrait"/>
          <w:cols w:equalWidth="0" w:num="1">
            <w:col w:w="11200"/>
          </w:cols>
          <w:pgMar w:left="240" w:top="459"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20"/>
          </w:cols>
          <w:pgMar w:left="240" w:top="459" w:right="439" w:bottom="1440" w:gutter="0" w:footer="0" w:header="0"/>
        </w:sect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0071CE"/>
        </w:rPr>
        <w:t>Marianne De Backer, PhD, MBA</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Serves on:</w:t>
      </w:r>
    </w:p>
    <w:p>
      <w:pPr>
        <w:spacing w:after="0" w:line="25" w:lineRule="exact"/>
        <w:rPr>
          <w:sz w:val="20"/>
          <w:szCs w:val="20"/>
          <w:color w:val="auto"/>
        </w:rPr>
      </w:pPr>
    </w:p>
    <w:p>
      <w:pPr>
        <w:ind w:left="440" w:hanging="149"/>
        <w:spacing w:after="0"/>
        <w:tabs>
          <w:tab w:leader="none" w:pos="44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4" w:lineRule="exact"/>
        <w:rPr>
          <w:rFonts w:ascii="Arial" w:cs="Arial" w:eastAsia="Arial" w:hAnsi="Arial"/>
          <w:sz w:val="16"/>
          <w:szCs w:val="16"/>
          <w:color w:val="0071CE"/>
        </w:rPr>
      </w:pPr>
    </w:p>
    <w:p>
      <w:pPr>
        <w:ind w:left="420" w:hanging="129"/>
        <w:spacing w:after="0"/>
        <w:tabs>
          <w:tab w:leader="none" w:pos="42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Dr. De Backer brings over 25 years of experience in healthcare, biotechnology, innovation, strategy, business and corporate development. She has served as member of the Executive Committee, Executive Vice President and Head of Strategy, Business Development and Licensing of Bayer AG (BAYRY) Pharmaceuticals division since 2019. She is also on the board of directors of Gladstone Foundation and Ecohealth Alliance, and on the advisory board of BIOCOM Bay Area and Stanford-Bayer for Digital. From 1991 through 2019 she was at Johnson &amp; Johnson where she most recently held global Business and Corporate Development roles including the position of Vice President of M&amp;A Operations and Divestitures globally for the Pharmaceuticals Group and head of Infectious Diseases &amp; Vaccines Business Development. Prior to that she led a commercial business unit in Europe as well as drug discovery research in both Europe and the United States. Dr. De Backer holds an MBA from Erasmus University Rotterdam, a Master’s degree in Molecular Biology and Biotechnology from Vrije Universiteit Brussels, and a Master’s degree in Engineering and a PhD in Biotechnology from Ghent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132080</wp:posOffset>
            </wp:positionV>
            <wp:extent cx="4899660" cy="625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99660" cy="625475"/>
                    </a:xfrm>
                    <a:prstGeom prst="rect">
                      <a:avLst/>
                    </a:prstGeom>
                    <a:noFill/>
                  </pic:spPr>
                </pic:pic>
              </a:graphicData>
            </a:graphic>
          </wp:anchor>
        </w:drawing>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jc w:val="both"/>
        <w:ind w:left="120" w:right="860"/>
        <w:spacing w:after="0" w:line="253" w:lineRule="auto"/>
        <w:rPr>
          <w:sz w:val="20"/>
          <w:szCs w:val="20"/>
          <w:color w:val="auto"/>
        </w:rPr>
      </w:pPr>
      <w:r>
        <w:rPr>
          <w:rFonts w:ascii="Arial" w:cs="Arial" w:eastAsia="Arial" w:hAnsi="Arial"/>
          <w:sz w:val="16"/>
          <w:szCs w:val="16"/>
          <w:color w:val="auto"/>
        </w:rPr>
        <w:t>Dr. De Backer’s qualifications to serve on the Board include her extensive background in the biopharmaceutical industry, her scientific, drug development, and pharmaceutical transaction experience, as well as her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48895</wp:posOffset>
            </wp:positionV>
            <wp:extent cx="69894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200"/>
            <w:col w:w="7600"/>
          </w:cols>
          <w:pgMar w:left="240" w:top="459" w:right="439" w:bottom="1440" w:gutter="0" w:footer="0" w:header="0"/>
          <w:type w:val="continuous"/>
        </w:sect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1CE"/>
        </w:rPr>
        <w:t>Mauro Ferrari, PhD</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Serves on:</w:t>
      </w:r>
    </w:p>
    <w:p>
      <w:pPr>
        <w:spacing w:after="0" w:line="25" w:lineRule="exact"/>
        <w:rPr>
          <w:sz w:val="20"/>
          <w:szCs w:val="20"/>
          <w:color w:val="auto"/>
        </w:rPr>
      </w:pPr>
    </w:p>
    <w:p>
      <w:pPr>
        <w:ind w:left="440" w:hanging="149"/>
        <w:spacing w:after="0"/>
        <w:tabs>
          <w:tab w:leader="none" w:pos="44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Science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5"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Dr. Ferrari currently serves as Affiliate professor of Pharmaceutics at the University of Washington in Seattle, WA. He also currently serves as President of the European Research Council. From 2010 to 2019, Dr. Ferrari was President and CEO of The Houston Methodist Hospital Research Institute (TMHRI), Executive Vice President of Houston Methodist Hospital and Senior Associate Dean of Weill Cornell Medical College in New York. Dr. Ferrari is an internationally recognized expert in nanomedicine and biomedical nanotechnology and Fellow, US National Academy of Inventors. Prior to assuming leadership of TMHRI, Dr. Ferrari was Professor and Chairman of The Department of NanoMedicine and Biomedical Engineering at The University of Texas Health Science Center at Houston, Professor of Experimental Therapeutics at the MD Anderson Cancer Center, Adjunct Professor of Bioengineering at Rice University and Adjunct Professor of Biomedical Engineering at the University of Texas in Austin. His previous academic appointments include tenured professorships at UC Berkeley and The Ohio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132080</wp:posOffset>
            </wp:positionV>
            <wp:extent cx="4899660" cy="984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99660" cy="984885"/>
                    </a:xfrm>
                    <a:prstGeom prst="rect">
                      <a:avLst/>
                    </a:prstGeom>
                    <a:noFill/>
                  </pic:spPr>
                </pic:pic>
              </a:graphicData>
            </a:graphic>
          </wp:anchor>
        </w:drawing>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Dr. Ferrari’s qualifications to serve on the Board include his extensive training and experience in the fields of nanotechnology, biotechnology and biomedical applications. Dr. Ferrari has significant technical training, several academic appointments, over 300 published articles, over 30 issued patents and is the recipient of most prestigious academic awards in nanomedicine and drug delivery technology. Additionally, Dr. Ferrari has extensive experience in developmental stage organizations having founded several startup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50800</wp:posOffset>
            </wp:positionV>
            <wp:extent cx="69894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153670</wp:posOffset>
            </wp:positionV>
            <wp:extent cx="984885"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600"/>
          </w:cols>
          <w:pgMar w:left="240" w:top="459" w:right="439" w:bottom="1440" w:gutter="0" w:footer="0" w:header="0"/>
          <w:type w:val="continuous"/>
        </w:sectPr>
      </w:pPr>
    </w:p>
    <w:p>
      <w:pPr>
        <w:spacing w:after="0" w:line="73" w:lineRule="exact"/>
        <w:rPr>
          <w:sz w:val="20"/>
          <w:szCs w:val="20"/>
          <w:color w:val="auto"/>
        </w:rPr>
      </w:pPr>
    </w:p>
    <w:p>
      <w:pPr>
        <w:ind w:left="11060"/>
        <w:spacing w:after="0"/>
        <w:rPr>
          <w:sz w:val="20"/>
          <w:szCs w:val="20"/>
          <w:color w:val="auto"/>
        </w:rPr>
      </w:pPr>
      <w:r>
        <w:rPr>
          <w:rFonts w:ascii="Arial" w:cs="Arial" w:eastAsia="Arial" w:hAnsi="Arial"/>
          <w:sz w:val="17"/>
          <w:szCs w:val="17"/>
          <w:b w:val="1"/>
          <w:bCs w:val="1"/>
          <w:color w:val="0071CE"/>
        </w:rPr>
        <w:t>5</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00"/>
          </w:cols>
          <w:pgMar w:left="240" w:top="459" w:right="459" w:bottom="1440" w:gutter="0" w:footer="0" w:header="0"/>
        </w:sect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1CE"/>
        </w:rPr>
        <w:t>William Waddill</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Serves on:</w:t>
      </w:r>
    </w:p>
    <w:p>
      <w:pPr>
        <w:spacing w:after="0" w:line="25" w:lineRule="exact"/>
        <w:rPr>
          <w:sz w:val="20"/>
          <w:szCs w:val="20"/>
          <w:color w:val="auto"/>
        </w:rPr>
      </w:pPr>
    </w:p>
    <w:p>
      <w:pPr>
        <w:ind w:left="420" w:hanging="129"/>
        <w:spacing w:after="0"/>
        <w:tabs>
          <w:tab w:leader="none" w:pos="42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Audit Committee (Chair)</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Other Public Company Boards:</w:t>
      </w:r>
    </w:p>
    <w:p>
      <w:pPr>
        <w:spacing w:after="0" w:line="25" w:lineRule="exact"/>
        <w:rPr>
          <w:sz w:val="20"/>
          <w:szCs w:val="20"/>
          <w:color w:val="auto"/>
        </w:rPr>
      </w:pPr>
    </w:p>
    <w:p>
      <w:pPr>
        <w:ind w:left="440" w:hanging="149"/>
        <w:spacing w:after="0"/>
        <w:tabs>
          <w:tab w:leader="none" w:pos="44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Protagonist Therapeutics,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Mr. Waddill began his career 30 years ago in commercial banking and public accounting and has been in the biotechnology industry for over 25 years. Since 2016, he has served on the board of Protagonist Therapeutics, a Newark, CA clinical stage biopharmaceutical company and most recently was Senior Vice President and CFO of Calithera Bioscience, a clinical stage pharmaceutical company from 2014 to 2016. Prior to Calithera, Mr. Waddill was Senior Vice President and CFO at OncoMed Pharmaceuticals from 2007 to 2014. Mr. Waddill served as the Senior Vice President and CFO of Ilypsa, Inc., a biotechnology company that was acquired in 2007 by Amgen, Inc. Before joining Ilypsa, he served as the founder and principal at Square One Finance, a financial consulting business, and Mr. Waddill served as Senior Director of Finance and Administration at Exelixis, Inc., a biotechnology company. Mr. Waddill received a BS in accounting from the University of Illinois, Chicago, and certification as a public accountant (inactive) after working at PriceWaterhouseCoopers and Deloitte in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132080</wp:posOffset>
            </wp:positionV>
            <wp:extent cx="4899660" cy="6254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99660" cy="625475"/>
                    </a:xfrm>
                    <a:prstGeom prst="rect">
                      <a:avLst/>
                    </a:prstGeom>
                    <a:noFill/>
                  </pic:spPr>
                </pic:pic>
              </a:graphicData>
            </a:graphic>
          </wp:anchor>
        </w:drawing>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Qualifications</w:t>
      </w:r>
    </w:p>
    <w:p>
      <w:pPr>
        <w:spacing w:after="0" w:line="25"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Mr. Waddill’s qualifications to serve on the Board include his extensive background in the biopharma industry, his financial expertise, executive leadership roles and experience as a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48895</wp:posOffset>
            </wp:positionV>
            <wp:extent cx="69894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151765</wp:posOffset>
            </wp:positionV>
            <wp:extent cx="984885"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580"/>
          </w:cols>
          <w:pgMar w:left="240" w:top="459" w:right="459" w:bottom="1440" w:gutter="0" w:footer="0" w:header="0"/>
          <w:type w:val="continuous"/>
        </w:sectPr>
      </w:pP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0071CE"/>
        </w:rPr>
        <w:t>6</w:t>
      </w:r>
    </w:p>
    <w:p>
      <w:pPr>
        <w:sectPr>
          <w:pgSz w:w="11900" w:h="16838" w:orient="portrait"/>
          <w:cols w:equalWidth="0" w:num="1">
            <w:col w:w="11200"/>
          </w:cols>
          <w:pgMar w:left="240" w:top="459" w:right="4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Board Composition and Nominating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6" w:lineRule="exact"/>
        <w:rPr>
          <w:sz w:val="20"/>
          <w:szCs w:val="20"/>
          <w:color w:val="auto"/>
        </w:rPr>
      </w:pPr>
    </w:p>
    <w:p>
      <w:pPr>
        <w:ind w:left="220" w:right="40"/>
        <w:spacing w:after="0" w:line="253" w:lineRule="auto"/>
        <w:rPr>
          <w:sz w:val="20"/>
          <w:szCs w:val="20"/>
          <w:color w:val="auto"/>
        </w:rPr>
      </w:pPr>
      <w:r>
        <w:rPr>
          <w:rFonts w:ascii="Arial" w:cs="Arial" w:eastAsia="Arial" w:hAnsi="Arial"/>
          <w:sz w:val="16"/>
          <w:szCs w:val="16"/>
          <w:color w:val="auto"/>
        </w:rPr>
        <w:t>The Nominating Committee of the Board annually considers the size, composition and needs of the Board and, as appropriate, recommends the nominees for directors to the Board for approval. The Nominating Committee considers and evaluates suggestions from many sources regarding possible candidates for directors. Below are general criteria for the evaluation of current and proposed directors:</w:t>
      </w:r>
    </w:p>
    <w:p>
      <w:pPr>
        <w:spacing w:after="0" w:line="106" w:lineRule="exact"/>
        <w:rPr>
          <w:sz w:val="20"/>
          <w:szCs w:val="20"/>
          <w:color w:val="auto"/>
        </w:rPr>
      </w:pPr>
    </w:p>
    <w:p>
      <w:pPr>
        <w:ind w:left="540" w:hanging="222"/>
        <w:spacing w:after="0"/>
        <w:tabs>
          <w:tab w:leader="none" w:pos="54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The highest ethical character and shared values with our Code of Corporate Conduct</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Reputation, both personal and professional, consistent with our image and reputation</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Accomplishment within candidate’s field, with superior credentials and recognition</w:t>
      </w:r>
    </w:p>
    <w:p>
      <w:pPr>
        <w:spacing w:after="0" w:line="106" w:lineRule="exact"/>
        <w:rPr>
          <w:rFonts w:ascii="Arial" w:cs="Arial" w:eastAsia="Arial" w:hAnsi="Arial"/>
          <w:sz w:val="16"/>
          <w:szCs w:val="16"/>
          <w:color w:val="0071CE"/>
        </w:rPr>
      </w:pPr>
    </w:p>
    <w:p>
      <w:pPr>
        <w:ind w:left="540" w:right="280" w:hanging="222"/>
        <w:spacing w:after="0" w:line="286" w:lineRule="auto"/>
        <w:tabs>
          <w:tab w:leader="none" w:pos="54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Relevant expertise and experience and the ability to offer advice and guidance to the Chief Executive Officer (“</w:t>
      </w:r>
      <w:r>
        <w:rPr>
          <w:rFonts w:ascii="Arial" w:cs="Arial" w:eastAsia="Arial" w:hAnsi="Arial"/>
          <w:sz w:val="16"/>
          <w:szCs w:val="16"/>
          <w:b w:val="1"/>
          <w:bCs w:val="1"/>
          <w:color w:val="auto"/>
        </w:rPr>
        <w:t>CEO</w:t>
      </w:r>
      <w:r>
        <w:rPr>
          <w:rFonts w:ascii="Arial" w:cs="Arial" w:eastAsia="Arial" w:hAnsi="Arial"/>
          <w:sz w:val="16"/>
          <w:szCs w:val="16"/>
          <w:color w:val="auto"/>
        </w:rPr>
        <w:t>”) based on that expertise and experience</w:t>
      </w:r>
    </w:p>
    <w:p>
      <w:pPr>
        <w:spacing w:after="0" w:line="80" w:lineRule="exact"/>
        <w:rPr>
          <w:rFonts w:ascii="Arial" w:cs="Arial" w:eastAsia="Arial" w:hAnsi="Arial"/>
          <w:sz w:val="16"/>
          <w:szCs w:val="16"/>
          <w:color w:val="0071CE"/>
        </w:rPr>
      </w:pPr>
    </w:p>
    <w:p>
      <w:pPr>
        <w:ind w:left="540" w:right="380" w:hanging="222"/>
        <w:spacing w:after="0" w:line="260" w:lineRule="auto"/>
        <w:tabs>
          <w:tab w:leader="none" w:pos="54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Independence, without the appearance of any conflict in serving as a director, and independence of any particular constituency with the ability to represent all stockholders</w:t>
      </w:r>
    </w:p>
    <w:p>
      <w:pPr>
        <w:spacing w:after="0" w:line="100" w:lineRule="exact"/>
        <w:rPr>
          <w:rFonts w:ascii="Arial" w:cs="Arial" w:eastAsia="Arial" w:hAnsi="Arial"/>
          <w:sz w:val="16"/>
          <w:szCs w:val="16"/>
          <w:color w:val="0071CE"/>
        </w:rPr>
      </w:pPr>
    </w:p>
    <w:p>
      <w:pPr>
        <w:ind w:left="540" w:hanging="222"/>
        <w:spacing w:after="0"/>
        <w:tabs>
          <w:tab w:leader="none" w:pos="54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Ability to exercise sound business judgment; and</w:t>
      </w:r>
    </w:p>
    <w:p>
      <w:pPr>
        <w:spacing w:after="0" w:line="126" w:lineRule="exact"/>
        <w:rPr>
          <w:rFonts w:ascii="Arial" w:cs="Arial" w:eastAsia="Arial" w:hAnsi="Arial"/>
          <w:sz w:val="16"/>
          <w:szCs w:val="16"/>
          <w:color w:val="0071CE"/>
        </w:rPr>
      </w:pPr>
    </w:p>
    <w:p>
      <w:pPr>
        <w:ind w:left="540" w:right="60" w:hanging="222"/>
        <w:spacing w:after="0" w:line="260" w:lineRule="auto"/>
        <w:tabs>
          <w:tab w:leader="none" w:pos="54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Diversity, reflecting differences in skills, regional and industry experience, backgrounds, ages, and other unique characteristics, such as race, gender and ethnicity</w:t>
      </w:r>
    </w:p>
    <w:p>
      <w:pPr>
        <w:spacing w:after="0" w:line="195" w:lineRule="exact"/>
        <w:rPr>
          <w:sz w:val="20"/>
          <w:szCs w:val="20"/>
          <w:color w:val="auto"/>
        </w:rPr>
      </w:pPr>
    </w:p>
    <w:p>
      <w:pPr>
        <w:ind w:left="220" w:right="60"/>
        <w:spacing w:after="0" w:line="260" w:lineRule="auto"/>
        <w:rPr>
          <w:sz w:val="20"/>
          <w:szCs w:val="20"/>
          <w:color w:val="auto"/>
        </w:rPr>
      </w:pPr>
      <w:r>
        <w:rPr>
          <w:rFonts w:ascii="Arial" w:cs="Arial" w:eastAsia="Arial" w:hAnsi="Arial"/>
          <w:sz w:val="16"/>
          <w:szCs w:val="16"/>
          <w:color w:val="auto"/>
        </w:rPr>
        <w:t>Additionally, the Nominating Committee considers the mix of skills and experience among current and prospective directors with a goal of assembling a Board with complementary skills for the benefit of the Company. Listed below are the relevant skills and attributes present in each current Board member.</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317"/>
        </w:trPr>
        <w:tc>
          <w:tcPr>
            <w:tcW w:w="3340" w:type="dxa"/>
            <w:vAlign w:val="bottom"/>
            <w:tcBorders>
              <w:bottom w:val="single" w:sz="8" w:color="0071CE"/>
            </w:tcBorders>
            <w:shd w:val="clear" w:color="auto" w:fill="0071CE"/>
          </w:tcPr>
          <w:p>
            <w:pPr>
              <w:ind w:left="80"/>
              <w:spacing w:after="0"/>
              <w:rPr>
                <w:sz w:val="20"/>
                <w:szCs w:val="20"/>
                <w:color w:val="auto"/>
              </w:rPr>
            </w:pPr>
            <w:r>
              <w:rPr>
                <w:rFonts w:ascii="Arial" w:cs="Arial" w:eastAsia="Arial" w:hAnsi="Arial"/>
                <w:sz w:val="14"/>
                <w:szCs w:val="14"/>
                <w:b w:val="1"/>
                <w:bCs w:val="1"/>
                <w:color w:val="FFFFFF"/>
              </w:rPr>
              <w:t>Expertise</w:t>
            </w:r>
          </w:p>
        </w:tc>
        <w:tc>
          <w:tcPr>
            <w:tcW w:w="5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Given</w:t>
            </w:r>
          </w:p>
        </w:tc>
        <w:tc>
          <w:tcPr>
            <w:tcW w:w="4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Perry</w:t>
            </w:r>
          </w:p>
        </w:tc>
        <w:tc>
          <w:tcPr>
            <w:tcW w:w="7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Anzalone</w:t>
            </w:r>
          </w:p>
        </w:tc>
        <w:tc>
          <w:tcPr>
            <w:tcW w:w="8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De Backer</w:t>
            </w:r>
          </w:p>
        </w:tc>
        <w:tc>
          <w:tcPr>
            <w:tcW w:w="5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Ferrari</w:t>
            </w:r>
          </w:p>
        </w:tc>
        <w:tc>
          <w:tcPr>
            <w:tcW w:w="60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Waddill</w:t>
            </w:r>
          </w:p>
        </w:tc>
        <w:tc>
          <w:tcPr>
            <w:tcW w:w="2800" w:type="dxa"/>
            <w:vAlign w:val="bottom"/>
          </w:tcPr>
          <w:p>
            <w:pPr>
              <w:ind w:left="1460"/>
              <w:spacing w:after="0"/>
              <w:rPr>
                <w:sz w:val="20"/>
                <w:szCs w:val="20"/>
                <w:color w:val="auto"/>
              </w:rPr>
            </w:pPr>
            <w:r>
              <w:rPr>
                <w:rFonts w:ascii="Arial" w:cs="Arial" w:eastAsia="Arial" w:hAnsi="Arial"/>
                <w:sz w:val="18"/>
                <w:szCs w:val="18"/>
                <w:b w:val="1"/>
                <w:bCs w:val="1"/>
                <w:color w:val="0071CE"/>
                <w:w w:val="98"/>
              </w:rPr>
              <w:t>Director Tenure</w:t>
            </w:r>
          </w:p>
        </w:tc>
        <w:tc>
          <w:tcPr>
            <w:tcW w:w="0" w:type="dxa"/>
            <w:vAlign w:val="bottom"/>
          </w:tcPr>
          <w:p>
            <w:pPr>
              <w:spacing w:after="0"/>
              <w:rPr>
                <w:sz w:val="1"/>
                <w:szCs w:val="1"/>
                <w:color w:val="auto"/>
              </w:rPr>
            </w:pPr>
          </w:p>
        </w:tc>
      </w:tr>
      <w:tr>
        <w:trPr>
          <w:trHeight w:val="181"/>
        </w:trPr>
        <w:tc>
          <w:tcPr>
            <w:tcW w:w="334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Biopharma Research</w:t>
            </w:r>
          </w:p>
        </w:tc>
        <w:tc>
          <w:tcPr>
            <w:tcW w:w="5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5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600" w:type="dxa"/>
            <w:vAlign w:val="bottom"/>
            <w:shd w:val="clear" w:color="auto" w:fill="E5E5E5"/>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shd w:val="clear" w:color="auto" w:fill="E5E5E5"/>
          </w:tcPr>
          <w:p>
            <w:pPr>
              <w:ind w:left="60"/>
              <w:spacing w:after="0"/>
              <w:rPr>
                <w:sz w:val="20"/>
                <w:szCs w:val="20"/>
                <w:color w:val="auto"/>
              </w:rPr>
            </w:pPr>
            <w:r>
              <w:rPr>
                <w:rFonts w:ascii="Arial" w:cs="Arial" w:eastAsia="Arial" w:hAnsi="Arial"/>
                <w:sz w:val="15"/>
                <w:szCs w:val="15"/>
                <w:b w:val="1"/>
                <w:bCs w:val="1"/>
                <w:color w:val="auto"/>
              </w:rPr>
              <w:t>&amp; Development</w:t>
            </w:r>
          </w:p>
        </w:tc>
        <w:tc>
          <w:tcPr>
            <w:tcW w:w="560" w:type="dxa"/>
            <w:vAlign w:val="bottom"/>
            <w:vMerge w:val="continue"/>
            <w:shd w:val="clear" w:color="auto" w:fill="E5E5E5"/>
          </w:tcPr>
          <w:p>
            <w:pPr>
              <w:spacing w:after="0"/>
              <w:rPr>
                <w:sz w:val="10"/>
                <w:szCs w:val="10"/>
                <w:color w:val="auto"/>
              </w:rPr>
            </w:pPr>
          </w:p>
        </w:tc>
        <w:tc>
          <w:tcPr>
            <w:tcW w:w="480" w:type="dxa"/>
            <w:vAlign w:val="bottom"/>
            <w:vMerge w:val="continue"/>
            <w:shd w:val="clear" w:color="auto" w:fill="E5E5E5"/>
          </w:tcPr>
          <w:p>
            <w:pPr>
              <w:spacing w:after="0"/>
              <w:rPr>
                <w:sz w:val="10"/>
                <w:szCs w:val="10"/>
                <w:color w:val="auto"/>
              </w:rPr>
            </w:pPr>
          </w:p>
        </w:tc>
        <w:tc>
          <w:tcPr>
            <w:tcW w:w="760" w:type="dxa"/>
            <w:vAlign w:val="bottom"/>
            <w:vMerge w:val="continue"/>
            <w:shd w:val="clear" w:color="auto" w:fill="E5E5E5"/>
          </w:tcPr>
          <w:p>
            <w:pPr>
              <w:spacing w:after="0"/>
              <w:rPr>
                <w:sz w:val="10"/>
                <w:szCs w:val="10"/>
                <w:color w:val="auto"/>
              </w:rPr>
            </w:pPr>
          </w:p>
        </w:tc>
        <w:tc>
          <w:tcPr>
            <w:tcW w:w="820" w:type="dxa"/>
            <w:vAlign w:val="bottom"/>
            <w:vMerge w:val="continue"/>
            <w:shd w:val="clear" w:color="auto" w:fill="E5E5E5"/>
          </w:tcPr>
          <w:p>
            <w:pPr>
              <w:spacing w:after="0"/>
              <w:rPr>
                <w:sz w:val="10"/>
                <w:szCs w:val="10"/>
                <w:color w:val="auto"/>
              </w:rPr>
            </w:pPr>
          </w:p>
        </w:tc>
        <w:tc>
          <w:tcPr>
            <w:tcW w:w="580" w:type="dxa"/>
            <w:vAlign w:val="bottom"/>
            <w:vMerge w:val="continue"/>
            <w:shd w:val="clear" w:color="auto" w:fill="E5E5E5"/>
          </w:tcPr>
          <w:p>
            <w:pPr>
              <w:spacing w:after="0"/>
              <w:rPr>
                <w:sz w:val="10"/>
                <w:szCs w:val="10"/>
                <w:color w:val="auto"/>
              </w:rPr>
            </w:pPr>
          </w:p>
        </w:tc>
        <w:tc>
          <w:tcPr>
            <w:tcW w:w="600" w:type="dxa"/>
            <w:vAlign w:val="bottom"/>
            <w:shd w:val="clear" w:color="auto" w:fill="E5E5E5"/>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340" w:type="dxa"/>
            <w:vAlign w:val="bottom"/>
            <w:tcBorders>
              <w:bottom w:val="single" w:sz="8" w:color="E5E5E5"/>
            </w:tcBorders>
            <w:vMerge w:val="continue"/>
            <w:shd w:val="clear" w:color="auto" w:fill="E5E5E5"/>
          </w:tcPr>
          <w:p>
            <w:pPr>
              <w:spacing w:after="0"/>
              <w:rPr>
                <w:sz w:val="8"/>
                <w:szCs w:val="8"/>
                <w:color w:val="auto"/>
              </w:rPr>
            </w:pPr>
          </w:p>
        </w:tc>
        <w:tc>
          <w:tcPr>
            <w:tcW w:w="560" w:type="dxa"/>
            <w:vAlign w:val="bottom"/>
            <w:tcBorders>
              <w:bottom w:val="single" w:sz="8" w:color="E5E5E5"/>
            </w:tcBorders>
            <w:shd w:val="clear" w:color="auto" w:fill="E5E5E5"/>
          </w:tcPr>
          <w:p>
            <w:pPr>
              <w:spacing w:after="0"/>
              <w:rPr>
                <w:sz w:val="8"/>
                <w:szCs w:val="8"/>
                <w:color w:val="auto"/>
              </w:rPr>
            </w:pPr>
          </w:p>
        </w:tc>
        <w:tc>
          <w:tcPr>
            <w:tcW w:w="480" w:type="dxa"/>
            <w:vAlign w:val="bottom"/>
            <w:tcBorders>
              <w:bottom w:val="single" w:sz="8" w:color="E5E5E5"/>
            </w:tcBorders>
            <w:shd w:val="clear" w:color="auto" w:fill="E5E5E5"/>
          </w:tcPr>
          <w:p>
            <w:pPr>
              <w:spacing w:after="0"/>
              <w:rPr>
                <w:sz w:val="8"/>
                <w:szCs w:val="8"/>
                <w:color w:val="auto"/>
              </w:rPr>
            </w:pPr>
          </w:p>
        </w:tc>
        <w:tc>
          <w:tcPr>
            <w:tcW w:w="760" w:type="dxa"/>
            <w:vAlign w:val="bottom"/>
            <w:tcBorders>
              <w:bottom w:val="single" w:sz="8" w:color="E5E5E5"/>
            </w:tcBorders>
            <w:shd w:val="clear" w:color="auto" w:fill="E5E5E5"/>
          </w:tcPr>
          <w:p>
            <w:pPr>
              <w:spacing w:after="0"/>
              <w:rPr>
                <w:sz w:val="8"/>
                <w:szCs w:val="8"/>
                <w:color w:val="auto"/>
              </w:rPr>
            </w:pPr>
          </w:p>
        </w:tc>
        <w:tc>
          <w:tcPr>
            <w:tcW w:w="820" w:type="dxa"/>
            <w:vAlign w:val="bottom"/>
            <w:tcBorders>
              <w:bottom w:val="single" w:sz="8" w:color="E5E5E5"/>
            </w:tcBorders>
            <w:shd w:val="clear" w:color="auto" w:fill="E5E5E5"/>
          </w:tcPr>
          <w:p>
            <w:pPr>
              <w:spacing w:after="0"/>
              <w:rPr>
                <w:sz w:val="8"/>
                <w:szCs w:val="8"/>
                <w:color w:val="auto"/>
              </w:rPr>
            </w:pPr>
          </w:p>
        </w:tc>
        <w:tc>
          <w:tcPr>
            <w:tcW w:w="580" w:type="dxa"/>
            <w:vAlign w:val="bottom"/>
            <w:tcBorders>
              <w:bottom w:val="single" w:sz="8" w:color="E5E5E5"/>
            </w:tcBorders>
            <w:shd w:val="clear" w:color="auto" w:fill="E5E5E5"/>
          </w:tcPr>
          <w:p>
            <w:pPr>
              <w:spacing w:after="0"/>
              <w:rPr>
                <w:sz w:val="8"/>
                <w:szCs w:val="8"/>
                <w:color w:val="auto"/>
              </w:rPr>
            </w:pPr>
          </w:p>
        </w:tc>
        <w:tc>
          <w:tcPr>
            <w:tcW w:w="600" w:type="dxa"/>
            <w:vAlign w:val="bottom"/>
            <w:tcBorders>
              <w:bottom w:val="single" w:sz="8" w:color="E5E5E5"/>
            </w:tcBorders>
            <w:shd w:val="clear" w:color="auto" w:fill="E5E5E5"/>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3340" w:type="dxa"/>
            <w:vAlign w:val="bottom"/>
          </w:tcPr>
          <w:p>
            <w:pPr>
              <w:ind w:left="60"/>
              <w:spacing w:after="0"/>
              <w:rPr>
                <w:sz w:val="20"/>
                <w:szCs w:val="20"/>
                <w:color w:val="auto"/>
              </w:rPr>
            </w:pPr>
            <w:r>
              <w:rPr>
                <w:rFonts w:ascii="Arial" w:cs="Arial" w:eastAsia="Arial" w:hAnsi="Arial"/>
                <w:sz w:val="15"/>
                <w:szCs w:val="15"/>
                <w:b w:val="1"/>
                <w:bCs w:val="1"/>
                <w:color w:val="auto"/>
              </w:rPr>
              <w:t>Healthcare</w:t>
            </w:r>
          </w:p>
        </w:tc>
        <w:tc>
          <w:tcPr>
            <w:tcW w:w="5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5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6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2"/>
        </w:trPr>
        <w:tc>
          <w:tcPr>
            <w:tcW w:w="334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Drug Development</w:t>
            </w:r>
          </w:p>
        </w:tc>
        <w:tc>
          <w:tcPr>
            <w:tcW w:w="5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5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600" w:type="dxa"/>
            <w:vAlign w:val="bottom"/>
            <w:shd w:val="clear" w:color="auto" w:fill="E5E5E5"/>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340" w:type="dxa"/>
            <w:vAlign w:val="bottom"/>
            <w:shd w:val="clear" w:color="auto" w:fill="E5E5E5"/>
          </w:tcPr>
          <w:p>
            <w:pPr>
              <w:spacing w:after="0"/>
              <w:rPr>
                <w:sz w:val="8"/>
                <w:szCs w:val="8"/>
                <w:color w:val="auto"/>
              </w:rPr>
            </w:pPr>
          </w:p>
        </w:tc>
        <w:tc>
          <w:tcPr>
            <w:tcW w:w="560" w:type="dxa"/>
            <w:vAlign w:val="bottom"/>
            <w:shd w:val="clear" w:color="auto" w:fill="E5E5E5"/>
          </w:tcPr>
          <w:p>
            <w:pPr>
              <w:spacing w:after="0"/>
              <w:rPr>
                <w:sz w:val="8"/>
                <w:szCs w:val="8"/>
                <w:color w:val="auto"/>
              </w:rPr>
            </w:pPr>
          </w:p>
        </w:tc>
        <w:tc>
          <w:tcPr>
            <w:tcW w:w="480" w:type="dxa"/>
            <w:vAlign w:val="bottom"/>
            <w:shd w:val="clear" w:color="auto" w:fill="E5E5E5"/>
          </w:tcPr>
          <w:p>
            <w:pPr>
              <w:spacing w:after="0"/>
              <w:rPr>
                <w:sz w:val="8"/>
                <w:szCs w:val="8"/>
                <w:color w:val="auto"/>
              </w:rPr>
            </w:pPr>
          </w:p>
        </w:tc>
        <w:tc>
          <w:tcPr>
            <w:tcW w:w="760" w:type="dxa"/>
            <w:vAlign w:val="bottom"/>
            <w:shd w:val="clear" w:color="auto" w:fill="E5E5E5"/>
          </w:tcPr>
          <w:p>
            <w:pPr>
              <w:spacing w:after="0"/>
              <w:rPr>
                <w:sz w:val="8"/>
                <w:szCs w:val="8"/>
                <w:color w:val="auto"/>
              </w:rPr>
            </w:pPr>
          </w:p>
        </w:tc>
        <w:tc>
          <w:tcPr>
            <w:tcW w:w="82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600" w:type="dxa"/>
            <w:vAlign w:val="bottom"/>
            <w:shd w:val="clear" w:color="auto" w:fill="E5E5E5"/>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3340" w:type="dxa"/>
            <w:vAlign w:val="bottom"/>
          </w:tcPr>
          <w:p>
            <w:pPr>
              <w:ind w:left="60"/>
              <w:spacing w:after="0"/>
              <w:rPr>
                <w:sz w:val="20"/>
                <w:szCs w:val="20"/>
                <w:color w:val="auto"/>
              </w:rPr>
            </w:pPr>
            <w:r>
              <w:rPr>
                <w:rFonts w:ascii="Arial" w:cs="Arial" w:eastAsia="Arial" w:hAnsi="Arial"/>
                <w:sz w:val="15"/>
                <w:szCs w:val="15"/>
                <w:b w:val="1"/>
                <w:bCs w:val="1"/>
                <w:color w:val="auto"/>
              </w:rPr>
              <w:t>Executive Leadership</w:t>
            </w:r>
          </w:p>
        </w:tc>
        <w:tc>
          <w:tcPr>
            <w:tcW w:w="5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5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60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334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Public Company</w:t>
            </w:r>
          </w:p>
        </w:tc>
        <w:tc>
          <w:tcPr>
            <w:tcW w:w="5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shd w:val="clear" w:color="auto" w:fill="E5E5E5"/>
          </w:tcPr>
          <w:p>
            <w:pPr>
              <w:spacing w:after="0"/>
              <w:rPr>
                <w:sz w:val="22"/>
                <w:szCs w:val="22"/>
                <w:color w:val="auto"/>
              </w:rPr>
            </w:pPr>
          </w:p>
        </w:tc>
        <w:tc>
          <w:tcPr>
            <w:tcW w:w="580" w:type="dxa"/>
            <w:vAlign w:val="bottom"/>
            <w:shd w:val="clear" w:color="auto" w:fill="E5E5E5"/>
          </w:tcPr>
          <w:p>
            <w:pPr>
              <w:spacing w:after="0"/>
              <w:rPr>
                <w:sz w:val="22"/>
                <w:szCs w:val="22"/>
                <w:color w:val="auto"/>
              </w:rPr>
            </w:pPr>
          </w:p>
        </w:tc>
        <w:tc>
          <w:tcPr>
            <w:tcW w:w="60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Governance</w:t>
            </w:r>
          </w:p>
        </w:tc>
        <w:tc>
          <w:tcPr>
            <w:tcW w:w="56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40" w:type="dxa"/>
            <w:vAlign w:val="bottom"/>
            <w:shd w:val="clear" w:color="auto" w:fill="E5E5E5"/>
          </w:tcPr>
          <w:p>
            <w:pPr>
              <w:spacing w:after="0"/>
              <w:rPr>
                <w:sz w:val="11"/>
                <w:szCs w:val="11"/>
                <w:color w:val="auto"/>
              </w:rPr>
            </w:pPr>
          </w:p>
        </w:tc>
        <w:tc>
          <w:tcPr>
            <w:tcW w:w="560" w:type="dxa"/>
            <w:vAlign w:val="bottom"/>
            <w:shd w:val="clear" w:color="auto" w:fill="E5E5E5"/>
          </w:tcPr>
          <w:p>
            <w:pPr>
              <w:spacing w:after="0"/>
              <w:rPr>
                <w:sz w:val="11"/>
                <w:szCs w:val="11"/>
                <w:color w:val="auto"/>
              </w:rPr>
            </w:pPr>
          </w:p>
        </w:tc>
        <w:tc>
          <w:tcPr>
            <w:tcW w:w="48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820" w:type="dxa"/>
            <w:vAlign w:val="bottom"/>
            <w:shd w:val="clear" w:color="auto" w:fill="E5E5E5"/>
          </w:tcPr>
          <w:p>
            <w:pPr>
              <w:spacing w:after="0"/>
              <w:rPr>
                <w:sz w:val="11"/>
                <w:szCs w:val="11"/>
                <w:color w:val="auto"/>
              </w:rPr>
            </w:pPr>
          </w:p>
        </w:tc>
        <w:tc>
          <w:tcPr>
            <w:tcW w:w="58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3340" w:type="dxa"/>
            <w:vAlign w:val="bottom"/>
          </w:tcPr>
          <w:p>
            <w:pPr>
              <w:ind w:left="60"/>
              <w:spacing w:after="0"/>
              <w:rPr>
                <w:sz w:val="20"/>
                <w:szCs w:val="20"/>
                <w:color w:val="auto"/>
              </w:rPr>
            </w:pPr>
            <w:r>
              <w:rPr>
                <w:rFonts w:ascii="Arial" w:cs="Arial" w:eastAsia="Arial" w:hAnsi="Arial"/>
                <w:sz w:val="15"/>
                <w:szCs w:val="15"/>
                <w:b w:val="1"/>
                <w:bCs w:val="1"/>
                <w:color w:val="auto"/>
              </w:rPr>
              <w:t>Accounting/Audit</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2"/>
        </w:trPr>
        <w:tc>
          <w:tcPr>
            <w:tcW w:w="334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Venture Capital</w:t>
            </w:r>
          </w:p>
        </w:tc>
        <w:tc>
          <w:tcPr>
            <w:tcW w:w="5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4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580" w:type="dxa"/>
            <w:vAlign w:val="bottom"/>
            <w:shd w:val="clear" w:color="auto" w:fill="E5E5E5"/>
          </w:tcPr>
          <w:p>
            <w:pPr>
              <w:spacing w:after="0"/>
              <w:rPr>
                <w:sz w:val="24"/>
                <w:szCs w:val="24"/>
                <w:color w:val="auto"/>
              </w:rPr>
            </w:pPr>
          </w:p>
        </w:tc>
        <w:tc>
          <w:tcPr>
            <w:tcW w:w="60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340" w:type="dxa"/>
            <w:vAlign w:val="bottom"/>
            <w:tcBorders>
              <w:bottom w:val="single" w:sz="8" w:color="0071CE"/>
            </w:tcBorders>
            <w:shd w:val="clear" w:color="auto" w:fill="E5E5E5"/>
          </w:tcPr>
          <w:p>
            <w:pPr>
              <w:spacing w:after="0"/>
              <w:rPr>
                <w:sz w:val="10"/>
                <w:szCs w:val="10"/>
                <w:color w:val="auto"/>
              </w:rPr>
            </w:pPr>
          </w:p>
        </w:tc>
        <w:tc>
          <w:tcPr>
            <w:tcW w:w="560" w:type="dxa"/>
            <w:vAlign w:val="bottom"/>
            <w:tcBorders>
              <w:bottom w:val="single" w:sz="8" w:color="0071CE"/>
            </w:tcBorders>
            <w:shd w:val="clear" w:color="auto" w:fill="E5E5E5"/>
          </w:tcPr>
          <w:p>
            <w:pPr>
              <w:spacing w:after="0"/>
              <w:rPr>
                <w:sz w:val="10"/>
                <w:szCs w:val="10"/>
                <w:color w:val="auto"/>
              </w:rPr>
            </w:pPr>
          </w:p>
        </w:tc>
        <w:tc>
          <w:tcPr>
            <w:tcW w:w="480" w:type="dxa"/>
            <w:vAlign w:val="bottom"/>
            <w:tcBorders>
              <w:bottom w:val="single" w:sz="8" w:color="0071CE"/>
            </w:tcBorders>
            <w:shd w:val="clear" w:color="auto" w:fill="E5E5E5"/>
          </w:tcPr>
          <w:p>
            <w:pPr>
              <w:spacing w:after="0"/>
              <w:rPr>
                <w:sz w:val="10"/>
                <w:szCs w:val="10"/>
                <w:color w:val="auto"/>
              </w:rPr>
            </w:pPr>
          </w:p>
        </w:tc>
        <w:tc>
          <w:tcPr>
            <w:tcW w:w="760" w:type="dxa"/>
            <w:vAlign w:val="bottom"/>
            <w:tcBorders>
              <w:bottom w:val="single" w:sz="8" w:color="0071CE"/>
            </w:tcBorders>
            <w:shd w:val="clear" w:color="auto" w:fill="E5E5E5"/>
          </w:tcPr>
          <w:p>
            <w:pPr>
              <w:spacing w:after="0"/>
              <w:rPr>
                <w:sz w:val="10"/>
                <w:szCs w:val="10"/>
                <w:color w:val="auto"/>
              </w:rPr>
            </w:pPr>
          </w:p>
        </w:tc>
        <w:tc>
          <w:tcPr>
            <w:tcW w:w="820" w:type="dxa"/>
            <w:vAlign w:val="bottom"/>
            <w:tcBorders>
              <w:bottom w:val="single" w:sz="8" w:color="0071CE"/>
            </w:tcBorders>
            <w:shd w:val="clear" w:color="auto" w:fill="E5E5E5"/>
          </w:tcPr>
          <w:p>
            <w:pPr>
              <w:spacing w:after="0"/>
              <w:rPr>
                <w:sz w:val="10"/>
                <w:szCs w:val="10"/>
                <w:color w:val="auto"/>
              </w:rPr>
            </w:pPr>
          </w:p>
        </w:tc>
        <w:tc>
          <w:tcPr>
            <w:tcW w:w="580" w:type="dxa"/>
            <w:vAlign w:val="bottom"/>
            <w:tcBorders>
              <w:bottom w:val="single" w:sz="8" w:color="0071CE"/>
            </w:tcBorders>
            <w:shd w:val="clear" w:color="auto" w:fill="E5E5E5"/>
          </w:tcPr>
          <w:p>
            <w:pPr>
              <w:spacing w:after="0"/>
              <w:rPr>
                <w:sz w:val="10"/>
                <w:szCs w:val="10"/>
                <w:color w:val="auto"/>
              </w:rPr>
            </w:pPr>
          </w:p>
        </w:tc>
        <w:tc>
          <w:tcPr>
            <w:tcW w:w="600" w:type="dxa"/>
            <w:vAlign w:val="bottom"/>
            <w:tcBorders>
              <w:bottom w:val="single" w:sz="8" w:color="0071CE"/>
            </w:tcBorders>
            <w:shd w:val="clear" w:color="auto" w:fill="E5E5E5"/>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-1772285</wp:posOffset>
            </wp:positionV>
            <wp:extent cx="1781810" cy="1755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1810" cy="1755775"/>
                    </a:xfrm>
                    <a:prstGeom prst="rect">
                      <a:avLst/>
                    </a:prstGeom>
                    <a:noFill/>
                  </pic:spPr>
                </pic:pic>
              </a:graphicData>
            </a:graphic>
          </wp:anchor>
        </w:drawing>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is a summary of our corporate governance policies and practices:</w:t>
      </w:r>
    </w:p>
    <w:p>
      <w:pPr>
        <w:spacing w:after="0" w:line="126" w:lineRule="exact"/>
        <w:rPr>
          <w:sz w:val="20"/>
          <w:szCs w:val="20"/>
          <w:color w:val="auto"/>
        </w:rPr>
      </w:pPr>
    </w:p>
    <w:p>
      <w:pPr>
        <w:ind w:left="540" w:right="200" w:hanging="222"/>
        <w:spacing w:after="0" w:line="250" w:lineRule="auto"/>
        <w:tabs>
          <w:tab w:leader="none" w:pos="54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The positions of Chairman of the Board and CEO are separated, which allows our CEO to focus on strategic planning and execution as well as our day-to-day business operations, while allowing the Chairman of the Board to lead the Board in its fundamental role of providing advice to and oversight of management. While our Bylaws do not require that our Chairman and CEO positions be separate, our Board believes that having separate positions is the appropriate leadership structure for us at this time and demonstrates our commitment to good corporate governance.</w:t>
      </w:r>
    </w:p>
    <w:p>
      <w:pPr>
        <w:spacing w:after="0" w:line="110" w:lineRule="exact"/>
        <w:rPr>
          <w:rFonts w:ascii="Arial" w:cs="Arial" w:eastAsia="Arial" w:hAnsi="Arial"/>
          <w:sz w:val="16"/>
          <w:szCs w:val="16"/>
          <w:color w:val="0071CE"/>
        </w:rPr>
      </w:pPr>
    </w:p>
    <w:p>
      <w:pPr>
        <w:ind w:left="540" w:right="200" w:hanging="222"/>
        <w:spacing w:after="0" w:line="250" w:lineRule="auto"/>
        <w:tabs>
          <w:tab w:leader="none" w:pos="54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A majority of the members of the Board are independent directors, as defined by Nasdaq Marketplace Rules. The Board has determined that all of the Company’s directors are independent, except Dr. Anzalone, due to his employment relationship with the Company, and Dr. Given, who is the brother of Bruce Given, the Company’s Chief Operating Officer. Non-employee directors do not receive consulting or other fees from the Company, other than Board and committee compensation.</w:t>
      </w:r>
    </w:p>
    <w:p>
      <w:pPr>
        <w:spacing w:after="0" w:line="110" w:lineRule="exact"/>
        <w:rPr>
          <w:rFonts w:ascii="Arial" w:cs="Arial" w:eastAsia="Arial" w:hAnsi="Arial"/>
          <w:sz w:val="16"/>
          <w:szCs w:val="16"/>
          <w:color w:val="0071CE"/>
        </w:rPr>
      </w:pPr>
    </w:p>
    <w:p>
      <w:pPr>
        <w:ind w:left="540" w:right="360" w:hanging="222"/>
        <w:spacing w:after="0" w:line="260" w:lineRule="auto"/>
        <w:tabs>
          <w:tab w:leader="none" w:pos="540" w:val="left"/>
        </w:tabs>
        <w:numPr>
          <w:ilvl w:val="0"/>
          <w:numId w:val="17"/>
        </w:numPr>
        <w:rPr>
          <w:rFonts w:ascii="Arial" w:cs="Arial" w:eastAsia="Arial" w:hAnsi="Arial"/>
          <w:sz w:val="16"/>
          <w:szCs w:val="16"/>
          <w:color w:val="0071CE"/>
        </w:rPr>
      </w:pPr>
      <w:r>
        <w:rPr>
          <w:rFonts w:ascii="Arial" w:cs="Arial" w:eastAsia="Arial" w:hAnsi="Arial"/>
          <w:sz w:val="16"/>
          <w:szCs w:val="16"/>
          <w:color w:val="auto"/>
        </w:rPr>
        <w:t>The Board has appointed an independent Lead Director. The Lead Director is tasked with assuring that the Board committees and other relevant issues have independent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80010</wp:posOffset>
            </wp:positionV>
            <wp:extent cx="984885"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7" w:lineRule="exact"/>
        <w:rPr>
          <w:sz w:val="20"/>
          <w:szCs w:val="20"/>
          <w:color w:val="auto"/>
        </w:rPr>
      </w:pPr>
    </w:p>
    <w:p>
      <w:pPr>
        <w:ind w:left="11060"/>
        <w:spacing w:after="0"/>
        <w:rPr>
          <w:sz w:val="20"/>
          <w:szCs w:val="20"/>
          <w:color w:val="auto"/>
        </w:rPr>
      </w:pPr>
      <w:r>
        <w:rPr>
          <w:rFonts w:ascii="Arial" w:cs="Arial" w:eastAsia="Arial" w:hAnsi="Arial"/>
          <w:sz w:val="18"/>
          <w:szCs w:val="18"/>
          <w:b w:val="1"/>
          <w:bCs w:val="1"/>
          <w:color w:val="0071CE"/>
        </w:rPr>
        <w:t>7</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86" w:lineRule="exact"/>
        <w:rPr>
          <w:sz w:val="20"/>
          <w:szCs w:val="20"/>
          <w:color w:val="auto"/>
        </w:rPr>
      </w:pPr>
    </w:p>
    <w:p>
      <w:pPr>
        <w:ind w:left="540" w:right="180" w:hanging="222"/>
        <w:spacing w:after="0" w:line="249" w:lineRule="auto"/>
        <w:tabs>
          <w:tab w:leader="none" w:pos="540"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The Board has overall responsibility for the oversight of the Company’s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109" w:lineRule="exact"/>
        <w:rPr>
          <w:rFonts w:ascii="Arial" w:cs="Arial" w:eastAsia="Arial" w:hAnsi="Arial"/>
          <w:sz w:val="16"/>
          <w:szCs w:val="16"/>
          <w:color w:val="0071CE"/>
        </w:rPr>
      </w:pPr>
    </w:p>
    <w:p>
      <w:pPr>
        <w:jc w:val="both"/>
        <w:ind w:left="540" w:right="20" w:hanging="222"/>
        <w:spacing w:after="0" w:line="253" w:lineRule="auto"/>
        <w:tabs>
          <w:tab w:leader="none" w:pos="540"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All the Company’s employees, officers and directors are subject to the Company’s Code of Business Conduct and Ethics Policy, which is available on the Company’s website at www.arrowheadpharma.com. The ethics policy meets the requirements of Nasdaq Marketplace Rules, as well as the code of ethics requirements of the SEC.</w:t>
      </w:r>
    </w:p>
    <w:p>
      <w:pPr>
        <w:spacing w:after="0" w:line="106" w:lineRule="exact"/>
        <w:rPr>
          <w:rFonts w:ascii="Arial" w:cs="Arial" w:eastAsia="Arial" w:hAnsi="Arial"/>
          <w:sz w:val="16"/>
          <w:szCs w:val="16"/>
          <w:color w:val="0071CE"/>
        </w:rPr>
      </w:pPr>
    </w:p>
    <w:p>
      <w:pPr>
        <w:ind w:left="540" w:hanging="222"/>
        <w:spacing w:after="0"/>
        <w:tabs>
          <w:tab w:leader="none" w:pos="540"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The Audit, Compensation and Nominating Committees consist entirely of independent directors.</w:t>
      </w:r>
    </w:p>
    <w:p>
      <w:pPr>
        <w:spacing w:after="0" w:line="126" w:lineRule="exact"/>
        <w:rPr>
          <w:rFonts w:ascii="Arial" w:cs="Arial" w:eastAsia="Arial" w:hAnsi="Arial"/>
          <w:sz w:val="16"/>
          <w:szCs w:val="16"/>
          <w:color w:val="0071CE"/>
        </w:rPr>
      </w:pPr>
    </w:p>
    <w:p>
      <w:pPr>
        <w:ind w:left="540" w:hanging="222"/>
        <w:spacing w:after="0" w:line="260" w:lineRule="auto"/>
        <w:tabs>
          <w:tab w:leader="none" w:pos="540"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The independent directors meet separately in executive session on a regular basis to discuss matters relating to the Company and the Board, without members of the management team present.</w:t>
      </w:r>
    </w:p>
    <w:p>
      <w:pPr>
        <w:spacing w:after="0" w:line="100" w:lineRule="exact"/>
        <w:rPr>
          <w:rFonts w:ascii="Arial" w:cs="Arial" w:eastAsia="Arial" w:hAnsi="Arial"/>
          <w:sz w:val="16"/>
          <w:szCs w:val="16"/>
          <w:color w:val="0071CE"/>
        </w:rPr>
      </w:pPr>
    </w:p>
    <w:p>
      <w:pPr>
        <w:ind w:left="540" w:hanging="222"/>
        <w:spacing w:after="0"/>
        <w:tabs>
          <w:tab w:leader="none" w:pos="540"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The Board reviews at least annually the Company’s business initiatives, capital projects and budget matters.</w:t>
      </w:r>
    </w:p>
    <w:p>
      <w:pPr>
        <w:spacing w:after="0" w:line="126" w:lineRule="exact"/>
        <w:rPr>
          <w:rFonts w:ascii="Arial" w:cs="Arial" w:eastAsia="Arial" w:hAnsi="Arial"/>
          <w:sz w:val="16"/>
          <w:szCs w:val="16"/>
          <w:color w:val="0071CE"/>
        </w:rPr>
      </w:pPr>
    </w:p>
    <w:p>
      <w:pPr>
        <w:ind w:left="540" w:right="40" w:hanging="222"/>
        <w:spacing w:after="0" w:line="260" w:lineRule="auto"/>
        <w:tabs>
          <w:tab w:leader="none" w:pos="540" w:val="left"/>
        </w:tabs>
        <w:numPr>
          <w:ilvl w:val="0"/>
          <w:numId w:val="18"/>
        </w:numPr>
        <w:rPr>
          <w:rFonts w:ascii="Arial" w:cs="Arial" w:eastAsia="Arial" w:hAnsi="Arial"/>
          <w:sz w:val="16"/>
          <w:szCs w:val="16"/>
          <w:color w:val="0071CE"/>
        </w:rPr>
      </w:pPr>
      <w:r>
        <w:rPr>
          <w:rFonts w:ascii="Arial" w:cs="Arial" w:eastAsia="Arial" w:hAnsi="Arial"/>
          <w:sz w:val="16"/>
          <w:szCs w:val="16"/>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Stockholder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6" w:lineRule="exact"/>
        <w:rPr>
          <w:sz w:val="20"/>
          <w:szCs w:val="20"/>
          <w:color w:val="auto"/>
        </w:rPr>
      </w:pPr>
    </w:p>
    <w:p>
      <w:pPr>
        <w:ind w:left="220" w:right="200"/>
        <w:spacing w:after="0" w:line="253" w:lineRule="auto"/>
        <w:rPr>
          <w:sz w:val="20"/>
          <w:szCs w:val="20"/>
          <w:color w:val="auto"/>
        </w:rPr>
      </w:pPr>
      <w:r>
        <w:rPr>
          <w:rFonts w:ascii="Arial" w:cs="Arial" w:eastAsia="Arial" w:hAnsi="Arial"/>
          <w:sz w:val="16"/>
          <w:szCs w:val="16"/>
          <w:color w:val="auto"/>
        </w:rPr>
        <w:t>Stockholders who wish to communicate with the Board or any individual director can write to: Patrick O’Brien, Corporate Secretary, Arrowhead Pharmaceuticals, Inc.,177 E. Colorado, Suite 700, Pasadena, CA 91105. Your letter should indicate that you are an Arrowhead stockholder. Depending on the subject matter, management will:</w:t>
      </w:r>
    </w:p>
    <w:p>
      <w:pPr>
        <w:spacing w:after="0" w:line="106" w:lineRule="exact"/>
        <w:rPr>
          <w:sz w:val="20"/>
          <w:szCs w:val="20"/>
          <w:color w:val="auto"/>
        </w:rPr>
      </w:pPr>
    </w:p>
    <w:p>
      <w:pPr>
        <w:ind w:left="540" w:hanging="222"/>
        <w:spacing w:after="0"/>
        <w:tabs>
          <w:tab w:leader="none" w:pos="5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Forward the communication to the director or directors to whom it is addressed;</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Forward the communication to the Chairman of the Board, if addressed to the Board; or</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If not addressed to any director or directors, attempt to handle the inquiry directly (for example, requests for information or stock-related matters).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93" w:lineRule="exact"/>
        <w:rPr>
          <w:sz w:val="20"/>
          <w:szCs w:val="20"/>
          <w:color w:val="auto"/>
        </w:rPr>
      </w:pPr>
    </w:p>
    <w:p>
      <w:pPr>
        <w:ind w:left="220" w:right="240"/>
        <w:spacing w:after="0" w:line="260" w:lineRule="auto"/>
        <w:rPr>
          <w:sz w:val="20"/>
          <w:szCs w:val="20"/>
          <w:color w:val="auto"/>
        </w:rPr>
      </w:pPr>
      <w:r>
        <w:rPr>
          <w:rFonts w:ascii="Arial" w:cs="Arial" w:eastAsia="Arial" w:hAnsi="Arial"/>
          <w:sz w:val="16"/>
          <w:szCs w:val="16"/>
          <w:color w:val="auto"/>
        </w:rPr>
        <w:t>The Board held a total of four meetings during the fiscal year ended September 30, 2019. The Board has three standing committees: Audit Committee, Compensation Committee, and Nominating Committee.</w:t>
      </w:r>
    </w:p>
    <w:p>
      <w:pPr>
        <w:spacing w:after="0" w:line="195"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to review the Company’s annual and quarterly reports before filing with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and to review any related-party transactions. The Audit Committee met four times during fiscal 2019. The current members of the Audit Committee are William Waddill, Chairman, Marianne De Backer, and Michael S. Perry. The Board has determined that all members of the Audit Committee who served during 2019 were independent directors under the rules of the SEC and the listing standards of Nasdaq Marketplace Rules and are financially literate. The Board has determined that Mr. Waddill is an “audit committee financial expert” in accordance with the applicable regulations, based on his experience as noted above. The Audit Committee Charter is available on the Company’s website at www.arrowheadpharma.com.</w:t>
      </w:r>
    </w:p>
    <w:p>
      <w:pPr>
        <w:spacing w:after="0" w:line="206" w:lineRule="exact"/>
        <w:rPr>
          <w:sz w:val="20"/>
          <w:szCs w:val="20"/>
          <w:color w:val="auto"/>
        </w:rPr>
      </w:pPr>
    </w:p>
    <w:p>
      <w:pPr>
        <w:jc w:val="both"/>
        <w:ind w:left="220" w:right="300"/>
        <w:spacing w:after="0" w:line="246" w:lineRule="auto"/>
        <w:rPr>
          <w:sz w:val="20"/>
          <w:szCs w:val="20"/>
          <w:color w:val="auto"/>
        </w:rPr>
      </w:pPr>
      <w:r>
        <w:rPr>
          <w:rFonts w:ascii="Arial" w:cs="Arial" w:eastAsia="Arial" w:hAnsi="Arial"/>
          <w:sz w:val="16"/>
          <w:szCs w:val="16"/>
          <w:color w:val="auto"/>
        </w:rPr>
        <w:t>The functions of the Compensation Committee are to review the goals and achievements of the Company and the Chief Executive Officer for the prior year and approve the goals of the Company and the Chief Executive Officer for the next year, to review and approve salaries, bonuses, equity awards and other benefits payable to the Company’s executive officers and to administer the Company’s 2004 Equity Incentive Plan and 2013 Incentive Plan.</w:t>
      </w:r>
    </w:p>
    <w:p>
      <w:pPr>
        <w:spacing w:after="0" w:line="1"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The Compensation Committee is specifically responsible for determining the compensation of the Chief Executive Officer and the other executive officers. The Compensation Committee reviews compensation recommendations made by the Chief Executive Officer for other senior executives of the Company and the compensation of the Chief Executive Officer at least annually; the Chief Executive Officer is not present during discussions or deliberations regarding his compensation. In fiscal 2019, the Compensation Committee engaged Compensia, Inc., a compensation consulting firm, to provide advice and guidance with regard to compensation for our named executive officers. The decision to engage the consultant was not made or recommended by management and the Compensation Committee has the sole discretion to engage or change the consultant. The Compensation Committee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85090</wp:posOffset>
            </wp:positionV>
            <wp:extent cx="984885"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8</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740"/>
        <w:spacing w:after="0"/>
        <w:tabs>
          <w:tab w:leader="none" w:pos="864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64"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three times during fiscal 2019. The current members of the Compensation Committee are Michael S. Perry, Chairman, Mauro Ferrari, William Waddill and Marianne De Backer. The Board has determined that all members of the Compensation Committee are independent directors under the listing rules of Nasdaq Marketplace Rules. The Compensation Committee’s charter is available on the Company’s website at www.arrowheadpharma.com. The Compensation Committee has not delegated any of its responsibilities or authorities granted under its charter.</w:t>
      </w:r>
    </w:p>
    <w:p>
      <w:pPr>
        <w:spacing w:after="0" w:line="205"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The Nominating Committee is responsible for proposing a slate of directors for election by the stockholders at each Annual Stockholders Meeting and for proposing candidates to fill any vacancies. The Nominating Committee met once during fiscal 2019. The current members of the Nominating Committee are Michael S. Perry, Chairman, Marianne De Backer, Mauro Ferrari and William Waddill. The Nominating Committee’s charter is available on the Company’s website at www.arrowheadpharma.com. The Nominating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Nominating Committee recommends to the Board whether those individuals should be re-nominated.</w:t>
      </w:r>
    </w:p>
    <w:p>
      <w:pPr>
        <w:spacing w:after="0" w:line="207" w:lineRule="exact"/>
        <w:rPr>
          <w:sz w:val="20"/>
          <w:szCs w:val="20"/>
          <w:color w:val="auto"/>
        </w:rPr>
      </w:pPr>
    </w:p>
    <w:p>
      <w:pPr>
        <w:ind w:left="220" w:right="200"/>
        <w:spacing w:after="0" w:line="248" w:lineRule="auto"/>
        <w:rPr>
          <w:sz w:val="20"/>
          <w:szCs w:val="20"/>
          <w:color w:val="auto"/>
        </w:rPr>
      </w:pPr>
      <w:r>
        <w:rPr>
          <w:rFonts w:ascii="Arial" w:cs="Arial" w:eastAsia="Arial" w:hAnsi="Arial"/>
          <w:sz w:val="16"/>
          <w:szCs w:val="16"/>
          <w:color w:val="auto"/>
        </w:rPr>
        <w:t>On at least an annual basis, the Nominating Committee reviews with the Board whether it believes the Board would benefit from adding new members and, if so, the appropriate skills and characteristics required for any new members. If the Board determines that a new member would be beneficial, the Nominating Committee solicits and receives recommendations for candidates and manages the process for evaluating candidates. All potential candidates, regardless of their source, are reviewed under the same process. The Nominating Committee (or its chairman) screens the available information about the potential candidate(s). Based on the results of the initial screening, interviews with candidates are scheduled with Nominating Committee members, other members of the Board and senior members of management. Upon completion of these interviews and other due diligence, the Nominating Committee may nominate a candidate to the Board for election.</w:t>
      </w:r>
    </w:p>
    <w:p>
      <w:pPr>
        <w:spacing w:after="0" w:line="207"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Candidates for independent Board member positions are identified through recommendations from directors or others associated with the Company, as well as through a formal search process managed by an executive recruiter. Arrowhead stockholders may also recommend candidates by sending the candidate’s name and resume to the Nominating Committee pursuant to the 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206"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color w:val="auto"/>
        </w:rPr>
        <w:t>The Nominating Committee has no predefined minimum criteria for selecting Board nominees, although it believes that all directors should share qualities such as governance and business experience at the corporate level, relevant non-competitive experience and strong communication and analytical skills. Independent directors must meet the criteria for independence set forth by Nasdaq and the SEC. In any given search, the Nominating Committee may also define particular characteristics for candidates to balance the overall skills and characteristics of the Board and the needs of the Company. During any search, the Nominating Committee reserves the right to modify its stated search criteria for exceptional candidates.</w:t>
      </w:r>
    </w:p>
    <w:p>
      <w:pPr>
        <w:spacing w:after="0" w:line="206"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As part of the Nominating Committee’s goal of building a diverse board, the Nominating Committee is committed to actively seeking out highly qualified diverse candidates (including women and minority candidates) to include in the pool from which Board nominees are chosen. The Nominating Committee assesses its effectiveness in achieving this goal as part of its annual assessment of the composition of the Board.</w:t>
      </w:r>
    </w:p>
    <w:p>
      <w:pPr>
        <w:spacing w:after="0" w:line="201" w:lineRule="exact"/>
        <w:rPr>
          <w:sz w:val="20"/>
          <w:szCs w:val="20"/>
          <w:color w:val="auto"/>
        </w:rPr>
      </w:pPr>
    </w:p>
    <w:p>
      <w:pPr>
        <w:ind w:left="220" w:right="60"/>
        <w:spacing w:after="0" w:line="260" w:lineRule="auto"/>
        <w:rPr>
          <w:sz w:val="20"/>
          <w:szCs w:val="20"/>
          <w:color w:val="auto"/>
        </w:rPr>
      </w:pPr>
      <w:r>
        <w:rPr>
          <w:rFonts w:ascii="Arial" w:cs="Arial" w:eastAsia="Arial" w:hAnsi="Arial"/>
          <w:sz w:val="16"/>
          <w:szCs w:val="16"/>
          <w:color w:val="auto"/>
        </w:rPr>
        <w:t>In 2018, the Board established an ad hoc Science Committee to review and advise on science topics of interest to the Company. The current members of the committee are Mauro Ferrari, Chairman, Douglass Given and Michael S. Perry.</w:t>
      </w:r>
    </w:p>
    <w:p>
      <w:pPr>
        <w:spacing w:after="0" w:line="195" w:lineRule="exact"/>
        <w:rPr>
          <w:sz w:val="20"/>
          <w:szCs w:val="20"/>
          <w:color w:val="auto"/>
        </w:rPr>
      </w:pPr>
    </w:p>
    <w:p>
      <w:pPr>
        <w:ind w:left="220" w:right="100"/>
        <w:spacing w:after="0" w:line="260" w:lineRule="auto"/>
        <w:rPr>
          <w:sz w:val="20"/>
          <w:szCs w:val="20"/>
          <w:color w:val="auto"/>
        </w:rPr>
      </w:pPr>
      <w:r>
        <w:rPr>
          <w:rFonts w:ascii="Arial" w:cs="Arial" w:eastAsia="Arial" w:hAnsi="Arial"/>
          <w:sz w:val="16"/>
          <w:szCs w:val="16"/>
          <w:color w:val="auto"/>
        </w:rPr>
        <w:t>No incumbent director attended fewer than 75% of the aggregate of (i) the total number of meetings of the Board held during fiscal 2019, and (ii) the total number of meetings held by all committees of the Board during fiscal 2019 on which such person served.</w:t>
      </w:r>
    </w:p>
    <w:p>
      <w:pPr>
        <w:spacing w:after="0" w:line="195" w:lineRule="exact"/>
        <w:rPr>
          <w:sz w:val="20"/>
          <w:szCs w:val="20"/>
          <w:color w:val="auto"/>
        </w:rPr>
      </w:pPr>
    </w:p>
    <w:p>
      <w:pPr>
        <w:ind w:left="220" w:right="120"/>
        <w:spacing w:after="0" w:line="260" w:lineRule="auto"/>
        <w:rPr>
          <w:sz w:val="20"/>
          <w:szCs w:val="20"/>
          <w:color w:val="auto"/>
        </w:rPr>
      </w:pPr>
      <w:r>
        <w:rPr>
          <w:rFonts w:ascii="Arial" w:cs="Arial" w:eastAsia="Arial" w:hAnsi="Arial"/>
          <w:sz w:val="16"/>
          <w:szCs w:val="16"/>
          <w:color w:val="auto"/>
        </w:rPr>
        <w:t>In addition, all of the directors attended the virtual 2019 Annual Meeting of Stockholders. It is the Company’s policy to encourage, but not require, that all directors attend our annual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80010</wp:posOffset>
            </wp:positionV>
            <wp:extent cx="984885"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7" w:lineRule="exact"/>
        <w:rPr>
          <w:sz w:val="20"/>
          <w:szCs w:val="20"/>
          <w:color w:val="auto"/>
        </w:rPr>
      </w:pPr>
    </w:p>
    <w:p>
      <w:pPr>
        <w:ind w:left="11060"/>
        <w:spacing w:after="0"/>
        <w:rPr>
          <w:sz w:val="20"/>
          <w:szCs w:val="20"/>
          <w:color w:val="auto"/>
        </w:rPr>
      </w:pPr>
      <w:r>
        <w:rPr>
          <w:rFonts w:ascii="Arial" w:cs="Arial" w:eastAsia="Arial" w:hAnsi="Arial"/>
          <w:sz w:val="18"/>
          <w:szCs w:val="18"/>
          <w:b w:val="1"/>
          <w:bCs w:val="1"/>
          <w:color w:val="0071CE"/>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Director Compensation</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Director Compensation</w:t>
      </w:r>
    </w:p>
    <w:p>
      <w:pPr>
        <w:spacing w:after="0" w:line="372" w:lineRule="exact"/>
        <w:rPr>
          <w:sz w:val="20"/>
          <w:szCs w:val="20"/>
          <w:color w:val="auto"/>
        </w:rPr>
      </w:pPr>
    </w:p>
    <w:p>
      <w:pPr>
        <w:ind w:left="220" w:right="160"/>
        <w:spacing w:after="0" w:line="249" w:lineRule="auto"/>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For 2020, the Company maintained the structure of director compensation that was adopted in 2019 to provide a base retainer for each director with higher base retainers for service by the Chairman of the Board and the Lead Independent Director. The Company provides additional retainers for committee service with higher retainers for committee leadership. The Compensation Committee believes the structure aligns compensation according to specific leadership and committee service contributions by each director. Year over year, total director compensation increased modestly in 2020 to reflect the increased demands and complexity as the Company adds to and advances our pipeline.</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below table sets forth compensation levels for each of our outside directors for calendar 2019 and 2020.</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4140" w:type="dxa"/>
            <w:vAlign w:val="bottom"/>
            <w:shd w:val="clear" w:color="auto" w:fill="0071CE"/>
          </w:tcPr>
          <w:p>
            <w:pPr>
              <w:spacing w:after="0"/>
              <w:rPr>
                <w:sz w:val="15"/>
                <w:szCs w:val="15"/>
                <w:color w:val="auto"/>
              </w:rPr>
            </w:pPr>
          </w:p>
        </w:tc>
        <w:tc>
          <w:tcPr>
            <w:tcW w:w="1320" w:type="dxa"/>
            <w:vAlign w:val="bottom"/>
            <w:gridSpan w:val="2"/>
            <w:shd w:val="clear" w:color="auto" w:fill="0071CE"/>
          </w:tcPr>
          <w:p>
            <w:pPr>
              <w:ind w:left="300"/>
              <w:spacing w:after="0"/>
              <w:rPr>
                <w:sz w:val="20"/>
                <w:szCs w:val="20"/>
                <w:color w:val="auto"/>
              </w:rPr>
            </w:pPr>
            <w:r>
              <w:rPr>
                <w:rFonts w:ascii="Arial" w:cs="Arial" w:eastAsia="Arial" w:hAnsi="Arial"/>
                <w:sz w:val="14"/>
                <w:szCs w:val="14"/>
                <w:b w:val="1"/>
                <w:bCs w:val="1"/>
                <w:color w:val="FFFFFF"/>
              </w:rPr>
              <w:t>2020 Annual</w:t>
            </w:r>
          </w:p>
        </w:tc>
        <w:tc>
          <w:tcPr>
            <w:tcW w:w="1100" w:type="dxa"/>
            <w:vAlign w:val="bottom"/>
            <w:shd w:val="clear" w:color="auto" w:fill="0071CE"/>
          </w:tcPr>
          <w:p>
            <w:pPr>
              <w:spacing w:after="0"/>
              <w:rPr>
                <w:sz w:val="15"/>
                <w:szCs w:val="15"/>
                <w:color w:val="auto"/>
              </w:rPr>
            </w:pPr>
          </w:p>
        </w:tc>
        <w:tc>
          <w:tcPr>
            <w:tcW w:w="300" w:type="dxa"/>
            <w:vAlign w:val="bottom"/>
            <w:shd w:val="clear" w:color="auto" w:fill="0071CE"/>
          </w:tcPr>
          <w:p>
            <w:pPr>
              <w:spacing w:after="0"/>
              <w:rPr>
                <w:sz w:val="15"/>
                <w:szCs w:val="15"/>
                <w:color w:val="auto"/>
              </w:rPr>
            </w:pPr>
          </w:p>
        </w:tc>
        <w:tc>
          <w:tcPr>
            <w:tcW w:w="800" w:type="dxa"/>
            <w:vAlign w:val="bottom"/>
            <w:shd w:val="clear" w:color="auto" w:fill="0071CE"/>
          </w:tcPr>
          <w:p>
            <w:pPr>
              <w:spacing w:after="0"/>
              <w:rPr>
                <w:sz w:val="15"/>
                <w:szCs w:val="15"/>
                <w:color w:val="auto"/>
              </w:rPr>
            </w:pPr>
          </w:p>
        </w:tc>
        <w:tc>
          <w:tcPr>
            <w:tcW w:w="1200" w:type="dxa"/>
            <w:vAlign w:val="bottom"/>
            <w:gridSpan w:val="2"/>
            <w:shd w:val="clear" w:color="auto" w:fill="0071CE"/>
          </w:tcPr>
          <w:p>
            <w:pPr>
              <w:ind w:left="180"/>
              <w:spacing w:after="0"/>
              <w:rPr>
                <w:sz w:val="20"/>
                <w:szCs w:val="20"/>
                <w:color w:val="auto"/>
              </w:rPr>
            </w:pPr>
            <w:r>
              <w:rPr>
                <w:rFonts w:ascii="Arial" w:cs="Arial" w:eastAsia="Arial" w:hAnsi="Arial"/>
                <w:sz w:val="14"/>
                <w:szCs w:val="14"/>
                <w:b w:val="1"/>
                <w:bCs w:val="1"/>
                <w:color w:val="FFFFFF"/>
              </w:rPr>
              <w:t>2019 Annual</w:t>
            </w:r>
          </w:p>
        </w:tc>
        <w:tc>
          <w:tcPr>
            <w:tcW w:w="1060" w:type="dxa"/>
            <w:vAlign w:val="bottom"/>
            <w:shd w:val="clear" w:color="auto" w:fill="0071CE"/>
          </w:tcPr>
          <w:p>
            <w:pPr>
              <w:spacing w:after="0"/>
              <w:rPr>
                <w:sz w:val="15"/>
                <w:szCs w:val="15"/>
                <w:color w:val="auto"/>
              </w:rPr>
            </w:pPr>
          </w:p>
        </w:tc>
        <w:tc>
          <w:tcPr>
            <w:tcW w:w="300" w:type="dxa"/>
            <w:vAlign w:val="bottom"/>
            <w:shd w:val="clear" w:color="auto" w:fill="0071CE"/>
          </w:tcPr>
          <w:p>
            <w:pPr>
              <w:spacing w:after="0"/>
              <w:rPr>
                <w:sz w:val="15"/>
                <w:szCs w:val="15"/>
                <w:color w:val="auto"/>
              </w:rPr>
            </w:pPr>
          </w:p>
        </w:tc>
        <w:tc>
          <w:tcPr>
            <w:tcW w:w="780" w:type="dxa"/>
            <w:vAlign w:val="bottom"/>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r>
      <w:tr>
        <w:trPr>
          <w:trHeight w:val="162"/>
        </w:trPr>
        <w:tc>
          <w:tcPr>
            <w:tcW w:w="4140" w:type="dxa"/>
            <w:vAlign w:val="bottom"/>
            <w:shd w:val="clear" w:color="auto" w:fill="0071CE"/>
          </w:tcPr>
          <w:p>
            <w:pPr>
              <w:spacing w:after="0"/>
              <w:rPr>
                <w:sz w:val="14"/>
                <w:szCs w:val="14"/>
                <w:color w:val="auto"/>
              </w:rPr>
            </w:pPr>
          </w:p>
        </w:tc>
        <w:tc>
          <w:tcPr>
            <w:tcW w:w="380" w:type="dxa"/>
            <w:vAlign w:val="bottom"/>
            <w:shd w:val="clear" w:color="auto" w:fill="0071CE"/>
          </w:tcPr>
          <w:p>
            <w:pPr>
              <w:spacing w:after="0"/>
              <w:rPr>
                <w:sz w:val="14"/>
                <w:szCs w:val="14"/>
                <w:color w:val="auto"/>
              </w:rPr>
            </w:pPr>
          </w:p>
        </w:tc>
        <w:tc>
          <w:tcPr>
            <w:tcW w:w="940" w:type="dxa"/>
            <w:vAlign w:val="bottom"/>
            <w:shd w:val="clear" w:color="auto" w:fill="0071CE"/>
          </w:tcPr>
          <w:p>
            <w:pPr>
              <w:jc w:val="center"/>
              <w:ind w:right="202"/>
              <w:spacing w:after="0"/>
              <w:rPr>
                <w:sz w:val="20"/>
                <w:szCs w:val="20"/>
                <w:color w:val="auto"/>
              </w:rPr>
            </w:pPr>
            <w:r>
              <w:rPr>
                <w:rFonts w:ascii="Arial" w:cs="Arial" w:eastAsia="Arial" w:hAnsi="Arial"/>
                <w:sz w:val="14"/>
                <w:szCs w:val="14"/>
                <w:b w:val="1"/>
                <w:bCs w:val="1"/>
                <w:color w:val="FFFFFF"/>
              </w:rPr>
              <w:t>Fee (1)</w:t>
            </w:r>
          </w:p>
        </w:tc>
        <w:tc>
          <w:tcPr>
            <w:tcW w:w="1100" w:type="dxa"/>
            <w:vAlign w:val="bottom"/>
            <w:shd w:val="clear" w:color="auto" w:fill="0071CE"/>
          </w:tcPr>
          <w:p>
            <w:pPr>
              <w:spacing w:after="0"/>
              <w:rPr>
                <w:sz w:val="14"/>
                <w:szCs w:val="14"/>
                <w:color w:val="auto"/>
              </w:rPr>
            </w:pPr>
          </w:p>
        </w:tc>
        <w:tc>
          <w:tcPr>
            <w:tcW w:w="30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280" w:type="dxa"/>
            <w:vAlign w:val="bottom"/>
            <w:shd w:val="clear" w:color="auto" w:fill="0071CE"/>
          </w:tcPr>
          <w:p>
            <w:pPr>
              <w:spacing w:after="0"/>
              <w:rPr>
                <w:sz w:val="14"/>
                <w:szCs w:val="14"/>
                <w:color w:val="auto"/>
              </w:rPr>
            </w:pPr>
          </w:p>
        </w:tc>
        <w:tc>
          <w:tcPr>
            <w:tcW w:w="920" w:type="dxa"/>
            <w:vAlign w:val="bottom"/>
            <w:shd w:val="clear" w:color="auto" w:fill="0071CE"/>
          </w:tcPr>
          <w:p>
            <w:pPr>
              <w:jc w:val="center"/>
              <w:ind w:right="182"/>
              <w:spacing w:after="0"/>
              <w:rPr>
                <w:sz w:val="20"/>
                <w:szCs w:val="20"/>
                <w:color w:val="auto"/>
              </w:rPr>
            </w:pPr>
            <w:r>
              <w:rPr>
                <w:rFonts w:ascii="Arial" w:cs="Arial" w:eastAsia="Arial" w:hAnsi="Arial"/>
                <w:sz w:val="14"/>
                <w:szCs w:val="14"/>
                <w:b w:val="1"/>
                <w:bCs w:val="1"/>
                <w:color w:val="FFFFFF"/>
              </w:rPr>
              <w:t>Fee (3)</w:t>
            </w:r>
          </w:p>
        </w:tc>
        <w:tc>
          <w:tcPr>
            <w:tcW w:w="1060" w:type="dxa"/>
            <w:vAlign w:val="bottom"/>
            <w:shd w:val="clear" w:color="auto" w:fill="0071CE"/>
          </w:tcPr>
          <w:p>
            <w:pPr>
              <w:spacing w:after="0"/>
              <w:rPr>
                <w:sz w:val="14"/>
                <w:szCs w:val="14"/>
                <w:color w:val="auto"/>
              </w:rPr>
            </w:pPr>
          </w:p>
        </w:tc>
        <w:tc>
          <w:tcPr>
            <w:tcW w:w="300" w:type="dxa"/>
            <w:vAlign w:val="bottom"/>
            <w:shd w:val="clear" w:color="auto" w:fill="0071CE"/>
          </w:tcPr>
          <w:p>
            <w:pPr>
              <w:spacing w:after="0"/>
              <w:rPr>
                <w:sz w:val="14"/>
                <w:szCs w:val="14"/>
                <w:color w:val="auto"/>
              </w:rPr>
            </w:pPr>
          </w:p>
        </w:tc>
        <w:tc>
          <w:tcPr>
            <w:tcW w:w="78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162"/>
        </w:trPr>
        <w:tc>
          <w:tcPr>
            <w:tcW w:w="4140" w:type="dxa"/>
            <w:vAlign w:val="bottom"/>
            <w:shd w:val="clear" w:color="auto" w:fill="0071CE"/>
          </w:tcPr>
          <w:p>
            <w:pPr>
              <w:spacing w:after="0"/>
              <w:rPr>
                <w:sz w:val="14"/>
                <w:szCs w:val="14"/>
                <w:color w:val="auto"/>
              </w:rPr>
            </w:pPr>
          </w:p>
        </w:tc>
        <w:tc>
          <w:tcPr>
            <w:tcW w:w="380" w:type="dxa"/>
            <w:vAlign w:val="bottom"/>
            <w:shd w:val="clear" w:color="auto" w:fill="0071CE"/>
          </w:tcPr>
          <w:p>
            <w:pPr>
              <w:spacing w:after="0"/>
              <w:rPr>
                <w:sz w:val="14"/>
                <w:szCs w:val="14"/>
                <w:color w:val="auto"/>
              </w:rPr>
            </w:pPr>
          </w:p>
        </w:tc>
        <w:tc>
          <w:tcPr>
            <w:tcW w:w="940" w:type="dxa"/>
            <w:vAlign w:val="bottom"/>
            <w:shd w:val="clear" w:color="auto" w:fill="0071CE"/>
          </w:tcPr>
          <w:p>
            <w:pPr>
              <w:jc w:val="center"/>
              <w:ind w:right="202"/>
              <w:spacing w:after="0"/>
              <w:rPr>
                <w:sz w:val="20"/>
                <w:szCs w:val="20"/>
                <w:color w:val="auto"/>
              </w:rPr>
            </w:pPr>
            <w:r>
              <w:rPr>
                <w:rFonts w:ascii="Arial" w:cs="Arial" w:eastAsia="Arial" w:hAnsi="Arial"/>
                <w:sz w:val="14"/>
                <w:szCs w:val="14"/>
                <w:b w:val="1"/>
                <w:bCs w:val="1"/>
                <w:color w:val="FFFFFF"/>
              </w:rPr>
              <w:t>(effective</w:t>
            </w:r>
          </w:p>
        </w:tc>
        <w:tc>
          <w:tcPr>
            <w:tcW w:w="1100" w:type="dxa"/>
            <w:vAlign w:val="bottom"/>
            <w:shd w:val="clear" w:color="auto" w:fill="0071CE"/>
          </w:tcPr>
          <w:p>
            <w:pPr>
              <w:jc w:val="right"/>
              <w:ind w:right="102"/>
              <w:spacing w:after="0"/>
              <w:rPr>
                <w:sz w:val="20"/>
                <w:szCs w:val="20"/>
                <w:color w:val="auto"/>
              </w:rPr>
            </w:pPr>
            <w:r>
              <w:rPr>
                <w:rFonts w:ascii="Arial" w:cs="Arial" w:eastAsia="Arial" w:hAnsi="Arial"/>
                <w:sz w:val="14"/>
                <w:szCs w:val="14"/>
                <w:b w:val="1"/>
                <w:bCs w:val="1"/>
                <w:color w:val="FFFFFF"/>
              </w:rPr>
              <w:t>2020 Stock</w:t>
            </w:r>
          </w:p>
        </w:tc>
        <w:tc>
          <w:tcPr>
            <w:tcW w:w="1100" w:type="dxa"/>
            <w:vAlign w:val="bottom"/>
            <w:gridSpan w:val="2"/>
            <w:shd w:val="clear" w:color="auto" w:fill="0071CE"/>
          </w:tcPr>
          <w:p>
            <w:pPr>
              <w:ind w:left="180"/>
              <w:spacing w:after="0"/>
              <w:rPr>
                <w:sz w:val="20"/>
                <w:szCs w:val="20"/>
                <w:color w:val="auto"/>
              </w:rPr>
            </w:pPr>
            <w:r>
              <w:rPr>
                <w:rFonts w:ascii="Arial" w:cs="Arial" w:eastAsia="Arial" w:hAnsi="Arial"/>
                <w:sz w:val="14"/>
                <w:szCs w:val="14"/>
                <w:b w:val="1"/>
                <w:bCs w:val="1"/>
                <w:color w:val="FFFFFF"/>
              </w:rPr>
              <w:t>2020 Grant</w:t>
            </w:r>
          </w:p>
        </w:tc>
        <w:tc>
          <w:tcPr>
            <w:tcW w:w="280" w:type="dxa"/>
            <w:vAlign w:val="bottom"/>
            <w:shd w:val="clear" w:color="auto" w:fill="0071CE"/>
          </w:tcPr>
          <w:p>
            <w:pPr>
              <w:spacing w:after="0"/>
              <w:rPr>
                <w:sz w:val="14"/>
                <w:szCs w:val="14"/>
                <w:color w:val="auto"/>
              </w:rPr>
            </w:pPr>
          </w:p>
        </w:tc>
        <w:tc>
          <w:tcPr>
            <w:tcW w:w="920" w:type="dxa"/>
            <w:vAlign w:val="bottom"/>
            <w:shd w:val="clear" w:color="auto" w:fill="0071CE"/>
          </w:tcPr>
          <w:p>
            <w:pPr>
              <w:jc w:val="center"/>
              <w:ind w:right="182"/>
              <w:spacing w:after="0"/>
              <w:rPr>
                <w:sz w:val="20"/>
                <w:szCs w:val="20"/>
                <w:color w:val="auto"/>
              </w:rPr>
            </w:pPr>
            <w:r>
              <w:rPr>
                <w:rFonts w:ascii="Arial" w:cs="Arial" w:eastAsia="Arial" w:hAnsi="Arial"/>
                <w:sz w:val="14"/>
                <w:szCs w:val="14"/>
                <w:b w:val="1"/>
                <w:bCs w:val="1"/>
                <w:color w:val="FFFFFF"/>
              </w:rPr>
              <w:t>(effective</w:t>
            </w:r>
          </w:p>
        </w:tc>
        <w:tc>
          <w:tcPr>
            <w:tcW w:w="1060" w:type="dxa"/>
            <w:vAlign w:val="bottom"/>
            <w:shd w:val="clear" w:color="auto" w:fill="0071CE"/>
          </w:tcPr>
          <w:p>
            <w:pPr>
              <w:jc w:val="right"/>
              <w:ind w:right="42"/>
              <w:spacing w:after="0"/>
              <w:rPr>
                <w:sz w:val="20"/>
                <w:szCs w:val="20"/>
                <w:color w:val="auto"/>
              </w:rPr>
            </w:pPr>
            <w:r>
              <w:rPr>
                <w:rFonts w:ascii="Arial" w:cs="Arial" w:eastAsia="Arial" w:hAnsi="Arial"/>
                <w:sz w:val="14"/>
                <w:szCs w:val="14"/>
                <w:b w:val="1"/>
                <w:bCs w:val="1"/>
                <w:color w:val="FFFFFF"/>
              </w:rPr>
              <w:t>2019 Stock</w:t>
            </w:r>
          </w:p>
        </w:tc>
        <w:tc>
          <w:tcPr>
            <w:tcW w:w="1080" w:type="dxa"/>
            <w:vAlign w:val="bottom"/>
            <w:gridSpan w:val="2"/>
            <w:shd w:val="clear" w:color="auto" w:fill="0071CE"/>
          </w:tcPr>
          <w:p>
            <w:pPr>
              <w:ind w:left="140"/>
              <w:spacing w:after="0"/>
              <w:rPr>
                <w:sz w:val="20"/>
                <w:szCs w:val="20"/>
                <w:color w:val="auto"/>
              </w:rPr>
            </w:pPr>
            <w:r>
              <w:rPr>
                <w:rFonts w:ascii="Arial" w:cs="Arial" w:eastAsia="Arial" w:hAnsi="Arial"/>
                <w:sz w:val="14"/>
                <w:szCs w:val="14"/>
                <w:b w:val="1"/>
                <w:bCs w:val="1"/>
                <w:color w:val="FFFFFF"/>
              </w:rPr>
              <w:t>2019 Grant</w:t>
            </w:r>
          </w:p>
        </w:tc>
        <w:tc>
          <w:tcPr>
            <w:tcW w:w="20" w:type="dxa"/>
            <w:vAlign w:val="bottom"/>
            <w:shd w:val="clear" w:color="auto" w:fill="0071CE"/>
          </w:tcPr>
          <w:p>
            <w:pPr>
              <w:spacing w:after="0"/>
              <w:rPr>
                <w:sz w:val="14"/>
                <w:szCs w:val="14"/>
                <w:color w:val="auto"/>
              </w:rPr>
            </w:pPr>
          </w:p>
        </w:tc>
      </w:tr>
      <w:tr>
        <w:trPr>
          <w:trHeight w:val="196"/>
        </w:trPr>
        <w:tc>
          <w:tcPr>
            <w:tcW w:w="4140" w:type="dxa"/>
            <w:vAlign w:val="bottom"/>
            <w:tcBorders>
              <w:bottom w:val="single" w:sz="8" w:color="0071CE"/>
            </w:tcBorders>
            <w:shd w:val="clear" w:color="auto" w:fill="0071CE"/>
          </w:tcPr>
          <w:p>
            <w:pPr>
              <w:ind w:left="140"/>
              <w:spacing w:after="0"/>
              <w:rPr>
                <w:sz w:val="20"/>
                <w:szCs w:val="20"/>
                <w:color w:val="auto"/>
              </w:rPr>
            </w:pPr>
            <w:r>
              <w:rPr>
                <w:rFonts w:ascii="Arial" w:cs="Arial" w:eastAsia="Arial" w:hAnsi="Arial"/>
                <w:sz w:val="14"/>
                <w:szCs w:val="14"/>
                <w:b w:val="1"/>
                <w:bCs w:val="1"/>
                <w:color w:val="FFFFFF"/>
              </w:rPr>
              <w:t>Name &amp; Position</w:t>
            </w:r>
          </w:p>
        </w:tc>
        <w:tc>
          <w:tcPr>
            <w:tcW w:w="380" w:type="dxa"/>
            <w:vAlign w:val="bottom"/>
            <w:tcBorders>
              <w:bottom w:val="single" w:sz="8" w:color="0071CE"/>
            </w:tcBorders>
            <w:shd w:val="clear" w:color="auto" w:fill="0071CE"/>
          </w:tcPr>
          <w:p>
            <w:pPr>
              <w:spacing w:after="0"/>
              <w:rPr>
                <w:sz w:val="17"/>
                <w:szCs w:val="17"/>
                <w:color w:val="auto"/>
              </w:rPr>
            </w:pPr>
          </w:p>
        </w:tc>
        <w:tc>
          <w:tcPr>
            <w:tcW w:w="940" w:type="dxa"/>
            <w:vAlign w:val="bottom"/>
            <w:tcBorders>
              <w:bottom w:val="single" w:sz="8" w:color="0071CE"/>
            </w:tcBorders>
            <w:shd w:val="clear" w:color="auto" w:fill="0071CE"/>
          </w:tcPr>
          <w:p>
            <w:pPr>
              <w:jc w:val="center"/>
              <w:ind w:right="202"/>
              <w:spacing w:after="0"/>
              <w:rPr>
                <w:sz w:val="20"/>
                <w:szCs w:val="20"/>
                <w:color w:val="auto"/>
              </w:rPr>
            </w:pPr>
            <w:r>
              <w:rPr>
                <w:rFonts w:ascii="Arial" w:cs="Arial" w:eastAsia="Arial" w:hAnsi="Arial"/>
                <w:sz w:val="14"/>
                <w:szCs w:val="14"/>
                <w:b w:val="1"/>
                <w:bCs w:val="1"/>
                <w:color w:val="FFFFFF"/>
              </w:rPr>
              <w:t>1/1/20)</w:t>
            </w:r>
          </w:p>
        </w:tc>
        <w:tc>
          <w:tcPr>
            <w:tcW w:w="1100" w:type="dxa"/>
            <w:vAlign w:val="bottom"/>
            <w:tcBorders>
              <w:bottom w:val="single" w:sz="8" w:color="0071CE"/>
            </w:tcBorders>
            <w:shd w:val="clear" w:color="auto" w:fill="0071CE"/>
          </w:tcPr>
          <w:p>
            <w:pPr>
              <w:jc w:val="right"/>
              <w:ind w:right="142"/>
              <w:spacing w:after="0"/>
              <w:rPr>
                <w:sz w:val="20"/>
                <w:szCs w:val="20"/>
                <w:color w:val="auto"/>
              </w:rPr>
            </w:pPr>
            <w:r>
              <w:rPr>
                <w:rFonts w:ascii="Arial" w:cs="Arial" w:eastAsia="Arial" w:hAnsi="Arial"/>
                <w:sz w:val="14"/>
                <w:szCs w:val="14"/>
                <w:b w:val="1"/>
                <w:bCs w:val="1"/>
                <w:color w:val="FFFFFF"/>
              </w:rPr>
              <w:t>Award (2)</w:t>
            </w:r>
          </w:p>
        </w:tc>
        <w:tc>
          <w:tcPr>
            <w:tcW w:w="1100" w:type="dxa"/>
            <w:vAlign w:val="bottom"/>
            <w:tcBorders>
              <w:bottom w:val="single" w:sz="8" w:color="0071CE"/>
            </w:tcBorders>
            <w:gridSpan w:val="2"/>
            <w:shd w:val="clear" w:color="auto" w:fill="0071CE"/>
          </w:tcPr>
          <w:p>
            <w:pPr>
              <w:ind w:left="180"/>
              <w:spacing w:after="0"/>
              <w:rPr>
                <w:sz w:val="20"/>
                <w:szCs w:val="20"/>
                <w:color w:val="auto"/>
              </w:rPr>
            </w:pPr>
            <w:r>
              <w:rPr>
                <w:rFonts w:ascii="Arial" w:cs="Arial" w:eastAsia="Arial" w:hAnsi="Arial"/>
                <w:sz w:val="14"/>
                <w:szCs w:val="14"/>
                <w:b w:val="1"/>
                <w:bCs w:val="1"/>
                <w:color w:val="FFFFFF"/>
              </w:rPr>
              <w:t>Date Value</w:t>
            </w:r>
          </w:p>
        </w:tc>
        <w:tc>
          <w:tcPr>
            <w:tcW w:w="280" w:type="dxa"/>
            <w:vAlign w:val="bottom"/>
            <w:tcBorders>
              <w:bottom w:val="single" w:sz="8" w:color="0071CE"/>
            </w:tcBorders>
            <w:shd w:val="clear" w:color="auto" w:fill="0071CE"/>
          </w:tcPr>
          <w:p>
            <w:pPr>
              <w:spacing w:after="0"/>
              <w:rPr>
                <w:sz w:val="17"/>
                <w:szCs w:val="17"/>
                <w:color w:val="auto"/>
              </w:rPr>
            </w:pPr>
          </w:p>
        </w:tc>
        <w:tc>
          <w:tcPr>
            <w:tcW w:w="920" w:type="dxa"/>
            <w:vAlign w:val="bottom"/>
            <w:tcBorders>
              <w:bottom w:val="single" w:sz="8" w:color="0071CE"/>
            </w:tcBorders>
            <w:shd w:val="clear" w:color="auto" w:fill="0071CE"/>
          </w:tcPr>
          <w:p>
            <w:pPr>
              <w:jc w:val="center"/>
              <w:ind w:right="202"/>
              <w:spacing w:after="0"/>
              <w:rPr>
                <w:sz w:val="20"/>
                <w:szCs w:val="20"/>
                <w:color w:val="auto"/>
              </w:rPr>
            </w:pPr>
            <w:r>
              <w:rPr>
                <w:rFonts w:ascii="Arial" w:cs="Arial" w:eastAsia="Arial" w:hAnsi="Arial"/>
                <w:sz w:val="14"/>
                <w:szCs w:val="14"/>
                <w:b w:val="1"/>
                <w:bCs w:val="1"/>
                <w:color w:val="FFFFFF"/>
              </w:rPr>
              <w:t>1/1/19)</w:t>
            </w:r>
          </w:p>
        </w:tc>
        <w:tc>
          <w:tcPr>
            <w:tcW w:w="1060" w:type="dxa"/>
            <w:vAlign w:val="bottom"/>
            <w:tcBorders>
              <w:bottom w:val="single" w:sz="8" w:color="0071CE"/>
            </w:tcBorders>
            <w:shd w:val="clear" w:color="auto" w:fill="0071CE"/>
          </w:tcPr>
          <w:p>
            <w:pPr>
              <w:jc w:val="right"/>
              <w:ind w:right="102"/>
              <w:spacing w:after="0"/>
              <w:rPr>
                <w:sz w:val="20"/>
                <w:szCs w:val="20"/>
                <w:color w:val="auto"/>
              </w:rPr>
            </w:pPr>
            <w:r>
              <w:rPr>
                <w:rFonts w:ascii="Arial" w:cs="Arial" w:eastAsia="Arial" w:hAnsi="Arial"/>
                <w:sz w:val="14"/>
                <w:szCs w:val="14"/>
                <w:b w:val="1"/>
                <w:bCs w:val="1"/>
                <w:color w:val="FFFFFF"/>
              </w:rPr>
              <w:t>Award (2)</w:t>
            </w:r>
          </w:p>
        </w:tc>
        <w:tc>
          <w:tcPr>
            <w:tcW w:w="1080" w:type="dxa"/>
            <w:vAlign w:val="bottom"/>
            <w:tcBorders>
              <w:bottom w:val="single" w:sz="8" w:color="0071CE"/>
            </w:tcBorders>
            <w:gridSpan w:val="2"/>
            <w:shd w:val="clear" w:color="auto" w:fill="0071CE"/>
          </w:tcPr>
          <w:p>
            <w:pPr>
              <w:ind w:left="140"/>
              <w:spacing w:after="0"/>
              <w:rPr>
                <w:sz w:val="20"/>
                <w:szCs w:val="20"/>
                <w:color w:val="auto"/>
              </w:rPr>
            </w:pPr>
            <w:r>
              <w:rPr>
                <w:rFonts w:ascii="Arial" w:cs="Arial" w:eastAsia="Arial" w:hAnsi="Arial"/>
                <w:sz w:val="14"/>
                <w:szCs w:val="14"/>
                <w:b w:val="1"/>
                <w:bCs w:val="1"/>
                <w:color w:val="FFFFFF"/>
              </w:rPr>
              <w:t>Date Value</w:t>
            </w:r>
          </w:p>
        </w:tc>
        <w:tc>
          <w:tcPr>
            <w:tcW w:w="20" w:type="dxa"/>
            <w:vAlign w:val="bottom"/>
            <w:tcBorders>
              <w:bottom w:val="single" w:sz="8" w:color="0071CE"/>
            </w:tcBorders>
            <w:shd w:val="clear" w:color="auto" w:fill="0071CE"/>
          </w:tcPr>
          <w:p>
            <w:pPr>
              <w:spacing w:after="0"/>
              <w:rPr>
                <w:sz w:val="17"/>
                <w:szCs w:val="17"/>
                <w:color w:val="auto"/>
              </w:rPr>
            </w:pPr>
          </w:p>
        </w:tc>
      </w:tr>
      <w:tr>
        <w:trPr>
          <w:trHeight w:val="231"/>
        </w:trPr>
        <w:tc>
          <w:tcPr>
            <w:tcW w:w="4140" w:type="dxa"/>
            <w:vAlign w:val="bottom"/>
            <w:shd w:val="clear" w:color="auto" w:fill="E5E5E5"/>
          </w:tcPr>
          <w:p>
            <w:pPr>
              <w:ind w:left="160"/>
              <w:spacing w:after="0"/>
              <w:rPr>
                <w:sz w:val="20"/>
                <w:szCs w:val="20"/>
                <w:color w:val="auto"/>
              </w:rPr>
            </w:pPr>
            <w:r>
              <w:rPr>
                <w:rFonts w:ascii="Arial" w:cs="Arial" w:eastAsia="Arial" w:hAnsi="Arial"/>
                <w:sz w:val="16"/>
                <w:szCs w:val="16"/>
                <w:b w:val="1"/>
                <w:bCs w:val="1"/>
                <w:color w:val="0071CE"/>
              </w:rPr>
              <w:t>Douglass Given</w:t>
            </w:r>
          </w:p>
        </w:tc>
        <w:tc>
          <w:tcPr>
            <w:tcW w:w="380" w:type="dxa"/>
            <w:vAlign w:val="bottom"/>
            <w:shd w:val="clear" w:color="auto" w:fill="E5E5E5"/>
          </w:tcPr>
          <w:p>
            <w:pPr>
              <w:spacing w:after="0"/>
              <w:rPr>
                <w:sz w:val="20"/>
                <w:szCs w:val="20"/>
                <w:color w:val="auto"/>
              </w:rPr>
            </w:pPr>
          </w:p>
        </w:tc>
        <w:tc>
          <w:tcPr>
            <w:tcW w:w="940" w:type="dxa"/>
            <w:vAlign w:val="bottom"/>
            <w:shd w:val="clear" w:color="auto" w:fill="E5E5E5"/>
          </w:tcPr>
          <w:p>
            <w:pPr>
              <w:spacing w:after="0"/>
              <w:rPr>
                <w:sz w:val="20"/>
                <w:szCs w:val="20"/>
                <w:color w:val="auto"/>
              </w:rPr>
            </w:pPr>
          </w:p>
        </w:tc>
        <w:tc>
          <w:tcPr>
            <w:tcW w:w="110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78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r>
      <w:tr>
        <w:trPr>
          <w:trHeight w:val="214"/>
        </w:trPr>
        <w:tc>
          <w:tcPr>
            <w:tcW w:w="4140" w:type="dxa"/>
            <w:vAlign w:val="bottom"/>
            <w:shd w:val="clear" w:color="auto" w:fill="E5E5E5"/>
          </w:tcPr>
          <w:p>
            <w:pPr>
              <w:ind w:left="160"/>
              <w:spacing w:after="0"/>
              <w:rPr>
                <w:sz w:val="20"/>
                <w:szCs w:val="20"/>
                <w:color w:val="auto"/>
              </w:rPr>
            </w:pPr>
            <w:r>
              <w:rPr>
                <w:rFonts w:ascii="Arial" w:cs="Arial" w:eastAsia="Arial" w:hAnsi="Arial"/>
                <w:sz w:val="16"/>
                <w:szCs w:val="16"/>
                <w:color w:val="auto"/>
              </w:rPr>
              <w:t>Chairman</w:t>
            </w:r>
          </w:p>
        </w:tc>
        <w:tc>
          <w:tcPr>
            <w:tcW w:w="380" w:type="dxa"/>
            <w:vAlign w:val="bottom"/>
            <w:shd w:val="clear" w:color="auto" w:fill="E5E5E5"/>
          </w:tcPr>
          <w:p>
            <w:pPr>
              <w:ind w:left="28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85,000</w:t>
            </w:r>
          </w:p>
        </w:tc>
        <w:tc>
          <w:tcPr>
            <w:tcW w:w="110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8,000</w:t>
            </w:r>
          </w:p>
        </w:tc>
        <w:tc>
          <w:tcPr>
            <w:tcW w:w="300" w:type="dxa"/>
            <w:vAlign w:val="bottom"/>
            <w:shd w:val="clear" w:color="auto" w:fill="E5E5E5"/>
          </w:tcPr>
          <w:p>
            <w:pPr>
              <w:ind w:lef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507,440</w:t>
            </w:r>
          </w:p>
        </w:tc>
        <w:tc>
          <w:tcPr>
            <w:tcW w:w="280" w:type="dxa"/>
            <w:vAlign w:val="bottom"/>
            <w:shd w:val="clear" w:color="auto" w:fill="E5E5E5"/>
          </w:tcPr>
          <w:p>
            <w:pPr>
              <w:ind w:left="18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80,000</w:t>
            </w:r>
          </w:p>
        </w:tc>
        <w:tc>
          <w:tcPr>
            <w:tcW w:w="106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36,000</w:t>
            </w:r>
          </w:p>
        </w:tc>
        <w:tc>
          <w:tcPr>
            <w:tcW w:w="3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447,120</w:t>
            </w:r>
          </w:p>
        </w:tc>
        <w:tc>
          <w:tcPr>
            <w:tcW w:w="20" w:type="dxa"/>
            <w:vAlign w:val="bottom"/>
          </w:tcPr>
          <w:p>
            <w:pPr>
              <w:spacing w:after="0"/>
              <w:rPr>
                <w:sz w:val="18"/>
                <w:szCs w:val="18"/>
                <w:color w:val="auto"/>
              </w:rPr>
            </w:pPr>
          </w:p>
        </w:tc>
      </w:tr>
      <w:tr>
        <w:trPr>
          <w:trHeight w:val="231"/>
        </w:trPr>
        <w:tc>
          <w:tcPr>
            <w:tcW w:w="4140" w:type="dxa"/>
            <w:vAlign w:val="bottom"/>
          </w:tcPr>
          <w:p>
            <w:pPr>
              <w:ind w:left="160"/>
              <w:spacing w:after="0"/>
              <w:rPr>
                <w:sz w:val="20"/>
                <w:szCs w:val="20"/>
                <w:color w:val="auto"/>
              </w:rPr>
            </w:pPr>
            <w:r>
              <w:rPr>
                <w:rFonts w:ascii="Arial" w:cs="Arial" w:eastAsia="Arial" w:hAnsi="Arial"/>
                <w:sz w:val="16"/>
                <w:szCs w:val="16"/>
                <w:b w:val="1"/>
                <w:bCs w:val="1"/>
                <w:color w:val="0071CE"/>
              </w:rPr>
              <w:t>Michael S. Perry</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4"/>
        </w:trPr>
        <w:tc>
          <w:tcPr>
            <w:tcW w:w="4140" w:type="dxa"/>
            <w:vAlign w:val="bottom"/>
          </w:tcPr>
          <w:p>
            <w:pPr>
              <w:ind w:left="160"/>
              <w:spacing w:after="0"/>
              <w:rPr>
                <w:sz w:val="20"/>
                <w:szCs w:val="20"/>
                <w:color w:val="auto"/>
              </w:rPr>
            </w:pPr>
            <w:r>
              <w:rPr>
                <w:rFonts w:ascii="Arial" w:cs="Arial" w:eastAsia="Arial" w:hAnsi="Arial"/>
                <w:sz w:val="16"/>
                <w:szCs w:val="16"/>
                <w:color w:val="auto"/>
              </w:rPr>
              <w:t>Lead Director</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80,000</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8,000</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507,440</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80,000</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36,000</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447,120</w:t>
            </w:r>
          </w:p>
        </w:tc>
        <w:tc>
          <w:tcPr>
            <w:tcW w:w="20" w:type="dxa"/>
            <w:vAlign w:val="bottom"/>
          </w:tcPr>
          <w:p>
            <w:pPr>
              <w:spacing w:after="0"/>
              <w:rPr>
                <w:sz w:val="17"/>
                <w:szCs w:val="17"/>
                <w:color w:val="auto"/>
              </w:rPr>
            </w:pPr>
          </w:p>
        </w:tc>
      </w:tr>
      <w:tr>
        <w:trPr>
          <w:trHeight w:val="241"/>
        </w:trPr>
        <w:tc>
          <w:tcPr>
            <w:tcW w:w="4140" w:type="dxa"/>
            <w:vAlign w:val="bottom"/>
            <w:shd w:val="clear" w:color="auto" w:fill="E5E5E5"/>
          </w:tcPr>
          <w:p>
            <w:pPr>
              <w:ind w:left="160"/>
              <w:spacing w:after="0"/>
              <w:rPr>
                <w:sz w:val="20"/>
                <w:szCs w:val="20"/>
                <w:color w:val="auto"/>
              </w:rPr>
            </w:pPr>
            <w:r>
              <w:rPr>
                <w:rFonts w:ascii="Arial" w:cs="Arial" w:eastAsia="Arial" w:hAnsi="Arial"/>
                <w:sz w:val="16"/>
                <w:szCs w:val="16"/>
                <w:b w:val="1"/>
                <w:bCs w:val="1"/>
                <w:color w:val="0071CE"/>
              </w:rPr>
              <w:t>Mauro Ferrari</w:t>
            </w:r>
          </w:p>
        </w:tc>
        <w:tc>
          <w:tcPr>
            <w:tcW w:w="380" w:type="dxa"/>
            <w:vAlign w:val="bottom"/>
            <w:shd w:val="clear" w:color="auto" w:fill="E5E5E5"/>
          </w:tcPr>
          <w:p>
            <w:pPr>
              <w:spacing w:after="0"/>
              <w:rPr>
                <w:sz w:val="20"/>
                <w:szCs w:val="20"/>
                <w:color w:val="auto"/>
              </w:rPr>
            </w:pPr>
          </w:p>
        </w:tc>
        <w:tc>
          <w:tcPr>
            <w:tcW w:w="940" w:type="dxa"/>
            <w:vAlign w:val="bottom"/>
            <w:shd w:val="clear" w:color="auto" w:fill="E5E5E5"/>
          </w:tcPr>
          <w:p>
            <w:pPr>
              <w:spacing w:after="0"/>
              <w:rPr>
                <w:sz w:val="20"/>
                <w:szCs w:val="20"/>
                <w:color w:val="auto"/>
              </w:rPr>
            </w:pPr>
          </w:p>
        </w:tc>
        <w:tc>
          <w:tcPr>
            <w:tcW w:w="110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78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r>
      <w:tr>
        <w:trPr>
          <w:trHeight w:val="214"/>
        </w:trPr>
        <w:tc>
          <w:tcPr>
            <w:tcW w:w="4140" w:type="dxa"/>
            <w:vAlign w:val="bottom"/>
            <w:shd w:val="clear" w:color="auto" w:fill="E5E5E5"/>
          </w:tcPr>
          <w:p>
            <w:pPr>
              <w:ind w:left="160"/>
              <w:spacing w:after="0"/>
              <w:rPr>
                <w:sz w:val="20"/>
                <w:szCs w:val="20"/>
                <w:color w:val="auto"/>
              </w:rPr>
            </w:pPr>
            <w:r>
              <w:rPr>
                <w:rFonts w:ascii="Arial" w:cs="Arial" w:eastAsia="Arial" w:hAnsi="Arial"/>
                <w:sz w:val="16"/>
                <w:szCs w:val="16"/>
                <w:color w:val="auto"/>
              </w:rPr>
              <w:t>Director (4)</w:t>
            </w:r>
          </w:p>
        </w:tc>
        <w:tc>
          <w:tcPr>
            <w:tcW w:w="380" w:type="dxa"/>
            <w:vAlign w:val="bottom"/>
            <w:shd w:val="clear" w:color="auto" w:fill="E5E5E5"/>
          </w:tcPr>
          <w:p>
            <w:pPr>
              <w:ind w:left="28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120,000</w:t>
            </w:r>
          </w:p>
        </w:tc>
        <w:tc>
          <w:tcPr>
            <w:tcW w:w="110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7,500</w:t>
            </w:r>
          </w:p>
        </w:tc>
        <w:tc>
          <w:tcPr>
            <w:tcW w:w="300" w:type="dxa"/>
            <w:vAlign w:val="bottom"/>
            <w:shd w:val="clear" w:color="auto" w:fill="E5E5E5"/>
          </w:tcPr>
          <w:p>
            <w:pPr>
              <w:ind w:lef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475,725</w:t>
            </w:r>
          </w:p>
        </w:tc>
        <w:tc>
          <w:tcPr>
            <w:tcW w:w="280" w:type="dxa"/>
            <w:vAlign w:val="bottom"/>
            <w:shd w:val="clear" w:color="auto" w:fill="E5E5E5"/>
          </w:tcPr>
          <w:p>
            <w:pPr>
              <w:ind w:left="18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135,556</w:t>
            </w:r>
          </w:p>
        </w:tc>
        <w:tc>
          <w:tcPr>
            <w:tcW w:w="106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8,429</w:t>
            </w:r>
          </w:p>
        </w:tc>
        <w:tc>
          <w:tcPr>
            <w:tcW w:w="3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194,738</w:t>
            </w:r>
          </w:p>
        </w:tc>
        <w:tc>
          <w:tcPr>
            <w:tcW w:w="20" w:type="dxa"/>
            <w:vAlign w:val="bottom"/>
          </w:tcPr>
          <w:p>
            <w:pPr>
              <w:spacing w:after="0"/>
              <w:rPr>
                <w:sz w:val="18"/>
                <w:szCs w:val="18"/>
                <w:color w:val="auto"/>
              </w:rPr>
            </w:pPr>
          </w:p>
        </w:tc>
      </w:tr>
      <w:tr>
        <w:trPr>
          <w:trHeight w:val="231"/>
        </w:trPr>
        <w:tc>
          <w:tcPr>
            <w:tcW w:w="4140" w:type="dxa"/>
            <w:vAlign w:val="bottom"/>
          </w:tcPr>
          <w:p>
            <w:pPr>
              <w:ind w:left="160"/>
              <w:spacing w:after="0"/>
              <w:rPr>
                <w:sz w:val="20"/>
                <w:szCs w:val="20"/>
                <w:color w:val="auto"/>
              </w:rPr>
            </w:pPr>
            <w:r>
              <w:rPr>
                <w:rFonts w:ascii="Arial" w:cs="Arial" w:eastAsia="Arial" w:hAnsi="Arial"/>
                <w:sz w:val="16"/>
                <w:szCs w:val="16"/>
                <w:b w:val="1"/>
                <w:bCs w:val="1"/>
                <w:color w:val="0071CE"/>
              </w:rPr>
              <w:t>William Waddill</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4"/>
        </w:trPr>
        <w:tc>
          <w:tcPr>
            <w:tcW w:w="4140" w:type="dxa"/>
            <w:vAlign w:val="bottom"/>
          </w:tcPr>
          <w:p>
            <w:pPr>
              <w:ind w:left="160"/>
              <w:spacing w:after="0"/>
              <w:rPr>
                <w:sz w:val="20"/>
                <w:szCs w:val="20"/>
                <w:color w:val="auto"/>
              </w:rPr>
            </w:pPr>
            <w:r>
              <w:rPr>
                <w:rFonts w:ascii="Arial" w:cs="Arial" w:eastAsia="Arial" w:hAnsi="Arial"/>
                <w:sz w:val="16"/>
                <w:szCs w:val="16"/>
                <w:color w:val="auto"/>
              </w:rPr>
              <w:t>Director</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75,000</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7,500</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475,725</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70,000</w:t>
            </w: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30,000</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372,600</w:t>
            </w:r>
          </w:p>
        </w:tc>
        <w:tc>
          <w:tcPr>
            <w:tcW w:w="20" w:type="dxa"/>
            <w:vAlign w:val="bottom"/>
          </w:tcPr>
          <w:p>
            <w:pPr>
              <w:spacing w:after="0"/>
              <w:rPr>
                <w:sz w:val="17"/>
                <w:szCs w:val="17"/>
                <w:color w:val="auto"/>
              </w:rPr>
            </w:pPr>
          </w:p>
        </w:tc>
      </w:tr>
      <w:tr>
        <w:trPr>
          <w:trHeight w:val="241"/>
        </w:trPr>
        <w:tc>
          <w:tcPr>
            <w:tcW w:w="4140" w:type="dxa"/>
            <w:vAlign w:val="bottom"/>
            <w:shd w:val="clear" w:color="auto" w:fill="E5E5E5"/>
          </w:tcPr>
          <w:p>
            <w:pPr>
              <w:ind w:left="160"/>
              <w:spacing w:after="0"/>
              <w:rPr>
                <w:sz w:val="20"/>
                <w:szCs w:val="20"/>
                <w:color w:val="auto"/>
              </w:rPr>
            </w:pPr>
            <w:r>
              <w:rPr>
                <w:rFonts w:ascii="Arial" w:cs="Arial" w:eastAsia="Arial" w:hAnsi="Arial"/>
                <w:sz w:val="16"/>
                <w:szCs w:val="16"/>
                <w:b w:val="1"/>
                <w:bCs w:val="1"/>
                <w:color w:val="0071CE"/>
              </w:rPr>
              <w:t>Marianne De Backer</w:t>
            </w:r>
          </w:p>
        </w:tc>
        <w:tc>
          <w:tcPr>
            <w:tcW w:w="380" w:type="dxa"/>
            <w:vAlign w:val="bottom"/>
            <w:shd w:val="clear" w:color="auto" w:fill="E5E5E5"/>
          </w:tcPr>
          <w:p>
            <w:pPr>
              <w:spacing w:after="0"/>
              <w:rPr>
                <w:sz w:val="20"/>
                <w:szCs w:val="20"/>
                <w:color w:val="auto"/>
              </w:rPr>
            </w:pPr>
          </w:p>
        </w:tc>
        <w:tc>
          <w:tcPr>
            <w:tcW w:w="940" w:type="dxa"/>
            <w:vAlign w:val="bottom"/>
            <w:shd w:val="clear" w:color="auto" w:fill="E5E5E5"/>
          </w:tcPr>
          <w:p>
            <w:pPr>
              <w:spacing w:after="0"/>
              <w:rPr>
                <w:sz w:val="20"/>
                <w:szCs w:val="20"/>
                <w:color w:val="auto"/>
              </w:rPr>
            </w:pPr>
          </w:p>
        </w:tc>
        <w:tc>
          <w:tcPr>
            <w:tcW w:w="110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78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r>
      <w:tr>
        <w:trPr>
          <w:trHeight w:val="207"/>
        </w:trPr>
        <w:tc>
          <w:tcPr>
            <w:tcW w:w="4140" w:type="dxa"/>
            <w:vAlign w:val="bottom"/>
            <w:tcBorders>
              <w:bottom w:val="single" w:sz="8" w:color="0071CE"/>
            </w:tcBorders>
            <w:shd w:val="clear" w:color="auto" w:fill="E5E5E5"/>
          </w:tcPr>
          <w:p>
            <w:pPr>
              <w:ind w:left="160"/>
              <w:spacing w:after="0"/>
              <w:rPr>
                <w:sz w:val="20"/>
                <w:szCs w:val="20"/>
                <w:color w:val="auto"/>
              </w:rPr>
            </w:pPr>
            <w:r>
              <w:rPr>
                <w:rFonts w:ascii="Arial" w:cs="Arial" w:eastAsia="Arial" w:hAnsi="Arial"/>
                <w:sz w:val="16"/>
                <w:szCs w:val="16"/>
                <w:color w:val="auto"/>
              </w:rPr>
              <w:t>Director (5)</w:t>
            </w:r>
          </w:p>
        </w:tc>
        <w:tc>
          <w:tcPr>
            <w:tcW w:w="380" w:type="dxa"/>
            <w:vAlign w:val="bottom"/>
            <w:tcBorders>
              <w:bottom w:val="single" w:sz="8" w:color="0071CE"/>
            </w:tcBorders>
            <w:shd w:val="clear" w:color="auto" w:fill="E5E5E5"/>
          </w:tcPr>
          <w:p>
            <w:pPr>
              <w:ind w:left="2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0071CE"/>
            </w:tcBorders>
            <w:shd w:val="clear" w:color="auto" w:fill="E5E5E5"/>
          </w:tcPr>
          <w:p>
            <w:pPr>
              <w:jc w:val="right"/>
              <w:ind w:right="102"/>
              <w:spacing w:after="0"/>
              <w:rPr>
                <w:sz w:val="20"/>
                <w:szCs w:val="20"/>
                <w:color w:val="auto"/>
              </w:rPr>
            </w:pPr>
            <w:r>
              <w:rPr>
                <w:rFonts w:ascii="Arial" w:cs="Arial" w:eastAsia="Arial" w:hAnsi="Arial"/>
                <w:sz w:val="16"/>
                <w:szCs w:val="16"/>
                <w:color w:val="auto"/>
              </w:rPr>
              <w:t>70,000</w:t>
            </w:r>
          </w:p>
        </w:tc>
        <w:tc>
          <w:tcPr>
            <w:tcW w:w="1100" w:type="dxa"/>
            <w:vAlign w:val="bottom"/>
            <w:tcBorders>
              <w:bottom w:val="single" w:sz="8" w:color="0071CE"/>
            </w:tcBorders>
            <w:shd w:val="clear" w:color="auto" w:fill="E5E5E5"/>
          </w:tcPr>
          <w:p>
            <w:pPr>
              <w:jc w:val="right"/>
              <w:ind w:right="102"/>
              <w:spacing w:after="0"/>
              <w:rPr>
                <w:sz w:val="20"/>
                <w:szCs w:val="20"/>
                <w:color w:val="auto"/>
              </w:rPr>
            </w:pPr>
            <w:r>
              <w:rPr>
                <w:rFonts w:ascii="Arial" w:cs="Arial" w:eastAsia="Arial" w:hAnsi="Arial"/>
                <w:sz w:val="16"/>
                <w:szCs w:val="16"/>
                <w:color w:val="auto"/>
              </w:rPr>
              <w:t>7,500</w:t>
            </w:r>
          </w:p>
        </w:tc>
        <w:tc>
          <w:tcPr>
            <w:tcW w:w="300" w:type="dxa"/>
            <w:vAlign w:val="bottom"/>
            <w:tcBorders>
              <w:bottom w:val="single" w:sz="8" w:color="0071CE"/>
            </w:tcBorders>
            <w:shd w:val="clear" w:color="auto" w:fill="E5E5E5"/>
          </w:tcPr>
          <w:p>
            <w:pPr>
              <w:ind w:left="1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0071CE"/>
            </w:tcBorders>
            <w:shd w:val="clear" w:color="auto" w:fill="E5E5E5"/>
          </w:tcPr>
          <w:p>
            <w:pPr>
              <w:jc w:val="right"/>
              <w:ind w:right="79"/>
              <w:spacing w:after="0"/>
              <w:rPr>
                <w:sz w:val="20"/>
                <w:szCs w:val="20"/>
                <w:color w:val="auto"/>
              </w:rPr>
            </w:pPr>
            <w:r>
              <w:rPr>
                <w:rFonts w:ascii="Arial" w:cs="Arial" w:eastAsia="Arial" w:hAnsi="Arial"/>
                <w:sz w:val="16"/>
                <w:szCs w:val="16"/>
                <w:color w:val="auto"/>
              </w:rPr>
              <w:t>475,725</w:t>
            </w:r>
          </w:p>
        </w:tc>
        <w:tc>
          <w:tcPr>
            <w:tcW w:w="280" w:type="dxa"/>
            <w:vAlign w:val="bottom"/>
            <w:tcBorders>
              <w:bottom w:val="single" w:sz="8" w:color="0071CE"/>
            </w:tcBorders>
            <w:shd w:val="clear" w:color="auto" w:fill="E5E5E5"/>
          </w:tcPr>
          <w:p>
            <w:pPr>
              <w:ind w:left="18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0071CE"/>
            </w:tcBorders>
            <w:shd w:val="clear" w:color="auto" w:fill="E5E5E5"/>
          </w:tcPr>
          <w:p>
            <w:pPr>
              <w:jc w:val="right"/>
              <w:ind w:right="82"/>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0071CE"/>
            </w:tcBorders>
            <w:shd w:val="clear" w:color="auto" w:fill="E5E5E5"/>
          </w:tcPr>
          <w:p>
            <w:pPr>
              <w:jc w:val="right"/>
              <w:ind w:right="42"/>
              <w:spacing w:after="0"/>
              <w:rPr>
                <w:sz w:val="20"/>
                <w:szCs w:val="20"/>
                <w:color w:val="auto"/>
              </w:rPr>
            </w:pPr>
            <w:r>
              <w:rPr>
                <w:rFonts w:ascii="Arial" w:cs="Arial" w:eastAsia="Arial" w:hAnsi="Arial"/>
                <w:sz w:val="16"/>
                <w:szCs w:val="16"/>
                <w:color w:val="auto"/>
              </w:rPr>
              <w:t>5,000</w:t>
            </w:r>
          </w:p>
        </w:tc>
        <w:tc>
          <w:tcPr>
            <w:tcW w:w="300" w:type="dxa"/>
            <w:vAlign w:val="bottom"/>
            <w:tcBorders>
              <w:bottom w:val="single" w:sz="8" w:color="0071CE"/>
            </w:tcBorders>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0071CE"/>
            </w:tcBorders>
            <w:shd w:val="clear" w:color="auto" w:fill="E5E5E5"/>
          </w:tcPr>
          <w:p>
            <w:pPr>
              <w:jc w:val="right"/>
              <w:ind w:right="39"/>
              <w:spacing w:after="0"/>
              <w:rPr>
                <w:sz w:val="20"/>
                <w:szCs w:val="20"/>
                <w:color w:val="auto"/>
              </w:rPr>
            </w:pPr>
            <w:r>
              <w:rPr>
                <w:rFonts w:ascii="Arial" w:cs="Arial" w:eastAsia="Arial" w:hAnsi="Arial"/>
                <w:sz w:val="16"/>
                <w:szCs w:val="16"/>
                <w:color w:val="auto"/>
              </w:rPr>
              <w:t>336,600</w:t>
            </w:r>
          </w:p>
        </w:tc>
        <w:tc>
          <w:tcPr>
            <w:tcW w:w="20" w:type="dxa"/>
            <w:vAlign w:val="bottom"/>
          </w:tcPr>
          <w:p>
            <w:pPr>
              <w:spacing w:after="0"/>
              <w:rPr>
                <w:sz w:val="18"/>
                <w:szCs w:val="18"/>
                <w:color w:val="auto"/>
              </w:rPr>
            </w:pPr>
          </w:p>
        </w:tc>
      </w:tr>
    </w:tbl>
    <w:p>
      <w:pPr>
        <w:spacing w:after="0" w:line="86" w:lineRule="exact"/>
        <w:rPr>
          <w:sz w:val="20"/>
          <w:szCs w:val="20"/>
          <w:color w:val="auto"/>
        </w:rPr>
      </w:pPr>
    </w:p>
    <w:p>
      <w:pPr>
        <w:ind w:left="640" w:hanging="430"/>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annual fee for 2020 service is summarized as follows:</w:t>
      </w:r>
    </w:p>
    <w:p>
      <w:pPr>
        <w:spacing w:after="0" w:line="81" w:lineRule="exact"/>
        <w:rPr>
          <w:rFonts w:ascii="Arial" w:cs="Arial" w:eastAsia="Arial" w:hAnsi="Arial"/>
          <w:sz w:val="14"/>
          <w:szCs w:val="14"/>
          <w:color w:val="auto"/>
        </w:rPr>
      </w:pPr>
    </w:p>
    <w:p>
      <w:pPr>
        <w:ind w:left="960" w:hanging="318"/>
        <w:spacing w:after="0"/>
        <w:tabs>
          <w:tab w:leader="none" w:pos="9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Dr. Given will receive $80,000 for his service as the Chairman of the Board and $5,000 for his service on the Science Committee.</w:t>
      </w:r>
    </w:p>
    <w:p>
      <w:pPr>
        <w:spacing w:after="0" w:line="81" w:lineRule="exact"/>
        <w:rPr>
          <w:rFonts w:ascii="Arial" w:cs="Arial" w:eastAsia="Arial" w:hAnsi="Arial"/>
          <w:sz w:val="14"/>
          <w:szCs w:val="14"/>
          <w:color w:val="auto"/>
        </w:rPr>
      </w:pPr>
    </w:p>
    <w:p>
      <w:pPr>
        <w:ind w:left="960" w:right="200" w:hanging="318"/>
        <w:spacing w:after="0" w:line="257" w:lineRule="auto"/>
        <w:tabs>
          <w:tab w:leader="none" w:pos="9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Dr. Perry will receive $50,000 for his service as the Lead Director, $15,000 for his service as the Compensation Committee Chairman, $5,000 for his service as the Nominating Committee Chairman, and a total of $10,000 for his service on the Audit and Science Committees.</w:t>
      </w:r>
    </w:p>
    <w:p>
      <w:pPr>
        <w:spacing w:after="0" w:line="59" w:lineRule="exact"/>
        <w:rPr>
          <w:rFonts w:ascii="Arial" w:cs="Arial" w:eastAsia="Arial" w:hAnsi="Arial"/>
          <w:sz w:val="14"/>
          <w:szCs w:val="14"/>
          <w:color w:val="auto"/>
        </w:rPr>
      </w:pPr>
    </w:p>
    <w:p>
      <w:pPr>
        <w:ind w:left="960" w:right="400" w:hanging="318"/>
        <w:spacing w:after="0" w:line="257" w:lineRule="auto"/>
        <w:tabs>
          <w:tab w:leader="none" w:pos="9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Dr. Ferrari will receive $45,000 for his service as a Company director, $15,000 for his service as the Science Committee Chairman, a total of $10,000 for his service on the Nominating and Compensation Committees, and $50,000 for his service on a special board project.</w:t>
      </w:r>
    </w:p>
    <w:p>
      <w:pPr>
        <w:spacing w:after="0" w:line="59" w:lineRule="exact"/>
        <w:rPr>
          <w:rFonts w:ascii="Arial" w:cs="Arial" w:eastAsia="Arial" w:hAnsi="Arial"/>
          <w:sz w:val="14"/>
          <w:szCs w:val="14"/>
          <w:color w:val="auto"/>
        </w:rPr>
      </w:pPr>
    </w:p>
    <w:p>
      <w:pPr>
        <w:ind w:left="960" w:right="240" w:hanging="318"/>
        <w:spacing w:after="0" w:line="257" w:lineRule="auto"/>
        <w:tabs>
          <w:tab w:leader="none" w:pos="9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Mr. Waddill will receive $45,000 for his service as a Company director, $20,000 for his service as the Audit Committee Chairman, and a total of $10,000 for his service on the Nominating and Compensation Committees.</w:t>
      </w:r>
    </w:p>
    <w:p>
      <w:pPr>
        <w:spacing w:after="0" w:line="59" w:lineRule="exact"/>
        <w:rPr>
          <w:rFonts w:ascii="Arial" w:cs="Arial" w:eastAsia="Arial" w:hAnsi="Arial"/>
          <w:sz w:val="14"/>
          <w:szCs w:val="14"/>
          <w:color w:val="auto"/>
        </w:rPr>
      </w:pPr>
    </w:p>
    <w:p>
      <w:pPr>
        <w:ind w:left="960" w:right="660" w:hanging="318"/>
        <w:spacing w:after="0" w:line="257" w:lineRule="auto"/>
        <w:tabs>
          <w:tab w:leader="none" w:pos="9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Dr. De Backer will receive $45,000 for her service as a Company director, a total of $15,000 for her service on the Audit, Compensation and Nominating Committees, and a $10,000 sign on bonus.</w:t>
      </w:r>
    </w:p>
    <w:p>
      <w:pPr>
        <w:spacing w:after="0" w:line="59" w:lineRule="exact"/>
        <w:rPr>
          <w:rFonts w:ascii="Arial" w:cs="Arial" w:eastAsia="Arial" w:hAnsi="Arial"/>
          <w:sz w:val="14"/>
          <w:szCs w:val="14"/>
          <w:color w:val="auto"/>
        </w:rPr>
      </w:pPr>
    </w:p>
    <w:p>
      <w:pPr>
        <w:ind w:left="640" w:right="340" w:hanging="430"/>
        <w:spacing w:after="0" w:line="249"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services in 2020, each non-employee director received a grant of 7,500 restricted stock units (“RSUs”). Additional grants of 500 RSUs were awarded for the service of the Chairman and the Lead Director. RSU grants to non-employee directors vest on the one-year anniversary of the date of grant. In 2019, the grant for each director was 30,000 RSUs with additional grants of 6,000 RSUs for the service of the Chairman and the Lead Director.</w:t>
      </w:r>
    </w:p>
    <w:p>
      <w:pPr>
        <w:spacing w:after="0" w:line="65" w:lineRule="exact"/>
        <w:rPr>
          <w:rFonts w:ascii="Arial" w:cs="Arial" w:eastAsia="Arial" w:hAnsi="Arial"/>
          <w:sz w:val="14"/>
          <w:szCs w:val="14"/>
          <w:color w:val="auto"/>
        </w:rPr>
      </w:pPr>
    </w:p>
    <w:p>
      <w:pPr>
        <w:ind w:left="640" w:hanging="430"/>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annual fee for 2019 service is summarized as follows:</w:t>
      </w:r>
    </w:p>
    <w:p>
      <w:pPr>
        <w:spacing w:after="0" w:line="81" w:lineRule="exact"/>
        <w:rPr>
          <w:rFonts w:ascii="Arial" w:cs="Arial" w:eastAsia="Arial" w:hAnsi="Arial"/>
          <w:sz w:val="14"/>
          <w:szCs w:val="14"/>
          <w:color w:val="auto"/>
        </w:rPr>
      </w:pPr>
    </w:p>
    <w:p>
      <w:pPr>
        <w:ind w:left="960" w:hanging="318"/>
        <w:spacing w:after="0"/>
        <w:tabs>
          <w:tab w:leader="none" w:pos="9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Dr. Given received $75,000 for his service as the Chairman of the Board, and $5,000 for his service on the Board’s Science Committee.</w:t>
      </w:r>
    </w:p>
    <w:p>
      <w:pPr>
        <w:spacing w:after="0" w:line="81" w:lineRule="exact"/>
        <w:rPr>
          <w:rFonts w:ascii="Arial" w:cs="Arial" w:eastAsia="Arial" w:hAnsi="Arial"/>
          <w:sz w:val="14"/>
          <w:szCs w:val="14"/>
          <w:color w:val="auto"/>
        </w:rPr>
      </w:pPr>
    </w:p>
    <w:p>
      <w:pPr>
        <w:ind w:left="960" w:right="120" w:hanging="318"/>
        <w:spacing w:after="0" w:line="257" w:lineRule="auto"/>
        <w:tabs>
          <w:tab w:leader="none" w:pos="9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Dr. Perry received $50,000 for his service as the Lead Director, $15,000 for his service as the Compensation Committee Chairman and a total of $15,000 for his service on the Nominating, Science and Audit Committees.</w:t>
      </w:r>
    </w:p>
    <w:p>
      <w:pPr>
        <w:spacing w:after="0" w:line="59" w:lineRule="exact"/>
        <w:rPr>
          <w:rFonts w:ascii="Arial" w:cs="Arial" w:eastAsia="Arial" w:hAnsi="Arial"/>
          <w:sz w:val="14"/>
          <w:szCs w:val="14"/>
          <w:color w:val="auto"/>
        </w:rPr>
      </w:pPr>
    </w:p>
    <w:p>
      <w:pPr>
        <w:ind w:left="960" w:right="200" w:hanging="318"/>
        <w:spacing w:after="0" w:line="257" w:lineRule="auto"/>
        <w:tabs>
          <w:tab w:leader="none" w:pos="9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Dr. Ferrari received $40,000 for his service as a Company director, $10,000 for his service as the Science Committee Chairman, $15,000 for his service on the Nominating, Audit and Compensation Committees and $70,556 for his service on a special board project that was initiated in April 2019.</w:t>
      </w:r>
    </w:p>
    <w:p>
      <w:pPr>
        <w:spacing w:after="0" w:line="59" w:lineRule="exact"/>
        <w:rPr>
          <w:rFonts w:ascii="Arial" w:cs="Arial" w:eastAsia="Arial" w:hAnsi="Arial"/>
          <w:sz w:val="14"/>
          <w:szCs w:val="14"/>
          <w:color w:val="auto"/>
        </w:rPr>
      </w:pPr>
    </w:p>
    <w:p>
      <w:pPr>
        <w:ind w:left="960" w:right="400" w:hanging="318"/>
        <w:spacing w:after="0" w:line="257" w:lineRule="auto"/>
        <w:tabs>
          <w:tab w:leader="none" w:pos="960" w:val="left"/>
        </w:tabs>
        <w:numPr>
          <w:ilvl w:val="1"/>
          <w:numId w:val="20"/>
        </w:numPr>
        <w:rPr>
          <w:rFonts w:ascii="Arial" w:cs="Arial" w:eastAsia="Arial" w:hAnsi="Arial"/>
          <w:sz w:val="14"/>
          <w:szCs w:val="14"/>
          <w:color w:val="auto"/>
        </w:rPr>
      </w:pPr>
      <w:r>
        <w:rPr>
          <w:rFonts w:ascii="Arial" w:cs="Arial" w:eastAsia="Arial" w:hAnsi="Arial"/>
          <w:sz w:val="14"/>
          <w:szCs w:val="14"/>
          <w:color w:val="auto"/>
        </w:rPr>
        <w:t>Mr. Waddill received $40,000 for his service as a Company director, $20,000 for his service as the Audit Committee Chairman, and a total of $10,000 for his service on the Nominating and Compensation Committees.</w:t>
      </w:r>
    </w:p>
    <w:p>
      <w:pPr>
        <w:spacing w:after="0" w:line="59" w:lineRule="exact"/>
        <w:rPr>
          <w:rFonts w:ascii="Arial" w:cs="Arial" w:eastAsia="Arial" w:hAnsi="Arial"/>
          <w:sz w:val="14"/>
          <w:szCs w:val="14"/>
          <w:color w:val="auto"/>
        </w:rPr>
      </w:pPr>
    </w:p>
    <w:p>
      <w:pPr>
        <w:ind w:left="640" w:hanging="430"/>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2019, Dr. Ferrari’s stock awards were lower than the other directors because his compensation had historically been limited based on the policies of his employer.</w:t>
      </w:r>
    </w:p>
    <w:p>
      <w:pPr>
        <w:spacing w:after="0" w:line="81" w:lineRule="exact"/>
        <w:rPr>
          <w:rFonts w:ascii="Arial" w:cs="Arial" w:eastAsia="Arial" w:hAnsi="Arial"/>
          <w:sz w:val="14"/>
          <w:szCs w:val="14"/>
          <w:color w:val="auto"/>
        </w:rPr>
      </w:pPr>
    </w:p>
    <w:p>
      <w:pPr>
        <w:ind w:left="640" w:right="40" w:hanging="430"/>
        <w:spacing w:after="0" w:line="257"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Dr. De Backer joined the board in December 2019, and as such, she did not receive an annual cash fee in 2019. Dr. De Backer was awarded a grant of 5,000 RSUs in December 2019 as a sign-on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78105</wp:posOffset>
            </wp:positionV>
            <wp:extent cx="98488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700"/>
        <w:spacing w:after="0"/>
        <w:tabs>
          <w:tab w:leader="none" w:pos="960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Director Compensation</w:t>
      </w:r>
    </w:p>
    <w:p>
      <w:pPr>
        <w:spacing w:after="0" w:line="164" w:lineRule="exact"/>
        <w:rPr>
          <w:sz w:val="20"/>
          <w:szCs w:val="20"/>
          <w:color w:val="auto"/>
        </w:rPr>
      </w:pPr>
    </w:p>
    <w:p>
      <w:pPr>
        <w:ind w:left="220" w:right="360"/>
        <w:spacing w:after="0" w:line="260" w:lineRule="auto"/>
        <w:rPr>
          <w:sz w:val="20"/>
          <w:szCs w:val="20"/>
          <w:color w:val="auto"/>
        </w:rPr>
      </w:pPr>
      <w:r>
        <w:rPr>
          <w:rFonts w:ascii="Arial" w:cs="Arial" w:eastAsia="Arial" w:hAnsi="Arial"/>
          <w:sz w:val="16"/>
          <w:szCs w:val="16"/>
          <w:color w:val="auto"/>
        </w:rPr>
        <w:t>The following table sets forth the total compensation paid to our non-employee directors in fiscal 2019. Dr. Anzalone’s compensation is set forth in the discussion of Executive Compensation and in the Summary Compensation Table.</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7580" w:type="dxa"/>
            <w:vAlign w:val="bottom"/>
            <w:shd w:val="clear" w:color="auto" w:fill="0071CE"/>
          </w:tcPr>
          <w:p>
            <w:pPr>
              <w:spacing w:after="0"/>
              <w:rPr>
                <w:sz w:val="15"/>
                <w:szCs w:val="15"/>
                <w:color w:val="auto"/>
              </w:rPr>
            </w:pPr>
          </w:p>
        </w:tc>
        <w:tc>
          <w:tcPr>
            <w:tcW w:w="1360" w:type="dxa"/>
            <w:vAlign w:val="bottom"/>
            <w:gridSpan w:val="2"/>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rPr>
              <w:t>Fee Earned</w:t>
            </w:r>
          </w:p>
        </w:tc>
        <w:tc>
          <w:tcPr>
            <w:tcW w:w="1100" w:type="dxa"/>
            <w:vAlign w:val="bottom"/>
            <w:shd w:val="clear" w:color="auto" w:fill="0071CE"/>
          </w:tcPr>
          <w:p>
            <w:pPr>
              <w:spacing w:after="0"/>
              <w:rPr>
                <w:sz w:val="15"/>
                <w:szCs w:val="15"/>
                <w:color w:val="auto"/>
              </w:rPr>
            </w:pPr>
          </w:p>
        </w:tc>
        <w:tc>
          <w:tcPr>
            <w:tcW w:w="960" w:type="dxa"/>
            <w:vAlign w:val="bottom"/>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r>
      <w:tr>
        <w:trPr>
          <w:trHeight w:val="162"/>
        </w:trPr>
        <w:tc>
          <w:tcPr>
            <w:tcW w:w="7580" w:type="dxa"/>
            <w:vAlign w:val="bottom"/>
            <w:shd w:val="clear" w:color="auto" w:fill="0071CE"/>
          </w:tcPr>
          <w:p>
            <w:pPr>
              <w:spacing w:after="0"/>
              <w:rPr>
                <w:sz w:val="14"/>
                <w:szCs w:val="14"/>
                <w:color w:val="auto"/>
              </w:rPr>
            </w:pPr>
          </w:p>
        </w:tc>
        <w:tc>
          <w:tcPr>
            <w:tcW w:w="500" w:type="dxa"/>
            <w:vAlign w:val="bottom"/>
            <w:shd w:val="clear" w:color="auto" w:fill="0071CE"/>
          </w:tcPr>
          <w:p>
            <w:pPr>
              <w:spacing w:after="0"/>
              <w:rPr>
                <w:sz w:val="14"/>
                <w:szCs w:val="14"/>
                <w:color w:val="auto"/>
              </w:rPr>
            </w:pPr>
          </w:p>
        </w:tc>
        <w:tc>
          <w:tcPr>
            <w:tcW w:w="860" w:type="dxa"/>
            <w:vAlign w:val="bottom"/>
            <w:shd w:val="clear" w:color="auto" w:fill="0071CE"/>
          </w:tcPr>
          <w:p>
            <w:pPr>
              <w:jc w:val="center"/>
              <w:ind w:right="282"/>
              <w:spacing w:after="0"/>
              <w:rPr>
                <w:sz w:val="20"/>
                <w:szCs w:val="20"/>
                <w:color w:val="auto"/>
              </w:rPr>
            </w:pPr>
            <w:r>
              <w:rPr>
                <w:rFonts w:ascii="Arial" w:cs="Arial" w:eastAsia="Arial" w:hAnsi="Arial"/>
                <w:sz w:val="14"/>
                <w:szCs w:val="14"/>
                <w:b w:val="1"/>
                <w:bCs w:val="1"/>
                <w:color w:val="FFFFFF"/>
                <w:w w:val="99"/>
              </w:rPr>
              <w:t>or</w:t>
            </w:r>
          </w:p>
        </w:tc>
        <w:tc>
          <w:tcPr>
            <w:tcW w:w="1100" w:type="dxa"/>
            <w:vAlign w:val="bottom"/>
            <w:shd w:val="clear" w:color="auto" w:fill="0071CE"/>
          </w:tcPr>
          <w:p>
            <w:pPr>
              <w:jc w:val="right"/>
              <w:ind w:right="282"/>
              <w:spacing w:after="0"/>
              <w:rPr>
                <w:sz w:val="20"/>
                <w:szCs w:val="20"/>
                <w:color w:val="auto"/>
              </w:rPr>
            </w:pPr>
            <w:r>
              <w:rPr>
                <w:rFonts w:ascii="Arial" w:cs="Arial" w:eastAsia="Arial" w:hAnsi="Arial"/>
                <w:sz w:val="14"/>
                <w:szCs w:val="14"/>
                <w:b w:val="1"/>
                <w:bCs w:val="1"/>
                <w:color w:val="FFFFFF"/>
              </w:rPr>
              <w:t>Stock</w:t>
            </w:r>
          </w:p>
        </w:tc>
        <w:tc>
          <w:tcPr>
            <w:tcW w:w="96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162"/>
        </w:trPr>
        <w:tc>
          <w:tcPr>
            <w:tcW w:w="7580" w:type="dxa"/>
            <w:vAlign w:val="bottom"/>
            <w:shd w:val="clear" w:color="auto" w:fill="0071CE"/>
          </w:tcPr>
          <w:p>
            <w:pPr>
              <w:spacing w:after="0"/>
              <w:rPr>
                <w:sz w:val="14"/>
                <w:szCs w:val="14"/>
                <w:color w:val="auto"/>
              </w:rPr>
            </w:pPr>
          </w:p>
        </w:tc>
        <w:tc>
          <w:tcPr>
            <w:tcW w:w="1360" w:type="dxa"/>
            <w:vAlign w:val="bottom"/>
            <w:gridSpan w:val="2"/>
            <w:shd w:val="clear" w:color="auto" w:fill="0071CE"/>
          </w:tcPr>
          <w:p>
            <w:pPr>
              <w:ind w:left="320"/>
              <w:spacing w:after="0"/>
              <w:rPr>
                <w:sz w:val="20"/>
                <w:szCs w:val="20"/>
                <w:color w:val="auto"/>
              </w:rPr>
            </w:pPr>
            <w:r>
              <w:rPr>
                <w:rFonts w:ascii="Arial" w:cs="Arial" w:eastAsia="Arial" w:hAnsi="Arial"/>
                <w:sz w:val="14"/>
                <w:szCs w:val="14"/>
                <w:b w:val="1"/>
                <w:bCs w:val="1"/>
                <w:color w:val="FFFFFF"/>
              </w:rPr>
              <w:t>Paid in Cash</w:t>
            </w:r>
          </w:p>
        </w:tc>
        <w:tc>
          <w:tcPr>
            <w:tcW w:w="1100" w:type="dxa"/>
            <w:vAlign w:val="bottom"/>
            <w:shd w:val="clear" w:color="auto" w:fill="0071CE"/>
          </w:tcPr>
          <w:p>
            <w:pPr>
              <w:jc w:val="right"/>
              <w:ind w:right="102"/>
              <w:spacing w:after="0"/>
              <w:rPr>
                <w:sz w:val="20"/>
                <w:szCs w:val="20"/>
                <w:color w:val="auto"/>
              </w:rPr>
            </w:pPr>
            <w:r>
              <w:rPr>
                <w:rFonts w:ascii="Arial" w:cs="Arial" w:eastAsia="Arial" w:hAnsi="Arial"/>
                <w:sz w:val="14"/>
                <w:szCs w:val="14"/>
                <w:b w:val="1"/>
                <w:bCs w:val="1"/>
                <w:color w:val="FFFFFF"/>
              </w:rPr>
              <w:t>Awards ($)</w:t>
            </w:r>
          </w:p>
        </w:tc>
        <w:tc>
          <w:tcPr>
            <w:tcW w:w="96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209"/>
        </w:trPr>
        <w:tc>
          <w:tcPr>
            <w:tcW w:w="7580" w:type="dxa"/>
            <w:vAlign w:val="bottom"/>
            <w:tcBorders>
              <w:bottom w:val="single" w:sz="8" w:color="0071CE"/>
            </w:tcBorders>
            <w:shd w:val="clear" w:color="auto" w:fill="0071CE"/>
          </w:tcPr>
          <w:p>
            <w:pPr>
              <w:ind w:left="140"/>
              <w:spacing w:after="0"/>
              <w:rPr>
                <w:sz w:val="20"/>
                <w:szCs w:val="20"/>
                <w:color w:val="auto"/>
              </w:rPr>
            </w:pPr>
            <w:r>
              <w:rPr>
                <w:rFonts w:ascii="Arial" w:cs="Arial" w:eastAsia="Arial" w:hAnsi="Arial"/>
                <w:sz w:val="14"/>
                <w:szCs w:val="14"/>
                <w:b w:val="1"/>
                <w:bCs w:val="1"/>
                <w:color w:val="FFFFFF"/>
              </w:rPr>
              <w:t>Name</w:t>
            </w:r>
          </w:p>
        </w:tc>
        <w:tc>
          <w:tcPr>
            <w:tcW w:w="500" w:type="dxa"/>
            <w:vAlign w:val="bottom"/>
            <w:tcBorders>
              <w:bottom w:val="single" w:sz="8" w:color="0071CE"/>
            </w:tcBorders>
            <w:shd w:val="clear" w:color="auto" w:fill="0071CE"/>
          </w:tcPr>
          <w:p>
            <w:pPr>
              <w:spacing w:after="0"/>
              <w:rPr>
                <w:sz w:val="18"/>
                <w:szCs w:val="18"/>
                <w:color w:val="auto"/>
              </w:rPr>
            </w:pPr>
          </w:p>
        </w:tc>
        <w:tc>
          <w:tcPr>
            <w:tcW w:w="860" w:type="dxa"/>
            <w:vAlign w:val="bottom"/>
            <w:tcBorders>
              <w:bottom w:val="single" w:sz="8" w:color="0071CE"/>
            </w:tcBorders>
            <w:shd w:val="clear" w:color="auto" w:fill="0071CE"/>
          </w:tcPr>
          <w:p>
            <w:pPr>
              <w:jc w:val="center"/>
              <w:ind w:right="282"/>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(1) (2)</w:t>
            </w:r>
          </w:p>
        </w:tc>
        <w:tc>
          <w:tcPr>
            <w:tcW w:w="960" w:type="dxa"/>
            <w:vAlign w:val="bottom"/>
            <w:tcBorders>
              <w:bottom w:val="single" w:sz="8" w:color="0071CE"/>
            </w:tcBorders>
            <w:shd w:val="clear" w:color="auto" w:fill="0071CE"/>
          </w:tcPr>
          <w:p>
            <w:pPr>
              <w:jc w:val="right"/>
              <w:ind w:right="81"/>
              <w:spacing w:after="0"/>
              <w:rPr>
                <w:sz w:val="20"/>
                <w:szCs w:val="20"/>
                <w:color w:val="auto"/>
              </w:rPr>
            </w:pPr>
            <w:r>
              <w:rPr>
                <w:rFonts w:ascii="Arial" w:cs="Arial" w:eastAsia="Arial" w:hAnsi="Arial"/>
                <w:sz w:val="14"/>
                <w:szCs w:val="14"/>
                <w:b w:val="1"/>
                <w:bCs w:val="1"/>
                <w:color w:val="FFFFFF"/>
              </w:rPr>
              <w:t>Total ($)</w:t>
            </w:r>
          </w:p>
        </w:tc>
        <w:tc>
          <w:tcPr>
            <w:tcW w:w="20" w:type="dxa"/>
            <w:vAlign w:val="bottom"/>
            <w:tcBorders>
              <w:bottom w:val="single" w:sz="8" w:color="0071CE"/>
            </w:tcBorders>
            <w:shd w:val="clear" w:color="auto" w:fill="0071CE"/>
          </w:tcPr>
          <w:p>
            <w:pPr>
              <w:spacing w:after="0"/>
              <w:rPr>
                <w:sz w:val="18"/>
                <w:szCs w:val="18"/>
                <w:color w:val="auto"/>
              </w:rPr>
            </w:pPr>
          </w:p>
        </w:tc>
      </w:tr>
      <w:tr>
        <w:trPr>
          <w:trHeight w:val="256"/>
        </w:trPr>
        <w:tc>
          <w:tcPr>
            <w:tcW w:w="7580" w:type="dxa"/>
            <w:vAlign w:val="bottom"/>
            <w:shd w:val="clear" w:color="auto" w:fill="E5E5E5"/>
          </w:tcPr>
          <w:p>
            <w:pPr>
              <w:ind w:left="160"/>
              <w:spacing w:after="0"/>
              <w:rPr>
                <w:sz w:val="20"/>
                <w:szCs w:val="20"/>
                <w:color w:val="auto"/>
              </w:rPr>
            </w:pPr>
            <w:r>
              <w:rPr>
                <w:rFonts w:ascii="Arial" w:cs="Arial" w:eastAsia="Arial" w:hAnsi="Arial"/>
                <w:sz w:val="16"/>
                <w:szCs w:val="16"/>
                <w:color w:val="auto"/>
              </w:rPr>
              <w:t>Douglass Given</w:t>
            </w:r>
          </w:p>
        </w:tc>
        <w:tc>
          <w:tcPr>
            <w:tcW w:w="5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78,438</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$ 447,120</w:t>
            </w:r>
          </w:p>
        </w:tc>
        <w:tc>
          <w:tcPr>
            <w:tcW w:w="9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$525,558</w:t>
            </w:r>
          </w:p>
        </w:tc>
        <w:tc>
          <w:tcPr>
            <w:tcW w:w="20" w:type="dxa"/>
            <w:vAlign w:val="bottom"/>
          </w:tcPr>
          <w:p>
            <w:pPr>
              <w:spacing w:after="0"/>
              <w:rPr>
                <w:sz w:val="22"/>
                <w:szCs w:val="22"/>
                <w:color w:val="auto"/>
              </w:rPr>
            </w:pPr>
          </w:p>
        </w:tc>
      </w:tr>
      <w:tr>
        <w:trPr>
          <w:trHeight w:val="247"/>
        </w:trPr>
        <w:tc>
          <w:tcPr>
            <w:tcW w:w="7580" w:type="dxa"/>
            <w:vAlign w:val="bottom"/>
          </w:tcPr>
          <w:p>
            <w:pPr>
              <w:ind w:left="160"/>
              <w:spacing w:after="0"/>
              <w:rPr>
                <w:sz w:val="20"/>
                <w:szCs w:val="20"/>
                <w:color w:val="auto"/>
              </w:rPr>
            </w:pPr>
            <w:r>
              <w:rPr>
                <w:rFonts w:ascii="Arial" w:cs="Arial" w:eastAsia="Arial" w:hAnsi="Arial"/>
                <w:sz w:val="16"/>
                <w:szCs w:val="16"/>
                <w:color w:val="auto"/>
              </w:rPr>
              <w:t>Michael S. Perry</w:t>
            </w:r>
          </w:p>
        </w:tc>
        <w:tc>
          <w:tcPr>
            <w:tcW w:w="500" w:type="dxa"/>
            <w:vAlign w:val="bottom"/>
          </w:tcPr>
          <w:p>
            <w:pPr>
              <w:ind w:left="3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75,813</w:t>
            </w:r>
          </w:p>
        </w:tc>
        <w:tc>
          <w:tcPr>
            <w:tcW w:w="1100" w:type="dxa"/>
            <w:vAlign w:val="bottom"/>
          </w:tcPr>
          <w:p>
            <w:pPr>
              <w:jc w:val="center"/>
              <w:spacing w:after="0"/>
              <w:rPr>
                <w:sz w:val="20"/>
                <w:szCs w:val="20"/>
                <w:color w:val="auto"/>
              </w:rPr>
            </w:pPr>
            <w:r>
              <w:rPr>
                <w:rFonts w:ascii="Arial" w:cs="Arial" w:eastAsia="Arial" w:hAnsi="Arial"/>
                <w:sz w:val="16"/>
                <w:szCs w:val="16"/>
                <w:color w:val="auto"/>
              </w:rPr>
              <w:t>$ 447,120</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$522,933</w:t>
            </w:r>
          </w:p>
        </w:tc>
        <w:tc>
          <w:tcPr>
            <w:tcW w:w="20" w:type="dxa"/>
            <w:vAlign w:val="bottom"/>
          </w:tcPr>
          <w:p>
            <w:pPr>
              <w:spacing w:after="0"/>
              <w:rPr>
                <w:sz w:val="21"/>
                <w:szCs w:val="21"/>
                <w:color w:val="auto"/>
              </w:rPr>
            </w:pPr>
          </w:p>
        </w:tc>
      </w:tr>
      <w:tr>
        <w:trPr>
          <w:trHeight w:val="266"/>
        </w:trPr>
        <w:tc>
          <w:tcPr>
            <w:tcW w:w="7580" w:type="dxa"/>
            <w:vAlign w:val="bottom"/>
            <w:shd w:val="clear" w:color="auto" w:fill="E5E5E5"/>
          </w:tcPr>
          <w:p>
            <w:pPr>
              <w:ind w:left="160"/>
              <w:spacing w:after="0"/>
              <w:rPr>
                <w:sz w:val="20"/>
                <w:szCs w:val="20"/>
                <w:color w:val="auto"/>
              </w:rPr>
            </w:pPr>
            <w:r>
              <w:rPr>
                <w:rFonts w:ascii="Arial" w:cs="Arial" w:eastAsia="Arial" w:hAnsi="Arial"/>
                <w:sz w:val="16"/>
                <w:szCs w:val="16"/>
                <w:color w:val="auto"/>
              </w:rPr>
              <w:t>Mauro Ferrari (3)</w:t>
            </w:r>
          </w:p>
        </w:tc>
        <w:tc>
          <w:tcPr>
            <w:tcW w:w="5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107,431</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$ 194,738</w:t>
            </w:r>
          </w:p>
        </w:tc>
        <w:tc>
          <w:tcPr>
            <w:tcW w:w="9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$302,169</w:t>
            </w:r>
          </w:p>
        </w:tc>
        <w:tc>
          <w:tcPr>
            <w:tcW w:w="20" w:type="dxa"/>
            <w:vAlign w:val="bottom"/>
          </w:tcPr>
          <w:p>
            <w:pPr>
              <w:spacing w:after="0"/>
              <w:rPr>
                <w:sz w:val="23"/>
                <w:szCs w:val="23"/>
                <w:color w:val="auto"/>
              </w:rPr>
            </w:pPr>
          </w:p>
        </w:tc>
      </w:tr>
      <w:tr>
        <w:trPr>
          <w:trHeight w:val="247"/>
        </w:trPr>
        <w:tc>
          <w:tcPr>
            <w:tcW w:w="7580" w:type="dxa"/>
            <w:vAlign w:val="bottom"/>
          </w:tcPr>
          <w:p>
            <w:pPr>
              <w:ind w:left="160"/>
              <w:spacing w:after="0"/>
              <w:rPr>
                <w:sz w:val="20"/>
                <w:szCs w:val="20"/>
                <w:color w:val="auto"/>
              </w:rPr>
            </w:pPr>
            <w:r>
              <w:rPr>
                <w:rFonts w:ascii="Arial" w:cs="Arial" w:eastAsia="Arial" w:hAnsi="Arial"/>
                <w:sz w:val="16"/>
                <w:szCs w:val="16"/>
                <w:color w:val="auto"/>
              </w:rPr>
              <w:t>William Waddill</w:t>
            </w:r>
          </w:p>
        </w:tc>
        <w:tc>
          <w:tcPr>
            <w:tcW w:w="500" w:type="dxa"/>
            <w:vAlign w:val="bottom"/>
          </w:tcPr>
          <w:p>
            <w:pPr>
              <w:ind w:left="3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64,375</w:t>
            </w:r>
          </w:p>
        </w:tc>
        <w:tc>
          <w:tcPr>
            <w:tcW w:w="1100" w:type="dxa"/>
            <w:vAlign w:val="bottom"/>
          </w:tcPr>
          <w:p>
            <w:pPr>
              <w:jc w:val="center"/>
              <w:spacing w:after="0"/>
              <w:rPr>
                <w:sz w:val="20"/>
                <w:szCs w:val="20"/>
                <w:color w:val="auto"/>
              </w:rPr>
            </w:pPr>
            <w:r>
              <w:rPr>
                <w:rFonts w:ascii="Arial" w:cs="Arial" w:eastAsia="Arial" w:hAnsi="Arial"/>
                <w:sz w:val="16"/>
                <w:szCs w:val="16"/>
                <w:color w:val="auto"/>
              </w:rPr>
              <w:t>$ 372,600</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$436,975</w:t>
            </w:r>
          </w:p>
        </w:tc>
        <w:tc>
          <w:tcPr>
            <w:tcW w:w="20" w:type="dxa"/>
            <w:vAlign w:val="bottom"/>
          </w:tcPr>
          <w:p>
            <w:pPr>
              <w:spacing w:after="0"/>
              <w:rPr>
                <w:sz w:val="21"/>
                <w:szCs w:val="21"/>
                <w:color w:val="auto"/>
              </w:rPr>
            </w:pPr>
          </w:p>
        </w:tc>
      </w:tr>
      <w:tr>
        <w:trPr>
          <w:trHeight w:val="260"/>
        </w:trPr>
        <w:tc>
          <w:tcPr>
            <w:tcW w:w="7580" w:type="dxa"/>
            <w:vAlign w:val="bottom"/>
            <w:tcBorders>
              <w:bottom w:val="single" w:sz="8" w:color="0071CE"/>
            </w:tcBorders>
            <w:shd w:val="clear" w:color="auto" w:fill="E5E5E5"/>
          </w:tcPr>
          <w:p>
            <w:pPr>
              <w:ind w:left="160"/>
              <w:spacing w:after="0"/>
              <w:rPr>
                <w:sz w:val="20"/>
                <w:szCs w:val="20"/>
                <w:color w:val="auto"/>
              </w:rPr>
            </w:pPr>
            <w:r>
              <w:rPr>
                <w:rFonts w:ascii="Arial" w:cs="Arial" w:eastAsia="Arial" w:hAnsi="Arial"/>
                <w:sz w:val="16"/>
                <w:szCs w:val="16"/>
                <w:color w:val="auto"/>
              </w:rPr>
              <w:t>Marianne De Backer (4)</w:t>
            </w:r>
          </w:p>
        </w:tc>
        <w:tc>
          <w:tcPr>
            <w:tcW w:w="500" w:type="dxa"/>
            <w:vAlign w:val="bottom"/>
            <w:tcBorders>
              <w:bottom w:val="single" w:sz="8" w:color="0071CE"/>
            </w:tcBorders>
            <w:shd w:val="clear" w:color="auto" w:fill="E5E5E5"/>
          </w:tcPr>
          <w:p>
            <w:pPr>
              <w:spacing w:after="0"/>
              <w:rPr>
                <w:sz w:val="22"/>
                <w:szCs w:val="22"/>
                <w:color w:val="auto"/>
              </w:rPr>
            </w:pPr>
          </w:p>
        </w:tc>
        <w:tc>
          <w:tcPr>
            <w:tcW w:w="860" w:type="dxa"/>
            <w:vAlign w:val="bottom"/>
            <w:tcBorders>
              <w:bottom w:val="single" w:sz="8" w:color="0071CE"/>
            </w:tcBorders>
            <w:shd w:val="clear" w:color="auto" w:fill="E5E5E5"/>
          </w:tcPr>
          <w:p>
            <w:pPr>
              <w:jc w:val="right"/>
              <w:ind w:right="102"/>
              <w:spacing w:after="0"/>
              <w:rPr>
                <w:sz w:val="20"/>
                <w:szCs w:val="20"/>
                <w:color w:val="auto"/>
              </w:rPr>
            </w:pPr>
            <w:r>
              <w:rPr>
                <w:rFonts w:ascii="Arial" w:cs="Arial" w:eastAsia="Arial" w:hAnsi="Arial"/>
                <w:sz w:val="16"/>
                <w:szCs w:val="16"/>
                <w:color w:val="auto"/>
              </w:rPr>
              <w:t>N/A</w:t>
            </w:r>
          </w:p>
        </w:tc>
        <w:tc>
          <w:tcPr>
            <w:tcW w:w="1100" w:type="dxa"/>
            <w:vAlign w:val="bottom"/>
            <w:tcBorders>
              <w:bottom w:val="single" w:sz="8" w:color="0071CE"/>
            </w:tcBorders>
            <w:shd w:val="clear" w:color="auto" w:fill="E5E5E5"/>
          </w:tcPr>
          <w:p>
            <w:pPr>
              <w:jc w:val="right"/>
              <w:ind w:right="102"/>
              <w:spacing w:after="0"/>
              <w:rPr>
                <w:sz w:val="20"/>
                <w:szCs w:val="20"/>
                <w:color w:val="auto"/>
              </w:rPr>
            </w:pPr>
            <w:r>
              <w:rPr>
                <w:rFonts w:ascii="Arial" w:cs="Arial" w:eastAsia="Arial" w:hAnsi="Arial"/>
                <w:sz w:val="16"/>
                <w:szCs w:val="16"/>
                <w:color w:val="auto"/>
              </w:rPr>
              <w:t>N/A</w:t>
            </w:r>
          </w:p>
        </w:tc>
        <w:tc>
          <w:tcPr>
            <w:tcW w:w="960" w:type="dxa"/>
            <w:vAlign w:val="bottom"/>
            <w:tcBorders>
              <w:bottom w:val="single" w:sz="8" w:color="0071CE"/>
            </w:tcBorders>
            <w:shd w:val="clear" w:color="auto" w:fill="E5E5E5"/>
          </w:tcPr>
          <w:p>
            <w:pPr>
              <w:jc w:val="right"/>
              <w:ind w:right="1"/>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2"/>
                <w:szCs w:val="22"/>
                <w:color w:val="auto"/>
              </w:rPr>
            </w:pPr>
          </w:p>
        </w:tc>
      </w:tr>
    </w:tbl>
    <w:p>
      <w:pPr>
        <w:spacing w:after="0" w:line="86" w:lineRule="exact"/>
        <w:rPr>
          <w:sz w:val="20"/>
          <w:szCs w:val="20"/>
          <w:color w:val="auto"/>
        </w:rPr>
      </w:pPr>
    </w:p>
    <w:p>
      <w:pPr>
        <w:ind w:left="640" w:right="560" w:hanging="430"/>
        <w:spacing w:after="0" w:line="257"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restricted stock units granted during fiscal year 2019 for each director.</w:t>
      </w:r>
    </w:p>
    <w:p>
      <w:pPr>
        <w:spacing w:after="0" w:line="59" w:lineRule="exact"/>
        <w:rPr>
          <w:rFonts w:ascii="Arial" w:cs="Arial" w:eastAsia="Arial" w:hAnsi="Arial"/>
          <w:sz w:val="14"/>
          <w:szCs w:val="14"/>
          <w:color w:val="auto"/>
        </w:rPr>
      </w:pPr>
    </w:p>
    <w:p>
      <w:pPr>
        <w:ind w:left="640" w:hanging="430"/>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RSUs granted to non-employee directors vest one year from the date of grant. RSUs granted to Dr. Ferrari vested as discussed in footnote 3 below.</w:t>
      </w:r>
    </w:p>
    <w:p>
      <w:pPr>
        <w:spacing w:after="0" w:line="81" w:lineRule="exact"/>
        <w:rPr>
          <w:rFonts w:ascii="Arial" w:cs="Arial" w:eastAsia="Arial" w:hAnsi="Arial"/>
          <w:sz w:val="14"/>
          <w:szCs w:val="14"/>
          <w:color w:val="auto"/>
        </w:rPr>
      </w:pPr>
    </w:p>
    <w:p>
      <w:pPr>
        <w:jc w:val="both"/>
        <w:ind w:left="640" w:right="140" w:hanging="430"/>
        <w:spacing w:after="0" w:line="246" w:lineRule="auto"/>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Dr. Ferrari’s fees earned in cash include his annual fees of $61,875 and cash compensation relating to a special board project of $45,556. Dr. Ferrari’s stock awards include an award of 3,429 shares of common stock on 1/1/19, valued at $44,988. This award vested immediately because Dr. Ferrari’s compensation had historically been limited based on the policies of his employer. Additionally, Dr. Ferrari received an award of 5,000 RSUs in September 2019, valued at $149,750, that vested on January 1, 2020. This award was granted to Dr. Ferrari as additional compensation relating to the special board project previously discussed.</w:t>
      </w:r>
    </w:p>
    <w:p>
      <w:pPr>
        <w:spacing w:after="0" w:line="68" w:lineRule="exact"/>
        <w:rPr>
          <w:rFonts w:ascii="Arial" w:cs="Arial" w:eastAsia="Arial" w:hAnsi="Arial"/>
          <w:sz w:val="14"/>
          <w:szCs w:val="14"/>
          <w:color w:val="auto"/>
        </w:rPr>
      </w:pPr>
    </w:p>
    <w:p>
      <w:pPr>
        <w:ind w:left="640" w:hanging="430"/>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Dr. De Backer joined the board in December 2019, and as such, fiscal year 2019 fees and stock awards were not applicable.</w:t>
      </w:r>
    </w:p>
    <w:p>
      <w:pPr>
        <w:spacing w:after="0" w:line="214" w:lineRule="exact"/>
        <w:rPr>
          <w:sz w:val="20"/>
          <w:szCs w:val="20"/>
          <w:color w:val="auto"/>
        </w:rPr>
      </w:pPr>
    </w:p>
    <w:p>
      <w:pPr>
        <w:jc w:val="both"/>
        <w:ind w:left="220" w:right="140"/>
        <w:spacing w:after="0" w:line="253" w:lineRule="auto"/>
        <w:rPr>
          <w:sz w:val="20"/>
          <w:szCs w:val="20"/>
          <w:color w:val="auto"/>
        </w:rPr>
      </w:pPr>
      <w:r>
        <w:rPr>
          <w:rFonts w:ascii="Arial" w:cs="Arial" w:eastAsia="Arial" w:hAnsi="Arial"/>
          <w:sz w:val="16"/>
          <w:szCs w:val="16"/>
          <w:color w:val="auto"/>
        </w:rPr>
        <w:t>As of the last day of fiscal year 2019, the directors held the following outstanding stock option and restricted stock unit grants in the aggregate: Douglass Given — 36,000 restricted stock units; Michael S. Perry — 77,000 stock options and 36,000 restricted stock units; Mauro Ferrari — 20,000 stock options and 5,000 restricted stock units; and William Waddill — 30,000 restricted stock units.</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36" w:lineRule="exact"/>
        <w:rPr>
          <w:sz w:val="20"/>
          <w:szCs w:val="20"/>
          <w:color w:val="auto"/>
        </w:rPr>
      </w:pPr>
    </w:p>
    <w:p>
      <w:pPr>
        <w:jc w:val="both"/>
        <w:ind w:left="220" w:right="260"/>
        <w:spacing w:after="0" w:line="253" w:lineRule="auto"/>
        <w:rPr>
          <w:sz w:val="20"/>
          <w:szCs w:val="20"/>
          <w:color w:val="auto"/>
        </w:rPr>
      </w:pPr>
      <w:r>
        <w:rPr>
          <w:rFonts w:ascii="Arial" w:cs="Arial" w:eastAsia="Arial" w:hAnsi="Arial"/>
          <w:sz w:val="16"/>
          <w:szCs w:val="16"/>
          <w:color w:val="auto"/>
        </w:rPr>
        <w:t>The six nominees receiving the greatest numbers of votes at the meeting, assuming a quorum is present, will be elected to the six director positions to serve until their terms expire or until their successors have been duly elected and qualified. Because directors are elected by plurality, abstentions from voting and broker non-votes will be entirely excluded from the vote and will have no effect on its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143510</wp:posOffset>
            </wp:positionV>
            <wp:extent cx="3503295" cy="539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03295" cy="539750"/>
                    </a:xfrm>
                    <a:prstGeom prst="rect">
                      <a:avLst/>
                    </a:prstGeom>
                    <a:noFill/>
                  </pic:spPr>
                </pic:pic>
              </a:graphicData>
            </a:graphic>
          </wp:anchor>
        </w:drawing>
      </w:r>
    </w:p>
    <w:p>
      <w:pPr>
        <w:spacing w:after="0" w:line="282" w:lineRule="exact"/>
        <w:rPr>
          <w:sz w:val="20"/>
          <w:szCs w:val="20"/>
          <w:color w:val="auto"/>
        </w:rPr>
      </w:pPr>
    </w:p>
    <w:p>
      <w:pPr>
        <w:ind w:left="4060" w:right="2980"/>
        <w:spacing w:after="0" w:line="254"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EACH OF THE NOMINEES FOR DIRECTOR IN</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181610</wp:posOffset>
            </wp:positionV>
            <wp:extent cx="98488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97"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11</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Proposal Two — Advisory Vote to Approve Executive Compensation</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Proposal Two — Advisory Vote to Approve Executive Compensation</w:t>
      </w:r>
    </w:p>
    <w:p>
      <w:pPr>
        <w:spacing w:after="0" w:line="372" w:lineRule="exact"/>
        <w:rPr>
          <w:sz w:val="20"/>
          <w:szCs w:val="20"/>
          <w:color w:val="auto"/>
        </w:rPr>
      </w:pPr>
    </w:p>
    <w:p>
      <w:pPr>
        <w:ind w:left="220" w:right="40"/>
        <w:spacing w:after="0" w:line="260" w:lineRule="auto"/>
        <w:rPr>
          <w:sz w:val="20"/>
          <w:szCs w:val="20"/>
          <w:color w:val="auto"/>
        </w:rPr>
      </w:pPr>
      <w:r>
        <w:rPr>
          <w:rFonts w:ascii="Arial" w:cs="Arial" w:eastAsia="Arial" w:hAnsi="Arial"/>
          <w:sz w:val="16"/>
          <w:szCs w:val="16"/>
          <w:color w:val="auto"/>
        </w:rPr>
        <w:t>The compensation paid to our Named Executive Officers is described below in the Compensation Discussion and Analysis of this proxy statement for the year ended September 30, 2019. The Board is asking stockholders to cast a non-binding, advisory vote FOR the following resolution:</w:t>
      </w:r>
    </w:p>
    <w:p>
      <w:pPr>
        <w:spacing w:after="0" w:line="87" w:lineRule="exact"/>
        <w:rPr>
          <w:sz w:val="20"/>
          <w:szCs w:val="20"/>
          <w:color w:val="auto"/>
        </w:rPr>
      </w:pPr>
    </w:p>
    <w:p>
      <w:pPr>
        <w:ind w:left="660" w:right="100"/>
        <w:spacing w:after="0" w:line="260"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as set forth in the compensation tables and narrative discussion, is hereby APPROVED.”</w:t>
      </w:r>
    </w:p>
    <w:p>
      <w:pPr>
        <w:spacing w:after="0" w:line="195" w:lineRule="exact"/>
        <w:rPr>
          <w:sz w:val="20"/>
          <w:szCs w:val="20"/>
          <w:color w:val="auto"/>
        </w:rPr>
      </w:pPr>
    </w:p>
    <w:p>
      <w:pPr>
        <w:ind w:left="220" w:right="340"/>
        <w:spacing w:after="0" w:line="260" w:lineRule="auto"/>
        <w:rPr>
          <w:sz w:val="20"/>
          <w:szCs w:val="20"/>
          <w:color w:val="auto"/>
        </w:rPr>
      </w:pPr>
      <w:r>
        <w:rPr>
          <w:rFonts w:ascii="Arial" w:cs="Arial" w:eastAsia="Arial" w:hAnsi="Arial"/>
          <w:sz w:val="16"/>
          <w:szCs w:val="16"/>
          <w:color w:val="auto"/>
        </w:rPr>
        <w:t>Although the vote we are asking you to cast is non-binding, the Compensation Committee and the Board value the views of our stockholders and will consider the outcome of the vote when determining future compensation arrangements for our named executive officers.</w:t>
      </w:r>
    </w:p>
    <w:p>
      <w:pPr>
        <w:spacing w:after="0" w:line="195" w:lineRule="exact"/>
        <w:rPr>
          <w:sz w:val="20"/>
          <w:szCs w:val="20"/>
          <w:color w:val="auto"/>
        </w:rPr>
      </w:pPr>
    </w:p>
    <w:p>
      <w:pPr>
        <w:ind w:left="220" w:right="400"/>
        <w:spacing w:after="0" w:line="260" w:lineRule="auto"/>
        <w:rPr>
          <w:sz w:val="20"/>
          <w:szCs w:val="20"/>
          <w:color w:val="auto"/>
        </w:rPr>
      </w:pPr>
      <w:r>
        <w:rPr>
          <w:rFonts w:ascii="Arial" w:cs="Arial" w:eastAsia="Arial" w:hAnsi="Arial"/>
          <w:sz w:val="16"/>
          <w:szCs w:val="16"/>
          <w:color w:val="auto"/>
        </w:rPr>
        <w:t>The Board has adopted a policy providing for annual advisory votes to approve executive compensation. Unless the Board modifies its policy on the frequency of holding advisory votes to approve executive compensation, the next such advisory vote will occur in 2021.</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36" w:lineRule="exact"/>
        <w:rPr>
          <w:sz w:val="20"/>
          <w:szCs w:val="20"/>
          <w:color w:val="auto"/>
        </w:rPr>
      </w:pPr>
    </w:p>
    <w:p>
      <w:pPr>
        <w:ind w:left="220"/>
        <w:spacing w:after="0" w:line="260" w:lineRule="auto"/>
        <w:rPr>
          <w:sz w:val="20"/>
          <w:szCs w:val="20"/>
          <w:color w:val="auto"/>
        </w:rPr>
      </w:pPr>
      <w:r>
        <w:rPr>
          <w:rFonts w:ascii="Arial" w:cs="Arial" w:eastAsia="Arial" w:hAnsi="Arial"/>
          <w:sz w:val="16"/>
          <w:szCs w:val="16"/>
          <w:color w:val="auto"/>
        </w:rPr>
        <w:t>Proposal Two must be approved by the Required Vote, assuming a quorum is present. For this purpose, abstentions will be counted as a vote against the proposal, while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139700</wp:posOffset>
            </wp:positionV>
            <wp:extent cx="3503295" cy="539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03295" cy="539750"/>
                    </a:xfrm>
                    <a:prstGeom prst="rect">
                      <a:avLst/>
                    </a:prstGeom>
                    <a:noFill/>
                  </pic:spPr>
                </pic:pic>
              </a:graphicData>
            </a:graphic>
          </wp:anchor>
        </w:drawing>
      </w:r>
    </w:p>
    <w:p>
      <w:pPr>
        <w:spacing w:after="0" w:line="276" w:lineRule="exact"/>
        <w:rPr>
          <w:sz w:val="20"/>
          <w:szCs w:val="20"/>
          <w:color w:val="auto"/>
        </w:rPr>
      </w:pPr>
    </w:p>
    <w:p>
      <w:pPr>
        <w:ind w:left="4060" w:right="3040"/>
        <w:spacing w:after="0" w:line="274"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276860</wp:posOffset>
            </wp:positionV>
            <wp:extent cx="984885"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12</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00"/>
        <w:spacing w:after="0"/>
        <w:tabs>
          <w:tab w:leader="none" w:pos="590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Proposal Three — Amendment to Bylaws to Elect Directors by a Majority Vote</w:t>
      </w:r>
    </w:p>
    <w:p>
      <w:pPr>
        <w:spacing w:after="0" w:line="126" w:lineRule="exact"/>
        <w:rPr>
          <w:sz w:val="20"/>
          <w:szCs w:val="20"/>
          <w:color w:val="auto"/>
        </w:rPr>
      </w:pPr>
    </w:p>
    <w:p>
      <w:pPr>
        <w:ind w:left="220" w:right="1160"/>
        <w:spacing w:after="0" w:line="286" w:lineRule="auto"/>
        <w:rPr>
          <w:sz w:val="20"/>
          <w:szCs w:val="20"/>
          <w:color w:val="auto"/>
        </w:rPr>
      </w:pPr>
      <w:r>
        <w:rPr>
          <w:rFonts w:ascii="Arial" w:cs="Arial" w:eastAsia="Arial" w:hAnsi="Arial"/>
          <w:sz w:val="32"/>
          <w:szCs w:val="32"/>
          <w:b w:val="1"/>
          <w:bCs w:val="1"/>
          <w:color w:val="0071CE"/>
        </w:rPr>
        <w:t>Proposal Three — Amendment to Bylaws to Elect Directors by a Majority Vote</w:t>
      </w:r>
    </w:p>
    <w:p>
      <w:pPr>
        <w:spacing w:after="0" w:line="240" w:lineRule="exact"/>
        <w:rPr>
          <w:sz w:val="20"/>
          <w:szCs w:val="20"/>
          <w:color w:val="auto"/>
        </w:rPr>
      </w:pPr>
    </w:p>
    <w:p>
      <w:pPr>
        <w:ind w:left="220" w:right="100"/>
        <w:spacing w:after="0" w:line="248" w:lineRule="auto"/>
        <w:rPr>
          <w:sz w:val="20"/>
          <w:szCs w:val="20"/>
          <w:color w:val="auto"/>
        </w:rPr>
      </w:pPr>
      <w:r>
        <w:rPr>
          <w:rFonts w:ascii="Arial" w:cs="Arial" w:eastAsia="Arial" w:hAnsi="Arial"/>
          <w:sz w:val="16"/>
          <w:szCs w:val="16"/>
          <w:color w:val="auto"/>
        </w:rPr>
        <w:t>In Proposal 3, we are asking stockholders to approve an amendment and restatement of our current Bylaws to implement a majority voting standard for the election of directors in uncontested elections. Our current Bylaws provide for a plurality voting standing, pursuant to which the director nominees who receive a plurality of votes in an election for directors are elected whether or not they receive a majority of the votes cast. In response to suggestions by our stockholders in fiscal year 2019, the Board has determined it is in the best interests of the Company and stockholders and has adopted, subject to stockholder approval, an amendment and restatement of our Bylaws to provide that in an uncontested election of directors, each director must receive more “For” votes than “Withheld” votes to be elected. In any contested elections of directors, where there are two or more nominees for a board position, the election will continue to be decided by plurality vote.</w:t>
      </w:r>
    </w:p>
    <w:p>
      <w:pPr>
        <w:spacing w:after="0" w:line="207"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color w:val="auto"/>
        </w:rPr>
        <w:t>Under existing Delaware law, a director not receiving a majority of votes in an uncontested election would continue to serve as a director as a “holdover director” until the director resigns or is replaced. The amendment and restatement also provides for a director resignation policy under which a director who is not reelected by a majority of the votes cast in an uncontested election will be required to tender his or her resignation to the Board, and the Board will then decide whether to accept or reject the resignation, or whether other action is required. Under the policy, a director who is proposed for reelection and who does not receive a majority of the votes cast will not automatically remain on the Board as a holdover director. Rather, his or her continued service as a director will be subject to review by the Board, taking into account the stockholders’ vote and any other relevant considerations.</w:t>
      </w:r>
    </w:p>
    <w:p>
      <w:pPr>
        <w:spacing w:after="0" w:line="204" w:lineRule="exact"/>
        <w:rPr>
          <w:sz w:val="20"/>
          <w:szCs w:val="20"/>
          <w:color w:val="auto"/>
        </w:rPr>
      </w:pPr>
    </w:p>
    <w:p>
      <w:pPr>
        <w:ind w:left="220" w:right="200"/>
        <w:spacing w:after="0" w:line="260" w:lineRule="auto"/>
        <w:rPr>
          <w:sz w:val="20"/>
          <w:szCs w:val="20"/>
          <w:color w:val="auto"/>
        </w:rPr>
      </w:pPr>
      <w:r>
        <w:rPr>
          <w:rFonts w:ascii="Arial" w:cs="Arial" w:eastAsia="Arial" w:hAnsi="Arial"/>
          <w:sz w:val="16"/>
          <w:szCs w:val="16"/>
          <w:color w:val="auto"/>
        </w:rPr>
        <w:t>The foregoing is a summary of the proposed amendment of our Bylaws, which is qualified in its entirety by reference to the full text of the Amended and Restated Bylaws as set forth in Exhibit A (with additions shown as underlined and deletions shown as struck through).</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Board is asking stockholders to cast a vote FOR the following resolution:</w:t>
      </w:r>
    </w:p>
    <w:p>
      <w:pPr>
        <w:spacing w:after="0" w:line="221" w:lineRule="exact"/>
        <w:rPr>
          <w:sz w:val="20"/>
          <w:szCs w:val="20"/>
          <w:color w:val="auto"/>
        </w:rPr>
      </w:pPr>
    </w:p>
    <w:p>
      <w:pPr>
        <w:ind w:left="220" w:right="280"/>
        <w:spacing w:after="0" w:line="260" w:lineRule="auto"/>
        <w:rPr>
          <w:sz w:val="20"/>
          <w:szCs w:val="20"/>
          <w:color w:val="auto"/>
        </w:rPr>
      </w:pPr>
      <w:r>
        <w:rPr>
          <w:rFonts w:ascii="Arial" w:cs="Arial" w:eastAsia="Arial" w:hAnsi="Arial"/>
          <w:sz w:val="16"/>
          <w:szCs w:val="16"/>
          <w:color w:val="auto"/>
        </w:rPr>
        <w:t>“RESOLVED, that the stockholders of the Company approve the Amended and Restated Bylaws in a form substantially as provided in Exhibit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139700</wp:posOffset>
            </wp:positionV>
            <wp:extent cx="3503295" cy="539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03295" cy="539750"/>
                    </a:xfrm>
                    <a:prstGeom prst="rect">
                      <a:avLst/>
                    </a:prstGeom>
                    <a:noFill/>
                  </pic:spPr>
                </pic:pic>
              </a:graphicData>
            </a:graphic>
          </wp:anchor>
        </w:drawing>
      </w:r>
    </w:p>
    <w:p>
      <w:pPr>
        <w:spacing w:after="0" w:line="276" w:lineRule="exact"/>
        <w:rPr>
          <w:sz w:val="20"/>
          <w:szCs w:val="20"/>
          <w:color w:val="auto"/>
        </w:rPr>
      </w:pPr>
    </w:p>
    <w:p>
      <w:pPr>
        <w:ind w:left="4060" w:right="3080"/>
        <w:spacing w:after="0" w:line="274"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276860</wp:posOffset>
            </wp:positionV>
            <wp:extent cx="984885"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Executive Compensation</w:t>
      </w:r>
    </w:p>
    <w:p>
      <w:pPr>
        <w:spacing w:after="0" w:line="33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ind w:left="220"/>
        <w:spacing w:after="0" w:line="257" w:lineRule="auto"/>
        <w:rPr>
          <w:sz w:val="20"/>
          <w:szCs w:val="20"/>
          <w:color w:val="auto"/>
        </w:rPr>
      </w:pPr>
      <w:r>
        <w:rPr>
          <w:rFonts w:ascii="Arial" w:cs="Arial" w:eastAsia="Arial" w:hAnsi="Arial"/>
          <w:sz w:val="16"/>
          <w:szCs w:val="16"/>
          <w:i w:val="1"/>
          <w:iCs w:val="1"/>
          <w:color w:val="auto"/>
        </w:rPr>
        <w:t>The following compensation discussion and analysis contains statements regarding future individual and Company performance targets and goals. These targets and goals are disclosed in the limited context of Arrowhead’s compensation programs and should not be understood to be statements of management’s expectations or guidance. Arrowhead cautions investors not to apply these statements to other contexts. Fiscal years are denoted as fiscal years, all other year references refer to calendar years.</w:t>
      </w:r>
    </w:p>
    <w:p>
      <w:pPr>
        <w:spacing w:after="0" w:line="199" w:lineRule="exact"/>
        <w:rPr>
          <w:sz w:val="20"/>
          <w:szCs w:val="20"/>
          <w:color w:val="auto"/>
        </w:rPr>
      </w:pPr>
    </w:p>
    <w:p>
      <w:pPr>
        <w:ind w:left="220" w:right="420"/>
        <w:spacing w:after="0" w:line="260" w:lineRule="auto"/>
        <w:rPr>
          <w:sz w:val="20"/>
          <w:szCs w:val="20"/>
          <w:color w:val="auto"/>
        </w:rPr>
      </w:pPr>
      <w:r>
        <w:rPr>
          <w:rFonts w:ascii="Arial" w:cs="Arial" w:eastAsia="Arial" w:hAnsi="Arial"/>
          <w:sz w:val="16"/>
          <w:szCs w:val="16"/>
          <w:color w:val="auto"/>
        </w:rPr>
        <w:t>This Compensation Discussion and Analysis describes the compensation program for our Named Executive Officers. During fiscal year 2019, these individuals were:</w:t>
      </w:r>
    </w:p>
    <w:p>
      <w:pPr>
        <w:spacing w:after="0" w:line="100" w:lineRule="exact"/>
        <w:rPr>
          <w:sz w:val="20"/>
          <w:szCs w:val="20"/>
          <w:color w:val="auto"/>
        </w:rPr>
      </w:pPr>
    </w:p>
    <w:p>
      <w:pPr>
        <w:ind w:left="540" w:hanging="222"/>
        <w:spacing w:after="0"/>
        <w:tabs>
          <w:tab w:leader="none" w:pos="54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Christopher Anzalone, our President and CEO;</w:t>
      </w:r>
    </w:p>
    <w:p>
      <w:pPr>
        <w:spacing w:after="0" w:line="106" w:lineRule="exact"/>
        <w:rPr>
          <w:rFonts w:ascii="Arial" w:cs="Arial" w:eastAsia="Arial" w:hAnsi="Arial"/>
          <w:sz w:val="16"/>
          <w:szCs w:val="16"/>
          <w:color w:val="0071CE"/>
        </w:rPr>
      </w:pPr>
    </w:p>
    <w:p>
      <w:pPr>
        <w:ind w:left="540" w:hanging="222"/>
        <w:spacing w:after="0"/>
        <w:tabs>
          <w:tab w:leader="none" w:pos="54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Bruce D. Given, our Chief Operating Officer (our “</w:t>
      </w:r>
      <w:r>
        <w:rPr>
          <w:rFonts w:ascii="Arial" w:cs="Arial" w:eastAsia="Arial" w:hAnsi="Arial"/>
          <w:sz w:val="16"/>
          <w:szCs w:val="16"/>
          <w:b w:val="1"/>
          <w:bCs w:val="1"/>
          <w:color w:val="auto"/>
        </w:rPr>
        <w:t>COO</w:t>
      </w:r>
      <w:r>
        <w:rPr>
          <w:rFonts w:ascii="Arial" w:cs="Arial" w:eastAsia="Arial" w:hAnsi="Arial"/>
          <w:sz w:val="16"/>
          <w:szCs w:val="16"/>
          <w:color w:val="auto"/>
        </w:rPr>
        <w:t>”);</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Kenneth Myszkowski, our Chief Financial Officer (our “</w:t>
      </w:r>
      <w:r>
        <w:rPr>
          <w:rFonts w:ascii="Arial" w:cs="Arial" w:eastAsia="Arial" w:hAnsi="Arial"/>
          <w:sz w:val="16"/>
          <w:szCs w:val="16"/>
          <w:b w:val="1"/>
          <w:bCs w:val="1"/>
          <w:color w:val="auto"/>
        </w:rPr>
        <w:t>CFO</w:t>
      </w:r>
      <w:r>
        <w:rPr>
          <w:rFonts w:ascii="Arial" w:cs="Arial" w:eastAsia="Arial" w:hAnsi="Arial"/>
          <w:sz w:val="16"/>
          <w:szCs w:val="16"/>
          <w:color w:val="auto"/>
        </w:rPr>
        <w:t>”);</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Patrick O’Brien, our General Counsel (our “</w:t>
      </w:r>
      <w:r>
        <w:rPr>
          <w:rFonts w:ascii="Arial" w:cs="Arial" w:eastAsia="Arial" w:hAnsi="Arial"/>
          <w:sz w:val="16"/>
          <w:szCs w:val="16"/>
          <w:b w:val="1"/>
          <w:bCs w:val="1"/>
          <w:color w:val="auto"/>
        </w:rPr>
        <w:t>GC</w:t>
      </w:r>
      <w:r>
        <w:rPr>
          <w:rFonts w:ascii="Arial" w:cs="Arial" w:eastAsia="Arial" w:hAnsi="Arial"/>
          <w:sz w:val="16"/>
          <w:szCs w:val="16"/>
          <w:color w:val="auto"/>
        </w:rPr>
        <w:t>”); and</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Zhen Li, our former Senior Vice President, Chemistry &amp; Non-Clinical Development (our “</w:t>
      </w:r>
      <w:r>
        <w:rPr>
          <w:rFonts w:ascii="Arial" w:cs="Arial" w:eastAsia="Arial" w:hAnsi="Arial"/>
          <w:sz w:val="16"/>
          <w:szCs w:val="16"/>
          <w:b w:val="1"/>
          <w:bCs w:val="1"/>
          <w:color w:val="auto"/>
        </w:rPr>
        <w:t>SVP</w:t>
      </w:r>
      <w:r>
        <w:rPr>
          <w:rFonts w:ascii="Arial" w:cs="Arial" w:eastAsia="Arial" w:hAnsi="Arial"/>
          <w:sz w:val="16"/>
          <w:szCs w:val="16"/>
          <w:color w:val="auto"/>
        </w:rPr>
        <w:t>”).</w:t>
      </w:r>
    </w:p>
    <w:p>
      <w:pPr>
        <w:spacing w:after="0" w:line="241" w:lineRule="exact"/>
        <w:rPr>
          <w:sz w:val="20"/>
          <w:szCs w:val="20"/>
          <w:color w:val="auto"/>
        </w:rPr>
      </w:pPr>
    </w:p>
    <w:p>
      <w:pPr>
        <w:ind w:left="220" w:right="260"/>
        <w:spacing w:after="0" w:line="250"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2019. It also provides an overview of our executive compensation philosophy and objectives and summarizes our executive compensation policies and practices. Finally, it analyzes how and why the Compensation Committee arrived at the specific compensation decisions for our executive officers, including our Named Executive Officers for 2019 including the key factors that the Compensation Committee considered in determining their compensation.</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Our Company</w:t>
      </w:r>
    </w:p>
    <w:p>
      <w:pPr>
        <w:spacing w:after="0" w:line="128" w:lineRule="exact"/>
        <w:rPr>
          <w:sz w:val="20"/>
          <w:szCs w:val="20"/>
          <w:color w:val="auto"/>
        </w:rPr>
      </w:pPr>
    </w:p>
    <w:p>
      <w:pPr>
        <w:ind w:left="220" w:right="180"/>
        <w:spacing w:after="0" w:line="250" w:lineRule="auto"/>
        <w:rPr>
          <w:sz w:val="20"/>
          <w:szCs w:val="20"/>
          <w:color w:val="auto"/>
        </w:rPr>
      </w:pPr>
      <w:r>
        <w:rPr>
          <w:rFonts w:ascii="Arial" w:cs="Arial" w:eastAsia="Arial" w:hAnsi="Arial"/>
          <w:sz w:val="16"/>
          <w:szCs w:val="16"/>
          <w:color w:val="auto"/>
        </w:rPr>
        <w:t>We develop medicines that treat intractable diseases by silencing the genes that cause them. Using a broad portfolio of RNA chemistries and efficient modes of delivery, our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spacing w:after="0" w:line="205" w:lineRule="exact"/>
        <w:rPr>
          <w:sz w:val="20"/>
          <w:szCs w:val="20"/>
          <w:color w:val="auto"/>
        </w:rPr>
      </w:pPr>
    </w:p>
    <w:p>
      <w:pPr>
        <w:ind w:left="220" w:right="380"/>
        <w:spacing w:after="0" w:line="253"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The depth and versatility of our RNAi technologies enable us to potentially address conditions in virtually any therapeutic area and pursue disease targets that are not otherwise addressable by small molecules and biologics.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2019 Business Highlights</w:t>
      </w:r>
    </w:p>
    <w:p>
      <w:pPr>
        <w:spacing w:after="0" w:line="142" w:lineRule="exact"/>
        <w:rPr>
          <w:sz w:val="20"/>
          <w:szCs w:val="20"/>
          <w:color w:val="auto"/>
        </w:rPr>
      </w:pPr>
    </w:p>
    <w:p>
      <w:pPr>
        <w:ind w:left="540" w:right="240" w:hanging="222"/>
        <w:spacing w:after="0" w:line="260" w:lineRule="auto"/>
        <w:tabs>
          <w:tab w:leader="none" w:pos="540" w:val="left"/>
        </w:tabs>
        <w:numPr>
          <w:ilvl w:val="0"/>
          <w:numId w:val="23"/>
        </w:numPr>
        <w:rPr>
          <w:rFonts w:ascii="Arial" w:cs="Arial" w:eastAsia="Arial" w:hAnsi="Arial"/>
          <w:sz w:val="16"/>
          <w:szCs w:val="16"/>
          <w:color w:val="0071CE"/>
        </w:rPr>
      </w:pPr>
      <w:r>
        <w:rPr>
          <w:rFonts w:ascii="Arial" w:cs="Arial" w:eastAsia="Arial" w:hAnsi="Arial"/>
          <w:sz w:val="16"/>
          <w:szCs w:val="16"/>
          <w:color w:val="auto"/>
        </w:rPr>
        <w:t>Began dosing in a Phase 1 single and multiple dose study of ARO-ANG3, a subcutaneously administered RNAi therapeutic targeting angiopoietin like protein 3, being developed as a potential treatment for patients with dyslipidemias and metabolic diseases;</w:t>
      </w:r>
    </w:p>
    <w:p>
      <w:pPr>
        <w:spacing w:after="0" w:line="100" w:lineRule="exact"/>
        <w:rPr>
          <w:rFonts w:ascii="Arial" w:cs="Arial" w:eastAsia="Arial" w:hAnsi="Arial"/>
          <w:sz w:val="16"/>
          <w:szCs w:val="16"/>
          <w:color w:val="0071CE"/>
        </w:rPr>
      </w:pPr>
    </w:p>
    <w:p>
      <w:pPr>
        <w:ind w:left="540" w:hanging="222"/>
        <w:spacing w:after="0" w:line="260" w:lineRule="auto"/>
        <w:tabs>
          <w:tab w:leader="none" w:pos="540" w:val="left"/>
        </w:tabs>
        <w:numPr>
          <w:ilvl w:val="0"/>
          <w:numId w:val="23"/>
        </w:numPr>
        <w:rPr>
          <w:rFonts w:ascii="Arial" w:cs="Arial" w:eastAsia="Arial" w:hAnsi="Arial"/>
          <w:sz w:val="16"/>
          <w:szCs w:val="16"/>
          <w:color w:val="0071CE"/>
        </w:rPr>
      </w:pPr>
      <w:r>
        <w:rPr>
          <w:rFonts w:ascii="Arial" w:cs="Arial" w:eastAsia="Arial" w:hAnsi="Arial"/>
          <w:sz w:val="16"/>
          <w:szCs w:val="16"/>
          <w:color w:val="auto"/>
        </w:rPr>
        <w:t>Began dosing in a Phase 1 single and multiple dose study of ARO-APOC3, a subcutaneously administered RNAi therapeutic targeting apolipoprotein C-III, being developed as a potential treatment for patients with hypertriglyceridemia;</w:t>
      </w:r>
    </w:p>
    <w:p>
      <w:pPr>
        <w:spacing w:after="0" w:line="100" w:lineRule="exact"/>
        <w:rPr>
          <w:rFonts w:ascii="Arial" w:cs="Arial" w:eastAsia="Arial" w:hAnsi="Arial"/>
          <w:sz w:val="16"/>
          <w:szCs w:val="16"/>
          <w:color w:val="0071CE"/>
        </w:rPr>
      </w:pPr>
    </w:p>
    <w:p>
      <w:pPr>
        <w:ind w:left="540" w:right="760" w:hanging="222"/>
        <w:spacing w:after="0" w:line="260" w:lineRule="auto"/>
        <w:tabs>
          <w:tab w:leader="none" w:pos="540" w:val="left"/>
        </w:tabs>
        <w:numPr>
          <w:ilvl w:val="0"/>
          <w:numId w:val="23"/>
        </w:numPr>
        <w:rPr>
          <w:rFonts w:ascii="Arial" w:cs="Arial" w:eastAsia="Arial" w:hAnsi="Arial"/>
          <w:sz w:val="16"/>
          <w:szCs w:val="16"/>
          <w:color w:val="0071CE"/>
        </w:rPr>
      </w:pPr>
      <w:r>
        <w:rPr>
          <w:rFonts w:ascii="Arial" w:cs="Arial" w:eastAsia="Arial" w:hAnsi="Arial"/>
          <w:sz w:val="16"/>
          <w:szCs w:val="16"/>
          <w:color w:val="auto"/>
        </w:rPr>
        <w:t>Expanded the AROHBV1001 Phase 1/2 study to include a new triple combination cohort (cohort 12) that includes JNJ-3989 and additional undisclosed agents selected by Arrowhead’s partner, Janssen Pharmaceuticals, Inc.;</w:t>
      </w:r>
    </w:p>
    <w:p>
      <w:pPr>
        <w:spacing w:after="0" w:line="100" w:lineRule="exact"/>
        <w:rPr>
          <w:rFonts w:ascii="Arial" w:cs="Arial" w:eastAsia="Arial" w:hAnsi="Arial"/>
          <w:sz w:val="16"/>
          <w:szCs w:val="16"/>
          <w:color w:val="0071CE"/>
        </w:rPr>
      </w:pPr>
    </w:p>
    <w:p>
      <w:pPr>
        <w:ind w:left="540" w:right="260" w:hanging="222"/>
        <w:spacing w:after="0" w:line="253" w:lineRule="auto"/>
        <w:tabs>
          <w:tab w:leader="none" w:pos="540" w:val="left"/>
        </w:tabs>
        <w:numPr>
          <w:ilvl w:val="0"/>
          <w:numId w:val="23"/>
        </w:numPr>
        <w:rPr>
          <w:rFonts w:ascii="Arial" w:cs="Arial" w:eastAsia="Arial" w:hAnsi="Arial"/>
          <w:sz w:val="16"/>
          <w:szCs w:val="16"/>
          <w:color w:val="0071CE"/>
        </w:rPr>
      </w:pPr>
      <w:r>
        <w:rPr>
          <w:rFonts w:ascii="Arial" w:cs="Arial" w:eastAsia="Arial" w:hAnsi="Arial"/>
          <w:sz w:val="16"/>
          <w:szCs w:val="16"/>
          <w:color w:val="auto"/>
        </w:rPr>
        <w:t>Began dosing patients in an adaptive design Phase 2/3 trial, called SEQUOIA, with the potential to serve as a pivotal registrational study of ARO-AAT, Arrowhead’s second generation subcutaneously administered RNAi therapeutic being developed as a treatment for a rare genetic liver disease associated with alpha-1 antitrypsin deficiency;</w:t>
      </w:r>
    </w:p>
    <w:p>
      <w:pPr>
        <w:spacing w:after="0" w:line="106" w:lineRule="exact"/>
        <w:rPr>
          <w:rFonts w:ascii="Arial" w:cs="Arial" w:eastAsia="Arial" w:hAnsi="Arial"/>
          <w:sz w:val="16"/>
          <w:szCs w:val="16"/>
          <w:color w:val="0071CE"/>
        </w:rPr>
      </w:pPr>
    </w:p>
    <w:p>
      <w:pPr>
        <w:ind w:left="540" w:right="340" w:hanging="222"/>
        <w:spacing w:after="0" w:line="260" w:lineRule="auto"/>
        <w:tabs>
          <w:tab w:leader="none" w:pos="540" w:val="left"/>
        </w:tabs>
        <w:numPr>
          <w:ilvl w:val="0"/>
          <w:numId w:val="23"/>
        </w:numPr>
        <w:rPr>
          <w:rFonts w:ascii="Arial" w:cs="Arial" w:eastAsia="Arial" w:hAnsi="Arial"/>
          <w:sz w:val="16"/>
          <w:szCs w:val="16"/>
          <w:color w:val="0071CE"/>
        </w:rPr>
      </w:pPr>
      <w:r>
        <w:rPr>
          <w:rFonts w:ascii="Arial" w:cs="Arial" w:eastAsia="Arial" w:hAnsi="Arial"/>
          <w:sz w:val="16"/>
          <w:szCs w:val="16"/>
          <w:color w:val="auto"/>
        </w:rPr>
        <w:t>Presented new clinical data on our two cardiometabolic candidates, ARO-APOC3 and ARO-ANG3, in two late-breaking oral presentations at the American Heart Association Scientific Sessions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80010</wp:posOffset>
            </wp:positionV>
            <wp:extent cx="98488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14</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86" w:lineRule="exact"/>
        <w:rPr>
          <w:sz w:val="20"/>
          <w:szCs w:val="20"/>
          <w:color w:val="auto"/>
        </w:rPr>
      </w:pPr>
    </w:p>
    <w:p>
      <w:pPr>
        <w:jc w:val="both"/>
        <w:ind w:left="540" w:right="260" w:hanging="222"/>
        <w:spacing w:after="0" w:line="253" w:lineRule="auto"/>
        <w:tabs>
          <w:tab w:leader="none" w:pos="54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In April 2019, the Company earned a $25 million milestone payment from Janssen following the initiation of dosing in the triple combination cohort (cohort 12) in the Company’s ongoing Phase 1 / 2 study of JNJ-3989 (ARO-HBV). In August 2019, the Company earned an additional $25 million milestone payment from Janssen following the initiation of dosing in its phase 2b study of JNJ-3989 (ARO-HBV);</w:t>
      </w:r>
    </w:p>
    <w:p>
      <w:pPr>
        <w:spacing w:after="0" w:line="106" w:lineRule="exact"/>
        <w:rPr>
          <w:rFonts w:ascii="Arial" w:cs="Arial" w:eastAsia="Arial" w:hAnsi="Arial"/>
          <w:sz w:val="16"/>
          <w:szCs w:val="16"/>
          <w:color w:val="0071CE"/>
        </w:rPr>
      </w:pPr>
    </w:p>
    <w:p>
      <w:pPr>
        <w:ind w:left="540" w:hanging="222"/>
        <w:spacing w:after="0" w:line="260" w:lineRule="auto"/>
        <w:tabs>
          <w:tab w:leader="none" w:pos="54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In December 2019, the Company closed an underwritten public offering and received gross proceeds of $266.8 million, before deducting underwriting discounts, commissions and other offering expenses;</w:t>
      </w:r>
    </w:p>
    <w:p>
      <w:pPr>
        <w:spacing w:after="0" w:line="100" w:lineRule="exact"/>
        <w:rPr>
          <w:rFonts w:ascii="Arial" w:cs="Arial" w:eastAsia="Arial" w:hAnsi="Arial"/>
          <w:sz w:val="16"/>
          <w:szCs w:val="16"/>
          <w:color w:val="0071CE"/>
        </w:rPr>
      </w:pPr>
    </w:p>
    <w:p>
      <w:pPr>
        <w:ind w:left="540" w:hanging="222"/>
        <w:spacing w:after="0"/>
        <w:tabs>
          <w:tab w:leader="none" w:pos="54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Ended calendar 2019 with $528 million in cash and investments; and</w:t>
      </w:r>
    </w:p>
    <w:p>
      <w:pPr>
        <w:spacing w:after="0" w:line="106" w:lineRule="exact"/>
        <w:rPr>
          <w:rFonts w:ascii="Arial" w:cs="Arial" w:eastAsia="Arial" w:hAnsi="Arial"/>
          <w:sz w:val="16"/>
          <w:szCs w:val="16"/>
          <w:color w:val="0071CE"/>
        </w:rPr>
      </w:pPr>
    </w:p>
    <w:p>
      <w:pPr>
        <w:ind w:left="540" w:hanging="222"/>
        <w:spacing w:after="0"/>
        <w:tabs>
          <w:tab w:leader="none" w:pos="54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Achieved 47% total stockholder return (“</w:t>
      </w:r>
      <w:r>
        <w:rPr>
          <w:rFonts w:ascii="Arial" w:cs="Arial" w:eastAsia="Arial" w:hAnsi="Arial"/>
          <w:sz w:val="16"/>
          <w:szCs w:val="16"/>
          <w:b w:val="1"/>
          <w:bCs w:val="1"/>
          <w:color w:val="auto"/>
        </w:rPr>
        <w:t>TSR</w:t>
      </w:r>
      <w:r>
        <w:rPr>
          <w:rFonts w:ascii="Arial" w:cs="Arial" w:eastAsia="Arial" w:hAnsi="Arial"/>
          <w:sz w:val="16"/>
          <w:szCs w:val="16"/>
          <w:color w:val="auto"/>
        </w:rPr>
        <w:t>”) in fiscal 2019.</w:t>
      </w:r>
    </w:p>
    <w:p>
      <w:pPr>
        <w:spacing w:after="0" w:line="3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Business Development</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Janssen Pharmaceuticals, Inc.</w:t>
      </w:r>
    </w:p>
    <w:p>
      <w:pPr>
        <w:spacing w:after="0" w:line="124" w:lineRule="exact"/>
        <w:rPr>
          <w:sz w:val="20"/>
          <w:szCs w:val="20"/>
          <w:color w:val="auto"/>
        </w:rPr>
      </w:pPr>
    </w:p>
    <w:p>
      <w:pPr>
        <w:jc w:val="both"/>
        <w:ind w:left="220" w:right="40"/>
        <w:spacing w:after="0" w:line="253" w:lineRule="auto"/>
        <w:rPr>
          <w:sz w:val="20"/>
          <w:szCs w:val="20"/>
          <w:color w:val="auto"/>
        </w:rPr>
      </w:pPr>
      <w:r>
        <w:rPr>
          <w:rFonts w:ascii="Arial" w:cs="Arial" w:eastAsia="Arial" w:hAnsi="Arial"/>
          <w:sz w:val="16"/>
          <w:szCs w:val="16"/>
          <w:color w:val="auto"/>
        </w:rPr>
        <w:t>In October 2018, we entered into a license agreement with Janssen Pharmaceuticals, Inc., part of the Janssen Pharmaceutical Companies of Johnson &amp; Johnson, to develop and commercialize ARO-HBV. In addition, we entered into a research collaboration and option agreement with Janssen to potentially collaborate for up to three additional RNAi therapeutics against new targets to be selected by Janssen.</w:t>
      </w:r>
    </w:p>
    <w:p>
      <w:pPr>
        <w:spacing w:after="0" w:line="201" w:lineRule="exact"/>
        <w:rPr>
          <w:sz w:val="20"/>
          <w:szCs w:val="20"/>
          <w:color w:val="auto"/>
        </w:rPr>
      </w:pPr>
    </w:p>
    <w:p>
      <w:pPr>
        <w:ind w:left="220" w:right="100"/>
        <w:spacing w:after="0" w:line="249" w:lineRule="auto"/>
        <w:rPr>
          <w:sz w:val="20"/>
          <w:szCs w:val="20"/>
          <w:color w:val="auto"/>
        </w:rPr>
      </w:pPr>
      <w:r>
        <w:rPr>
          <w:rFonts w:ascii="Arial" w:cs="Arial" w:eastAsia="Arial" w:hAnsi="Arial"/>
          <w:sz w:val="16"/>
          <w:szCs w:val="16"/>
          <w:color w:val="auto"/>
        </w:rPr>
        <w:t>Under the terms of the license agreement, we received $175 million as an upfront payment. Separately, Johnson &amp; Johnson Innovation — JJDC, Inc. (JJDC) made a $75 million equity investment in Arrowhead at a price of $23.00 per share of Arrowhead common stock. As discussed above, in April 2019, the Company earned a $25 million milestone payment from Janssen following the initiation of dosing in the triple combination cohort (cohort 12) in the Company’s ongoing Phase 1 / 2 study of JNJ-3989 (ARO-HBV) and an additional $25 million milestone payment from Janssen following the initiation of dosing in its phase 2b study of JNJ-3989 (ARO-HBV).</w:t>
      </w:r>
    </w:p>
    <w:p>
      <w:pPr>
        <w:spacing w:after="0" w:line="206" w:lineRule="exact"/>
        <w:rPr>
          <w:sz w:val="20"/>
          <w:szCs w:val="20"/>
          <w:color w:val="auto"/>
        </w:rPr>
      </w:pPr>
    </w:p>
    <w:p>
      <w:pPr>
        <w:ind w:left="220" w:right="420"/>
        <w:spacing w:after="0" w:line="250" w:lineRule="auto"/>
        <w:rPr>
          <w:sz w:val="20"/>
          <w:szCs w:val="20"/>
          <w:color w:val="auto"/>
        </w:rPr>
      </w:pPr>
      <w:r>
        <w:rPr>
          <w:rFonts w:ascii="Arial" w:cs="Arial" w:eastAsia="Arial" w:hAnsi="Arial"/>
          <w:sz w:val="16"/>
          <w:szCs w:val="16"/>
          <w:color w:val="auto"/>
        </w:rPr>
        <w:t>In addition, Arrowhead is eligible to receive up to approximately $1.6 billion in milestone payments under the license agreement. Arrowhead is also eligible to receive approximately $1.9 billion in option and milestone payments under the collaboration and option agreement related to up to three additional targets. Arrowhead is further eligible to receive tiered royalties up to mid teens under the license agreement and up to low teens under the collaboration and option agreement on product sales.</w:t>
      </w:r>
    </w:p>
    <w:p>
      <w:pPr>
        <w:spacing w:after="0" w:line="205" w:lineRule="exact"/>
        <w:rPr>
          <w:sz w:val="20"/>
          <w:szCs w:val="20"/>
          <w:color w:val="auto"/>
        </w:rPr>
      </w:pPr>
    </w:p>
    <w:p>
      <w:pPr>
        <w:ind w:left="220" w:right="860"/>
        <w:spacing w:after="0" w:line="260" w:lineRule="auto"/>
        <w:rPr>
          <w:sz w:val="20"/>
          <w:szCs w:val="20"/>
          <w:color w:val="auto"/>
        </w:rPr>
      </w:pPr>
      <w:r>
        <w:rPr>
          <w:rFonts w:ascii="Arial" w:cs="Arial" w:eastAsia="Arial" w:hAnsi="Arial"/>
          <w:sz w:val="16"/>
          <w:szCs w:val="16"/>
          <w:color w:val="auto"/>
        </w:rPr>
        <w:t>In fiscal 2019, Janssen selected its first of potentially three RNAi therapeutics under our 2018 collaboration agreement, ARO-JNJ1, against an undisclosed target.</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Platform</w:t>
      </w:r>
    </w:p>
    <w:p>
      <w:pPr>
        <w:spacing w:after="0" w:line="123" w:lineRule="exact"/>
        <w:rPr>
          <w:sz w:val="20"/>
          <w:szCs w:val="20"/>
          <w:color w:val="auto"/>
        </w:rPr>
      </w:pPr>
    </w:p>
    <w:p>
      <w:pPr>
        <w:jc w:val="both"/>
        <w:ind w:left="220" w:right="580"/>
        <w:spacing w:after="0" w:line="185" w:lineRule="auto"/>
        <w:rPr>
          <w:sz w:val="20"/>
          <w:szCs w:val="20"/>
          <w:color w:val="auto"/>
        </w:rPr>
      </w:pPr>
      <w:r>
        <w:rPr>
          <w:rFonts w:ascii="Arial" w:cs="Arial" w:eastAsia="Arial" w:hAnsi="Arial"/>
          <w:sz w:val="16"/>
          <w:szCs w:val="16"/>
          <w:color w:val="auto"/>
        </w:rPr>
        <w:t>In 2019, we continued to develop and deploy our Targeted RNAi Molecule platform, or TRiM</w:t>
      </w:r>
      <w:r>
        <w:rPr>
          <w:rFonts w:ascii="Arial" w:cs="Arial" w:eastAsia="Arial" w:hAnsi="Arial"/>
          <w:sz w:val="26"/>
          <w:szCs w:val="26"/>
          <w:color w:val="auto"/>
          <w:vertAlign w:val="superscript"/>
        </w:rPr>
        <w:t>™</w:t>
      </w:r>
      <w:r>
        <w:rPr>
          <w:rFonts w:ascii="Arial" w:cs="Arial" w:eastAsia="Arial" w:hAnsi="Arial"/>
          <w:sz w:val="16"/>
          <w:szCs w:val="16"/>
          <w:color w:val="auto"/>
        </w:rPr>
        <w:t>, to identify and develop new therapeutics, including ARO-HIF2, ARO-HSD, and ARO-ENaC . TRiM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utilizes ligand-mediated delivery and is designed to enable tissue-specific targeting, while being structurally simple. The TRiM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platform is designed to offer several potential competitive advantages including:</w:t>
      </w:r>
    </w:p>
    <w:p>
      <w:pPr>
        <w:spacing w:after="0" w:line="2" w:lineRule="exact"/>
        <w:rPr>
          <w:sz w:val="20"/>
          <w:szCs w:val="20"/>
          <w:color w:val="auto"/>
        </w:rPr>
      </w:pPr>
    </w:p>
    <w:p>
      <w:pPr>
        <w:ind w:left="540" w:right="220" w:hanging="222"/>
        <w:spacing w:after="0" w:line="260" w:lineRule="auto"/>
        <w:tabs>
          <w:tab w:leader="none" w:pos="54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A more sophisticated RNAi trigger selection and screening process that identifies potent sequences rapidly in locations that RNAi competitors may miss;</w:t>
      </w:r>
    </w:p>
    <w:p>
      <w:pPr>
        <w:spacing w:after="0" w:line="100" w:lineRule="exact"/>
        <w:rPr>
          <w:rFonts w:ascii="Arial" w:cs="Arial" w:eastAsia="Arial" w:hAnsi="Arial"/>
          <w:sz w:val="16"/>
          <w:szCs w:val="16"/>
          <w:color w:val="0071CE"/>
        </w:rPr>
      </w:pPr>
    </w:p>
    <w:p>
      <w:pPr>
        <w:ind w:left="540" w:hanging="222"/>
        <w:spacing w:after="0"/>
        <w:tabs>
          <w:tab w:leader="none" w:pos="54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Multiple routes of administration including subcutaneous, intravenous, and inhaled;</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Faster time to clinical candidates;</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Optimal pharmacologic activity and long duration-of-effect;</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Potentially wide safety margins;</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Simplified manufacturing at reduced cost;</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And, the promise of taking RNAi to tissues beyond the liver.</w:t>
      </w:r>
    </w:p>
    <w:p>
      <w:pPr>
        <w:spacing w:after="0" w:line="3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Pipeline</w:t>
      </w:r>
    </w:p>
    <w:p>
      <w:pPr>
        <w:spacing w:after="0" w:line="128" w:lineRule="exact"/>
        <w:rPr>
          <w:sz w:val="20"/>
          <w:szCs w:val="20"/>
          <w:color w:val="auto"/>
        </w:rPr>
      </w:pPr>
    </w:p>
    <w:p>
      <w:pPr>
        <w:jc w:val="both"/>
        <w:ind w:left="220" w:right="180"/>
        <w:spacing w:after="0" w:line="253" w:lineRule="auto"/>
        <w:rPr>
          <w:sz w:val="20"/>
          <w:szCs w:val="20"/>
          <w:color w:val="auto"/>
        </w:rPr>
      </w:pPr>
      <w:r>
        <w:rPr>
          <w:rFonts w:ascii="Arial" w:cs="Arial" w:eastAsia="Arial" w:hAnsi="Arial"/>
          <w:sz w:val="16"/>
          <w:szCs w:val="16"/>
          <w:color w:val="auto"/>
        </w:rPr>
        <w:t>We are focused on developing innovative drugs for diseases with a genetic basis, typically characterized by the overproduction of one or more proteins. The depth and versatility of our RNAi technologies enable us to address conditions in virtually any therapeutic area and pursue disease targets that are not otherwise addressable by small molecules and biologics.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The timing of our planned and already filed clinical trial applications (CTA) discussed below are based on calendar years, not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106045</wp:posOffset>
            </wp:positionV>
            <wp:extent cx="984885"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78"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Clinical Stage Candidates</w:t>
      </w:r>
    </w:p>
    <w:p>
      <w:pPr>
        <w:spacing w:after="0" w:line="108" w:lineRule="exact"/>
        <w:rPr>
          <w:sz w:val="20"/>
          <w:szCs w:val="20"/>
          <w:color w:val="auto"/>
        </w:rPr>
      </w:pPr>
    </w:p>
    <w:p>
      <w:pPr>
        <w:ind w:left="220" w:right="160"/>
        <w:spacing w:after="0" w:line="266" w:lineRule="auto"/>
        <w:rPr>
          <w:sz w:val="20"/>
          <w:szCs w:val="20"/>
          <w:color w:val="auto"/>
        </w:rPr>
      </w:pPr>
      <w:r>
        <w:rPr>
          <w:rFonts w:ascii="Arial" w:cs="Arial" w:eastAsia="Arial" w:hAnsi="Arial"/>
          <w:sz w:val="16"/>
          <w:szCs w:val="16"/>
          <w:b w:val="1"/>
          <w:bCs w:val="1"/>
          <w:color w:val="auto"/>
        </w:rPr>
        <w:t xml:space="preserve">ARO-AAT </w:t>
      </w:r>
      <w:r>
        <w:rPr>
          <w:rFonts w:ascii="Arial" w:cs="Arial" w:eastAsia="Arial" w:hAnsi="Arial"/>
          <w:sz w:val="16"/>
          <w:szCs w:val="16"/>
          <w:color w:val="auto"/>
        </w:rPr>
        <w:t>is a clinical-stage RNAi therapeutic candidate for the treatment of liver disease associated with alpha-1 antitrypsin deficiency. ARO-AAT is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knock down the Alpha-1 antitrypsin (AAT) gene transcript and reduce the hepatic production of the mutant AAT protein. ARO-AAT is a next-generation subcutaneously administered compound that follows a previous generation AAT compound ARC-AAT.</w:t>
      </w:r>
    </w:p>
    <w:p>
      <w:pPr>
        <w:spacing w:after="0" w:line="96" w:lineRule="exact"/>
        <w:rPr>
          <w:sz w:val="20"/>
          <w:szCs w:val="20"/>
          <w:color w:val="auto"/>
        </w:rPr>
      </w:pPr>
    </w:p>
    <w:p>
      <w:pPr>
        <w:ind w:left="540" w:hanging="222"/>
        <w:spacing w:after="0"/>
        <w:tabs>
          <w:tab w:leader="none" w:pos="5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2017: ARO-AAT nominated; CTA filed</w:t>
      </w:r>
    </w:p>
    <w:p>
      <w:pPr>
        <w:spacing w:after="0" w:line="121" w:lineRule="exact"/>
        <w:rPr>
          <w:rFonts w:ascii="Arial" w:cs="Arial" w:eastAsia="Arial" w:hAnsi="Arial"/>
          <w:sz w:val="16"/>
          <w:szCs w:val="16"/>
          <w:color w:val="0071CE"/>
        </w:rPr>
      </w:pPr>
    </w:p>
    <w:p>
      <w:pPr>
        <w:ind w:left="540" w:right="220" w:hanging="222"/>
        <w:spacing w:after="0" w:line="188" w:lineRule="auto"/>
        <w:tabs>
          <w:tab w:leader="none" w:pos="5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2018: Clinical trial commenced. Initial results from AROAAT1001 were presented in November 2018 at The Liver Meeting</w:t>
      </w:r>
      <w:r>
        <w:rPr>
          <w:rFonts w:ascii="Arial" w:cs="Arial" w:eastAsia="Arial" w:hAnsi="Arial"/>
          <w:sz w:val="27"/>
          <w:szCs w:val="27"/>
          <w:color w:val="auto"/>
          <w:vertAlign w:val="superscript"/>
        </w:rPr>
        <w:t>®</w:t>
      </w:r>
      <w:r>
        <w:rPr>
          <w:rFonts w:ascii="Arial" w:cs="Arial" w:eastAsia="Arial" w:hAnsi="Arial"/>
          <w:sz w:val="16"/>
          <w:szCs w:val="16"/>
          <w:color w:val="auto"/>
        </w:rPr>
        <w:t>, the Annual Meeting of the American Association for the Study of Liver Disease (AASLD). Key data include:</w:t>
      </w:r>
    </w:p>
    <w:p>
      <w:pPr>
        <w:spacing w:after="0" w:line="116" w:lineRule="exact"/>
        <w:rPr>
          <w:rFonts w:ascii="Arial" w:cs="Arial" w:eastAsia="Arial" w:hAnsi="Arial"/>
          <w:sz w:val="16"/>
          <w:szCs w:val="16"/>
          <w:color w:val="0071CE"/>
        </w:rPr>
      </w:pPr>
    </w:p>
    <w:p>
      <w:pPr>
        <w:ind w:left="740" w:hanging="206"/>
        <w:spacing w:after="0"/>
        <w:tabs>
          <w:tab w:leader="none" w:pos="740" w:val="left"/>
        </w:tabs>
        <w:numPr>
          <w:ilvl w:val="1"/>
          <w:numId w:val="26"/>
        </w:numPr>
        <w:rPr>
          <w:rFonts w:ascii="Arial" w:cs="Arial" w:eastAsia="Arial" w:hAnsi="Arial"/>
          <w:sz w:val="16"/>
          <w:szCs w:val="16"/>
          <w:color w:val="0071CE"/>
        </w:rPr>
      </w:pPr>
      <w:r>
        <w:rPr>
          <w:rFonts w:ascii="Arial" w:cs="Arial" w:eastAsia="Arial" w:hAnsi="Arial"/>
          <w:sz w:val="16"/>
          <w:szCs w:val="16"/>
          <w:color w:val="auto"/>
        </w:rPr>
        <w:t>Three monthly doses of 300 mg ARO-AAT led to reductions in serum alpha-1 antitrypsin to below the level of quantitation in 100% of subjects.</w:t>
      </w:r>
    </w:p>
    <w:p>
      <w:pPr>
        <w:spacing w:after="0" w:line="126" w:lineRule="exact"/>
        <w:rPr>
          <w:rFonts w:ascii="Arial" w:cs="Arial" w:eastAsia="Arial" w:hAnsi="Arial"/>
          <w:sz w:val="16"/>
          <w:szCs w:val="16"/>
          <w:color w:val="0071CE"/>
        </w:rPr>
      </w:pPr>
    </w:p>
    <w:p>
      <w:pPr>
        <w:ind w:left="740" w:hanging="206"/>
        <w:spacing w:after="0"/>
        <w:tabs>
          <w:tab w:leader="none" w:pos="740" w:val="left"/>
        </w:tabs>
        <w:numPr>
          <w:ilvl w:val="1"/>
          <w:numId w:val="26"/>
        </w:numPr>
        <w:rPr>
          <w:rFonts w:ascii="Arial" w:cs="Arial" w:eastAsia="Arial" w:hAnsi="Arial"/>
          <w:sz w:val="16"/>
          <w:szCs w:val="16"/>
          <w:color w:val="0071CE"/>
        </w:rPr>
      </w:pPr>
      <w:r>
        <w:rPr>
          <w:rFonts w:ascii="Arial" w:cs="Arial" w:eastAsia="Arial" w:hAnsi="Arial"/>
          <w:sz w:val="16"/>
          <w:szCs w:val="16"/>
          <w:color w:val="auto"/>
        </w:rPr>
        <w:t>Reductions were sustained for greater than 14 weeks indicating that quarterly or less frequent dosing appears feasible.</w:t>
      </w:r>
    </w:p>
    <w:p>
      <w:pPr>
        <w:spacing w:after="0" w:line="126" w:lineRule="exact"/>
        <w:rPr>
          <w:rFonts w:ascii="Arial" w:cs="Arial" w:eastAsia="Arial" w:hAnsi="Arial"/>
          <w:sz w:val="16"/>
          <w:szCs w:val="16"/>
          <w:color w:val="0071CE"/>
        </w:rPr>
      </w:pPr>
    </w:p>
    <w:p>
      <w:pPr>
        <w:ind w:left="740" w:hanging="206"/>
        <w:spacing w:after="0"/>
        <w:tabs>
          <w:tab w:leader="none" w:pos="740" w:val="left"/>
        </w:tabs>
        <w:numPr>
          <w:ilvl w:val="1"/>
          <w:numId w:val="26"/>
        </w:numPr>
        <w:rPr>
          <w:rFonts w:ascii="Arial" w:cs="Arial" w:eastAsia="Arial" w:hAnsi="Arial"/>
          <w:sz w:val="16"/>
          <w:szCs w:val="16"/>
          <w:color w:val="0071CE"/>
        </w:rPr>
      </w:pPr>
      <w:r>
        <w:rPr>
          <w:rFonts w:ascii="Arial" w:cs="Arial" w:eastAsia="Arial" w:hAnsi="Arial"/>
          <w:sz w:val="16"/>
          <w:szCs w:val="16"/>
          <w:color w:val="auto"/>
        </w:rPr>
        <w:t>Single and multiple doses of ARO-AAT appeared to be well-tolerated at all doses tested.</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2019: One phase 2/3 and one Phase 2 trial were initiated (enrolling concurrently):</w:t>
      </w:r>
    </w:p>
    <w:p>
      <w:pPr>
        <w:spacing w:after="0" w:line="126" w:lineRule="exact"/>
        <w:rPr>
          <w:rFonts w:ascii="Arial" w:cs="Arial" w:eastAsia="Arial" w:hAnsi="Arial"/>
          <w:sz w:val="16"/>
          <w:szCs w:val="16"/>
          <w:color w:val="0071CE"/>
        </w:rPr>
      </w:pPr>
    </w:p>
    <w:p>
      <w:pPr>
        <w:ind w:left="740" w:right="680" w:hanging="206"/>
        <w:spacing w:after="0" w:line="260" w:lineRule="auto"/>
        <w:tabs>
          <w:tab w:leader="none" w:pos="740" w:val="left"/>
        </w:tabs>
        <w:numPr>
          <w:ilvl w:val="1"/>
          <w:numId w:val="26"/>
        </w:numPr>
        <w:rPr>
          <w:rFonts w:ascii="Arial" w:cs="Arial" w:eastAsia="Arial" w:hAnsi="Arial"/>
          <w:sz w:val="16"/>
          <w:szCs w:val="16"/>
          <w:color w:val="0071CE"/>
        </w:rPr>
      </w:pPr>
      <w:r>
        <w:rPr>
          <w:rFonts w:ascii="Arial" w:cs="Arial" w:eastAsia="Arial" w:hAnsi="Arial"/>
          <w:sz w:val="16"/>
          <w:szCs w:val="16"/>
          <w:color w:val="auto"/>
        </w:rPr>
        <w:t>SEQUOIA, a potentially pivotal multi-center, multi-dose, placebo-controlled, adaptive Phase 2/3 study to evaluate the safety, efficacy and tolerability of ARO-AAT, administered subcutaneously to patients with alpha-1 antitrypsin deficiency</w:t>
      </w:r>
    </w:p>
    <w:p>
      <w:pPr>
        <w:spacing w:after="0" w:line="100" w:lineRule="exact"/>
        <w:rPr>
          <w:rFonts w:ascii="Arial" w:cs="Arial" w:eastAsia="Arial" w:hAnsi="Arial"/>
          <w:sz w:val="16"/>
          <w:szCs w:val="16"/>
          <w:color w:val="0071CE"/>
        </w:rPr>
      </w:pPr>
    </w:p>
    <w:p>
      <w:pPr>
        <w:ind w:left="740" w:right="60" w:hanging="206"/>
        <w:spacing w:after="0" w:line="260" w:lineRule="auto"/>
        <w:tabs>
          <w:tab w:leader="none" w:pos="740" w:val="left"/>
        </w:tabs>
        <w:numPr>
          <w:ilvl w:val="1"/>
          <w:numId w:val="26"/>
        </w:numPr>
        <w:rPr>
          <w:rFonts w:ascii="Arial" w:cs="Arial" w:eastAsia="Arial" w:hAnsi="Arial"/>
          <w:sz w:val="16"/>
          <w:szCs w:val="16"/>
          <w:color w:val="0071CE"/>
        </w:rPr>
      </w:pPr>
      <w:r>
        <w:rPr>
          <w:rFonts w:ascii="Arial" w:cs="Arial" w:eastAsia="Arial" w:hAnsi="Arial"/>
          <w:sz w:val="16"/>
          <w:szCs w:val="16"/>
          <w:color w:val="auto"/>
        </w:rPr>
        <w:t>AROAAT2002, a pilot open-label, multi-dose, Phase 2 study to assess changes in a novel histological activity scale in response to ARO-AAT over time in patients with alpha-1 antitrypsin deficiency associated liver disease.</w:t>
      </w:r>
    </w:p>
    <w:p>
      <w:pPr>
        <w:spacing w:after="0" w:line="175" w:lineRule="exact"/>
        <w:rPr>
          <w:sz w:val="20"/>
          <w:szCs w:val="20"/>
          <w:color w:val="auto"/>
        </w:rPr>
      </w:pPr>
    </w:p>
    <w:p>
      <w:pPr>
        <w:ind w:left="220" w:right="160"/>
        <w:spacing w:after="0" w:line="266" w:lineRule="auto"/>
        <w:rPr>
          <w:sz w:val="20"/>
          <w:szCs w:val="20"/>
          <w:color w:val="auto"/>
        </w:rPr>
      </w:pPr>
      <w:r>
        <w:rPr>
          <w:rFonts w:ascii="Arial" w:cs="Arial" w:eastAsia="Arial" w:hAnsi="Arial"/>
          <w:sz w:val="16"/>
          <w:szCs w:val="16"/>
          <w:b w:val="1"/>
          <w:bCs w:val="1"/>
          <w:color w:val="auto"/>
        </w:rPr>
        <w:t xml:space="preserve">ARO-ANG3 </w:t>
      </w:r>
      <w:r>
        <w:rPr>
          <w:rFonts w:ascii="Arial" w:cs="Arial" w:eastAsia="Arial" w:hAnsi="Arial"/>
          <w:sz w:val="16"/>
          <w:szCs w:val="16"/>
          <w:color w:val="auto"/>
        </w:rPr>
        <w:t>is designed to reduce production of angiopoietin-like protein 3 (ANGPTL3), a liver synthesized inhibitor of lipoprotein lipase and endothelial</w:t>
      </w:r>
      <w:r>
        <w:rPr>
          <w:rFonts w:ascii="Arial" w:cs="Arial" w:eastAsia="Arial" w:hAnsi="Arial"/>
          <w:sz w:val="16"/>
          <w:szCs w:val="16"/>
          <w:b w:val="1"/>
          <w:bCs w:val="1"/>
          <w:color w:val="auto"/>
        </w:rPr>
        <w:t xml:space="preserve"> </w:t>
      </w:r>
      <w:r>
        <w:rPr>
          <w:rFonts w:ascii="Arial" w:cs="Arial" w:eastAsia="Arial" w:hAnsi="Arial"/>
          <w:sz w:val="16"/>
          <w:szCs w:val="16"/>
          <w:color w:val="auto"/>
        </w:rPr>
        <w:t>lipase. ANGPTL3 inhibition has been shown to lower serum LDL, serum and liver triglyceride and has genetic validation as a novel target for cardiovascular disease.</w:t>
      </w:r>
    </w:p>
    <w:p>
      <w:pPr>
        <w:spacing w:after="0" w:line="96" w:lineRule="exact"/>
        <w:rPr>
          <w:sz w:val="20"/>
          <w:szCs w:val="20"/>
          <w:color w:val="auto"/>
        </w:rPr>
      </w:pPr>
    </w:p>
    <w:p>
      <w:pPr>
        <w:ind w:left="540" w:hanging="222"/>
        <w:spacing w:after="0"/>
        <w:tabs>
          <w:tab w:leader="none" w:pos="540" w:val="left"/>
        </w:tabs>
        <w:numPr>
          <w:ilvl w:val="0"/>
          <w:numId w:val="27"/>
        </w:numPr>
        <w:rPr>
          <w:rFonts w:ascii="Arial" w:cs="Arial" w:eastAsia="Arial" w:hAnsi="Arial"/>
          <w:sz w:val="16"/>
          <w:szCs w:val="16"/>
          <w:color w:val="0071CE"/>
        </w:rPr>
      </w:pPr>
      <w:r>
        <w:rPr>
          <w:rFonts w:ascii="Arial" w:cs="Arial" w:eastAsia="Arial" w:hAnsi="Arial"/>
          <w:sz w:val="16"/>
          <w:szCs w:val="16"/>
          <w:color w:val="auto"/>
        </w:rPr>
        <w:t>2017: Target identified</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27"/>
        </w:numPr>
        <w:rPr>
          <w:rFonts w:ascii="Arial" w:cs="Arial" w:eastAsia="Arial" w:hAnsi="Arial"/>
          <w:sz w:val="16"/>
          <w:szCs w:val="16"/>
          <w:color w:val="0071CE"/>
        </w:rPr>
      </w:pPr>
      <w:r>
        <w:rPr>
          <w:rFonts w:ascii="Arial" w:cs="Arial" w:eastAsia="Arial" w:hAnsi="Arial"/>
          <w:sz w:val="16"/>
          <w:szCs w:val="16"/>
          <w:color w:val="auto"/>
        </w:rPr>
        <w:t>2018: Filed for regulatory clearance to begin a Phase 1 study.</w:t>
      </w:r>
    </w:p>
    <w:p>
      <w:pPr>
        <w:spacing w:after="0" w:line="126" w:lineRule="exact"/>
        <w:rPr>
          <w:rFonts w:ascii="Arial" w:cs="Arial" w:eastAsia="Arial" w:hAnsi="Arial"/>
          <w:sz w:val="16"/>
          <w:szCs w:val="16"/>
          <w:color w:val="0071CE"/>
        </w:rPr>
      </w:pPr>
    </w:p>
    <w:p>
      <w:pPr>
        <w:ind w:left="540" w:right="200" w:hanging="222"/>
        <w:spacing w:after="0" w:line="260" w:lineRule="auto"/>
        <w:tabs>
          <w:tab w:leader="none" w:pos="540" w:val="left"/>
        </w:tabs>
        <w:numPr>
          <w:ilvl w:val="0"/>
          <w:numId w:val="27"/>
        </w:numPr>
        <w:rPr>
          <w:rFonts w:ascii="Arial" w:cs="Arial" w:eastAsia="Arial" w:hAnsi="Arial"/>
          <w:sz w:val="16"/>
          <w:szCs w:val="16"/>
          <w:color w:val="0071CE"/>
        </w:rPr>
      </w:pPr>
      <w:r>
        <w:rPr>
          <w:rFonts w:ascii="Arial" w:cs="Arial" w:eastAsia="Arial" w:hAnsi="Arial"/>
          <w:sz w:val="16"/>
          <w:szCs w:val="16"/>
          <w:color w:val="auto"/>
        </w:rPr>
        <w:t>2019: Clinical trial commenced. Initial results from AROANG1001 presented at the 2019 Global Summit on Cardiology and heart Diseases and the November 2019 American Heart Association meeting. Key data include:</w:t>
      </w:r>
    </w:p>
    <w:p>
      <w:pPr>
        <w:spacing w:after="0" w:line="100" w:lineRule="exact"/>
        <w:rPr>
          <w:rFonts w:ascii="Arial" w:cs="Arial" w:eastAsia="Arial" w:hAnsi="Arial"/>
          <w:sz w:val="16"/>
          <w:szCs w:val="16"/>
          <w:color w:val="0071CE"/>
        </w:rPr>
      </w:pPr>
    </w:p>
    <w:p>
      <w:pPr>
        <w:ind w:left="740" w:right="140" w:hanging="206"/>
        <w:spacing w:after="0" w:line="260" w:lineRule="auto"/>
        <w:tabs>
          <w:tab w:leader="none" w:pos="740" w:val="left"/>
        </w:tabs>
        <w:numPr>
          <w:ilvl w:val="1"/>
          <w:numId w:val="27"/>
        </w:numPr>
        <w:rPr>
          <w:rFonts w:ascii="Arial" w:cs="Arial" w:eastAsia="Arial" w:hAnsi="Arial"/>
          <w:sz w:val="16"/>
          <w:szCs w:val="16"/>
          <w:color w:val="0071CE"/>
        </w:rPr>
      </w:pPr>
      <w:r>
        <w:rPr>
          <w:rFonts w:ascii="Arial" w:cs="Arial" w:eastAsia="Arial" w:hAnsi="Arial"/>
          <w:sz w:val="16"/>
          <w:szCs w:val="16"/>
          <w:color w:val="auto"/>
        </w:rPr>
        <w:t>Dose dependent reductions in serum ANGPTL3 (mean maximum reduction ranging from 55% in the 35 mg cohort to 83% in the 300 mg cohort), which were maintained through the end of the study.</w:t>
      </w:r>
    </w:p>
    <w:p>
      <w:pPr>
        <w:spacing w:after="0" w:line="100" w:lineRule="exact"/>
        <w:rPr>
          <w:rFonts w:ascii="Arial" w:cs="Arial" w:eastAsia="Arial" w:hAnsi="Arial"/>
          <w:sz w:val="16"/>
          <w:szCs w:val="16"/>
          <w:color w:val="0071CE"/>
        </w:rPr>
      </w:pPr>
    </w:p>
    <w:p>
      <w:pPr>
        <w:jc w:val="both"/>
        <w:ind w:left="740" w:right="140" w:hanging="206"/>
        <w:spacing w:after="0" w:line="253" w:lineRule="auto"/>
        <w:tabs>
          <w:tab w:leader="none" w:pos="740" w:val="left"/>
        </w:tabs>
        <w:numPr>
          <w:ilvl w:val="1"/>
          <w:numId w:val="27"/>
        </w:numPr>
        <w:rPr>
          <w:rFonts w:ascii="Arial" w:cs="Arial" w:eastAsia="Arial" w:hAnsi="Arial"/>
          <w:sz w:val="16"/>
          <w:szCs w:val="16"/>
          <w:color w:val="0071CE"/>
        </w:rPr>
      </w:pPr>
      <w:r>
        <w:rPr>
          <w:rFonts w:ascii="Arial" w:cs="Arial" w:eastAsia="Arial" w:hAnsi="Arial"/>
          <w:sz w:val="16"/>
          <w:szCs w:val="16"/>
          <w:color w:val="auto"/>
        </w:rPr>
        <w:t>Dose dependent reduction in triglycerides and VLDL-C (mean maximum triglyceride reduction ranging from 31% in the 35 mg cohort and 66% in the 200 mg cohort and mean maximum VLDL-C ranging from 30% in the 35 mg cohort to 65% in the 200 mg cohort). Reductions in triglycerides and VLDL-C in the 200 mg and 300 mg cohorts were maintained through end of study.</w:t>
      </w:r>
    </w:p>
    <w:p>
      <w:pPr>
        <w:spacing w:after="0" w:line="181" w:lineRule="exact"/>
        <w:rPr>
          <w:sz w:val="20"/>
          <w:szCs w:val="20"/>
          <w:color w:val="auto"/>
        </w:rPr>
      </w:pPr>
    </w:p>
    <w:p>
      <w:pPr>
        <w:ind w:left="220" w:right="100"/>
        <w:spacing w:after="0" w:line="266" w:lineRule="auto"/>
        <w:rPr>
          <w:sz w:val="20"/>
          <w:szCs w:val="20"/>
          <w:color w:val="auto"/>
        </w:rPr>
      </w:pPr>
      <w:r>
        <w:rPr>
          <w:rFonts w:ascii="Arial" w:cs="Arial" w:eastAsia="Arial" w:hAnsi="Arial"/>
          <w:sz w:val="16"/>
          <w:szCs w:val="16"/>
          <w:b w:val="1"/>
          <w:bCs w:val="1"/>
          <w:color w:val="auto"/>
        </w:rPr>
        <w:t xml:space="preserve">ARO-APOC3 </w:t>
      </w:r>
      <w:r>
        <w:rPr>
          <w:rFonts w:ascii="Arial" w:cs="Arial" w:eastAsia="Arial" w:hAnsi="Arial"/>
          <w:sz w:val="16"/>
          <w:szCs w:val="16"/>
          <w:color w:val="auto"/>
        </w:rPr>
        <w:t>is designed to reduce production of Apolipoprotein C-III (apoC-III), a component of triglyceride rich lipoproteins (TRLs) including VLDL and</w:t>
      </w:r>
      <w:r>
        <w:rPr>
          <w:rFonts w:ascii="Arial" w:cs="Arial" w:eastAsia="Arial" w:hAnsi="Arial"/>
          <w:sz w:val="16"/>
          <w:szCs w:val="16"/>
          <w:b w:val="1"/>
          <w:bCs w:val="1"/>
          <w:color w:val="auto"/>
        </w:rPr>
        <w:t xml:space="preserve"> </w:t>
      </w:r>
      <w:r>
        <w:rPr>
          <w:rFonts w:ascii="Arial" w:cs="Arial" w:eastAsia="Arial" w:hAnsi="Arial"/>
          <w:sz w:val="16"/>
          <w:szCs w:val="16"/>
          <w:color w:val="auto"/>
        </w:rPr>
        <w:t>chylomicrons and a key regulator of triglyceride metabolism. The company believes that knocking down the hepatic production of apoC-III may result in reduced VLDL synthesis and assembly, enhanced breakdown of TRLs, and better clearance of VLDL and chylomicron remnants.</w:t>
      </w:r>
    </w:p>
    <w:p>
      <w:pPr>
        <w:spacing w:after="0" w:line="96" w:lineRule="exact"/>
        <w:rPr>
          <w:sz w:val="20"/>
          <w:szCs w:val="20"/>
          <w:color w:val="auto"/>
        </w:rPr>
      </w:pPr>
    </w:p>
    <w:p>
      <w:pPr>
        <w:ind w:left="540" w:hanging="222"/>
        <w:spacing w:after="0"/>
        <w:tabs>
          <w:tab w:leader="none" w:pos="5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2017: Target identified</w:t>
      </w:r>
    </w:p>
    <w:p>
      <w:pPr>
        <w:spacing w:after="0" w:line="126" w:lineRule="exact"/>
        <w:rPr>
          <w:rFonts w:ascii="Arial" w:cs="Arial" w:eastAsia="Arial" w:hAnsi="Arial"/>
          <w:sz w:val="16"/>
          <w:szCs w:val="16"/>
          <w:color w:val="0071CE"/>
        </w:rPr>
      </w:pPr>
    </w:p>
    <w:p>
      <w:pPr>
        <w:ind w:left="540" w:hanging="222"/>
        <w:spacing w:after="0" w:line="260" w:lineRule="auto"/>
        <w:tabs>
          <w:tab w:leader="none" w:pos="540" w:val="left"/>
        </w:tabs>
        <w:numPr>
          <w:ilvl w:val="0"/>
          <w:numId w:val="28"/>
        </w:numPr>
        <w:rPr>
          <w:rFonts w:ascii="Arial" w:cs="Arial" w:eastAsia="Arial" w:hAnsi="Arial"/>
          <w:sz w:val="16"/>
          <w:szCs w:val="16"/>
          <w:color w:val="0071CE"/>
        </w:rPr>
      </w:pPr>
      <w:r>
        <w:rPr>
          <w:rFonts w:ascii="Arial" w:cs="Arial" w:eastAsia="Arial" w:hAnsi="Arial"/>
          <w:sz w:val="16"/>
          <w:szCs w:val="16"/>
          <w:color w:val="auto"/>
        </w:rPr>
        <w:t>2019: Clinical trial commenced. Initial results from AROAPOC31001 presented at the 2019 Global Summit on Cardiology and heart Diseases and the November 2019 American Heart Association meeting. Key data include:</w:t>
      </w:r>
    </w:p>
    <w:p>
      <w:pPr>
        <w:spacing w:after="0" w:line="100" w:lineRule="exact"/>
        <w:rPr>
          <w:rFonts w:ascii="Arial" w:cs="Arial" w:eastAsia="Arial" w:hAnsi="Arial"/>
          <w:sz w:val="16"/>
          <w:szCs w:val="16"/>
          <w:color w:val="0071CE"/>
        </w:rPr>
      </w:pPr>
    </w:p>
    <w:p>
      <w:pPr>
        <w:ind w:left="740" w:right="320" w:hanging="206"/>
        <w:spacing w:after="0" w:line="260" w:lineRule="auto"/>
        <w:tabs>
          <w:tab w:leader="none" w:pos="740" w:val="left"/>
        </w:tabs>
        <w:numPr>
          <w:ilvl w:val="1"/>
          <w:numId w:val="28"/>
        </w:numPr>
        <w:rPr>
          <w:rFonts w:ascii="Arial" w:cs="Arial" w:eastAsia="Arial" w:hAnsi="Arial"/>
          <w:sz w:val="16"/>
          <w:szCs w:val="16"/>
          <w:color w:val="0071CE"/>
        </w:rPr>
      </w:pPr>
      <w:r>
        <w:rPr>
          <w:rFonts w:ascii="Arial" w:cs="Arial" w:eastAsia="Arial" w:hAnsi="Arial"/>
          <w:sz w:val="16"/>
          <w:szCs w:val="16"/>
          <w:color w:val="auto"/>
        </w:rPr>
        <w:t>Dose dependent reductions in serum APOC3 (mean maximum reduction ranging from 72% in the 10 mg cohort to 94% in the 100 mg cohort), which were maintained through the end of the study.</w:t>
      </w:r>
    </w:p>
    <w:p>
      <w:pPr>
        <w:spacing w:after="0" w:line="100" w:lineRule="exact"/>
        <w:rPr>
          <w:rFonts w:ascii="Arial" w:cs="Arial" w:eastAsia="Arial" w:hAnsi="Arial"/>
          <w:sz w:val="16"/>
          <w:szCs w:val="16"/>
          <w:color w:val="0071CE"/>
        </w:rPr>
      </w:pPr>
    </w:p>
    <w:p>
      <w:pPr>
        <w:ind w:left="740" w:right="140" w:hanging="206"/>
        <w:spacing w:after="0" w:line="253" w:lineRule="auto"/>
        <w:tabs>
          <w:tab w:leader="none" w:pos="740" w:val="left"/>
        </w:tabs>
        <w:numPr>
          <w:ilvl w:val="1"/>
          <w:numId w:val="28"/>
        </w:numPr>
        <w:rPr>
          <w:rFonts w:ascii="Arial" w:cs="Arial" w:eastAsia="Arial" w:hAnsi="Arial"/>
          <w:sz w:val="16"/>
          <w:szCs w:val="16"/>
          <w:color w:val="0071CE"/>
        </w:rPr>
      </w:pPr>
      <w:r>
        <w:rPr>
          <w:rFonts w:ascii="Arial" w:cs="Arial" w:eastAsia="Arial" w:hAnsi="Arial"/>
          <w:sz w:val="16"/>
          <w:szCs w:val="16"/>
          <w:color w:val="auto"/>
        </w:rPr>
        <w:t>Dose dependent reduction in triglycerides and VLDL-C (mean maximum triglyceride reduction ranging from 53% in the 10 mg cohort and 64% in the 100 mg cohort and mean maximum VLDL-C ranging from 53% in the 10 mg cohort to 68% in the 50 mg cohort). These reductions were maintained through the end of study.</w:t>
      </w:r>
    </w:p>
    <w:p>
      <w:pPr>
        <w:spacing w:after="0" w:line="181"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b w:val="1"/>
          <w:bCs w:val="1"/>
          <w:color w:val="auto"/>
        </w:rPr>
        <w:t xml:space="preserve">ARO-HIF2 </w:t>
      </w:r>
      <w:r>
        <w:rPr>
          <w:rFonts w:ascii="Arial" w:cs="Arial" w:eastAsia="Arial" w:hAnsi="Arial"/>
          <w:sz w:val="16"/>
          <w:szCs w:val="16"/>
          <w:color w:val="auto"/>
        </w:rPr>
        <w:t>is being developed as a treatment for patients with clear cell renal cell carcinoma (ccRCC). ccRCC is one of the most common forms of kidney</w:t>
      </w:r>
      <w:r>
        <w:rPr>
          <w:rFonts w:ascii="Arial" w:cs="Arial" w:eastAsia="Arial" w:hAnsi="Arial"/>
          <w:sz w:val="16"/>
          <w:szCs w:val="16"/>
          <w:b w:val="1"/>
          <w:bCs w:val="1"/>
          <w:color w:val="auto"/>
        </w:rPr>
        <w:t xml:space="preserve"> </w:t>
      </w:r>
      <w:r>
        <w:rPr>
          <w:rFonts w:ascii="Arial" w:cs="Arial" w:eastAsia="Arial" w:hAnsi="Arial"/>
          <w:sz w:val="16"/>
          <w:szCs w:val="16"/>
          <w:color w:val="auto"/>
        </w:rPr>
        <w:t>cancer. Most patients with ccRCC have a mutation in the Von Hippel-Lindau gene, rendering them unable to degrade HIF-2a, which leads to accumulation during tumor hypoxia and promotes tumor growth.</w:t>
      </w:r>
    </w:p>
    <w:p>
      <w:pPr>
        <w:spacing w:after="0" w:line="96" w:lineRule="exact"/>
        <w:rPr>
          <w:sz w:val="20"/>
          <w:szCs w:val="20"/>
          <w:color w:val="auto"/>
        </w:rPr>
      </w:pPr>
    </w:p>
    <w:p>
      <w:pPr>
        <w:ind w:left="540" w:hanging="222"/>
        <w:spacing w:after="0"/>
        <w:tabs>
          <w:tab w:leader="none" w:pos="54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2019: Investigational New Drug application (IND)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95885</wp:posOffset>
            </wp:positionV>
            <wp:extent cx="98488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4" w:lineRule="exact"/>
        <w:rPr>
          <w:sz w:val="20"/>
          <w:szCs w:val="20"/>
          <w:color w:val="auto"/>
        </w:rPr>
      </w:pPr>
    </w:p>
    <w:p>
      <w:pPr>
        <w:ind w:left="220" w:right="140"/>
        <w:spacing w:after="0" w:line="259" w:lineRule="auto"/>
        <w:rPr>
          <w:sz w:val="20"/>
          <w:szCs w:val="20"/>
          <w:color w:val="auto"/>
        </w:rPr>
      </w:pPr>
      <w:r>
        <w:rPr>
          <w:rFonts w:ascii="Arial" w:cs="Arial" w:eastAsia="Arial" w:hAnsi="Arial"/>
          <w:sz w:val="16"/>
          <w:szCs w:val="16"/>
          <w:b w:val="1"/>
          <w:bCs w:val="1"/>
          <w:color w:val="auto"/>
        </w:rPr>
        <w:t xml:space="preserve">ARO-HSD </w:t>
      </w:r>
      <w:r>
        <w:rPr>
          <w:rFonts w:ascii="Arial" w:cs="Arial" w:eastAsia="Arial" w:hAnsi="Arial"/>
          <w:sz w:val="16"/>
          <w:szCs w:val="16"/>
          <w:color w:val="auto"/>
        </w:rPr>
        <w:t>is being developed as a treatment for patients with alcohol related and nonalcohol related liver diseases such as nonalcoholic steatohepatitis</w:t>
      </w:r>
      <w:r>
        <w:rPr>
          <w:rFonts w:ascii="Arial" w:cs="Arial" w:eastAsia="Arial" w:hAnsi="Arial"/>
          <w:sz w:val="16"/>
          <w:szCs w:val="16"/>
          <w:b w:val="1"/>
          <w:bCs w:val="1"/>
          <w:color w:val="auto"/>
        </w:rPr>
        <w:t xml:space="preserve"> </w:t>
      </w:r>
      <w:r>
        <w:rPr>
          <w:rFonts w:ascii="Arial" w:cs="Arial" w:eastAsia="Arial" w:hAnsi="Arial"/>
          <w:sz w:val="16"/>
          <w:szCs w:val="16"/>
          <w:color w:val="auto"/>
        </w:rPr>
        <w:t>(NASH). ARO-HSD is designed to reduce the production of HSD17B13, a member of the hydroxysteroid dehydrogenase family involved in the metabolism of hormones, fatty acids, and bile acids. Published genetic data indicate a loss of function mutation in HSD17B13 provides strong protection against alcoholic hepatitis, cirrhosis, and NASH. This genetic validation gives us confidence about the target gene.</w:t>
      </w:r>
    </w:p>
    <w:p>
      <w:pPr>
        <w:spacing w:after="0" w:line="103" w:lineRule="exact"/>
        <w:rPr>
          <w:sz w:val="20"/>
          <w:szCs w:val="20"/>
          <w:color w:val="auto"/>
        </w:rPr>
      </w:pPr>
    </w:p>
    <w:p>
      <w:pPr>
        <w:ind w:left="540" w:hanging="222"/>
        <w:spacing w:after="0"/>
        <w:tabs>
          <w:tab w:leader="none" w:pos="540"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2019: Clinical trial application filed.</w:t>
      </w:r>
    </w:p>
    <w:p>
      <w:pPr>
        <w:spacing w:after="0" w:line="304"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Partnered Programs</w:t>
      </w:r>
    </w:p>
    <w:p>
      <w:pPr>
        <w:spacing w:after="0" w:line="108"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b w:val="1"/>
          <w:bCs w:val="1"/>
          <w:color w:val="auto"/>
        </w:rPr>
        <w:t xml:space="preserve">JNJ-3989 (formerly ARO-HBV) </w:t>
      </w:r>
      <w:r>
        <w:rPr>
          <w:rFonts w:ascii="Arial" w:cs="Arial" w:eastAsia="Arial" w:hAnsi="Arial"/>
          <w:sz w:val="16"/>
          <w:szCs w:val="16"/>
          <w:color w:val="auto"/>
        </w:rPr>
        <w:t>is an RNAi therapeutic candidate for the treatment of chronic hepatitis B infection with the goal of achieving a functional</w:t>
      </w:r>
      <w:r>
        <w:rPr>
          <w:rFonts w:ascii="Arial" w:cs="Arial" w:eastAsia="Arial" w:hAnsi="Arial"/>
          <w:sz w:val="16"/>
          <w:szCs w:val="16"/>
          <w:b w:val="1"/>
          <w:bCs w:val="1"/>
          <w:color w:val="auto"/>
        </w:rPr>
        <w:t xml:space="preserve"> </w:t>
      </w:r>
      <w:r>
        <w:rPr>
          <w:rFonts w:ascii="Arial" w:cs="Arial" w:eastAsia="Arial" w:hAnsi="Arial"/>
          <w:sz w:val="16"/>
          <w:szCs w:val="16"/>
          <w:color w:val="auto"/>
        </w:rPr>
        <w:t>cure. JNJ-3989 (ARO-HBV) is a next-generation subcutaneously administered compound that follows previous generation HBV compounds ARC-520 and ARC-521.</w:t>
      </w:r>
    </w:p>
    <w:p>
      <w:pPr>
        <w:spacing w:after="0" w:line="96" w:lineRule="exact"/>
        <w:rPr>
          <w:sz w:val="20"/>
          <w:szCs w:val="20"/>
          <w:color w:val="auto"/>
        </w:rPr>
      </w:pPr>
    </w:p>
    <w:p>
      <w:pPr>
        <w:ind w:left="540" w:hanging="222"/>
        <w:spacing w:after="0"/>
        <w:tabs>
          <w:tab w:leader="none" w:pos="540"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2017: JNJ-3989 (ARO-HBV) nominated; CTA filed.</w:t>
      </w:r>
    </w:p>
    <w:p>
      <w:pPr>
        <w:spacing w:after="0" w:line="121" w:lineRule="exact"/>
        <w:rPr>
          <w:rFonts w:ascii="Arial" w:cs="Arial" w:eastAsia="Arial" w:hAnsi="Arial"/>
          <w:sz w:val="16"/>
          <w:szCs w:val="16"/>
          <w:color w:val="0071CE"/>
        </w:rPr>
      </w:pPr>
    </w:p>
    <w:p>
      <w:pPr>
        <w:ind w:left="540" w:right="920" w:hanging="222"/>
        <w:spacing w:after="0" w:line="188" w:lineRule="auto"/>
        <w:tabs>
          <w:tab w:leader="none" w:pos="540"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2018: Clinical trial commenced. Clinical data presented at the World Gastroenterologists Summit and at the AASLD Liver Meeting</w:t>
      </w:r>
      <w:r>
        <w:rPr>
          <w:rFonts w:ascii="Arial" w:cs="Arial" w:eastAsia="Arial" w:hAnsi="Arial"/>
          <w:sz w:val="27"/>
          <w:szCs w:val="27"/>
          <w:color w:val="auto"/>
          <w:vertAlign w:val="superscript"/>
        </w:rPr>
        <w:t>®</w:t>
      </w:r>
      <w:r>
        <w:rPr>
          <w:rFonts w:ascii="Arial" w:cs="Arial" w:eastAsia="Arial" w:hAnsi="Arial"/>
          <w:sz w:val="16"/>
          <w:szCs w:val="16"/>
          <w:color w:val="auto"/>
        </w:rPr>
        <w:t xml:space="preserve"> 2018 demonstrating:</w:t>
      </w:r>
    </w:p>
    <w:p>
      <w:pPr>
        <w:spacing w:after="0" w:line="116" w:lineRule="exact"/>
        <w:rPr>
          <w:rFonts w:ascii="Arial" w:cs="Arial" w:eastAsia="Arial" w:hAnsi="Arial"/>
          <w:sz w:val="16"/>
          <w:szCs w:val="16"/>
          <w:color w:val="0071CE"/>
        </w:rPr>
      </w:pPr>
    </w:p>
    <w:p>
      <w:pPr>
        <w:ind w:left="740" w:hanging="206"/>
        <w:spacing w:after="0"/>
        <w:tabs>
          <w:tab w:leader="none" w:pos="740" w:val="left"/>
        </w:tabs>
        <w:numPr>
          <w:ilvl w:val="1"/>
          <w:numId w:val="31"/>
        </w:numPr>
        <w:rPr>
          <w:rFonts w:ascii="Arial" w:cs="Arial" w:eastAsia="Arial" w:hAnsi="Arial"/>
          <w:sz w:val="16"/>
          <w:szCs w:val="16"/>
          <w:color w:val="0071CE"/>
        </w:rPr>
      </w:pPr>
      <w:r>
        <w:rPr>
          <w:rFonts w:ascii="Arial" w:cs="Arial" w:eastAsia="Arial" w:hAnsi="Arial"/>
          <w:sz w:val="16"/>
          <w:szCs w:val="16"/>
          <w:color w:val="auto"/>
        </w:rPr>
        <w:t>Mean HBsAg reduction of -1.9 Log10 (-98.7%) with a range of -1.3 Log10 (-95.0%) to -3.8 Log10 (-99.98%).</w:t>
      </w:r>
    </w:p>
    <w:p>
      <w:pPr>
        <w:spacing w:after="0" w:line="126" w:lineRule="exact"/>
        <w:rPr>
          <w:rFonts w:ascii="Arial" w:cs="Arial" w:eastAsia="Arial" w:hAnsi="Arial"/>
          <w:sz w:val="16"/>
          <w:szCs w:val="16"/>
          <w:color w:val="0071CE"/>
        </w:rPr>
      </w:pPr>
    </w:p>
    <w:p>
      <w:pPr>
        <w:ind w:left="740" w:hanging="206"/>
        <w:spacing w:after="0"/>
        <w:tabs>
          <w:tab w:leader="none" w:pos="740" w:val="left"/>
        </w:tabs>
        <w:numPr>
          <w:ilvl w:val="1"/>
          <w:numId w:val="31"/>
        </w:numPr>
        <w:rPr>
          <w:rFonts w:ascii="Arial" w:cs="Arial" w:eastAsia="Arial" w:hAnsi="Arial"/>
          <w:sz w:val="16"/>
          <w:szCs w:val="16"/>
          <w:color w:val="0071CE"/>
        </w:rPr>
      </w:pPr>
      <w:r>
        <w:rPr>
          <w:rFonts w:ascii="Arial" w:cs="Arial" w:eastAsia="Arial" w:hAnsi="Arial"/>
          <w:sz w:val="16"/>
          <w:szCs w:val="16"/>
          <w:color w:val="auto"/>
        </w:rPr>
        <w:t>JNJ-3989 (ARO-HBV) appeared to be well-tolerated at monthly doses up to 400 mg.</w:t>
      </w:r>
    </w:p>
    <w:p>
      <w:pPr>
        <w:spacing w:after="0" w:line="126" w:lineRule="exact"/>
        <w:rPr>
          <w:rFonts w:ascii="Arial" w:cs="Arial" w:eastAsia="Arial" w:hAnsi="Arial"/>
          <w:sz w:val="16"/>
          <w:szCs w:val="16"/>
          <w:color w:val="0071CE"/>
        </w:rPr>
      </w:pPr>
    </w:p>
    <w:p>
      <w:pPr>
        <w:ind w:left="540" w:right="160" w:hanging="222"/>
        <w:spacing w:after="0" w:line="202" w:lineRule="auto"/>
        <w:tabs>
          <w:tab w:leader="none" w:pos="540"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2018: Signed a license agreement with Janssen Pharmaceuticals, Inc., part of the Janssen Pharmaceuticals Companies of Johnson &amp; Johnson, for JNJ-3989 (ARO-HBV) and a collaboration agreement for up to three RNAi therapeutic candidates that use our proprietary TRiM</w:t>
      </w:r>
      <w:r>
        <w:rPr>
          <w:rFonts w:ascii="Arial" w:cs="Arial" w:eastAsia="Arial" w:hAnsi="Arial"/>
          <w:sz w:val="27"/>
          <w:szCs w:val="27"/>
          <w:color w:val="auto"/>
          <w:vertAlign w:val="superscript"/>
        </w:rPr>
        <w:t>™</w:t>
      </w:r>
      <w:r>
        <w:rPr>
          <w:rFonts w:ascii="Arial" w:cs="Arial" w:eastAsia="Arial" w:hAnsi="Arial"/>
          <w:sz w:val="16"/>
          <w:szCs w:val="16"/>
          <w:color w:val="auto"/>
        </w:rPr>
        <w:t xml:space="preserve"> platform against new targets to be selected by Janssen.</w:t>
      </w:r>
    </w:p>
    <w:p>
      <w:pPr>
        <w:spacing w:after="0" w:line="116" w:lineRule="exact"/>
        <w:rPr>
          <w:rFonts w:ascii="Arial" w:cs="Arial" w:eastAsia="Arial" w:hAnsi="Arial"/>
          <w:sz w:val="16"/>
          <w:szCs w:val="16"/>
          <w:color w:val="0071CE"/>
        </w:rPr>
      </w:pPr>
    </w:p>
    <w:p>
      <w:pPr>
        <w:ind w:left="740" w:hanging="206"/>
        <w:spacing w:after="0"/>
        <w:tabs>
          <w:tab w:leader="none" w:pos="740" w:val="left"/>
        </w:tabs>
        <w:numPr>
          <w:ilvl w:val="1"/>
          <w:numId w:val="31"/>
        </w:numPr>
        <w:rPr>
          <w:rFonts w:ascii="Arial" w:cs="Arial" w:eastAsia="Arial" w:hAnsi="Arial"/>
          <w:sz w:val="16"/>
          <w:szCs w:val="16"/>
          <w:color w:val="0071CE"/>
        </w:rPr>
      </w:pPr>
      <w:r>
        <w:rPr>
          <w:rFonts w:ascii="Arial" w:cs="Arial" w:eastAsia="Arial" w:hAnsi="Arial"/>
          <w:sz w:val="16"/>
          <w:szCs w:val="16"/>
          <w:color w:val="auto"/>
        </w:rPr>
        <w:t>The total potential deal value is approximately $3.7 billion plus royalties on commercial sales.</w:t>
      </w:r>
    </w:p>
    <w:p>
      <w:pPr>
        <w:spacing w:after="0" w:line="126" w:lineRule="exact"/>
        <w:rPr>
          <w:rFonts w:ascii="Arial" w:cs="Arial" w:eastAsia="Arial" w:hAnsi="Arial"/>
          <w:sz w:val="16"/>
          <w:szCs w:val="16"/>
          <w:color w:val="0071CE"/>
        </w:rPr>
      </w:pPr>
    </w:p>
    <w:p>
      <w:pPr>
        <w:ind w:left="740" w:right="240" w:hanging="206"/>
        <w:spacing w:after="0" w:line="260" w:lineRule="auto"/>
        <w:tabs>
          <w:tab w:leader="none" w:pos="740" w:val="left"/>
        </w:tabs>
        <w:numPr>
          <w:ilvl w:val="1"/>
          <w:numId w:val="31"/>
        </w:numPr>
        <w:rPr>
          <w:rFonts w:ascii="Arial" w:cs="Arial" w:eastAsia="Arial" w:hAnsi="Arial"/>
          <w:sz w:val="16"/>
          <w:szCs w:val="16"/>
          <w:color w:val="0071CE"/>
        </w:rPr>
      </w:pPr>
      <w:r>
        <w:rPr>
          <w:rFonts w:ascii="Arial" w:cs="Arial" w:eastAsia="Arial" w:hAnsi="Arial"/>
          <w:sz w:val="16"/>
          <w:szCs w:val="16"/>
          <w:color w:val="auto"/>
        </w:rPr>
        <w:t>Received $175 million as an upfront payment and received $75 million in the form of an equity investment by Johnson &amp; Johnson Innovation — JJDC, Inc., at a premium price of $23.00 per share of Arrowhead common stock.</w:t>
      </w:r>
    </w:p>
    <w:p>
      <w:pPr>
        <w:spacing w:after="0" w:line="100" w:lineRule="exact"/>
        <w:rPr>
          <w:rFonts w:ascii="Arial" w:cs="Arial" w:eastAsia="Arial" w:hAnsi="Arial"/>
          <w:sz w:val="16"/>
          <w:szCs w:val="16"/>
          <w:color w:val="0071CE"/>
        </w:rPr>
      </w:pPr>
    </w:p>
    <w:p>
      <w:pPr>
        <w:jc w:val="both"/>
        <w:ind w:left="540" w:right="240" w:hanging="222"/>
        <w:spacing w:after="0" w:line="253" w:lineRule="auto"/>
        <w:tabs>
          <w:tab w:leader="none" w:pos="540"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2019: Arrowhead initiated dosing in the triple combination cohort (cohort 12) in the Company’s ongoing Phase 1 / 2 study of JNJ-3989 (ARO-HBV) earning a $25 million milestone payment. The Company earned an additional $25 million milestone payment following the initiation of dosing in its phase 2b study of JNJ-3989 (ARO-HBV).</w:t>
      </w:r>
    </w:p>
    <w:p>
      <w:pPr>
        <w:spacing w:after="0" w:line="106" w:lineRule="exact"/>
        <w:rPr>
          <w:rFonts w:ascii="Arial" w:cs="Arial" w:eastAsia="Arial" w:hAnsi="Arial"/>
          <w:sz w:val="16"/>
          <w:szCs w:val="16"/>
          <w:color w:val="0071CE"/>
        </w:rPr>
      </w:pPr>
    </w:p>
    <w:p>
      <w:pPr>
        <w:ind w:left="540" w:right="40" w:hanging="222"/>
        <w:spacing w:after="0" w:line="260" w:lineRule="auto"/>
        <w:tabs>
          <w:tab w:leader="none" w:pos="540" w:val="left"/>
        </w:tabs>
        <w:numPr>
          <w:ilvl w:val="0"/>
          <w:numId w:val="31"/>
        </w:numPr>
        <w:rPr>
          <w:rFonts w:ascii="Arial" w:cs="Arial" w:eastAsia="Arial" w:hAnsi="Arial"/>
          <w:sz w:val="16"/>
          <w:szCs w:val="16"/>
          <w:color w:val="0071CE"/>
        </w:rPr>
      </w:pPr>
      <w:r>
        <w:rPr>
          <w:rFonts w:ascii="Arial" w:cs="Arial" w:eastAsia="Arial" w:hAnsi="Arial"/>
          <w:sz w:val="16"/>
          <w:szCs w:val="16"/>
          <w:color w:val="auto"/>
        </w:rPr>
        <w:t>2019: Janssen selected one of its three potential targets under the 2018 collaboration agreement and the Company is developing a drug, ARO-JNJ1, under the collaboration.</w:t>
      </w:r>
    </w:p>
    <w:p>
      <w:pPr>
        <w:spacing w:after="0" w:line="175" w:lineRule="exact"/>
        <w:rPr>
          <w:sz w:val="20"/>
          <w:szCs w:val="20"/>
          <w:color w:val="auto"/>
        </w:rPr>
      </w:pPr>
    </w:p>
    <w:p>
      <w:pPr>
        <w:ind w:left="220" w:right="460"/>
        <w:spacing w:after="0" w:line="286" w:lineRule="auto"/>
        <w:rPr>
          <w:sz w:val="20"/>
          <w:szCs w:val="20"/>
          <w:color w:val="auto"/>
        </w:rPr>
      </w:pPr>
      <w:r>
        <w:rPr>
          <w:rFonts w:ascii="Arial" w:cs="Arial" w:eastAsia="Arial" w:hAnsi="Arial"/>
          <w:sz w:val="16"/>
          <w:szCs w:val="16"/>
          <w:b w:val="1"/>
          <w:bCs w:val="1"/>
          <w:color w:val="auto"/>
        </w:rPr>
        <w:t xml:space="preserve">AMG 890 (formerly ARO-LPA) </w:t>
      </w:r>
      <w:r>
        <w:rPr>
          <w:rFonts w:ascii="Arial" w:cs="Arial" w:eastAsia="Arial" w:hAnsi="Arial"/>
          <w:sz w:val="16"/>
          <w:szCs w:val="16"/>
          <w:color w:val="auto"/>
        </w:rPr>
        <w:t>is designed to reduce production of apolipoprotein A, a key component of lipoprotein(a), which has been genetically</w:t>
      </w:r>
      <w:r>
        <w:rPr>
          <w:rFonts w:ascii="Arial" w:cs="Arial" w:eastAsia="Arial" w:hAnsi="Arial"/>
          <w:sz w:val="16"/>
          <w:szCs w:val="16"/>
          <w:b w:val="1"/>
          <w:bCs w:val="1"/>
          <w:color w:val="auto"/>
        </w:rPr>
        <w:t xml:space="preserve"> </w:t>
      </w:r>
      <w:r>
        <w:rPr>
          <w:rFonts w:ascii="Arial" w:cs="Arial" w:eastAsia="Arial" w:hAnsi="Arial"/>
          <w:sz w:val="16"/>
          <w:szCs w:val="16"/>
          <w:color w:val="auto"/>
        </w:rPr>
        <w:t>linked with increased risk of cardiovascular diseases, independent of cholesterol and LDL levels.</w:t>
      </w:r>
    </w:p>
    <w:p>
      <w:pPr>
        <w:spacing w:after="0" w:line="81" w:lineRule="exact"/>
        <w:rPr>
          <w:sz w:val="20"/>
          <w:szCs w:val="20"/>
          <w:color w:val="auto"/>
        </w:rPr>
      </w:pPr>
    </w:p>
    <w:p>
      <w:pPr>
        <w:ind w:left="540" w:hanging="222"/>
        <w:spacing w:after="0"/>
        <w:tabs>
          <w:tab w:leader="none" w:pos="540" w:val="left"/>
        </w:tabs>
        <w:numPr>
          <w:ilvl w:val="0"/>
          <w:numId w:val="32"/>
        </w:numPr>
        <w:rPr>
          <w:rFonts w:ascii="Arial" w:cs="Arial" w:eastAsia="Arial" w:hAnsi="Arial"/>
          <w:sz w:val="16"/>
          <w:szCs w:val="16"/>
          <w:color w:val="0071CE"/>
        </w:rPr>
      </w:pPr>
      <w:r>
        <w:rPr>
          <w:rFonts w:ascii="Arial" w:cs="Arial" w:eastAsia="Arial" w:hAnsi="Arial"/>
          <w:sz w:val="16"/>
          <w:szCs w:val="16"/>
          <w:color w:val="auto"/>
        </w:rPr>
        <w:t>2016: Amgen, Inc. acquired a worldwide, exclusive license to develop and commercialize AMG 890 (ARO-LPA).</w:t>
      </w:r>
    </w:p>
    <w:p>
      <w:pPr>
        <w:spacing w:after="0" w:line="126" w:lineRule="exact"/>
        <w:rPr>
          <w:rFonts w:ascii="Arial" w:cs="Arial" w:eastAsia="Arial" w:hAnsi="Arial"/>
          <w:sz w:val="16"/>
          <w:szCs w:val="16"/>
          <w:color w:val="0071CE"/>
        </w:rPr>
      </w:pPr>
    </w:p>
    <w:p>
      <w:pPr>
        <w:ind w:left="540" w:right="660" w:hanging="222"/>
        <w:spacing w:after="0" w:line="260" w:lineRule="auto"/>
        <w:tabs>
          <w:tab w:leader="none" w:pos="540" w:val="left"/>
        </w:tabs>
        <w:numPr>
          <w:ilvl w:val="0"/>
          <w:numId w:val="32"/>
        </w:numPr>
        <w:rPr>
          <w:rFonts w:ascii="Arial" w:cs="Arial" w:eastAsia="Arial" w:hAnsi="Arial"/>
          <w:sz w:val="16"/>
          <w:szCs w:val="16"/>
          <w:color w:val="0071CE"/>
        </w:rPr>
      </w:pPr>
      <w:r>
        <w:rPr>
          <w:rFonts w:ascii="Arial" w:cs="Arial" w:eastAsia="Arial" w:hAnsi="Arial"/>
          <w:sz w:val="16"/>
          <w:szCs w:val="16"/>
          <w:color w:val="auto"/>
        </w:rPr>
        <w:t>2018: Amgen administers the first dose of AMG 890 (ARO-LPA) in a Phase 1 clinical study, which earned Arrowhead a $10 million milestone payment.</w:t>
      </w:r>
    </w:p>
    <w:p>
      <w:pPr>
        <w:spacing w:after="0" w:line="175" w:lineRule="exact"/>
        <w:rPr>
          <w:sz w:val="20"/>
          <w:szCs w:val="20"/>
          <w:color w:val="auto"/>
        </w:rPr>
      </w:pPr>
    </w:p>
    <w:p>
      <w:pPr>
        <w:ind w:left="220" w:right="240"/>
        <w:spacing w:after="0" w:line="266" w:lineRule="auto"/>
        <w:rPr>
          <w:sz w:val="20"/>
          <w:szCs w:val="20"/>
          <w:color w:val="auto"/>
        </w:rPr>
      </w:pPr>
      <w:r>
        <w:rPr>
          <w:rFonts w:ascii="Arial" w:cs="Arial" w:eastAsia="Arial" w:hAnsi="Arial"/>
          <w:sz w:val="16"/>
          <w:szCs w:val="16"/>
          <w:b w:val="1"/>
          <w:bCs w:val="1"/>
          <w:color w:val="auto"/>
        </w:rPr>
        <w:t xml:space="preserve">ARO-AMG1 </w:t>
      </w:r>
      <w:r>
        <w:rPr>
          <w:rFonts w:ascii="Arial" w:cs="Arial" w:eastAsia="Arial" w:hAnsi="Arial"/>
          <w:sz w:val="16"/>
          <w:szCs w:val="16"/>
          <w:color w:val="auto"/>
        </w:rPr>
        <w:t>was being developed against an undisclosed genetically-validated cardiovascular target under a license and collaboration agreement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Amgen. We completed the Arrowhead Deliverable, as defined in our collaboration agreement with Amgen, during 2018. The option period expired on August 7, 2019, and Amgen advised the Company it did not intend to exercise its option.</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Candidates in Development</w:t>
      </w:r>
    </w:p>
    <w:p>
      <w:pPr>
        <w:spacing w:after="0" w:line="108" w:lineRule="exact"/>
        <w:rPr>
          <w:sz w:val="20"/>
          <w:szCs w:val="20"/>
          <w:color w:val="auto"/>
        </w:rPr>
      </w:pPr>
    </w:p>
    <w:p>
      <w:pPr>
        <w:ind w:left="220" w:right="80"/>
        <w:spacing w:after="0" w:line="303" w:lineRule="auto"/>
        <w:rPr>
          <w:sz w:val="20"/>
          <w:szCs w:val="20"/>
          <w:color w:val="auto"/>
        </w:rPr>
      </w:pPr>
      <w:r>
        <w:rPr>
          <w:rFonts w:ascii="Arial" w:cs="Arial" w:eastAsia="Arial" w:hAnsi="Arial"/>
          <w:sz w:val="16"/>
          <w:szCs w:val="16"/>
          <w:b w:val="1"/>
          <w:bCs w:val="1"/>
          <w:color w:val="auto"/>
        </w:rPr>
        <w:t xml:space="preserve">ARO-ENaC </w:t>
      </w:r>
      <w:r>
        <w:rPr>
          <w:rFonts w:ascii="Arial" w:cs="Arial" w:eastAsia="Arial" w:hAnsi="Arial"/>
          <w:sz w:val="16"/>
          <w:szCs w:val="16"/>
          <w:color w:val="auto"/>
        </w:rPr>
        <w:t>is designed to reduce production of the epithelial sodium channel alpha subunit (aENaC) in the airways of the lung. In cystic fibrosis patients,</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increased ENaC activity contributes to airway dehydration and reduced mucociliary transport. A CTA is planned for the first half of 2020.</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2" w:lineRule="exact"/>
        <w:rPr>
          <w:sz w:val="20"/>
          <w:szCs w:val="20"/>
          <w:color w:val="auto"/>
        </w:rPr>
      </w:pPr>
    </w:p>
    <w:p>
      <w:pPr>
        <w:ind w:left="540" w:hanging="222"/>
        <w:spacing w:after="0"/>
        <w:tabs>
          <w:tab w:leader="none" w:pos="540" w:val="left"/>
        </w:tabs>
        <w:numPr>
          <w:ilvl w:val="0"/>
          <w:numId w:val="33"/>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 Generated revenue of $168.8 million in fiscal 2019, compared to revenues of $16.1 million in fiscal 2018 and $31.4 million in fiscal 2017;</w:t>
      </w:r>
    </w:p>
    <w:p>
      <w:pPr>
        <w:spacing w:after="0" w:line="126" w:lineRule="exact"/>
        <w:rPr>
          <w:rFonts w:ascii="Arial" w:cs="Arial" w:eastAsia="Arial" w:hAnsi="Arial"/>
          <w:sz w:val="16"/>
          <w:szCs w:val="16"/>
          <w:color w:val="0071CE"/>
        </w:rPr>
      </w:pPr>
    </w:p>
    <w:p>
      <w:pPr>
        <w:ind w:left="540" w:right="160" w:hanging="222"/>
        <w:spacing w:after="0" w:line="286" w:lineRule="auto"/>
        <w:tabs>
          <w:tab w:leader="none" w:pos="540" w:val="left"/>
        </w:tabs>
        <w:numPr>
          <w:ilvl w:val="0"/>
          <w:numId w:val="33"/>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 Recorded net income of $68.0 million in fiscal 2019, compared to net losses of $54.5 million in fiscal 2018 and $34.4 million in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67310</wp:posOffset>
            </wp:positionV>
            <wp:extent cx="98488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17"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66" w:lineRule="exact"/>
        <w:rPr>
          <w:sz w:val="20"/>
          <w:szCs w:val="20"/>
          <w:color w:val="auto"/>
        </w:rPr>
      </w:pPr>
    </w:p>
    <w:p>
      <w:pPr>
        <w:ind w:left="540" w:right="280" w:hanging="222"/>
        <w:spacing w:after="0" w:line="286" w:lineRule="auto"/>
        <w:tabs>
          <w:tab w:leader="none" w:pos="540" w:val="left"/>
        </w:tabs>
        <w:numPr>
          <w:ilvl w:val="0"/>
          <w:numId w:val="34"/>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Income Per Share </w:t>
      </w:r>
      <w:r>
        <w:rPr>
          <w:rFonts w:ascii="Arial" w:cs="Arial" w:eastAsia="Arial" w:hAnsi="Arial"/>
          <w:sz w:val="16"/>
          <w:szCs w:val="16"/>
          <w:color w:val="auto"/>
        </w:rPr>
        <w:t>— Recorded net income per share (diluted) of $0.69 in fiscal 2019, compared to net losses per share (diluted) of $0.65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2018 and $0.47 in fiscal 2017.</w:t>
      </w:r>
    </w:p>
    <w:p>
      <w:pPr>
        <w:spacing w:after="0" w:line="60" w:lineRule="exact"/>
        <w:rPr>
          <w:rFonts w:ascii="Arial" w:cs="Arial" w:eastAsia="Arial" w:hAnsi="Arial"/>
          <w:sz w:val="16"/>
          <w:szCs w:val="16"/>
          <w:color w:val="0071CE"/>
        </w:rPr>
      </w:pPr>
    </w:p>
    <w:p>
      <w:pPr>
        <w:ind w:left="540" w:right="260" w:hanging="222"/>
        <w:spacing w:after="0" w:line="286" w:lineRule="auto"/>
        <w:tabs>
          <w:tab w:leader="none" w:pos="540" w:val="left"/>
        </w:tabs>
        <w:numPr>
          <w:ilvl w:val="0"/>
          <w:numId w:val="34"/>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Cash at end of fiscal 2019 </w:t>
      </w:r>
      <w:r>
        <w:rPr>
          <w:rFonts w:ascii="Arial" w:cs="Arial" w:eastAsia="Arial" w:hAnsi="Arial"/>
          <w:sz w:val="16"/>
          <w:szCs w:val="16"/>
          <w:color w:val="auto"/>
        </w:rPr>
        <w:t>— Cash and investments of cash totaled $302.9 million at September 30, 2019, and $528 million as of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w:t>
      </w:r>
    </w:p>
    <w:p>
      <w:pPr>
        <w:spacing w:after="0" w:line="60" w:lineRule="exact"/>
        <w:rPr>
          <w:rFonts w:ascii="Arial" w:cs="Arial" w:eastAsia="Arial" w:hAnsi="Arial"/>
          <w:sz w:val="16"/>
          <w:szCs w:val="16"/>
          <w:color w:val="0071CE"/>
        </w:rPr>
      </w:pPr>
    </w:p>
    <w:p>
      <w:pPr>
        <w:ind w:left="540" w:hanging="222"/>
        <w:spacing w:after="0"/>
        <w:tabs>
          <w:tab w:leader="none" w:pos="540" w:val="left"/>
        </w:tabs>
        <w:numPr>
          <w:ilvl w:val="0"/>
          <w:numId w:val="34"/>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Total Stockholder Return </w:t>
      </w:r>
      <w:r>
        <w:rPr>
          <w:rFonts w:ascii="Arial" w:cs="Arial" w:eastAsia="Arial" w:hAnsi="Arial"/>
          <w:sz w:val="16"/>
          <w:szCs w:val="16"/>
          <w:color w:val="auto"/>
        </w:rPr>
        <w:t>— 47% in fiscal 2019.</w:t>
      </w:r>
    </w:p>
    <w:p>
      <w:pPr>
        <w:spacing w:after="0" w:line="324"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Executive Compensation Highlights</w:t>
      </w:r>
    </w:p>
    <w:p>
      <w:pPr>
        <w:spacing w:after="0" w:line="128" w:lineRule="exact"/>
        <w:rPr>
          <w:sz w:val="20"/>
          <w:szCs w:val="20"/>
          <w:color w:val="auto"/>
        </w:rPr>
      </w:pPr>
    </w:p>
    <w:p>
      <w:pPr>
        <w:ind w:left="220" w:right="140"/>
        <w:spacing w:after="0" w:line="260" w:lineRule="auto"/>
        <w:rPr>
          <w:sz w:val="20"/>
          <w:szCs w:val="20"/>
          <w:color w:val="auto"/>
        </w:rPr>
      </w:pPr>
      <w:r>
        <w:rPr>
          <w:rFonts w:ascii="Arial" w:cs="Arial" w:eastAsia="Arial" w:hAnsi="Arial"/>
          <w:sz w:val="16"/>
          <w:szCs w:val="16"/>
          <w:color w:val="auto"/>
        </w:rPr>
        <w:t>Based on our overall operating environment and these results, the Compensation Committee took the following key actions and maintained key policies with respect to the compensation of our Named Executive Officers for 2019:</w:t>
      </w:r>
    </w:p>
    <w:p>
      <w:pPr>
        <w:spacing w:after="0" w:line="80" w:lineRule="exact"/>
        <w:rPr>
          <w:sz w:val="20"/>
          <w:szCs w:val="20"/>
          <w:color w:val="auto"/>
        </w:rPr>
      </w:pPr>
    </w:p>
    <w:p>
      <w:pPr>
        <w:ind w:left="540" w:hanging="222"/>
        <w:spacing w:after="0"/>
        <w:tabs>
          <w:tab w:leader="none" w:pos="540" w:val="left"/>
        </w:tabs>
        <w:numPr>
          <w:ilvl w:val="0"/>
          <w:numId w:val="35"/>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 Approved base salary increases of 4-10% for our current Named Executive Officers, including a 5% increase for our CEO.</w:t>
      </w:r>
    </w:p>
    <w:p>
      <w:pPr>
        <w:spacing w:after="0" w:line="126" w:lineRule="exact"/>
        <w:rPr>
          <w:rFonts w:ascii="Arial" w:cs="Arial" w:eastAsia="Arial" w:hAnsi="Arial"/>
          <w:sz w:val="16"/>
          <w:szCs w:val="16"/>
          <w:color w:val="0071CE"/>
        </w:rPr>
      </w:pPr>
    </w:p>
    <w:p>
      <w:pPr>
        <w:jc w:val="both"/>
        <w:ind w:left="540" w:right="60" w:hanging="222"/>
        <w:spacing w:after="0" w:line="266" w:lineRule="auto"/>
        <w:tabs>
          <w:tab w:leader="none" w:pos="540" w:val="left"/>
        </w:tabs>
        <w:numPr>
          <w:ilvl w:val="0"/>
          <w:numId w:val="35"/>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Annual Incentive Compensation </w:t>
      </w:r>
      <w:r>
        <w:rPr>
          <w:rFonts w:ascii="Arial" w:cs="Arial" w:eastAsia="Arial" w:hAnsi="Arial"/>
          <w:sz w:val="16"/>
          <w:szCs w:val="16"/>
          <w:color w:val="auto"/>
        </w:rPr>
        <w:t>— Approved annual cash bonuses for 2019 ranging from 130% to 243% of target annual incentive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including an annual cash bonus for our CEO in the amount of $1,540,000, equal to 226% of his target annual incentive compensation opportunity.</w:t>
      </w:r>
    </w:p>
    <w:p>
      <w:pPr>
        <w:spacing w:after="0" w:line="76" w:lineRule="exact"/>
        <w:rPr>
          <w:rFonts w:ascii="Arial" w:cs="Arial" w:eastAsia="Arial" w:hAnsi="Arial"/>
          <w:sz w:val="16"/>
          <w:szCs w:val="16"/>
          <w:color w:val="0071CE"/>
        </w:rPr>
      </w:pPr>
    </w:p>
    <w:p>
      <w:pPr>
        <w:ind w:left="540" w:hanging="222"/>
        <w:spacing w:after="0" w:line="254" w:lineRule="auto"/>
        <w:tabs>
          <w:tab w:leader="none" w:pos="540" w:val="left"/>
        </w:tabs>
        <w:numPr>
          <w:ilvl w:val="0"/>
          <w:numId w:val="35"/>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Equity Compensation </w:t>
      </w:r>
      <w:r>
        <w:rPr>
          <w:rFonts w:ascii="Arial" w:cs="Arial" w:eastAsia="Arial" w:hAnsi="Arial"/>
          <w:sz w:val="16"/>
          <w:szCs w:val="16"/>
          <w:color w:val="auto"/>
        </w:rPr>
        <w:t>— Granted our CEO a long-term incentive compensation opportunity in the form of a performance-based restricted stock unit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PRSU</w:t>
      </w:r>
      <w:r>
        <w:rPr>
          <w:rFonts w:ascii="Arial" w:cs="Arial" w:eastAsia="Arial" w:hAnsi="Arial"/>
          <w:sz w:val="16"/>
          <w:szCs w:val="16"/>
          <w:color w:val="auto"/>
        </w:rPr>
        <w:t>”) award with a grant date value of $7,452,000. This CEO PRSU award will vest upon the achievement of three equally weighted, pre-established and rigorous performance milestones. The Compensation Committee also granted our other Named Executive Officers long-term incentive compensation opportunities in the form of time-based restricted stock unit (“</w:t>
      </w:r>
      <w:r>
        <w:rPr>
          <w:rFonts w:ascii="Arial" w:cs="Arial" w:eastAsia="Arial" w:hAnsi="Arial"/>
          <w:sz w:val="16"/>
          <w:szCs w:val="16"/>
          <w:b w:val="1"/>
          <w:bCs w:val="1"/>
          <w:color w:val="auto"/>
        </w:rPr>
        <w:t>RSU</w:t>
      </w:r>
      <w:r>
        <w:rPr>
          <w:rFonts w:ascii="Arial" w:cs="Arial" w:eastAsia="Arial" w:hAnsi="Arial"/>
          <w:sz w:val="16"/>
          <w:szCs w:val="16"/>
          <w:color w:val="auto"/>
        </w:rPr>
        <w:t>”) awards that may be settled for shares of our common stock with grant date values ranging from $869,400 to $2,608,200. A minimum three-year vesting is required for time-based equity awards granted to our other executive officers.</w:t>
      </w:r>
    </w:p>
    <w:p>
      <w:pPr>
        <w:spacing w:after="0" w:line="86" w:lineRule="exact"/>
        <w:rPr>
          <w:rFonts w:ascii="Arial" w:cs="Arial" w:eastAsia="Arial" w:hAnsi="Arial"/>
          <w:sz w:val="16"/>
          <w:szCs w:val="16"/>
          <w:color w:val="0071CE"/>
        </w:rPr>
      </w:pPr>
    </w:p>
    <w:p>
      <w:pPr>
        <w:ind w:left="540" w:right="420" w:hanging="222"/>
        <w:spacing w:after="0" w:line="266" w:lineRule="auto"/>
        <w:tabs>
          <w:tab w:leader="none" w:pos="540" w:val="left"/>
        </w:tabs>
        <w:numPr>
          <w:ilvl w:val="0"/>
          <w:numId w:val="35"/>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 Maintained a clawback policy allowing the Company to recover compensation from any executive officer should the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that a material misstatement of the Company’s financial statements was due to fraud, negligence, or intentional misconduct by any executive officer of the Company.</w:t>
      </w:r>
    </w:p>
    <w:p>
      <w:pPr>
        <w:spacing w:after="0" w:line="76" w:lineRule="exact"/>
        <w:rPr>
          <w:rFonts w:ascii="Arial" w:cs="Arial" w:eastAsia="Arial" w:hAnsi="Arial"/>
          <w:sz w:val="16"/>
          <w:szCs w:val="16"/>
          <w:color w:val="0071CE"/>
        </w:rPr>
      </w:pPr>
    </w:p>
    <w:p>
      <w:pPr>
        <w:ind w:left="540" w:hanging="222"/>
        <w:spacing w:after="0" w:line="286" w:lineRule="auto"/>
        <w:tabs>
          <w:tab w:leader="none" w:pos="540" w:val="left"/>
        </w:tabs>
        <w:numPr>
          <w:ilvl w:val="0"/>
          <w:numId w:val="35"/>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Ownership Guidelines </w:t>
      </w:r>
      <w:r>
        <w:rPr>
          <w:rFonts w:ascii="Arial" w:cs="Arial" w:eastAsia="Arial" w:hAnsi="Arial"/>
          <w:sz w:val="16"/>
          <w:szCs w:val="16"/>
          <w:color w:val="auto"/>
        </w:rPr>
        <w:t>— Maintained the achievement of stock ownership guidelines of six times his annual base salary for our CEO and twice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base salary for our COO and CFO.</w:t>
      </w:r>
    </w:p>
    <w:p>
      <w:pPr>
        <w:spacing w:after="0" w:line="60" w:lineRule="exact"/>
        <w:rPr>
          <w:rFonts w:ascii="Arial" w:cs="Arial" w:eastAsia="Arial" w:hAnsi="Arial"/>
          <w:sz w:val="16"/>
          <w:szCs w:val="16"/>
          <w:color w:val="0071CE"/>
        </w:rPr>
      </w:pPr>
    </w:p>
    <w:p>
      <w:pPr>
        <w:jc w:val="both"/>
        <w:ind w:left="540" w:right="240" w:hanging="222"/>
        <w:spacing w:after="0" w:line="266" w:lineRule="auto"/>
        <w:tabs>
          <w:tab w:leader="none" w:pos="540" w:val="left"/>
        </w:tabs>
        <w:numPr>
          <w:ilvl w:val="0"/>
          <w:numId w:val="35"/>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“Double Trigger” Feature for Acceleration of Equity Awards </w:t>
      </w:r>
      <w:r>
        <w:rPr>
          <w:rFonts w:ascii="Arial" w:cs="Arial" w:eastAsia="Arial" w:hAnsi="Arial"/>
          <w:sz w:val="16"/>
          <w:szCs w:val="16"/>
          <w:color w:val="auto"/>
        </w:rPr>
        <w:t>— Maintained the agreements for outstanding equity awards granted to our CEO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our 2004 Equity Incentive Plan and 2013 Incentive Plan to provide that, upon a change in control of the Company, the vesting of such awards will accelerate only in the event of a subsequent involuntary termination of employment (a “double-trigger” arrangement).</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Advisory Vote to Approve Named Executive Officer Compensation</w:t>
      </w:r>
    </w:p>
    <w:p>
      <w:pPr>
        <w:spacing w:after="0" w:line="124"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auto"/>
        </w:rPr>
        <w:t>At our 2019 Annual Meeting of Stockholders in March 2019, we conducted a non-binding stockholder advisory vote to approve the compensation of our Named Executive Officers (commonly known as a “Say-on-Pay” vote). Our stockholders approved the Say-on-Pay proposal with approximately 97% of the votes cast in favor of the proposal. Based on the vote and feedback from our stockholders, we attribute the high approval percentage primarily to the following factors:</w:t>
      </w:r>
    </w:p>
    <w:p>
      <w:pPr>
        <w:spacing w:after="0" w:line="110" w:lineRule="exact"/>
        <w:rPr>
          <w:sz w:val="20"/>
          <w:szCs w:val="20"/>
          <w:color w:val="auto"/>
        </w:rPr>
      </w:pPr>
    </w:p>
    <w:p>
      <w:pPr>
        <w:ind w:left="540" w:right="120" w:hanging="222"/>
        <w:spacing w:after="0" w:line="260" w:lineRule="auto"/>
        <w:tabs>
          <w:tab w:leader="none" w:pos="54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Continued our practice of granting 100% performance-based equity awards for our CEO which is preferred by stockholders and unusual in our peer group;</w:t>
      </w:r>
    </w:p>
    <w:p>
      <w:pPr>
        <w:spacing w:after="0" w:line="100" w:lineRule="exact"/>
        <w:rPr>
          <w:rFonts w:ascii="Arial" w:cs="Arial" w:eastAsia="Arial" w:hAnsi="Arial"/>
          <w:sz w:val="16"/>
          <w:szCs w:val="16"/>
          <w:color w:val="0071CE"/>
        </w:rPr>
      </w:pPr>
    </w:p>
    <w:p>
      <w:pPr>
        <w:ind w:left="540" w:right="160" w:hanging="222"/>
        <w:spacing w:after="0" w:line="253" w:lineRule="auto"/>
        <w:tabs>
          <w:tab w:leader="none" w:pos="54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Maintained our commitment to good corporate governance by continuing the following compensation practices: minimum vesting requirements; compensation recovery (“clawback”) policy, double-trigger acceleration of equity awards for our CEO; and stock ownership guidelines for our CEO, CFO and COO;</w:t>
      </w:r>
    </w:p>
    <w:p>
      <w:pPr>
        <w:spacing w:after="0" w:line="106" w:lineRule="exact"/>
        <w:rPr>
          <w:rFonts w:ascii="Arial" w:cs="Arial" w:eastAsia="Arial" w:hAnsi="Arial"/>
          <w:sz w:val="16"/>
          <w:szCs w:val="16"/>
          <w:color w:val="0071CE"/>
        </w:rPr>
      </w:pPr>
    </w:p>
    <w:p>
      <w:pPr>
        <w:ind w:left="540" w:hanging="222"/>
        <w:spacing w:after="0"/>
        <w:tabs>
          <w:tab w:leader="none" w:pos="54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Achievement of aggressive corporate goals in 2018 and 2019; and</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Substantial increases in market capitalization and TSR in 2018 and 2019.</w:t>
      </w:r>
    </w:p>
    <w:p>
      <w:pPr>
        <w:spacing w:after="0" w:line="221" w:lineRule="exact"/>
        <w:rPr>
          <w:sz w:val="20"/>
          <w:szCs w:val="20"/>
          <w:color w:val="auto"/>
        </w:rPr>
      </w:pPr>
    </w:p>
    <w:p>
      <w:pPr>
        <w:ind w:left="220" w:right="220"/>
        <w:spacing w:after="0" w:line="250" w:lineRule="auto"/>
        <w:rPr>
          <w:sz w:val="20"/>
          <w:szCs w:val="20"/>
          <w:color w:val="auto"/>
        </w:rPr>
      </w:pPr>
      <w:r>
        <w:rPr>
          <w:rFonts w:ascii="Arial" w:cs="Arial" w:eastAsia="Arial" w:hAnsi="Arial"/>
          <w:sz w:val="16"/>
          <w:szCs w:val="16"/>
          <w:color w:val="auto"/>
        </w:rPr>
        <w:t>In 2019, we continued our stockholder engagement program, reaching out to our top 20 institutional stockholders beneficially owning over 50% of our outstanding common stock to solicit their views and concerns and reviewed the feedback and policies of ISS. Based on this review, as well as our commitment to good corporate governance, as noted above, the Compensation Committee continued the above mentioned practices for the executive compensation review in 2019.</w:t>
      </w:r>
    </w:p>
    <w:p>
      <w:pPr>
        <w:spacing w:after="0" w:line="205" w:lineRule="exact"/>
        <w:rPr>
          <w:sz w:val="20"/>
          <w:szCs w:val="20"/>
          <w:color w:val="auto"/>
        </w:rPr>
      </w:pPr>
    </w:p>
    <w:p>
      <w:pPr>
        <w:ind w:left="220" w:right="380"/>
        <w:spacing w:after="0" w:line="253" w:lineRule="auto"/>
        <w:rPr>
          <w:sz w:val="20"/>
          <w:szCs w:val="20"/>
          <w:color w:val="auto"/>
        </w:rPr>
      </w:pPr>
      <w:r>
        <w:rPr>
          <w:rFonts w:ascii="Arial" w:cs="Arial" w:eastAsia="Arial" w:hAnsi="Arial"/>
          <w:sz w:val="16"/>
          <w:szCs w:val="16"/>
          <w:color w:val="auto"/>
        </w:rPr>
        <w:t>During our 2019 annual meeting in March 2019, we asked our stockholders to recommend the frequency of future stockholder advisory votes on the compensation of the Company’s named executive officers. Stockholders recommended an annual non-binding vote, and we are following that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83185</wp:posOffset>
            </wp:positionV>
            <wp:extent cx="984885"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18</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4" w:lineRule="exact"/>
        <w:rPr>
          <w:sz w:val="20"/>
          <w:szCs w:val="20"/>
          <w:color w:val="auto"/>
        </w:rPr>
      </w:pPr>
    </w:p>
    <w:p>
      <w:pPr>
        <w:jc w:val="both"/>
        <w:ind w:left="220" w:right="60"/>
        <w:spacing w:after="0" w:line="253" w:lineRule="auto"/>
        <w:rPr>
          <w:sz w:val="20"/>
          <w:szCs w:val="20"/>
          <w:color w:val="auto"/>
        </w:rPr>
      </w:pPr>
      <w:r>
        <w:rPr>
          <w:rFonts w:ascii="Arial" w:cs="Arial" w:eastAsia="Arial" w:hAnsi="Arial"/>
          <w:sz w:val="16"/>
          <w:szCs w:val="16"/>
          <w:color w:val="auto"/>
        </w:rPr>
        <w:t>We value the opinions of our stockholders and will continue to consider the outcome of future Say-on-Pay votes, as well as feedback received throughout the year, when making compensation decisions for our executive officers. The Compensation Committee is committed to being responsive to stockholder feedback regarding our executive compensation program, policies, and practices, including concerns expressed through the Say-on-Pay vote.</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Pay-for-Performance Analysis</w:t>
      </w:r>
    </w:p>
    <w:p>
      <w:pPr>
        <w:spacing w:after="0" w:line="124" w:lineRule="exact"/>
        <w:rPr>
          <w:sz w:val="20"/>
          <w:szCs w:val="20"/>
          <w:color w:val="auto"/>
        </w:rPr>
      </w:pPr>
    </w:p>
    <w:p>
      <w:pPr>
        <w:ind w:left="220" w:right="260"/>
        <w:spacing w:after="0" w:line="250"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ensure this alignment and to motivate and reward individual initiative and effort, a significant portion of our executive officers’ target annual total direct compensation opportunity is both performance-based and “at-risk.”</w:t>
      </w:r>
    </w:p>
    <w:p>
      <w:pPr>
        <w:spacing w:after="0" w:line="205" w:lineRule="exact"/>
        <w:rPr>
          <w:sz w:val="20"/>
          <w:szCs w:val="20"/>
          <w:color w:val="auto"/>
        </w:rPr>
      </w:pPr>
    </w:p>
    <w:p>
      <w:pPr>
        <w:ind w:left="220" w:right="100"/>
        <w:spacing w:after="0" w:line="260" w:lineRule="auto"/>
        <w:rPr>
          <w:sz w:val="20"/>
          <w:szCs w:val="20"/>
          <w:color w:val="auto"/>
        </w:rPr>
      </w:pPr>
      <w:r>
        <w:rPr>
          <w:rFonts w:ascii="Arial" w:cs="Arial" w:eastAsia="Arial" w:hAnsi="Arial"/>
          <w:sz w:val="16"/>
          <w:szCs w:val="16"/>
          <w:color w:val="auto"/>
        </w:rPr>
        <w:t>We emphasize performance-based compensation that appropriately rewards our executive officers, including our Named Executive Officers, through two separate compensation elements:</w:t>
      </w:r>
    </w:p>
    <w:p>
      <w:pPr>
        <w:spacing w:after="0" w:line="100" w:lineRule="exact"/>
        <w:rPr>
          <w:sz w:val="20"/>
          <w:szCs w:val="20"/>
          <w:color w:val="auto"/>
        </w:rPr>
      </w:pPr>
    </w:p>
    <w:p>
      <w:pPr>
        <w:ind w:left="540" w:right="200" w:hanging="222"/>
        <w:spacing w:after="0" w:line="260" w:lineRule="auto"/>
        <w:tabs>
          <w:tab w:leader="none" w:pos="540"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First, we provide the opportunity to participate in our annual incentive compensation plan which provides cash payments if they produce short-term financial, operational, and strategic results that meet or exceed the objectives set forth each year in our annual operating plan.</w:t>
      </w:r>
    </w:p>
    <w:p>
      <w:pPr>
        <w:spacing w:after="0" w:line="100" w:lineRule="exact"/>
        <w:rPr>
          <w:rFonts w:ascii="Arial" w:cs="Arial" w:eastAsia="Arial" w:hAnsi="Arial"/>
          <w:sz w:val="16"/>
          <w:szCs w:val="16"/>
          <w:color w:val="0071CE"/>
        </w:rPr>
      </w:pPr>
    </w:p>
    <w:p>
      <w:pPr>
        <w:ind w:left="540" w:right="20" w:hanging="222"/>
        <w:spacing w:after="0" w:line="250" w:lineRule="auto"/>
        <w:tabs>
          <w:tab w:leader="none" w:pos="540"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In addition, we grant equity awards as long-term incentive compensation. For our CEO in fiscal 2019, this award is to be earned based entirely on the achievement of pre-established corporate performance objectives which are both challenging and designed to drive our financial and operational performance and long-term growth, and, in the case of our other executive officers, are either dependent on the future appreciation in value of our common stock or are subject to the risk of fluctuations in the value of our common stock and, therefore, are “at risk.”</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pay mix for our CEO for each of the last three fiscal years illustrates the ongoing emphasis on our performance-based compensation philosophy</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168910</wp:posOffset>
            </wp:positionV>
            <wp:extent cx="5730875" cy="14732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30875" cy="147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We believe that, ultimately, the creation of sustainable long-term stockholder value will depend on our ability to successfully bring to market the products we develop or partner with strategic collaborators to bring them to market. Consequently, the Compensation Committee strives to incent our executive officers to create that value through a robust and attractive pipeline of drug candidates. As a result, our executive compensation program is designed to provide incentives that facilitate these efforts. Particularly for our CEO, the Compensation Committee has awarded performance milestone-based equity awards directly linked to goals that promote the development of our pipeline and other related business and market-based objectives. The Compensation Committee closely tracks the progress against these objectives to monitor our success over each product’s development period and evaluates our executive officers primarily on that progress.</w:t>
      </w:r>
    </w:p>
    <w:p>
      <w:pPr>
        <w:spacing w:after="0" w:line="207"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To ensure that we remain faithful to our compensation philosophy, the Compensation Committee regularly evaluates the relationship between the reported values of the equity awards granted to our executive officers, the amount of compensation realizable (and, ultimately, realized) from such awards in subsequent years and our total stockholder return over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83185</wp:posOffset>
            </wp:positionV>
            <wp:extent cx="984885"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2"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Executive Compensation Policies and Practices</w:t>
      </w:r>
    </w:p>
    <w:p>
      <w:pPr>
        <w:spacing w:after="0" w:line="124"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146050</wp:posOffset>
            </wp:positionV>
            <wp:extent cx="6989445" cy="2228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89445" cy="22288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320" w:lineRule="exact"/>
        <w:rPr>
          <w:sz w:val="20"/>
          <w:szCs w:val="20"/>
          <w:color w:val="auto"/>
        </w:rPr>
      </w:pPr>
    </w:p>
    <w:p>
      <w:pPr>
        <w:jc w:val="center"/>
        <w:ind w:left="200"/>
        <w:spacing w:after="0"/>
        <w:rPr>
          <w:sz w:val="20"/>
          <w:szCs w:val="20"/>
          <w:color w:val="auto"/>
        </w:rPr>
      </w:pPr>
      <w:r>
        <w:rPr>
          <w:rFonts w:ascii="Arial" w:cs="Arial" w:eastAsia="Arial" w:hAnsi="Arial"/>
          <w:sz w:val="16"/>
          <w:szCs w:val="16"/>
          <w:b w:val="1"/>
          <w:bCs w:val="1"/>
          <w:color w:val="FFFFFF"/>
        </w:rPr>
        <w:t>WHAT WE DO</w:t>
      </w:r>
    </w:p>
    <w:p>
      <w:pPr>
        <w:spacing w:after="0" w:line="69" w:lineRule="exact"/>
        <w:rPr>
          <w:sz w:val="20"/>
          <w:szCs w:val="20"/>
          <w:color w:val="auto"/>
        </w:rPr>
      </w:pPr>
    </w:p>
    <w:p>
      <w:pPr>
        <w:ind w:left="520" w:right="500" w:hanging="233"/>
        <w:spacing w:after="0" w:line="285" w:lineRule="auto"/>
        <w:tabs>
          <w:tab w:leader="none" w:pos="519" w:val="left"/>
        </w:tabs>
        <w:numPr>
          <w:ilvl w:val="0"/>
          <w:numId w:val="3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Maintain an Independent Compensation Committee. </w:t>
      </w:r>
      <w:r>
        <w:rPr>
          <w:rFonts w:ascii="Arial" w:cs="Arial" w:eastAsia="Arial" w:hAnsi="Arial"/>
          <w:sz w:val="15"/>
          <w:szCs w:val="15"/>
          <w:color w:val="000000"/>
        </w:rPr>
        <w:t>The</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Compensation Committee consists solely of independent directors.</w:t>
      </w:r>
    </w:p>
    <w:p>
      <w:pPr>
        <w:spacing w:after="0" w:line="62" w:lineRule="exact"/>
        <w:rPr>
          <w:rFonts w:ascii="MS PGothic" w:cs="MS PGothic" w:eastAsia="MS PGothic" w:hAnsi="MS PGothic"/>
          <w:sz w:val="15"/>
          <w:szCs w:val="15"/>
          <w:color w:val="0071CE"/>
        </w:rPr>
      </w:pPr>
    </w:p>
    <w:p>
      <w:pPr>
        <w:ind w:left="520" w:right="80" w:hanging="233"/>
        <w:spacing w:after="0"/>
        <w:tabs>
          <w:tab w:leader="none" w:pos="561" w:val="left"/>
        </w:tabs>
        <w:numPr>
          <w:ilvl w:val="0"/>
          <w:numId w:val="3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Retain an Independent Compensation Advisor. </w:t>
      </w:r>
      <w:r>
        <w:rPr>
          <w:rFonts w:ascii="Arial" w:cs="Arial" w:eastAsia="Arial" w:hAnsi="Arial"/>
          <w:sz w:val="15"/>
          <w:szCs w:val="15"/>
          <w:color w:val="000000"/>
        </w:rPr>
        <w:t>The Compensation</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Committee engaged its own compensation advisor to provide information and analysis with its 2019 compensation review, and other advice on executive compensation independent of management. This consultant performed no consulting or other services for us in 2019.</w:t>
      </w:r>
    </w:p>
    <w:p>
      <w:pPr>
        <w:spacing w:after="0" w:line="95" w:lineRule="exact"/>
        <w:rPr>
          <w:rFonts w:ascii="MS PGothic" w:cs="MS PGothic" w:eastAsia="MS PGothic" w:hAnsi="MS PGothic"/>
          <w:sz w:val="15"/>
          <w:szCs w:val="15"/>
          <w:color w:val="0071CE"/>
        </w:rPr>
      </w:pPr>
    </w:p>
    <w:p>
      <w:pPr>
        <w:ind w:left="520" w:right="40" w:hanging="233"/>
        <w:spacing w:after="0" w:line="234" w:lineRule="auto"/>
        <w:tabs>
          <w:tab w:leader="none" w:pos="556" w:val="left"/>
        </w:tabs>
        <w:numPr>
          <w:ilvl w:val="0"/>
          <w:numId w:val="3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Annual Executive Compensation Review</w:t>
      </w:r>
      <w:r>
        <w:rPr>
          <w:rFonts w:ascii="Arial" w:cs="Arial" w:eastAsia="Arial" w:hAnsi="Arial"/>
          <w:sz w:val="15"/>
          <w:szCs w:val="15"/>
          <w:color w:val="000000"/>
        </w:rPr>
        <w:t>. The Compensation</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Committee conducts an annual review and approval of our 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98" w:lineRule="exact"/>
        <w:rPr>
          <w:rFonts w:ascii="MS PGothic" w:cs="MS PGothic" w:eastAsia="MS PGothic" w:hAnsi="MS PGothic"/>
          <w:sz w:val="15"/>
          <w:szCs w:val="15"/>
          <w:color w:val="0071CE"/>
        </w:rPr>
      </w:pPr>
    </w:p>
    <w:p>
      <w:pPr>
        <w:ind w:left="520" w:hanging="233"/>
        <w:spacing w:after="0" w:line="245" w:lineRule="auto"/>
        <w:tabs>
          <w:tab w:leader="none" w:pos="519" w:val="left"/>
        </w:tabs>
        <w:numPr>
          <w:ilvl w:val="0"/>
          <w:numId w:val="3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Compensation At-Risk</w:t>
      </w:r>
      <w:r>
        <w:rPr>
          <w:rFonts w:ascii="Arial" w:cs="Arial" w:eastAsia="Arial" w:hAnsi="Arial"/>
          <w:sz w:val="15"/>
          <w:szCs w:val="15"/>
          <w:color w:val="000000"/>
        </w:rPr>
        <w:t>. Our executive compensation program is</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designed so that a significant portion of compensation is “at risk” based on our performance, as well as short-term cash and long-term equity incentives to align the interests of our executive officers and stockholders.</w:t>
      </w:r>
    </w:p>
    <w:p>
      <w:pPr>
        <w:spacing w:after="0" w:line="91" w:lineRule="exact"/>
        <w:rPr>
          <w:rFonts w:ascii="MS PGothic" w:cs="MS PGothic" w:eastAsia="MS PGothic" w:hAnsi="MS PGothic"/>
          <w:sz w:val="15"/>
          <w:szCs w:val="15"/>
          <w:color w:val="0071CE"/>
        </w:rPr>
      </w:pPr>
    </w:p>
    <w:p>
      <w:pPr>
        <w:ind w:left="520" w:right="20" w:hanging="233"/>
        <w:spacing w:after="0" w:line="255" w:lineRule="auto"/>
        <w:tabs>
          <w:tab w:leader="none" w:pos="519" w:val="left"/>
        </w:tabs>
        <w:numPr>
          <w:ilvl w:val="0"/>
          <w:numId w:val="3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Stock Ownership Policy. </w:t>
      </w:r>
      <w:r>
        <w:rPr>
          <w:rFonts w:ascii="Arial" w:cs="Arial" w:eastAsia="Arial" w:hAnsi="Arial"/>
          <w:sz w:val="15"/>
          <w:szCs w:val="15"/>
          <w:color w:val="000000"/>
        </w:rPr>
        <w:t>We maintain a stock ownership policy that</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requires our CEO, COO, and CFO to maintain a minimum ownership level of our common stock.</w:t>
      </w:r>
    </w:p>
    <w:p>
      <w:pPr>
        <w:spacing w:after="0" w:line="84" w:lineRule="exact"/>
        <w:rPr>
          <w:rFonts w:ascii="MS PGothic" w:cs="MS PGothic" w:eastAsia="MS PGothic" w:hAnsi="MS PGothic"/>
          <w:sz w:val="15"/>
          <w:szCs w:val="15"/>
          <w:color w:val="0071CE"/>
        </w:rPr>
      </w:pPr>
    </w:p>
    <w:p>
      <w:pPr>
        <w:ind w:left="520" w:right="120" w:hanging="233"/>
        <w:spacing w:after="0"/>
        <w:tabs>
          <w:tab w:leader="none" w:pos="519" w:val="left"/>
        </w:tabs>
        <w:numPr>
          <w:ilvl w:val="0"/>
          <w:numId w:val="3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Compensation Recovery (“Clawback”) Policy. </w:t>
      </w:r>
      <w:r>
        <w:rPr>
          <w:rFonts w:ascii="Arial" w:cs="Arial" w:eastAsia="Arial" w:hAnsi="Arial"/>
          <w:sz w:val="15"/>
          <w:szCs w:val="15"/>
          <w:color w:val="000000"/>
        </w:rPr>
        <w:t>We have established a</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clawback policy allowing the Company to recover compensation should the Board determine that a material misstatement of the Company’s financial statements was due to fraud, negligence, or intentional misconduct by any executive officer of the Company.</w:t>
      </w:r>
    </w:p>
    <w:p>
      <w:pPr>
        <w:spacing w:after="0" w:line="95" w:lineRule="exact"/>
        <w:rPr>
          <w:rFonts w:ascii="MS PGothic" w:cs="MS PGothic" w:eastAsia="MS PGothic" w:hAnsi="MS PGothic"/>
          <w:sz w:val="15"/>
          <w:szCs w:val="15"/>
          <w:color w:val="0071CE"/>
        </w:rPr>
      </w:pPr>
    </w:p>
    <w:p>
      <w:pPr>
        <w:jc w:val="both"/>
        <w:ind w:left="520" w:right="60" w:hanging="233"/>
        <w:spacing w:after="0" w:line="255" w:lineRule="auto"/>
        <w:tabs>
          <w:tab w:leader="none" w:pos="519" w:val="left"/>
        </w:tabs>
        <w:numPr>
          <w:ilvl w:val="0"/>
          <w:numId w:val="3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Conduct an Annual Stockholder Advisory Vote on Named Executive Officer Compensation. </w:t>
      </w:r>
      <w:r>
        <w:rPr>
          <w:rFonts w:ascii="Arial" w:cs="Arial" w:eastAsia="Arial" w:hAnsi="Arial"/>
          <w:sz w:val="15"/>
          <w:szCs w:val="15"/>
          <w:color w:val="000000"/>
        </w:rPr>
        <w:t>We conduct an annual stockholder advisory vote</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on the compensation of our Named Executive Officers.</w:t>
      </w:r>
    </w:p>
    <w:p>
      <w:pPr>
        <w:spacing w:after="0" w:line="84" w:lineRule="exact"/>
        <w:rPr>
          <w:rFonts w:ascii="MS PGothic" w:cs="MS PGothic" w:eastAsia="MS PGothic" w:hAnsi="MS PGothic"/>
          <w:sz w:val="15"/>
          <w:szCs w:val="15"/>
          <w:color w:val="0071CE"/>
        </w:rPr>
      </w:pPr>
    </w:p>
    <w:p>
      <w:pPr>
        <w:ind w:left="520" w:right="160" w:hanging="233"/>
        <w:spacing w:after="0" w:line="235" w:lineRule="auto"/>
        <w:tabs>
          <w:tab w:leader="none" w:pos="519" w:val="left"/>
        </w:tabs>
        <w:numPr>
          <w:ilvl w:val="0"/>
          <w:numId w:val="3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Use a Pay-for-Performance Philosophy. </w:t>
      </w:r>
      <w:r>
        <w:rPr>
          <w:rFonts w:ascii="Arial" w:cs="Arial" w:eastAsia="Arial" w:hAnsi="Arial"/>
          <w:sz w:val="15"/>
          <w:szCs w:val="15"/>
          <w:color w:val="000000"/>
        </w:rPr>
        <w:t>The majority of our CEO’s</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compensation is directly linked to corporate performance; we also structure target total direct compensation opportunities with a significant long-term equity component, thereby making a substantial portion of the CEO’s and each additional executive officer’s target total direct compensation dependent upon our stock price and/or total stockholder return.</w:t>
      </w:r>
    </w:p>
    <w:p>
      <w:pPr>
        <w:spacing w:after="0" w:line="99" w:lineRule="exact"/>
        <w:rPr>
          <w:rFonts w:ascii="MS PGothic" w:cs="MS PGothic" w:eastAsia="MS PGothic" w:hAnsi="MS PGothic"/>
          <w:sz w:val="15"/>
          <w:szCs w:val="15"/>
          <w:color w:val="0071CE"/>
        </w:rPr>
      </w:pPr>
    </w:p>
    <w:p>
      <w:pPr>
        <w:ind w:left="520" w:right="120" w:hanging="233"/>
        <w:spacing w:after="0" w:line="237" w:lineRule="auto"/>
        <w:tabs>
          <w:tab w:leader="none" w:pos="519" w:val="left"/>
        </w:tabs>
        <w:numPr>
          <w:ilvl w:val="0"/>
          <w:numId w:val="38"/>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“Double Trigger” Feature for Acceleration of CEO Equity Awards </w:t>
      </w:r>
      <w:r>
        <w:rPr>
          <w:rFonts w:ascii="Arial" w:cs="Arial" w:eastAsia="Arial" w:hAnsi="Arial"/>
          <w:sz w:val="15"/>
          <w:szCs w:val="15"/>
          <w:color w:val="000000"/>
        </w:rPr>
        <w:t>—</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The outstanding equity awards granted to our CEO pursuant to our 2004 Equity Incentive Plan and 2013 Incentive Plan provide that, upon a change in control of the Company, the vesting of such awards will accelerate only in the event of a subsequent involuntary termination of employment (a“double-trigger” arrangement).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1801"/>
        <w:spacing w:after="0"/>
        <w:rPr>
          <w:sz w:val="20"/>
          <w:szCs w:val="20"/>
          <w:color w:val="auto"/>
        </w:rPr>
      </w:pPr>
      <w:r>
        <w:rPr>
          <w:rFonts w:ascii="Arial" w:cs="Arial" w:eastAsia="Arial" w:hAnsi="Arial"/>
          <w:sz w:val="16"/>
          <w:szCs w:val="16"/>
          <w:b w:val="1"/>
          <w:bCs w:val="1"/>
          <w:color w:val="FFFFFF"/>
        </w:rPr>
        <w:t>WHAT WE DON’T DO</w:t>
      </w:r>
    </w:p>
    <w:p>
      <w:pPr>
        <w:spacing w:after="0" w:line="56" w:lineRule="exact"/>
        <w:rPr>
          <w:sz w:val="20"/>
          <w:szCs w:val="20"/>
          <w:color w:val="auto"/>
        </w:rPr>
      </w:pPr>
    </w:p>
    <w:p>
      <w:pPr>
        <w:ind w:left="221" w:right="100" w:hanging="221"/>
        <w:spacing w:after="0" w:line="245" w:lineRule="auto"/>
        <w:tabs>
          <w:tab w:leader="none" w:pos="233" w:val="left"/>
        </w:tabs>
        <w:numPr>
          <w:ilvl w:val="0"/>
          <w:numId w:val="39"/>
        </w:numPr>
        <w:rPr>
          <w:rFonts w:ascii="Arial" w:cs="Arial" w:eastAsia="Arial" w:hAnsi="Arial"/>
          <w:sz w:val="15"/>
          <w:szCs w:val="15"/>
          <w:i w:val="1"/>
          <w:iCs w:val="1"/>
          <w:color w:val="3FAE2A"/>
        </w:rPr>
      </w:pPr>
      <w:r>
        <w:rPr>
          <w:rFonts w:ascii="Arial" w:cs="Arial" w:eastAsia="Arial" w:hAnsi="Arial"/>
          <w:sz w:val="15"/>
          <w:szCs w:val="15"/>
          <w:b w:val="1"/>
          <w:bCs w:val="1"/>
          <w:i w:val="1"/>
          <w:iCs w:val="1"/>
          <w:color w:val="3FAE2A"/>
        </w:rPr>
        <w:t>No Executive Retirement Plans</w:t>
      </w:r>
      <w:r>
        <w:rPr>
          <w:rFonts w:ascii="Arial" w:cs="Arial" w:eastAsia="Arial" w:hAnsi="Arial"/>
          <w:sz w:val="15"/>
          <w:szCs w:val="15"/>
          <w:color w:val="000000"/>
        </w:rPr>
        <w:t>. We do not offer pension arrangements</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or retirement plans or arrangements to our executive officers that are different from or in addition to those offered to our other employees.</w:t>
      </w:r>
    </w:p>
    <w:p>
      <w:pPr>
        <w:spacing w:after="0" w:line="78" w:lineRule="exact"/>
        <w:rPr>
          <w:rFonts w:ascii="Arial" w:cs="Arial" w:eastAsia="Arial" w:hAnsi="Arial"/>
          <w:sz w:val="15"/>
          <w:szCs w:val="15"/>
          <w:i w:val="1"/>
          <w:iCs w:val="1"/>
          <w:color w:val="3FAE2A"/>
        </w:rPr>
      </w:pPr>
    </w:p>
    <w:p>
      <w:pPr>
        <w:ind w:left="221" w:hanging="221"/>
        <w:spacing w:after="0" w:line="266" w:lineRule="auto"/>
        <w:tabs>
          <w:tab w:leader="none" w:pos="233" w:val="left"/>
        </w:tabs>
        <w:numPr>
          <w:ilvl w:val="0"/>
          <w:numId w:val="39"/>
        </w:numPr>
        <w:rPr>
          <w:rFonts w:ascii="Arial" w:cs="Arial" w:eastAsia="Arial" w:hAnsi="Arial"/>
          <w:sz w:val="15"/>
          <w:szCs w:val="15"/>
          <w:i w:val="1"/>
          <w:iCs w:val="1"/>
          <w:color w:val="3FAE2A"/>
        </w:rPr>
      </w:pPr>
      <w:r>
        <w:rPr>
          <w:rFonts w:ascii="Arial" w:cs="Arial" w:eastAsia="Arial" w:hAnsi="Arial"/>
          <w:sz w:val="15"/>
          <w:szCs w:val="15"/>
          <w:b w:val="1"/>
          <w:bCs w:val="1"/>
          <w:i w:val="1"/>
          <w:iCs w:val="1"/>
          <w:color w:val="3FAE2A"/>
        </w:rPr>
        <w:t xml:space="preserve">No Perquisites. </w:t>
      </w:r>
      <w:r>
        <w:rPr>
          <w:rFonts w:ascii="Arial" w:cs="Arial" w:eastAsia="Arial" w:hAnsi="Arial"/>
          <w:sz w:val="15"/>
          <w:szCs w:val="15"/>
          <w:color w:val="000000"/>
        </w:rPr>
        <w:t>Currently, we do not provide perquisites or other personal</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benefits to our executive officers.</w:t>
      </w:r>
    </w:p>
    <w:p>
      <w:pPr>
        <w:spacing w:after="0" w:line="62" w:lineRule="exact"/>
        <w:rPr>
          <w:rFonts w:ascii="Arial" w:cs="Arial" w:eastAsia="Arial" w:hAnsi="Arial"/>
          <w:sz w:val="15"/>
          <w:szCs w:val="15"/>
          <w:i w:val="1"/>
          <w:iCs w:val="1"/>
          <w:color w:val="3FAE2A"/>
        </w:rPr>
      </w:pPr>
    </w:p>
    <w:p>
      <w:pPr>
        <w:ind w:left="221" w:right="20" w:hanging="221"/>
        <w:spacing w:after="0" w:line="239" w:lineRule="auto"/>
        <w:tabs>
          <w:tab w:leader="none" w:pos="233" w:val="left"/>
        </w:tabs>
        <w:numPr>
          <w:ilvl w:val="0"/>
          <w:numId w:val="39"/>
        </w:numPr>
        <w:rPr>
          <w:rFonts w:ascii="Arial" w:cs="Arial" w:eastAsia="Arial" w:hAnsi="Arial"/>
          <w:sz w:val="15"/>
          <w:szCs w:val="15"/>
          <w:i w:val="1"/>
          <w:iCs w:val="1"/>
          <w:color w:val="3FAE2A"/>
        </w:rPr>
      </w:pPr>
      <w:r>
        <w:rPr>
          <w:rFonts w:ascii="Arial" w:cs="Arial" w:eastAsia="Arial" w:hAnsi="Arial"/>
          <w:sz w:val="15"/>
          <w:szCs w:val="15"/>
          <w:b w:val="1"/>
          <w:bCs w:val="1"/>
          <w:i w:val="1"/>
          <w:iCs w:val="1"/>
          <w:color w:val="3FAE2A"/>
        </w:rPr>
        <w:t xml:space="preserve">No Special Welfare or Health Benefits. </w:t>
      </w:r>
      <w:r>
        <w:rPr>
          <w:rFonts w:ascii="Arial" w:cs="Arial" w:eastAsia="Arial" w:hAnsi="Arial"/>
          <w:sz w:val="15"/>
          <w:szCs w:val="15"/>
          <w:color w:val="000000"/>
        </w:rPr>
        <w:t>Our executive officers participate</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in broad-based Company-sponsored health and welfare benefits programs on the same basis as our other full-time, salaried employees, except for a premium for life insurance for our CEO.</w:t>
      </w:r>
    </w:p>
    <w:p>
      <w:pPr>
        <w:spacing w:after="0" w:line="81" w:lineRule="exact"/>
        <w:rPr>
          <w:rFonts w:ascii="Arial" w:cs="Arial" w:eastAsia="Arial" w:hAnsi="Arial"/>
          <w:sz w:val="15"/>
          <w:szCs w:val="15"/>
          <w:i w:val="1"/>
          <w:iCs w:val="1"/>
          <w:color w:val="3FAE2A"/>
        </w:rPr>
      </w:pPr>
    </w:p>
    <w:p>
      <w:pPr>
        <w:ind w:left="221" w:right="180" w:hanging="221"/>
        <w:spacing w:after="0" w:line="245" w:lineRule="auto"/>
        <w:tabs>
          <w:tab w:leader="none" w:pos="233" w:val="left"/>
        </w:tabs>
        <w:numPr>
          <w:ilvl w:val="0"/>
          <w:numId w:val="39"/>
        </w:numPr>
        <w:rPr>
          <w:rFonts w:ascii="Arial" w:cs="Arial" w:eastAsia="Arial" w:hAnsi="Arial"/>
          <w:sz w:val="15"/>
          <w:szCs w:val="15"/>
          <w:i w:val="1"/>
          <w:iCs w:val="1"/>
          <w:color w:val="3FAE2A"/>
        </w:rPr>
      </w:pPr>
      <w:r>
        <w:rPr>
          <w:rFonts w:ascii="Arial" w:cs="Arial" w:eastAsia="Arial" w:hAnsi="Arial"/>
          <w:sz w:val="15"/>
          <w:szCs w:val="15"/>
          <w:b w:val="1"/>
          <w:bCs w:val="1"/>
          <w:i w:val="1"/>
          <w:iCs w:val="1"/>
          <w:color w:val="3FAE2A"/>
        </w:rPr>
        <w:t xml:space="preserve">No Post-Employment Tax Payment Reimbursement. </w:t>
      </w:r>
      <w:r>
        <w:rPr>
          <w:rFonts w:ascii="Arial" w:cs="Arial" w:eastAsia="Arial" w:hAnsi="Arial"/>
          <w:sz w:val="15"/>
          <w:szCs w:val="15"/>
          <w:color w:val="000000"/>
        </w:rPr>
        <w:t>We do not</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provide any tax reimbursement payments (including “gross-ups”) on any severance or change-in-control payments or benefits.</w:t>
      </w:r>
    </w:p>
    <w:p>
      <w:pPr>
        <w:spacing w:after="0" w:line="78" w:lineRule="exact"/>
        <w:rPr>
          <w:rFonts w:ascii="Arial" w:cs="Arial" w:eastAsia="Arial" w:hAnsi="Arial"/>
          <w:sz w:val="15"/>
          <w:szCs w:val="15"/>
          <w:i w:val="1"/>
          <w:iCs w:val="1"/>
          <w:color w:val="3FAE2A"/>
        </w:rPr>
      </w:pPr>
    </w:p>
    <w:p>
      <w:pPr>
        <w:ind w:left="221" w:right="200" w:hanging="221"/>
        <w:spacing w:after="0" w:line="239" w:lineRule="auto"/>
        <w:tabs>
          <w:tab w:leader="none" w:pos="233" w:val="left"/>
        </w:tabs>
        <w:numPr>
          <w:ilvl w:val="0"/>
          <w:numId w:val="39"/>
        </w:numPr>
        <w:rPr>
          <w:rFonts w:ascii="Arial" w:cs="Arial" w:eastAsia="Arial" w:hAnsi="Arial"/>
          <w:sz w:val="15"/>
          <w:szCs w:val="15"/>
          <w:i w:val="1"/>
          <w:iCs w:val="1"/>
          <w:color w:val="3FAE2A"/>
        </w:rPr>
      </w:pPr>
      <w:r>
        <w:rPr>
          <w:rFonts w:ascii="Arial" w:cs="Arial" w:eastAsia="Arial" w:hAnsi="Arial"/>
          <w:sz w:val="15"/>
          <w:szCs w:val="15"/>
          <w:b w:val="1"/>
          <w:bCs w:val="1"/>
          <w:i w:val="1"/>
          <w:iCs w:val="1"/>
          <w:color w:val="3FAE2A"/>
        </w:rPr>
        <w:t xml:space="preserve">No Hedging and Limit on Pledging of Our Equity Securities. </w:t>
      </w:r>
      <w:r>
        <w:rPr>
          <w:rFonts w:ascii="Arial" w:cs="Arial" w:eastAsia="Arial" w:hAnsi="Arial"/>
          <w:sz w:val="15"/>
          <w:szCs w:val="15"/>
          <w:color w:val="000000"/>
        </w:rPr>
        <w:t>We</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prohibit our executive officers and the non-employee members of our Board from hedging our equity securities. Executive officers may pledge up to 50% of owned and vested shares with the approval of the Board.</w:t>
      </w:r>
    </w:p>
    <w:p>
      <w:pPr>
        <w:spacing w:after="0" w:line="81" w:lineRule="exact"/>
        <w:rPr>
          <w:rFonts w:ascii="Arial" w:cs="Arial" w:eastAsia="Arial" w:hAnsi="Arial"/>
          <w:sz w:val="15"/>
          <w:szCs w:val="15"/>
          <w:i w:val="1"/>
          <w:iCs w:val="1"/>
          <w:color w:val="3FAE2A"/>
        </w:rPr>
      </w:pPr>
    </w:p>
    <w:p>
      <w:pPr>
        <w:ind w:left="221" w:right="200" w:hanging="221"/>
        <w:spacing w:after="0" w:line="245" w:lineRule="auto"/>
        <w:tabs>
          <w:tab w:leader="none" w:pos="233" w:val="left"/>
        </w:tabs>
        <w:numPr>
          <w:ilvl w:val="0"/>
          <w:numId w:val="39"/>
        </w:numPr>
        <w:rPr>
          <w:rFonts w:ascii="Arial" w:cs="Arial" w:eastAsia="Arial" w:hAnsi="Arial"/>
          <w:sz w:val="15"/>
          <w:szCs w:val="15"/>
          <w:i w:val="1"/>
          <w:iCs w:val="1"/>
          <w:color w:val="3FAE2A"/>
        </w:rPr>
      </w:pPr>
      <w:r>
        <w:rPr>
          <w:rFonts w:ascii="Arial" w:cs="Arial" w:eastAsia="Arial" w:hAnsi="Arial"/>
          <w:sz w:val="15"/>
          <w:szCs w:val="15"/>
          <w:b w:val="1"/>
          <w:bCs w:val="1"/>
          <w:i w:val="1"/>
          <w:iCs w:val="1"/>
          <w:color w:val="3FAE2A"/>
        </w:rPr>
        <w:t xml:space="preserve">No Dividends or Dividend Equivalents Payable on Unvested Equity Awards. </w:t>
      </w:r>
      <w:r>
        <w:rPr>
          <w:rFonts w:ascii="Arial" w:cs="Arial" w:eastAsia="Arial" w:hAnsi="Arial"/>
          <w:sz w:val="15"/>
          <w:szCs w:val="15"/>
          <w:color w:val="000000"/>
        </w:rPr>
        <w:t>We do not pay dividends or dividend equivalents on unvested</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RSU awards or PRSU awards.</w:t>
      </w:r>
    </w:p>
    <w:p>
      <w:pPr>
        <w:spacing w:after="0" w:line="78" w:lineRule="exact"/>
        <w:rPr>
          <w:rFonts w:ascii="Arial" w:cs="Arial" w:eastAsia="Arial" w:hAnsi="Arial"/>
          <w:sz w:val="15"/>
          <w:szCs w:val="15"/>
          <w:i w:val="1"/>
          <w:iCs w:val="1"/>
          <w:color w:val="3FAE2A"/>
        </w:rPr>
      </w:pPr>
    </w:p>
    <w:p>
      <w:pPr>
        <w:ind w:left="221" w:right="80" w:hanging="221"/>
        <w:spacing w:after="0" w:line="245" w:lineRule="auto"/>
        <w:tabs>
          <w:tab w:leader="none" w:pos="233" w:val="left"/>
        </w:tabs>
        <w:numPr>
          <w:ilvl w:val="0"/>
          <w:numId w:val="39"/>
        </w:numPr>
        <w:rPr>
          <w:rFonts w:ascii="Arial" w:cs="Arial" w:eastAsia="Arial" w:hAnsi="Arial"/>
          <w:sz w:val="15"/>
          <w:szCs w:val="15"/>
          <w:i w:val="1"/>
          <w:iCs w:val="1"/>
          <w:color w:val="3FAE2A"/>
        </w:rPr>
      </w:pPr>
      <w:r>
        <w:rPr>
          <w:rFonts w:ascii="Arial" w:cs="Arial" w:eastAsia="Arial" w:hAnsi="Arial"/>
          <w:sz w:val="15"/>
          <w:szCs w:val="15"/>
          <w:b w:val="1"/>
          <w:bCs w:val="1"/>
          <w:i w:val="1"/>
          <w:iCs w:val="1"/>
          <w:color w:val="3FAE2A"/>
        </w:rPr>
        <w:t xml:space="preserve">No Stock Option Re-pricing. </w:t>
      </w:r>
      <w:r>
        <w:rPr>
          <w:rFonts w:ascii="Arial" w:cs="Arial" w:eastAsia="Arial" w:hAnsi="Arial"/>
          <w:sz w:val="15"/>
          <w:szCs w:val="15"/>
          <w:color w:val="000000"/>
        </w:rPr>
        <w:t>Our employee stock plan does not permit</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options to purchase shares of our common stock to be repriced to a lower exercise or strike price without the approval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2556510</wp:posOffset>
            </wp:positionV>
            <wp:extent cx="98488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4056" w:lineRule="exact"/>
        <w:rPr>
          <w:sz w:val="20"/>
          <w:szCs w:val="20"/>
          <w:color w:val="auto"/>
        </w:rPr>
      </w:pPr>
    </w:p>
    <w:p>
      <w:pPr>
        <w:sectPr>
          <w:pgSz w:w="11900" w:h="16838" w:orient="portrait"/>
          <w:cols w:equalWidth="0" w:num="2">
            <w:col w:w="5540" w:space="399"/>
            <w:col w:w="5281"/>
          </w:cols>
          <w:pgMar w:left="240" w:top="459" w:right="43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0071CE"/>
        </w:rPr>
        <w:t>20</w:t>
      </w:r>
    </w:p>
    <w:p>
      <w:pPr>
        <w:sectPr>
          <w:pgSz w:w="11900" w:h="16838" w:orient="portrait"/>
          <w:cols w:equalWidth="0" w:num="1">
            <w:col w:w="11220"/>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Executive Compensation Philosophy</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executive compensation philosophy reflects our two fundamental objectives:</w:t>
      </w:r>
    </w:p>
    <w:p>
      <w:pPr>
        <w:spacing w:after="0" w:line="126" w:lineRule="exact"/>
        <w:rPr>
          <w:sz w:val="20"/>
          <w:szCs w:val="20"/>
          <w:color w:val="auto"/>
        </w:rPr>
      </w:pPr>
    </w:p>
    <w:p>
      <w:pPr>
        <w:ind w:left="540" w:hanging="222"/>
        <w:spacing w:after="0"/>
        <w:tabs>
          <w:tab w:leader="none" w:pos="540" w:val="left"/>
        </w:tabs>
        <w:numPr>
          <w:ilvl w:val="0"/>
          <w:numId w:val="40"/>
        </w:numPr>
        <w:rPr>
          <w:rFonts w:ascii="Arial" w:cs="Arial" w:eastAsia="Arial" w:hAnsi="Arial"/>
          <w:sz w:val="16"/>
          <w:szCs w:val="16"/>
          <w:color w:val="0071CE"/>
        </w:rPr>
      </w:pPr>
      <w:r>
        <w:rPr>
          <w:rFonts w:ascii="Arial" w:cs="Arial" w:eastAsia="Arial" w:hAnsi="Arial"/>
          <w:sz w:val="16"/>
          <w:szCs w:val="16"/>
          <w:color w:val="auto"/>
        </w:rPr>
        <w:t>to attract, motivate, and retain a highly skilled team of executives; and</w:t>
      </w:r>
    </w:p>
    <w:p>
      <w:pPr>
        <w:spacing w:after="0" w:line="126" w:lineRule="exact"/>
        <w:rPr>
          <w:rFonts w:ascii="Arial" w:cs="Arial" w:eastAsia="Arial" w:hAnsi="Arial"/>
          <w:sz w:val="16"/>
          <w:szCs w:val="16"/>
          <w:color w:val="0071CE"/>
        </w:rPr>
      </w:pPr>
    </w:p>
    <w:p>
      <w:pPr>
        <w:ind w:left="540" w:right="1040" w:hanging="222"/>
        <w:spacing w:after="0" w:line="260" w:lineRule="auto"/>
        <w:tabs>
          <w:tab w:leader="none" w:pos="540" w:val="left"/>
        </w:tabs>
        <w:numPr>
          <w:ilvl w:val="0"/>
          <w:numId w:val="40"/>
        </w:numPr>
        <w:rPr>
          <w:rFonts w:ascii="Arial" w:cs="Arial" w:eastAsia="Arial" w:hAnsi="Arial"/>
          <w:sz w:val="16"/>
          <w:szCs w:val="16"/>
          <w:color w:val="0071CE"/>
        </w:rPr>
      </w:pPr>
      <w:r>
        <w:rPr>
          <w:rFonts w:ascii="Arial" w:cs="Arial" w:eastAsia="Arial" w:hAnsi="Arial"/>
          <w:sz w:val="16"/>
          <w:szCs w:val="16"/>
          <w:color w:val="auto"/>
        </w:rPr>
        <w:t>to align our executive officers’ interests with those of our stockholders by rewarding short-term and long-term performance and aligning compensation to increases in stockholder value.</w:t>
      </w:r>
    </w:p>
    <w:p>
      <w:pPr>
        <w:spacing w:after="0" w:line="195" w:lineRule="exact"/>
        <w:rPr>
          <w:sz w:val="20"/>
          <w:szCs w:val="20"/>
          <w:color w:val="auto"/>
        </w:rPr>
      </w:pPr>
    </w:p>
    <w:p>
      <w:pPr>
        <w:jc w:val="both"/>
        <w:ind w:left="220" w:right="640"/>
        <w:spacing w:after="0" w:line="253" w:lineRule="auto"/>
        <w:rPr>
          <w:sz w:val="20"/>
          <w:szCs w:val="20"/>
          <w:color w:val="auto"/>
        </w:rPr>
      </w:pPr>
      <w:r>
        <w:rPr>
          <w:rFonts w:ascii="Arial" w:cs="Arial" w:eastAsia="Arial" w:hAnsi="Arial"/>
          <w:sz w:val="16"/>
          <w:szCs w:val="16"/>
          <w:color w:val="auto"/>
        </w:rPr>
        <w:t>We believe that the compensation of our executive officers should be directly linked to the achievement of specific objectives that are expected to increase stockholder value. In furtherance of this goal, the Compensation Committee has established the following guidelines as a foundation for compensation decisions:</w:t>
      </w:r>
    </w:p>
    <w:p>
      <w:pPr>
        <w:spacing w:after="0" w:line="106" w:lineRule="exact"/>
        <w:rPr>
          <w:sz w:val="20"/>
          <w:szCs w:val="20"/>
          <w:color w:val="auto"/>
        </w:rPr>
      </w:pPr>
    </w:p>
    <w:p>
      <w:pPr>
        <w:ind w:left="540" w:right="520" w:hanging="222"/>
        <w:spacing w:after="0" w:line="260" w:lineRule="auto"/>
        <w:tabs>
          <w:tab w:leader="none" w:pos="54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provide a competitive total compensation package that enables us to attract, retain, and motivate highly-qualified executives with the skills and experience required for the achievement of business goals;</w:t>
      </w:r>
    </w:p>
    <w:p>
      <w:pPr>
        <w:spacing w:after="0" w:line="100" w:lineRule="exact"/>
        <w:rPr>
          <w:rFonts w:ascii="Arial" w:cs="Arial" w:eastAsia="Arial" w:hAnsi="Arial"/>
          <w:sz w:val="16"/>
          <w:szCs w:val="16"/>
          <w:color w:val="0071CE"/>
        </w:rPr>
      </w:pPr>
    </w:p>
    <w:p>
      <w:pPr>
        <w:ind w:left="540" w:right="60" w:hanging="222"/>
        <w:spacing w:after="0" w:line="260" w:lineRule="auto"/>
        <w:tabs>
          <w:tab w:leader="none" w:pos="54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promote the achievement of key strategic and financial performance measures by linking short-term and long-term compensation to the achievement of measurable goals;</w:t>
      </w:r>
    </w:p>
    <w:p>
      <w:pPr>
        <w:spacing w:after="0" w:line="100" w:lineRule="exact"/>
        <w:rPr>
          <w:rFonts w:ascii="Arial" w:cs="Arial" w:eastAsia="Arial" w:hAnsi="Arial"/>
          <w:sz w:val="16"/>
          <w:szCs w:val="16"/>
          <w:color w:val="0071CE"/>
        </w:rPr>
      </w:pPr>
    </w:p>
    <w:p>
      <w:pPr>
        <w:ind w:left="540" w:hanging="222"/>
        <w:spacing w:after="0"/>
        <w:tabs>
          <w:tab w:leader="none" w:pos="54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reward significant achievements outside of pre-established goals;</w:t>
      </w:r>
    </w:p>
    <w:p>
      <w:pPr>
        <w:spacing w:after="0" w:line="126" w:lineRule="exact"/>
        <w:rPr>
          <w:rFonts w:ascii="Arial" w:cs="Arial" w:eastAsia="Arial" w:hAnsi="Arial"/>
          <w:sz w:val="16"/>
          <w:szCs w:val="16"/>
          <w:color w:val="0071CE"/>
        </w:rPr>
      </w:pPr>
    </w:p>
    <w:p>
      <w:pPr>
        <w:ind w:left="540" w:right="220" w:hanging="222"/>
        <w:spacing w:after="0" w:line="260" w:lineRule="auto"/>
        <w:tabs>
          <w:tab w:leader="none" w:pos="54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recognize that pharmaceutical research, development, and commercialization require sustained and focused effort over many years, and involve a high degree of risk and therefore balance incentives for short-term and long-term compensation;</w:t>
      </w:r>
    </w:p>
    <w:p>
      <w:pPr>
        <w:spacing w:after="0" w:line="100" w:lineRule="exact"/>
        <w:rPr>
          <w:rFonts w:ascii="Arial" w:cs="Arial" w:eastAsia="Arial" w:hAnsi="Arial"/>
          <w:sz w:val="16"/>
          <w:szCs w:val="16"/>
          <w:color w:val="0071CE"/>
        </w:rPr>
      </w:pPr>
    </w:p>
    <w:p>
      <w:pPr>
        <w:ind w:left="540" w:right="620" w:hanging="222"/>
        <w:spacing w:after="0" w:line="260" w:lineRule="auto"/>
        <w:tabs>
          <w:tab w:leader="none" w:pos="54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employ outside compensation expertise and market data from industry peers to help assure that our compensation policies and practices are consistent with industry practice and meet our goals for our compensation program;</w:t>
      </w:r>
    </w:p>
    <w:p>
      <w:pPr>
        <w:spacing w:after="0" w:line="100" w:lineRule="exact"/>
        <w:rPr>
          <w:rFonts w:ascii="Arial" w:cs="Arial" w:eastAsia="Arial" w:hAnsi="Arial"/>
          <w:sz w:val="16"/>
          <w:szCs w:val="16"/>
          <w:color w:val="0071CE"/>
        </w:rPr>
      </w:pPr>
    </w:p>
    <w:p>
      <w:pPr>
        <w:ind w:left="540" w:hanging="222"/>
        <w:spacing w:after="0"/>
        <w:tabs>
          <w:tab w:leader="none" w:pos="54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consider our cash resources and cost of capital to balance cash and equity compensation; and</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41"/>
        </w:numPr>
        <w:rPr>
          <w:rFonts w:ascii="Arial" w:cs="Arial" w:eastAsia="Arial" w:hAnsi="Arial"/>
          <w:sz w:val="16"/>
          <w:szCs w:val="16"/>
          <w:color w:val="0071CE"/>
        </w:rPr>
      </w:pPr>
      <w:r>
        <w:rPr>
          <w:rFonts w:ascii="Arial" w:cs="Arial" w:eastAsia="Arial" w:hAnsi="Arial"/>
          <w:sz w:val="16"/>
          <w:szCs w:val="16"/>
          <w:color w:val="auto"/>
        </w:rPr>
        <w:t>align our executive officers’ incentives with the creation of stockholder value.</w:t>
      </w:r>
    </w:p>
    <w:p>
      <w:pPr>
        <w:spacing w:after="0" w:line="3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Executive Compensation Program Design</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practice is to combine a mixture of compensation elements that balance achievement of our short-term goals with our longer-term performance.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Currently, our executive compensation program consists of three principal elements:</w:t>
      </w:r>
    </w:p>
    <w:p>
      <w:pPr>
        <w:spacing w:after="0" w:line="126" w:lineRule="exact"/>
        <w:rPr>
          <w:sz w:val="20"/>
          <w:szCs w:val="20"/>
          <w:color w:val="auto"/>
        </w:rPr>
      </w:pPr>
    </w:p>
    <w:p>
      <w:pPr>
        <w:ind w:left="540" w:hanging="222"/>
        <w:spacing w:after="0"/>
        <w:tabs>
          <w:tab w:leader="none" w:pos="540"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an annual incentive compensation opportunity; and</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42"/>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221" w:lineRule="exact"/>
        <w:rPr>
          <w:sz w:val="20"/>
          <w:szCs w:val="20"/>
          <w:color w:val="auto"/>
        </w:rPr>
      </w:pPr>
    </w:p>
    <w:p>
      <w:pPr>
        <w:ind w:left="220" w:right="280"/>
        <w:spacing w:after="0" w:line="250" w:lineRule="auto"/>
        <w:rPr>
          <w:sz w:val="20"/>
          <w:szCs w:val="20"/>
          <w:color w:val="auto"/>
        </w:rPr>
      </w:pPr>
      <w:r>
        <w:rPr>
          <w:rFonts w:ascii="Arial" w:cs="Arial" w:eastAsia="Arial" w:hAnsi="Arial"/>
          <w:sz w:val="16"/>
          <w:szCs w:val="16"/>
          <w:color w:val="auto"/>
        </w:rPr>
        <w:t>We believe that cash compensation in the form of base salary and an annual incentive compensation opportunity provides our executive officers with short-term rewards for success in operations, and that long-term incentive compensation in the form of RSU and PRSU awards that may be settled for shares of our common stock, and options to purchase shares of our common stock, align the objectives of our executive officers with those of our stockholders with respect to long-term performance and success.</w:t>
      </w:r>
    </w:p>
    <w:p>
      <w:pPr>
        <w:spacing w:after="0" w:line="205"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The Compensation Committee takes into consideration, among other things, our financial and working capital condition when approving performance objectives and making compensation decisions for our executive officers. Since we seek to preserve cash and do not have marketed products, overall target total direct compensation opportunities are weighted more heavily toward long-term incentive compensation in the form of equity awards. Thus, a significant portion of each executive officer’s target total direct compensation is “at risk,” and dependent on the increase in the value of our common stock. The Compensation Committee periodically reassesses the appropriate weighting of cash and equity compensation.</w:t>
      </w:r>
    </w:p>
    <w:p>
      <w:pPr>
        <w:spacing w:after="0" w:line="206"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In the case of long-term incentive compensation, typically the Compensation Committee designs these awards to vest, or be earned, over a multi-year period, meaning that long-term value creation, contrasted with short-term gain, presents the best opportunity for our executive officers to benefit from their awards.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do not maintain a specific policy on the percentage allocation between short-term and long-term incentive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95885</wp:posOffset>
            </wp:positionV>
            <wp:extent cx="98488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62"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Governance of Executive Compensation Program</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Role of the Compensation Committee</w:t>
      </w:r>
    </w:p>
    <w:p>
      <w:pPr>
        <w:spacing w:after="0" w:line="124"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The Compensation Committee discharges many of the responsibilities of our Board relating to the compensation of our executive officers, including our Named Executive Officers, and the non-employee members of our Board. The Compensation Committee has overall responsibility for overseeing our compensation and benefits philosophy and policies generally, overseeing and evaluating the compensation plans, policies, and practices applicable to our CEO and our other executive officers, and ensuring that the target total direct compensation opportunities of our executive officers, including our Named Executive Officers, are consistent with our compensation philosophy, policies, and objectives.</w:t>
      </w:r>
    </w:p>
    <w:p>
      <w:pPr>
        <w:spacing w:after="0" w:line="206" w:lineRule="exact"/>
        <w:rPr>
          <w:sz w:val="20"/>
          <w:szCs w:val="20"/>
          <w:color w:val="auto"/>
        </w:rPr>
      </w:pPr>
    </w:p>
    <w:p>
      <w:pPr>
        <w:ind w:left="220" w:right="40"/>
        <w:spacing w:after="0" w:line="253" w:lineRule="auto"/>
        <w:rPr>
          <w:sz w:val="20"/>
          <w:szCs w:val="20"/>
          <w:color w:val="auto"/>
        </w:rPr>
      </w:pPr>
      <w:r>
        <w:rPr>
          <w:rFonts w:ascii="Arial" w:cs="Arial" w:eastAsia="Arial" w:hAnsi="Arial"/>
          <w:sz w:val="16"/>
          <w:szCs w:val="16"/>
          <w:color w:val="auto"/>
        </w:rPr>
        <w:t>The members of the Compensation Committee are appointed by our Board, and each member is an independent director (as “independence” is currently defined in Rule 5605(a)(2) of the Nasdaq listing standards). Currently, the members of the Compensation Committee are Michael S. Perry (Chairman), Mauro Ferrari, and William Waddill.</w:t>
      </w:r>
    </w:p>
    <w:p>
      <w:pPr>
        <w:spacing w:after="0" w:line="201"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color w:val="auto"/>
        </w:rPr>
        <w:t>The Compensation Committee reviews our executive compensation program annually on a calendar year basis, generally in December. The Compensation Committee draws on a number of resources to assist in the evaluation of the various components of our executive compensation program including, but not limited to, input from our CEO, the advice of an external compensation consultant (as identified below) retained by the Compensation Committee, information provided in the public filings of industry peers and industry data compiled yearly by Radford in its Global Life Sciences Survey, which represents a nationally-based assessment of executive compensation widely used within the pharmaceutical and biotechnology industry sectors.</w:t>
      </w:r>
    </w:p>
    <w:p>
      <w:pPr>
        <w:spacing w:after="0" w:line="206" w:lineRule="exact"/>
        <w:rPr>
          <w:sz w:val="20"/>
          <w:szCs w:val="20"/>
          <w:color w:val="auto"/>
        </w:rPr>
      </w:pPr>
    </w:p>
    <w:p>
      <w:pPr>
        <w:jc w:val="both"/>
        <w:ind w:left="220" w:right="260"/>
        <w:spacing w:after="0" w:line="253" w:lineRule="auto"/>
        <w:rPr>
          <w:sz w:val="20"/>
          <w:szCs w:val="20"/>
          <w:color w:val="auto"/>
        </w:rPr>
      </w:pPr>
      <w:r>
        <w:rPr>
          <w:rFonts w:ascii="Arial" w:cs="Arial" w:eastAsia="Arial" w:hAnsi="Arial"/>
          <w:sz w:val="16"/>
          <w:szCs w:val="16"/>
          <w:color w:val="auto"/>
        </w:rPr>
        <w:t>The Compensation Committee relies upon the judgment of its members in making compensation decisions. In addition, the Compensation Committee incorporates judgment in the assessment process to respond to and adjust for the evolving business environment. The members of the Compensation Committee have extensive experience in executive management, as well as compensation practices and policies.</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Compensation-Setting Process</w:t>
      </w:r>
    </w:p>
    <w:p>
      <w:pPr>
        <w:spacing w:after="0" w:line="124" w:lineRule="exact"/>
        <w:rPr>
          <w:sz w:val="20"/>
          <w:szCs w:val="20"/>
          <w:color w:val="auto"/>
        </w:rPr>
      </w:pPr>
    </w:p>
    <w:p>
      <w:pPr>
        <w:ind w:left="220" w:right="100"/>
        <w:spacing w:after="0" w:line="249" w:lineRule="auto"/>
        <w:rPr>
          <w:sz w:val="20"/>
          <w:szCs w:val="20"/>
          <w:color w:val="auto"/>
        </w:rPr>
      </w:pPr>
      <w:r>
        <w:rPr>
          <w:rFonts w:ascii="Arial" w:cs="Arial" w:eastAsia="Arial" w:hAnsi="Arial"/>
          <w:sz w:val="16"/>
          <w:szCs w:val="16"/>
          <w:color w:val="auto"/>
        </w:rPr>
        <w:t>The Compensation Committee develops recommendations for the target total direct compensation opportunities for our executive officers, including our Named Executive Officers. The Compensation Committee does not use a single method or measure in making its compensation decisions, nor does it position compensation levels based upon a specific or target level relative to a peer group or other companies. Nonetheless, the pay practices at other companies are an important factor that the Compensation Committee considers in assessing the reasonableness of compensation and ensuring that our compensation practices are competitive in the marketplace.</w:t>
      </w:r>
    </w:p>
    <w:p>
      <w:pPr>
        <w:spacing w:after="0" w:line="206"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color w:val="auto"/>
        </w:rPr>
        <w:t>Generally, the Compensation Committee evaluates the compensation of our executive officers relative to the median of the competitive market. However, as discussed hereafter, various other factors are taken into consideration in determining our executive officers’ compensation and the Compensation Committee does not target compensation at any specific level relative to the competitive market. When reviewing our current executive compensation arrangements and approving each compensation element and the target total direct compensation opportunity for our executive officers, the Compensation Committee considers the following factors:</w:t>
      </w:r>
    </w:p>
    <w:p>
      <w:pPr>
        <w:spacing w:after="0" w:line="111" w:lineRule="exact"/>
        <w:rPr>
          <w:sz w:val="20"/>
          <w:szCs w:val="20"/>
          <w:color w:val="auto"/>
        </w:rPr>
      </w:pPr>
    </w:p>
    <w:p>
      <w:pPr>
        <w:ind w:left="540" w:hanging="222"/>
        <w:spacing w:after="0"/>
        <w:tabs>
          <w:tab w:leader="none" w:pos="54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Our performance against the financial and operational objectives established by the Compensation Committee and our Board;</w:t>
      </w:r>
    </w:p>
    <w:p>
      <w:pPr>
        <w:spacing w:after="0" w:line="126" w:lineRule="exact"/>
        <w:rPr>
          <w:rFonts w:ascii="Arial" w:cs="Arial" w:eastAsia="Arial" w:hAnsi="Arial"/>
          <w:sz w:val="16"/>
          <w:szCs w:val="16"/>
          <w:color w:val="0071CE"/>
        </w:rPr>
      </w:pPr>
    </w:p>
    <w:p>
      <w:pPr>
        <w:ind w:left="540" w:right="680" w:hanging="222"/>
        <w:spacing w:after="0" w:line="260" w:lineRule="auto"/>
        <w:tabs>
          <w:tab w:leader="none" w:pos="54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Each individual executive officer’s skills, experience, and qualifications relative to other similarly-situated executives at the companies in our compensation peer group;</w:t>
      </w:r>
    </w:p>
    <w:p>
      <w:pPr>
        <w:spacing w:after="0" w:line="100" w:lineRule="exact"/>
        <w:rPr>
          <w:rFonts w:ascii="Arial" w:cs="Arial" w:eastAsia="Arial" w:hAnsi="Arial"/>
          <w:sz w:val="16"/>
          <w:szCs w:val="16"/>
          <w:color w:val="0071CE"/>
        </w:rPr>
      </w:pPr>
    </w:p>
    <w:p>
      <w:pPr>
        <w:ind w:left="540" w:hanging="222"/>
        <w:spacing w:after="0"/>
        <w:tabs>
          <w:tab w:leader="none" w:pos="54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The scope of each executive officer’s role compared to other similarly-situated executives at the companies in our compensation peer group;</w:t>
      </w:r>
    </w:p>
    <w:p>
      <w:pPr>
        <w:spacing w:after="0" w:line="126" w:lineRule="exact"/>
        <w:rPr>
          <w:rFonts w:ascii="Arial" w:cs="Arial" w:eastAsia="Arial" w:hAnsi="Arial"/>
          <w:sz w:val="16"/>
          <w:szCs w:val="16"/>
          <w:color w:val="0071CE"/>
        </w:rPr>
      </w:pPr>
    </w:p>
    <w:p>
      <w:pPr>
        <w:ind w:left="540" w:right="80" w:hanging="222"/>
        <w:spacing w:after="0" w:line="260" w:lineRule="auto"/>
        <w:tabs>
          <w:tab w:leader="none" w:pos="54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The performance of each individual executive officer, based on a subjective assessment of his or her contributions to our overall performance, ability to lead his or her business unit or function and work as part of a team, all of which reflect our core values;</w:t>
      </w:r>
    </w:p>
    <w:p>
      <w:pPr>
        <w:spacing w:after="0" w:line="100" w:lineRule="exact"/>
        <w:rPr>
          <w:rFonts w:ascii="Arial" w:cs="Arial" w:eastAsia="Arial" w:hAnsi="Arial"/>
          <w:sz w:val="16"/>
          <w:szCs w:val="16"/>
          <w:color w:val="0071CE"/>
        </w:rPr>
      </w:pPr>
    </w:p>
    <w:p>
      <w:pPr>
        <w:ind w:left="540" w:right="500" w:hanging="222"/>
        <w:spacing w:after="0" w:line="260" w:lineRule="auto"/>
        <w:tabs>
          <w:tab w:leader="none" w:pos="54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The compensation practices of our compensation peer group and the positioning of each executive officer’s compensation in a ranking of peer company compensation levels; and</w:t>
      </w:r>
    </w:p>
    <w:p>
      <w:pPr>
        <w:spacing w:after="0" w:line="100" w:lineRule="exact"/>
        <w:rPr>
          <w:rFonts w:ascii="Arial" w:cs="Arial" w:eastAsia="Arial" w:hAnsi="Arial"/>
          <w:sz w:val="16"/>
          <w:szCs w:val="16"/>
          <w:color w:val="0071CE"/>
        </w:rPr>
      </w:pPr>
    </w:p>
    <w:p>
      <w:pPr>
        <w:ind w:left="540" w:hanging="222"/>
        <w:spacing w:after="0"/>
        <w:tabs>
          <w:tab w:leader="none" w:pos="540" w:val="left"/>
        </w:tabs>
        <w:numPr>
          <w:ilvl w:val="0"/>
          <w:numId w:val="43"/>
        </w:numPr>
        <w:rPr>
          <w:rFonts w:ascii="Arial" w:cs="Arial" w:eastAsia="Arial" w:hAnsi="Arial"/>
          <w:sz w:val="16"/>
          <w:szCs w:val="16"/>
          <w:color w:val="0071CE"/>
        </w:rPr>
      </w:pPr>
      <w:r>
        <w:rPr>
          <w:rFonts w:ascii="Arial" w:cs="Arial" w:eastAsia="Arial" w:hAnsi="Arial"/>
          <w:sz w:val="16"/>
          <w:szCs w:val="16"/>
          <w:color w:val="auto"/>
        </w:rPr>
        <w:t>The recommendations provided by our CEO with respect to the compensation of our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95885</wp:posOffset>
            </wp:positionV>
            <wp:extent cx="984885"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4" w:lineRule="exact"/>
        <w:rPr>
          <w:sz w:val="20"/>
          <w:szCs w:val="20"/>
          <w:color w:val="auto"/>
        </w:rPr>
      </w:pPr>
    </w:p>
    <w:p>
      <w:pPr>
        <w:ind w:left="220" w:right="240"/>
        <w:spacing w:after="0" w:line="260" w:lineRule="auto"/>
        <w:rPr>
          <w:sz w:val="20"/>
          <w:szCs w:val="20"/>
          <w:color w:val="auto"/>
        </w:rPr>
      </w:pPr>
      <w:r>
        <w:rPr>
          <w:rFonts w:ascii="Arial" w:cs="Arial" w:eastAsia="Arial" w:hAnsi="Arial"/>
          <w:sz w:val="16"/>
          <w:szCs w:val="16"/>
          <w:color w:val="auto"/>
        </w:rPr>
        <w:t>These factors provide the framework for compensation decision-making and final decisions regarding the compensation opportunity for each executive officer. No single factor is determinative in setting pay levels, nor was the impact of any factor on the determination of pay levels quantifiable.</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Role of Chief Executive Officer</w:t>
      </w:r>
    </w:p>
    <w:p>
      <w:pPr>
        <w:spacing w:after="0" w:line="124"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recommendations with respect to the compensation levels for individual executive officers other than himself based on the performance evaluation of each executive officer’s manager and his own evaluation of the executive officer’s performance.</w:t>
      </w:r>
    </w:p>
    <w:p>
      <w:pPr>
        <w:spacing w:after="0" w:line="206" w:lineRule="exact"/>
        <w:rPr>
          <w:sz w:val="20"/>
          <w:szCs w:val="20"/>
          <w:color w:val="auto"/>
        </w:rPr>
      </w:pPr>
    </w:p>
    <w:p>
      <w:pPr>
        <w:ind w:left="220" w:right="540"/>
        <w:spacing w:after="0" w:line="253" w:lineRule="auto"/>
        <w:rPr>
          <w:sz w:val="20"/>
          <w:szCs w:val="20"/>
          <w:color w:val="auto"/>
        </w:rPr>
      </w:pPr>
      <w:r>
        <w:rPr>
          <w:rFonts w:ascii="Arial" w:cs="Arial" w:eastAsia="Arial" w:hAnsi="Arial"/>
          <w:sz w:val="16"/>
          <w:szCs w:val="16"/>
          <w:color w:val="auto"/>
        </w:rPr>
        <w:t>The Compensation Committee reviews and discusses these recommendations and proposals with our CEO and considers them as one factor in formulating the recommendations for the compensation for our executive officers, including our other Named Executive Officers. Our CEO recuses himself from all discussions and recommendations regarding his own compensation.</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Role of Compensation Consultant</w:t>
      </w:r>
    </w:p>
    <w:p>
      <w:pPr>
        <w:spacing w:after="0" w:line="124" w:lineRule="exact"/>
        <w:rPr>
          <w:sz w:val="20"/>
          <w:szCs w:val="20"/>
          <w:color w:val="auto"/>
        </w:rPr>
      </w:pPr>
    </w:p>
    <w:p>
      <w:pPr>
        <w:ind w:left="220" w:right="140"/>
        <w:spacing w:after="0" w:line="253" w:lineRule="auto"/>
        <w:rPr>
          <w:sz w:val="20"/>
          <w:szCs w:val="20"/>
          <w:color w:val="auto"/>
        </w:rPr>
      </w:pPr>
      <w:r>
        <w:rPr>
          <w:rFonts w:ascii="Arial" w:cs="Arial" w:eastAsia="Arial" w:hAnsi="Arial"/>
          <w:sz w:val="16"/>
          <w:szCs w:val="16"/>
          <w:color w:val="auto"/>
        </w:rPr>
        <w:t>The Compensation Committee engages an external compensation consultant to assist it by providing information, analysis, and other advice relating to our executive compensation program and the decisions resulting from its annual executive compensation review. The Compensation Committee has the final authority to engage and terminate the engagement of any compensation consultant that it retains.</w:t>
      </w:r>
    </w:p>
    <w:p>
      <w:pPr>
        <w:spacing w:after="0" w:line="181" w:lineRule="exact"/>
        <w:rPr>
          <w:sz w:val="20"/>
          <w:szCs w:val="20"/>
          <w:color w:val="auto"/>
        </w:rPr>
      </w:pPr>
    </w:p>
    <w:p>
      <w:pPr>
        <w:ind w:left="220" w:right="120"/>
        <w:spacing w:after="0" w:line="259" w:lineRule="auto"/>
        <w:rPr>
          <w:sz w:val="20"/>
          <w:szCs w:val="20"/>
          <w:color w:val="auto"/>
        </w:rPr>
      </w:pPr>
      <w:r>
        <w:rPr>
          <w:rFonts w:ascii="Arial" w:cs="Arial" w:eastAsia="Arial" w:hAnsi="Arial"/>
          <w:sz w:val="16"/>
          <w:szCs w:val="16"/>
          <w:color w:val="auto"/>
        </w:rPr>
        <w:t>For the period from October 2018 through present, the Compensation Committee engaged Compensia, Inc. (“</w:t>
      </w:r>
      <w:r>
        <w:rPr>
          <w:rFonts w:ascii="Arial" w:cs="Arial" w:eastAsia="Arial" w:hAnsi="Arial"/>
          <w:sz w:val="16"/>
          <w:szCs w:val="16"/>
          <w:b w:val="1"/>
          <w:bCs w:val="1"/>
          <w:color w:val="auto"/>
        </w:rPr>
        <w:t>Compensia</w:t>
      </w:r>
      <w:r>
        <w:rPr>
          <w:rFonts w:ascii="Arial" w:cs="Arial" w:eastAsia="Arial" w:hAnsi="Arial"/>
          <w:sz w:val="16"/>
          <w:szCs w:val="16"/>
          <w:color w:val="auto"/>
        </w:rPr>
        <w:t>”), a national compensation consulting firm, as its external compensation consultant. Compensia assisted the Compensation Committee in its review of executive and non-employee director compensation practices for 2019, including the competitiveness of compensation levels, executive compensation design, comparisons with our industry peers, and other technical considerations, such as:</w:t>
      </w:r>
    </w:p>
    <w:p>
      <w:pPr>
        <w:spacing w:after="0" w:line="103" w:lineRule="exact"/>
        <w:rPr>
          <w:sz w:val="20"/>
          <w:szCs w:val="20"/>
          <w:color w:val="auto"/>
        </w:rPr>
      </w:pPr>
    </w:p>
    <w:p>
      <w:pPr>
        <w:ind w:left="540" w:hanging="222"/>
        <w:spacing w:after="0"/>
        <w:tabs>
          <w:tab w:leader="none" w:pos="540"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Review and update of our compensation peer group;</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Review and analysis of the compensation arrangements for our executive officers, including our Named Executive Officers;</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Review and analysis of the compensation arrangements for the non-employee members of our Board;</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Review and update of the Compensation Discussion and Analysis section of our proxy statement for our 2020 Annual Meeting of Stockholders; and</w:t>
      </w:r>
    </w:p>
    <w:p>
      <w:pPr>
        <w:spacing w:after="0" w:line="110" w:lineRule="exact"/>
        <w:rPr>
          <w:rFonts w:ascii="Arial" w:cs="Arial" w:eastAsia="Arial" w:hAnsi="Arial"/>
          <w:sz w:val="16"/>
          <w:szCs w:val="16"/>
          <w:color w:val="0071CE"/>
        </w:rPr>
      </w:pPr>
    </w:p>
    <w:p>
      <w:pPr>
        <w:ind w:left="540" w:hanging="222"/>
        <w:spacing w:after="0"/>
        <w:tabs>
          <w:tab w:leader="none" w:pos="540" w:val="left"/>
        </w:tabs>
        <w:numPr>
          <w:ilvl w:val="0"/>
          <w:numId w:val="44"/>
        </w:numPr>
        <w:rPr>
          <w:rFonts w:ascii="Arial" w:cs="Arial" w:eastAsia="Arial" w:hAnsi="Arial"/>
          <w:sz w:val="16"/>
          <w:szCs w:val="16"/>
          <w:color w:val="0071CE"/>
        </w:rPr>
      </w:pPr>
      <w:r>
        <w:rPr>
          <w:rFonts w:ascii="Arial" w:cs="Arial" w:eastAsia="Arial" w:hAnsi="Arial"/>
          <w:sz w:val="16"/>
          <w:szCs w:val="16"/>
          <w:color w:val="auto"/>
        </w:rPr>
        <w:t xml:space="preserve">Support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terms of Compensia’s engagement include reporting directly to the Compensation Committee and to the Compensation Committee chair.</w:t>
      </w:r>
    </w:p>
    <w:p>
      <w:pPr>
        <w:spacing w:after="0" w:line="221"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In 2019, Compensia did not provide any other services to us. The Compensation Committee has evaluated Compensia’s independence pursuant to the listing standards of the Nasdaq and the relevant SEC rules and has determined that no conflict of interest has arisen as a result of the work performed by Compensia.</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Competitive Positioning</w:t>
      </w:r>
    </w:p>
    <w:p>
      <w:pPr>
        <w:spacing w:after="0" w:line="124" w:lineRule="exact"/>
        <w:rPr>
          <w:sz w:val="20"/>
          <w:szCs w:val="20"/>
          <w:color w:val="auto"/>
        </w:rPr>
      </w:pPr>
    </w:p>
    <w:p>
      <w:pPr>
        <w:ind w:left="220" w:right="120"/>
        <w:spacing w:after="0" w:line="249" w:lineRule="auto"/>
        <w:rPr>
          <w:sz w:val="20"/>
          <w:szCs w:val="20"/>
          <w:color w:val="auto"/>
        </w:rPr>
      </w:pPr>
      <w:r>
        <w:rPr>
          <w:rFonts w:ascii="Arial" w:cs="Arial" w:eastAsia="Arial" w:hAnsi="Arial"/>
          <w:sz w:val="16"/>
          <w:szCs w:val="16"/>
          <w:color w:val="auto"/>
        </w:rPr>
        <w:t>For each of the past six years, the Compensation Committee has directed its external compensation consultant to conduct a comparative study and report on compensation levels and practices relative to industry peers, including a competitive assessment of our executive compensation program as compared to the market data for base salaries, target total cash compensation, long-term incentive compensation, and target total direct compensation. Typically, the findings of this study are presented to the Compensation Committee by the compensation consultant in conjunction with the Compensation Committee’s annual review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240665</wp:posOffset>
            </wp:positionV>
            <wp:extent cx="984885"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390"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4"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auto"/>
        </w:rPr>
        <w:t>Because the biotechnology sector is dynamic, the comparator group used by the Compensation Committee to assess the competitive positioning of the compensation of our executive officers is updated annually to ensure that peer companies continue to meet the established criteria. For purposes of its review of our executive compensation program in fiscal 2019, the Compensation Committee directed Compensia to update its compensation peer group reflecting the competitive market for executive talent based on the following criteria:</w:t>
      </w:r>
    </w:p>
    <w:p>
      <w:pPr>
        <w:spacing w:after="0" w:line="110" w:lineRule="exact"/>
        <w:rPr>
          <w:sz w:val="20"/>
          <w:szCs w:val="20"/>
          <w:color w:val="auto"/>
        </w:rPr>
      </w:pPr>
    </w:p>
    <w:p>
      <w:pPr>
        <w:ind w:left="540" w:hanging="222"/>
        <w:spacing w:after="0"/>
        <w:tabs>
          <w:tab w:leader="none" w:pos="54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Publicly-held, pre-commercial U.S. biotechnology companies;</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Companies with market capitalizations between 0.5x to 2.0x our market capitalization at the time of the peer selection; and</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Companies with between 50 to 500 employees.</w:t>
      </w:r>
    </w:p>
    <w:p>
      <w:pPr>
        <w:spacing w:after="0" w:line="221" w:lineRule="exact"/>
        <w:rPr>
          <w:sz w:val="20"/>
          <w:szCs w:val="20"/>
          <w:color w:val="auto"/>
        </w:rPr>
      </w:pPr>
    </w:p>
    <w:p>
      <w:pPr>
        <w:ind w:left="220" w:right="80"/>
        <w:spacing w:after="0" w:line="253" w:lineRule="auto"/>
        <w:rPr>
          <w:sz w:val="20"/>
          <w:szCs w:val="20"/>
          <w:color w:val="auto"/>
        </w:rPr>
      </w:pPr>
      <w:r>
        <w:rPr>
          <w:rFonts w:ascii="Arial" w:cs="Arial" w:eastAsia="Arial" w:hAnsi="Arial"/>
          <w:sz w:val="16"/>
          <w:szCs w:val="16"/>
          <w:color w:val="auto"/>
        </w:rPr>
        <w:t>The compensation peer group was selected in such a manner that our market capitalization was very near the median for all peer companies. Consideration was also given to the frequency or infrequency with which a company was identified as a peer with other peer companies. The increase in the Company’s market capitalization indicated significant redesign of the peer group for 2019.</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 2019, the compensation peer group consisted of the following companies:</w:t>
      </w:r>
    </w:p>
    <w:p>
      <w:pPr>
        <w:sectPr>
          <w:pgSz w:w="11900" w:h="16838" w:orient="portrait"/>
          <w:cols w:equalWidth="0" w:num="1">
            <w:col w:w="11180"/>
          </w:cols>
          <w:pgMar w:left="240" w:top="459" w:right="479" w:bottom="1440" w:gutter="0" w:footer="0" w:header="0"/>
        </w:sectPr>
      </w:pPr>
    </w:p>
    <w:p>
      <w:pPr>
        <w:spacing w:after="0" w:line="248"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Acceleron Pharma</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Assembly Biosciences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Allogene Therapeutics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Atara Biotherapeutics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BioCryst Pharmaceuticals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Blueprint Medicines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ChemoCentryx</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Dicerna Pharmaceuticals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Geron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Global Blood Therapeutics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Immunomedics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Mirati Therapeutics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MyoKardia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Progenics Pharmaceutical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Rgel Pharmaceuticals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Sangamo Therapeutics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Xencor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Zogenix</w:t>
      </w:r>
    </w:p>
    <w:p>
      <w:pPr>
        <w:spacing w:after="0" w:line="113" w:lineRule="exact"/>
        <w:rPr>
          <w:sz w:val="20"/>
          <w:szCs w:val="20"/>
          <w:color w:val="auto"/>
        </w:rPr>
      </w:pPr>
    </w:p>
    <w:p>
      <w:pPr>
        <w:sectPr>
          <w:pgSz w:w="11900" w:h="16838" w:orient="portrait"/>
          <w:cols w:equalWidth="0" w:num="2">
            <w:col w:w="5140" w:space="720"/>
            <w:col w:w="5320"/>
          </w:cols>
          <w:pgMar w:left="240" w:top="459" w:right="479" w:bottom="1440" w:gutter="0" w:footer="0" w:header="0"/>
          <w:type w:val="continuous"/>
        </w:sectPr>
      </w:pPr>
    </w:p>
    <w:p>
      <w:pPr>
        <w:ind w:left="220"/>
        <w:spacing w:after="0" w:line="253" w:lineRule="auto"/>
        <w:rPr>
          <w:sz w:val="20"/>
          <w:szCs w:val="20"/>
          <w:color w:val="auto"/>
        </w:rPr>
      </w:pPr>
      <w:r>
        <w:rPr>
          <w:rFonts w:ascii="Arial" w:cs="Arial" w:eastAsia="Arial" w:hAnsi="Arial"/>
          <w:sz w:val="16"/>
          <w:szCs w:val="16"/>
          <w:color w:val="auto"/>
        </w:rPr>
        <w:t>The compensation study prepared by Compensia and presented in December 2019 provided an assessment of our compensation practices as compared to industry peers. Compensation levels for our executive officers, in the aggregate, were determined to be within the range of compensation provided to similarly placed executives and consistent with our compensation philosophy.</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Individual Compensation Elements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2019, the principal elements of our executive compensation program were as follows:</w:t>
      </w:r>
    </w:p>
    <w:p>
      <w:pPr>
        <w:spacing w:after="0" w:line="126" w:lineRule="exact"/>
        <w:rPr>
          <w:sz w:val="20"/>
          <w:szCs w:val="20"/>
          <w:color w:val="auto"/>
        </w:rPr>
      </w:pPr>
    </w:p>
    <w:p>
      <w:pPr>
        <w:ind w:left="540" w:hanging="222"/>
        <w:spacing w:after="0"/>
        <w:tabs>
          <w:tab w:leader="none" w:pos="5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an annual incentive compensation opportunity;</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welfare and health benefits; and</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post-employment compensation arrangements.</w:t>
      </w:r>
    </w:p>
    <w:p>
      <w:pPr>
        <w:spacing w:after="0" w:line="3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Base Salary</w:t>
      </w:r>
    </w:p>
    <w:p>
      <w:pPr>
        <w:spacing w:after="0" w:line="124" w:lineRule="exact"/>
        <w:rPr>
          <w:sz w:val="20"/>
          <w:szCs w:val="20"/>
          <w:color w:val="auto"/>
        </w:rPr>
      </w:pPr>
    </w:p>
    <w:p>
      <w:pPr>
        <w:ind w:left="220" w:right="480"/>
        <w:spacing w:after="0" w:line="260" w:lineRule="auto"/>
        <w:rPr>
          <w:sz w:val="20"/>
          <w:szCs w:val="20"/>
          <w:color w:val="auto"/>
        </w:rPr>
      </w:pPr>
      <w:r>
        <w:rPr>
          <w:rFonts w:ascii="Arial" w:cs="Arial" w:eastAsia="Arial" w:hAnsi="Arial"/>
          <w:sz w:val="16"/>
          <w:szCs w:val="16"/>
          <w:color w:val="auto"/>
        </w:rPr>
        <w:t>Base salary represents the fixed portion of the compensation of our executive officers, including our Named Executive Officers, and is an important element of compensation intended to attract and retain highly-talented individuals.</w:t>
      </w:r>
    </w:p>
    <w:p>
      <w:pPr>
        <w:spacing w:after="0" w:line="195"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auto"/>
        </w:rPr>
        <w:t>The initial base salaries for our executive officers were negotiated on an individual basis at the time of hire. Thereafter, using the competitive market data provided by its compensation consultant, the Compensation Committee reviews and determines adjustments to the base salaries for each of our executive officers, including our Named Executive Officers, as part of its annual executive compensation review. In addition, the base salaries of our executive officers may be adjusted by the Compensation Committee in the event of a promotion or significant change in responsibilities. Generally, the Compensation Committee sets base salaries with reference to the competitive range of the market median of our compensation peer group and applicable executive compensation survey data, as well as its assessment of the factors described in “Governance of Executive Compensation Program — Compensation-Setting Process”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87630</wp:posOffset>
            </wp:positionV>
            <wp:extent cx="984885"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24</w:t>
      </w:r>
    </w:p>
    <w:p>
      <w:pPr>
        <w:sectPr>
          <w:pgSz w:w="11900" w:h="16838" w:orient="portrait"/>
          <w:cols w:equalWidth="0" w:num="1">
            <w:col w:w="11180"/>
          </w:cols>
          <w:pgMar w:left="240" w:top="459" w:right="47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0"/>
        <w:spacing w:after="0"/>
        <w:tabs>
          <w:tab w:leader="none" w:pos="17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base salaries of our Named Executive Officers for 2018 and 2019 were as follows:</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548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2200" w:type="dxa"/>
            <w:vAlign w:val="bottom"/>
            <w:shd w:val="clear" w:color="auto" w:fill="0071CE"/>
          </w:tcPr>
          <w:p>
            <w:pPr>
              <w:jc w:val="center"/>
              <w:ind w:left="162"/>
              <w:spacing w:after="0"/>
              <w:rPr>
                <w:sz w:val="20"/>
                <w:szCs w:val="20"/>
                <w:color w:val="auto"/>
              </w:rPr>
            </w:pPr>
            <w:r>
              <w:rPr>
                <w:rFonts w:ascii="Arial" w:cs="Arial" w:eastAsia="Arial" w:hAnsi="Arial"/>
                <w:sz w:val="14"/>
                <w:szCs w:val="14"/>
                <w:b w:val="1"/>
                <w:bCs w:val="1"/>
                <w:color w:val="FFFFFF"/>
              </w:rPr>
              <w:t>2019</w:t>
            </w:r>
          </w:p>
        </w:tc>
        <w:tc>
          <w:tcPr>
            <w:tcW w:w="1860" w:type="dxa"/>
            <w:vAlign w:val="bottom"/>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rPr>
              <w:t>2018</w:t>
            </w:r>
          </w:p>
        </w:tc>
        <w:tc>
          <w:tcPr>
            <w:tcW w:w="1460" w:type="dxa"/>
            <w:vAlign w:val="bottom"/>
            <w:shd w:val="clear" w:color="auto" w:fill="0071CE"/>
          </w:tcPr>
          <w:p>
            <w:pPr>
              <w:jc w:val="right"/>
              <w:ind w:right="122"/>
              <w:spacing w:after="0"/>
              <w:rPr>
                <w:sz w:val="20"/>
                <w:szCs w:val="20"/>
                <w:color w:val="auto"/>
              </w:rPr>
            </w:pPr>
            <w:r>
              <w:rPr>
                <w:rFonts w:ascii="Arial" w:cs="Arial" w:eastAsia="Arial" w:hAnsi="Arial"/>
                <w:sz w:val="14"/>
                <w:szCs w:val="14"/>
                <w:b w:val="1"/>
                <w:bCs w:val="1"/>
                <w:color w:val="FFFFFF"/>
              </w:rPr>
              <w:t>Percentage</w:t>
            </w:r>
          </w:p>
        </w:tc>
        <w:tc>
          <w:tcPr>
            <w:tcW w:w="20" w:type="dxa"/>
            <w:vAlign w:val="bottom"/>
            <w:shd w:val="clear" w:color="auto" w:fill="0071CE"/>
          </w:tcPr>
          <w:p>
            <w:pPr>
              <w:spacing w:after="0"/>
              <w:rPr>
                <w:sz w:val="15"/>
                <w:szCs w:val="15"/>
                <w:color w:val="auto"/>
              </w:rPr>
            </w:pPr>
          </w:p>
        </w:tc>
      </w:tr>
      <w:tr>
        <w:trPr>
          <w:trHeight w:val="209"/>
        </w:trPr>
        <w:tc>
          <w:tcPr>
            <w:tcW w:w="548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2200" w:type="dxa"/>
            <w:vAlign w:val="bottom"/>
            <w:tcBorders>
              <w:bottom w:val="single" w:sz="8" w:color="0071CE"/>
            </w:tcBorders>
            <w:shd w:val="clear" w:color="auto" w:fill="0071CE"/>
          </w:tcPr>
          <w:p>
            <w:pPr>
              <w:ind w:left="820"/>
              <w:spacing w:after="0"/>
              <w:rPr>
                <w:sz w:val="20"/>
                <w:szCs w:val="20"/>
                <w:color w:val="auto"/>
              </w:rPr>
            </w:pPr>
            <w:r>
              <w:rPr>
                <w:rFonts w:ascii="Arial" w:cs="Arial" w:eastAsia="Arial" w:hAnsi="Arial"/>
                <w:sz w:val="14"/>
                <w:szCs w:val="14"/>
                <w:b w:val="1"/>
                <w:bCs w:val="1"/>
                <w:color w:val="FFFFFF"/>
              </w:rPr>
              <w:t>Base Salary</w:t>
            </w:r>
          </w:p>
        </w:tc>
        <w:tc>
          <w:tcPr>
            <w:tcW w:w="1860" w:type="dxa"/>
            <w:vAlign w:val="bottom"/>
            <w:tcBorders>
              <w:bottom w:val="single" w:sz="8" w:color="0071CE"/>
            </w:tcBorders>
            <w:shd w:val="clear" w:color="auto" w:fill="0071CE"/>
          </w:tcPr>
          <w:p>
            <w:pPr>
              <w:ind w:left="580"/>
              <w:spacing w:after="0"/>
              <w:rPr>
                <w:sz w:val="20"/>
                <w:szCs w:val="20"/>
                <w:color w:val="auto"/>
              </w:rPr>
            </w:pPr>
            <w:r>
              <w:rPr>
                <w:rFonts w:ascii="Arial" w:cs="Arial" w:eastAsia="Arial" w:hAnsi="Arial"/>
                <w:sz w:val="14"/>
                <w:szCs w:val="14"/>
                <w:b w:val="1"/>
                <w:bCs w:val="1"/>
                <w:color w:val="FFFFFF"/>
              </w:rPr>
              <w:t>Base Salary</w:t>
            </w:r>
          </w:p>
        </w:tc>
        <w:tc>
          <w:tcPr>
            <w:tcW w:w="1460" w:type="dxa"/>
            <w:vAlign w:val="bottom"/>
            <w:tcBorders>
              <w:bottom w:val="single" w:sz="8" w:color="0071CE"/>
            </w:tcBorders>
            <w:shd w:val="clear" w:color="auto" w:fill="0071CE"/>
          </w:tcPr>
          <w:p>
            <w:pPr>
              <w:jc w:val="right"/>
              <w:ind w:right="122"/>
              <w:spacing w:after="0"/>
              <w:rPr>
                <w:sz w:val="20"/>
                <w:szCs w:val="20"/>
                <w:color w:val="auto"/>
              </w:rPr>
            </w:pPr>
            <w:r>
              <w:rPr>
                <w:rFonts w:ascii="Arial" w:cs="Arial" w:eastAsia="Arial" w:hAnsi="Arial"/>
                <w:sz w:val="14"/>
                <w:szCs w:val="14"/>
                <w:b w:val="1"/>
                <w:bCs w:val="1"/>
                <w:color w:val="FFFFFF"/>
              </w:rPr>
              <w:t>Adjustment</w:t>
            </w:r>
          </w:p>
        </w:tc>
        <w:tc>
          <w:tcPr>
            <w:tcW w:w="20" w:type="dxa"/>
            <w:vAlign w:val="bottom"/>
            <w:tcBorders>
              <w:bottom w:val="single" w:sz="8" w:color="0071CE"/>
            </w:tcBorders>
            <w:shd w:val="clear" w:color="auto" w:fill="0071CE"/>
          </w:tcPr>
          <w:p>
            <w:pPr>
              <w:spacing w:after="0"/>
              <w:rPr>
                <w:sz w:val="18"/>
                <w:szCs w:val="18"/>
                <w:color w:val="auto"/>
              </w:rPr>
            </w:pPr>
          </w:p>
        </w:tc>
      </w:tr>
      <w:tr>
        <w:trPr>
          <w:trHeight w:val="231"/>
        </w:trPr>
        <w:tc>
          <w:tcPr>
            <w:tcW w:w="54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Christopher Anzalone</w:t>
            </w:r>
          </w:p>
        </w:tc>
        <w:tc>
          <w:tcPr>
            <w:tcW w:w="2200" w:type="dxa"/>
            <w:vAlign w:val="bottom"/>
            <w:shd w:val="clear" w:color="auto" w:fill="E5E5E5"/>
          </w:tcPr>
          <w:p>
            <w:pPr>
              <w:spacing w:after="0"/>
              <w:rPr>
                <w:sz w:val="20"/>
                <w:szCs w:val="20"/>
                <w:color w:val="auto"/>
              </w:rPr>
            </w:pPr>
          </w:p>
        </w:tc>
        <w:tc>
          <w:tcPr>
            <w:tcW w:w="1860" w:type="dxa"/>
            <w:vAlign w:val="bottom"/>
            <w:shd w:val="clear" w:color="auto" w:fill="E5E5E5"/>
          </w:tcPr>
          <w:p>
            <w:pPr>
              <w:spacing w:after="0"/>
              <w:rPr>
                <w:sz w:val="20"/>
                <w:szCs w:val="20"/>
                <w:color w:val="auto"/>
              </w:rPr>
            </w:pPr>
          </w:p>
        </w:tc>
        <w:tc>
          <w:tcPr>
            <w:tcW w:w="146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r>
      <w:tr>
        <w:trPr>
          <w:trHeight w:val="214"/>
        </w:trPr>
        <w:tc>
          <w:tcPr>
            <w:tcW w:w="5480" w:type="dxa"/>
            <w:vAlign w:val="bottom"/>
            <w:shd w:val="clear" w:color="auto" w:fill="E5E5E5"/>
          </w:tcPr>
          <w:p>
            <w:pPr>
              <w:ind w:left="60"/>
              <w:spacing w:after="0"/>
              <w:rPr>
                <w:sz w:val="20"/>
                <w:szCs w:val="20"/>
                <w:color w:val="auto"/>
              </w:rPr>
            </w:pPr>
            <w:r>
              <w:rPr>
                <w:rFonts w:ascii="Arial" w:cs="Arial" w:eastAsia="Arial" w:hAnsi="Arial"/>
                <w:sz w:val="16"/>
                <w:szCs w:val="16"/>
                <w:color w:val="auto"/>
              </w:rPr>
              <w:t>President &amp; CEO</w:t>
            </w:r>
          </w:p>
        </w:tc>
        <w:tc>
          <w:tcPr>
            <w:tcW w:w="2200" w:type="dxa"/>
            <w:vAlign w:val="bottom"/>
            <w:shd w:val="clear" w:color="auto" w:fill="E5E5E5"/>
          </w:tcPr>
          <w:p>
            <w:pPr>
              <w:jc w:val="center"/>
              <w:ind w:left="162"/>
              <w:spacing w:after="0"/>
              <w:rPr>
                <w:sz w:val="20"/>
                <w:szCs w:val="20"/>
                <w:color w:val="auto"/>
              </w:rPr>
            </w:pPr>
            <w:r>
              <w:rPr>
                <w:rFonts w:ascii="Arial" w:cs="Arial" w:eastAsia="Arial" w:hAnsi="Arial"/>
                <w:sz w:val="16"/>
                <w:szCs w:val="16"/>
                <w:color w:val="auto"/>
              </w:rPr>
              <w:t>$682,500</w:t>
            </w:r>
          </w:p>
        </w:tc>
        <w:tc>
          <w:tcPr>
            <w:tcW w:w="1860" w:type="dxa"/>
            <w:vAlign w:val="bottom"/>
            <w:shd w:val="clear" w:color="auto" w:fill="E5E5E5"/>
          </w:tcPr>
          <w:p>
            <w:pPr>
              <w:jc w:val="center"/>
              <w:ind w:left="42"/>
              <w:spacing w:after="0"/>
              <w:rPr>
                <w:sz w:val="20"/>
                <w:szCs w:val="20"/>
                <w:color w:val="auto"/>
              </w:rPr>
            </w:pPr>
            <w:r>
              <w:rPr>
                <w:rFonts w:ascii="Arial" w:cs="Arial" w:eastAsia="Arial" w:hAnsi="Arial"/>
                <w:sz w:val="16"/>
                <w:szCs w:val="16"/>
                <w:color w:val="auto"/>
              </w:rPr>
              <w:t>$650,000</w:t>
            </w:r>
          </w:p>
        </w:tc>
        <w:tc>
          <w:tcPr>
            <w:tcW w:w="146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r>
      <w:tr>
        <w:trPr>
          <w:trHeight w:val="231"/>
        </w:trPr>
        <w:tc>
          <w:tcPr>
            <w:tcW w:w="5480" w:type="dxa"/>
            <w:vAlign w:val="bottom"/>
          </w:tcPr>
          <w:p>
            <w:pPr>
              <w:ind w:left="60"/>
              <w:spacing w:after="0"/>
              <w:rPr>
                <w:sz w:val="20"/>
                <w:szCs w:val="20"/>
                <w:color w:val="auto"/>
              </w:rPr>
            </w:pPr>
            <w:r>
              <w:rPr>
                <w:rFonts w:ascii="Arial" w:cs="Arial" w:eastAsia="Arial" w:hAnsi="Arial"/>
                <w:sz w:val="16"/>
                <w:szCs w:val="16"/>
                <w:b w:val="1"/>
                <w:bCs w:val="1"/>
                <w:color w:val="0071CE"/>
              </w:rPr>
              <w:t>Bruce Given</w:t>
            </w:r>
          </w:p>
        </w:tc>
        <w:tc>
          <w:tcPr>
            <w:tcW w:w="2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4"/>
        </w:trPr>
        <w:tc>
          <w:tcPr>
            <w:tcW w:w="5480" w:type="dxa"/>
            <w:vAlign w:val="bottom"/>
          </w:tcPr>
          <w:p>
            <w:pPr>
              <w:ind w:left="60"/>
              <w:spacing w:after="0"/>
              <w:rPr>
                <w:sz w:val="20"/>
                <w:szCs w:val="20"/>
                <w:color w:val="auto"/>
              </w:rPr>
            </w:pPr>
            <w:r>
              <w:rPr>
                <w:rFonts w:ascii="Arial" w:cs="Arial" w:eastAsia="Arial" w:hAnsi="Arial"/>
                <w:sz w:val="16"/>
                <w:szCs w:val="16"/>
                <w:color w:val="auto"/>
              </w:rPr>
              <w:t>Chief Operating Officer</w:t>
            </w:r>
          </w:p>
        </w:tc>
        <w:tc>
          <w:tcPr>
            <w:tcW w:w="2200" w:type="dxa"/>
            <w:vAlign w:val="bottom"/>
          </w:tcPr>
          <w:p>
            <w:pPr>
              <w:jc w:val="center"/>
              <w:ind w:left="162"/>
              <w:spacing w:after="0"/>
              <w:rPr>
                <w:sz w:val="20"/>
                <w:szCs w:val="20"/>
                <w:color w:val="auto"/>
              </w:rPr>
            </w:pPr>
            <w:r>
              <w:rPr>
                <w:rFonts w:ascii="Arial" w:cs="Arial" w:eastAsia="Arial" w:hAnsi="Arial"/>
                <w:sz w:val="16"/>
                <w:szCs w:val="16"/>
                <w:color w:val="auto"/>
              </w:rPr>
              <w:t>$500,000</w:t>
            </w:r>
          </w:p>
        </w:tc>
        <w:tc>
          <w:tcPr>
            <w:tcW w:w="1860" w:type="dxa"/>
            <w:vAlign w:val="bottom"/>
          </w:tcPr>
          <w:p>
            <w:pPr>
              <w:jc w:val="center"/>
              <w:ind w:left="42"/>
              <w:spacing w:after="0"/>
              <w:rPr>
                <w:sz w:val="20"/>
                <w:szCs w:val="20"/>
                <w:color w:val="auto"/>
              </w:rPr>
            </w:pPr>
            <w:r>
              <w:rPr>
                <w:rFonts w:ascii="Arial" w:cs="Arial" w:eastAsia="Arial" w:hAnsi="Arial"/>
                <w:sz w:val="16"/>
                <w:szCs w:val="16"/>
                <w:color w:val="auto"/>
              </w:rPr>
              <w:t>$455,000</w:t>
            </w:r>
          </w:p>
        </w:tc>
        <w:tc>
          <w:tcPr>
            <w:tcW w:w="1460" w:type="dxa"/>
            <w:vAlign w:val="bottom"/>
          </w:tcPr>
          <w:p>
            <w:pPr>
              <w:jc w:val="right"/>
              <w:ind w:right="202"/>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r>
      <w:tr>
        <w:trPr>
          <w:trHeight w:val="241"/>
        </w:trPr>
        <w:tc>
          <w:tcPr>
            <w:tcW w:w="54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Kenneth Myszkowski</w:t>
            </w:r>
          </w:p>
        </w:tc>
        <w:tc>
          <w:tcPr>
            <w:tcW w:w="2200" w:type="dxa"/>
            <w:vAlign w:val="bottom"/>
            <w:shd w:val="clear" w:color="auto" w:fill="E5E5E5"/>
          </w:tcPr>
          <w:p>
            <w:pPr>
              <w:spacing w:after="0"/>
              <w:rPr>
                <w:sz w:val="20"/>
                <w:szCs w:val="20"/>
                <w:color w:val="auto"/>
              </w:rPr>
            </w:pPr>
          </w:p>
        </w:tc>
        <w:tc>
          <w:tcPr>
            <w:tcW w:w="1860" w:type="dxa"/>
            <w:vAlign w:val="bottom"/>
            <w:shd w:val="clear" w:color="auto" w:fill="E5E5E5"/>
          </w:tcPr>
          <w:p>
            <w:pPr>
              <w:spacing w:after="0"/>
              <w:rPr>
                <w:sz w:val="20"/>
                <w:szCs w:val="20"/>
                <w:color w:val="auto"/>
              </w:rPr>
            </w:pPr>
          </w:p>
        </w:tc>
        <w:tc>
          <w:tcPr>
            <w:tcW w:w="146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r>
      <w:tr>
        <w:trPr>
          <w:trHeight w:val="214"/>
        </w:trPr>
        <w:tc>
          <w:tcPr>
            <w:tcW w:w="5480" w:type="dxa"/>
            <w:vAlign w:val="bottom"/>
            <w:shd w:val="clear" w:color="auto" w:fill="E5E5E5"/>
          </w:tcPr>
          <w:p>
            <w:pPr>
              <w:ind w:left="60"/>
              <w:spacing w:after="0"/>
              <w:rPr>
                <w:sz w:val="20"/>
                <w:szCs w:val="20"/>
                <w:color w:val="auto"/>
              </w:rPr>
            </w:pPr>
            <w:r>
              <w:rPr>
                <w:rFonts w:ascii="Arial" w:cs="Arial" w:eastAsia="Arial" w:hAnsi="Arial"/>
                <w:sz w:val="16"/>
                <w:szCs w:val="16"/>
                <w:color w:val="auto"/>
              </w:rPr>
              <w:t>Chief Financial Officer</w:t>
            </w:r>
          </w:p>
        </w:tc>
        <w:tc>
          <w:tcPr>
            <w:tcW w:w="2200" w:type="dxa"/>
            <w:vAlign w:val="bottom"/>
            <w:shd w:val="clear" w:color="auto" w:fill="E5E5E5"/>
          </w:tcPr>
          <w:p>
            <w:pPr>
              <w:jc w:val="center"/>
              <w:ind w:left="162"/>
              <w:spacing w:after="0"/>
              <w:rPr>
                <w:sz w:val="20"/>
                <w:szCs w:val="20"/>
                <w:color w:val="auto"/>
              </w:rPr>
            </w:pPr>
            <w:r>
              <w:rPr>
                <w:rFonts w:ascii="Arial" w:cs="Arial" w:eastAsia="Arial" w:hAnsi="Arial"/>
                <w:sz w:val="16"/>
                <w:szCs w:val="16"/>
                <w:color w:val="auto"/>
              </w:rPr>
              <w:t>$430,000</w:t>
            </w:r>
          </w:p>
        </w:tc>
        <w:tc>
          <w:tcPr>
            <w:tcW w:w="1860" w:type="dxa"/>
            <w:vAlign w:val="bottom"/>
            <w:shd w:val="clear" w:color="auto" w:fill="E5E5E5"/>
          </w:tcPr>
          <w:p>
            <w:pPr>
              <w:jc w:val="center"/>
              <w:ind w:left="42"/>
              <w:spacing w:after="0"/>
              <w:rPr>
                <w:sz w:val="20"/>
                <w:szCs w:val="20"/>
                <w:color w:val="auto"/>
              </w:rPr>
            </w:pPr>
            <w:r>
              <w:rPr>
                <w:rFonts w:ascii="Arial" w:cs="Arial" w:eastAsia="Arial" w:hAnsi="Arial"/>
                <w:sz w:val="16"/>
                <w:szCs w:val="16"/>
                <w:color w:val="auto"/>
              </w:rPr>
              <w:t>$400,000</w:t>
            </w:r>
          </w:p>
        </w:tc>
        <w:tc>
          <w:tcPr>
            <w:tcW w:w="146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r>
      <w:tr>
        <w:trPr>
          <w:trHeight w:val="231"/>
        </w:trPr>
        <w:tc>
          <w:tcPr>
            <w:tcW w:w="5480" w:type="dxa"/>
            <w:vAlign w:val="bottom"/>
          </w:tcPr>
          <w:p>
            <w:pPr>
              <w:ind w:left="60"/>
              <w:spacing w:after="0"/>
              <w:rPr>
                <w:sz w:val="20"/>
                <w:szCs w:val="20"/>
                <w:color w:val="auto"/>
              </w:rPr>
            </w:pPr>
            <w:r>
              <w:rPr>
                <w:rFonts w:ascii="Arial" w:cs="Arial" w:eastAsia="Arial" w:hAnsi="Arial"/>
                <w:sz w:val="16"/>
                <w:szCs w:val="16"/>
                <w:b w:val="1"/>
                <w:bCs w:val="1"/>
                <w:color w:val="0071CE"/>
              </w:rPr>
              <w:t>Patrick O’Brien</w:t>
            </w:r>
          </w:p>
        </w:tc>
        <w:tc>
          <w:tcPr>
            <w:tcW w:w="2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4"/>
        </w:trPr>
        <w:tc>
          <w:tcPr>
            <w:tcW w:w="5480" w:type="dxa"/>
            <w:vAlign w:val="bottom"/>
          </w:tcPr>
          <w:p>
            <w:pPr>
              <w:ind w:left="60"/>
              <w:spacing w:after="0"/>
              <w:rPr>
                <w:sz w:val="20"/>
                <w:szCs w:val="20"/>
                <w:color w:val="auto"/>
              </w:rPr>
            </w:pPr>
            <w:r>
              <w:rPr>
                <w:rFonts w:ascii="Arial" w:cs="Arial" w:eastAsia="Arial" w:hAnsi="Arial"/>
                <w:sz w:val="16"/>
                <w:szCs w:val="16"/>
                <w:color w:val="auto"/>
              </w:rPr>
              <w:t>General Counsel</w:t>
            </w:r>
          </w:p>
        </w:tc>
        <w:tc>
          <w:tcPr>
            <w:tcW w:w="2200" w:type="dxa"/>
            <w:vAlign w:val="bottom"/>
          </w:tcPr>
          <w:p>
            <w:pPr>
              <w:jc w:val="center"/>
              <w:ind w:left="162"/>
              <w:spacing w:after="0"/>
              <w:rPr>
                <w:sz w:val="20"/>
                <w:szCs w:val="20"/>
                <w:color w:val="auto"/>
              </w:rPr>
            </w:pPr>
            <w:r>
              <w:rPr>
                <w:rFonts w:ascii="Arial" w:cs="Arial" w:eastAsia="Arial" w:hAnsi="Arial"/>
                <w:sz w:val="16"/>
                <w:szCs w:val="16"/>
                <w:color w:val="auto"/>
              </w:rPr>
              <w:t>$426,400</w:t>
            </w:r>
          </w:p>
        </w:tc>
        <w:tc>
          <w:tcPr>
            <w:tcW w:w="1860" w:type="dxa"/>
            <w:vAlign w:val="bottom"/>
          </w:tcPr>
          <w:p>
            <w:pPr>
              <w:jc w:val="center"/>
              <w:ind w:left="42"/>
              <w:spacing w:after="0"/>
              <w:rPr>
                <w:sz w:val="20"/>
                <w:szCs w:val="20"/>
                <w:color w:val="auto"/>
              </w:rPr>
            </w:pPr>
            <w:r>
              <w:rPr>
                <w:rFonts w:ascii="Arial" w:cs="Arial" w:eastAsia="Arial" w:hAnsi="Arial"/>
                <w:sz w:val="16"/>
                <w:szCs w:val="16"/>
                <w:color w:val="auto"/>
              </w:rPr>
              <w:t>$410,000</w:t>
            </w:r>
          </w:p>
        </w:tc>
        <w:tc>
          <w:tcPr>
            <w:tcW w:w="1460" w:type="dxa"/>
            <w:vAlign w:val="bottom"/>
          </w:tcPr>
          <w:p>
            <w:pPr>
              <w:jc w:val="right"/>
              <w:ind w:right="202"/>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r>
      <w:tr>
        <w:trPr>
          <w:trHeight w:val="241"/>
        </w:trPr>
        <w:tc>
          <w:tcPr>
            <w:tcW w:w="54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Zhen Li (1)</w:t>
            </w:r>
          </w:p>
        </w:tc>
        <w:tc>
          <w:tcPr>
            <w:tcW w:w="2200" w:type="dxa"/>
            <w:vAlign w:val="bottom"/>
            <w:shd w:val="clear" w:color="auto" w:fill="E5E5E5"/>
          </w:tcPr>
          <w:p>
            <w:pPr>
              <w:spacing w:after="0"/>
              <w:rPr>
                <w:sz w:val="20"/>
                <w:szCs w:val="20"/>
                <w:color w:val="auto"/>
              </w:rPr>
            </w:pPr>
          </w:p>
        </w:tc>
        <w:tc>
          <w:tcPr>
            <w:tcW w:w="1860" w:type="dxa"/>
            <w:vAlign w:val="bottom"/>
            <w:shd w:val="clear" w:color="auto" w:fill="E5E5E5"/>
          </w:tcPr>
          <w:p>
            <w:pPr>
              <w:spacing w:after="0"/>
              <w:rPr>
                <w:sz w:val="20"/>
                <w:szCs w:val="20"/>
                <w:color w:val="auto"/>
              </w:rPr>
            </w:pPr>
          </w:p>
        </w:tc>
        <w:tc>
          <w:tcPr>
            <w:tcW w:w="146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5480" w:type="dxa"/>
            <w:vAlign w:val="bottom"/>
            <w:shd w:val="clear" w:color="auto" w:fill="E5E5E5"/>
          </w:tcPr>
          <w:p>
            <w:pPr>
              <w:ind w:left="60"/>
              <w:spacing w:after="0"/>
              <w:rPr>
                <w:sz w:val="20"/>
                <w:szCs w:val="20"/>
                <w:color w:val="auto"/>
              </w:rPr>
            </w:pPr>
            <w:r>
              <w:rPr>
                <w:rFonts w:ascii="Arial" w:cs="Arial" w:eastAsia="Arial" w:hAnsi="Arial"/>
                <w:sz w:val="16"/>
                <w:szCs w:val="16"/>
                <w:color w:val="auto"/>
              </w:rPr>
              <w:t>Senior Vice President</w:t>
            </w:r>
          </w:p>
        </w:tc>
        <w:tc>
          <w:tcPr>
            <w:tcW w:w="2200" w:type="dxa"/>
            <w:vAlign w:val="bottom"/>
            <w:shd w:val="clear" w:color="auto" w:fill="E5E5E5"/>
          </w:tcPr>
          <w:p>
            <w:pPr>
              <w:spacing w:after="0"/>
              <w:rPr>
                <w:sz w:val="16"/>
                <w:szCs w:val="16"/>
                <w:color w:val="auto"/>
              </w:rPr>
            </w:pPr>
          </w:p>
        </w:tc>
        <w:tc>
          <w:tcPr>
            <w:tcW w:w="1860" w:type="dxa"/>
            <w:vAlign w:val="bottom"/>
            <w:shd w:val="clear" w:color="auto" w:fill="E5E5E5"/>
          </w:tcPr>
          <w:p>
            <w:pPr>
              <w:spacing w:after="0"/>
              <w:rPr>
                <w:sz w:val="16"/>
                <w:szCs w:val="16"/>
                <w:color w:val="auto"/>
              </w:rPr>
            </w:pPr>
          </w:p>
        </w:tc>
        <w:tc>
          <w:tcPr>
            <w:tcW w:w="146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5480" w:type="dxa"/>
            <w:vAlign w:val="bottom"/>
            <w:tcBorders>
              <w:bottom w:val="single" w:sz="8" w:color="0071CE"/>
            </w:tcBorders>
            <w:shd w:val="clear" w:color="auto" w:fill="E5E5E5"/>
          </w:tcPr>
          <w:p>
            <w:pPr>
              <w:ind w:left="60"/>
              <w:spacing w:after="0"/>
              <w:rPr>
                <w:sz w:val="20"/>
                <w:szCs w:val="20"/>
                <w:color w:val="auto"/>
              </w:rPr>
            </w:pPr>
            <w:r>
              <w:rPr>
                <w:rFonts w:ascii="Arial" w:cs="Arial" w:eastAsia="Arial" w:hAnsi="Arial"/>
                <w:sz w:val="16"/>
                <w:szCs w:val="16"/>
                <w:color w:val="auto"/>
              </w:rPr>
              <w:t>Chemistry &amp; Non-Clinical Development</w:t>
            </w:r>
          </w:p>
        </w:tc>
        <w:tc>
          <w:tcPr>
            <w:tcW w:w="2200" w:type="dxa"/>
            <w:vAlign w:val="bottom"/>
            <w:tcBorders>
              <w:bottom w:val="single" w:sz="8" w:color="0071CE"/>
            </w:tcBorders>
            <w:shd w:val="clear" w:color="auto" w:fill="E5E5E5"/>
          </w:tcPr>
          <w:p>
            <w:pPr>
              <w:jc w:val="center"/>
              <w:ind w:left="162"/>
              <w:spacing w:after="0"/>
              <w:rPr>
                <w:sz w:val="20"/>
                <w:szCs w:val="20"/>
                <w:color w:val="auto"/>
              </w:rPr>
            </w:pPr>
            <w:r>
              <w:rPr>
                <w:rFonts w:ascii="Arial" w:cs="Arial" w:eastAsia="Arial" w:hAnsi="Arial"/>
                <w:sz w:val="16"/>
                <w:szCs w:val="16"/>
                <w:color w:val="auto"/>
              </w:rPr>
              <w:t>$390,000</w:t>
            </w:r>
          </w:p>
        </w:tc>
        <w:tc>
          <w:tcPr>
            <w:tcW w:w="1860" w:type="dxa"/>
            <w:vAlign w:val="bottom"/>
            <w:tcBorders>
              <w:bottom w:val="single" w:sz="8" w:color="0071CE"/>
            </w:tcBorders>
            <w:shd w:val="clear" w:color="auto" w:fill="E5E5E5"/>
          </w:tcPr>
          <w:p>
            <w:pPr>
              <w:jc w:val="center"/>
              <w:ind w:left="42"/>
              <w:spacing w:after="0"/>
              <w:rPr>
                <w:sz w:val="20"/>
                <w:szCs w:val="20"/>
                <w:color w:val="auto"/>
              </w:rPr>
            </w:pPr>
            <w:r>
              <w:rPr>
                <w:rFonts w:ascii="Arial" w:cs="Arial" w:eastAsia="Arial" w:hAnsi="Arial"/>
                <w:sz w:val="16"/>
                <w:szCs w:val="16"/>
                <w:color w:val="auto"/>
              </w:rPr>
              <w:t>$300,000</w:t>
            </w:r>
          </w:p>
        </w:tc>
        <w:tc>
          <w:tcPr>
            <w:tcW w:w="1460" w:type="dxa"/>
            <w:vAlign w:val="bottom"/>
            <w:tcBorders>
              <w:bottom w:val="single" w:sz="8" w:color="0071CE"/>
            </w:tcBorders>
            <w:shd w:val="clear" w:color="auto" w:fill="E5E5E5"/>
          </w:tcPr>
          <w:p>
            <w:pPr>
              <w:jc w:val="right"/>
              <w:ind w:right="202"/>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r>
    </w:tbl>
    <w:p>
      <w:pPr>
        <w:spacing w:after="0" w:line="86" w:lineRule="exact"/>
        <w:rPr>
          <w:sz w:val="20"/>
          <w:szCs w:val="20"/>
          <w:color w:val="auto"/>
        </w:rPr>
      </w:pPr>
    </w:p>
    <w:p>
      <w:pPr>
        <w:ind w:left="640" w:hanging="430"/>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Dr. Li’s employment with the Company terminated in February 2019.</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actual base salaries paid to our Named Executive Officers in fiscal 2019 are set forth in the “Fiscal 2019 Summary Compensation Table” below.</w:t>
      </w:r>
    </w:p>
    <w:p>
      <w:pPr>
        <w:spacing w:after="0" w:line="3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Incentive Compensation</w:t>
      </w:r>
    </w:p>
    <w:p>
      <w:pPr>
        <w:spacing w:after="0" w:line="124" w:lineRule="exact"/>
        <w:rPr>
          <w:sz w:val="20"/>
          <w:szCs w:val="20"/>
          <w:color w:val="auto"/>
        </w:rPr>
      </w:pPr>
    </w:p>
    <w:p>
      <w:pPr>
        <w:ind w:left="220" w:right="240"/>
        <w:spacing w:after="0" w:line="249" w:lineRule="auto"/>
        <w:rPr>
          <w:sz w:val="20"/>
          <w:szCs w:val="20"/>
          <w:color w:val="auto"/>
        </w:rPr>
      </w:pPr>
      <w:r>
        <w:rPr>
          <w:rFonts w:ascii="Arial" w:cs="Arial" w:eastAsia="Arial" w:hAnsi="Arial"/>
          <w:sz w:val="16"/>
          <w:szCs w:val="16"/>
          <w:color w:val="auto"/>
        </w:rPr>
        <w:t>We provide our executive officers, including our Named Executive Officers, with the opportunity to earn performance-based annual incentive awards, payable in cash, which are designed to reward them for our overall corporate performance as well as their individual performance. Generally, our executive officers are evaluated each year for eligibility to receive an annual incentive compensation opportunity. Through a collaborative planning process involving our Board and management, corporate performance objectives are established at the beginning of each year and evaluated regularly by our Board for their continued relevance to our status.</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Target Annual Cash Bonus Opportunities</w:t>
      </w:r>
    </w:p>
    <w:p>
      <w:pPr>
        <w:spacing w:after="0" w:line="106" w:lineRule="exact"/>
        <w:rPr>
          <w:sz w:val="20"/>
          <w:szCs w:val="20"/>
          <w:color w:val="auto"/>
        </w:rPr>
      </w:pPr>
    </w:p>
    <w:p>
      <w:pPr>
        <w:ind w:left="220" w:right="80"/>
        <w:spacing w:after="0" w:line="248" w:lineRule="auto"/>
        <w:rPr>
          <w:sz w:val="20"/>
          <w:szCs w:val="20"/>
          <w:color w:val="auto"/>
        </w:rPr>
      </w:pPr>
      <w:r>
        <w:rPr>
          <w:rFonts w:ascii="Arial" w:cs="Arial" w:eastAsia="Arial" w:hAnsi="Arial"/>
          <w:sz w:val="16"/>
          <w:szCs w:val="16"/>
          <w:color w:val="auto"/>
        </w:rPr>
        <w:t>For purposes of the 2019 performance-based incentive awards, each of our Named Executive Officers was assigned a target annual incentive award opportunity based upon a percentage of his or her base salary. The target annual incentive award opportunities for our executive officers, including our Named Executive Officers, were recommended by our CEO (except with respect to his own target annual incentive award opportunity) based on each executive officer’s accountability, scope of responsibilities, and potential impact on our performance, and approved by the Compensation Committee. The determination of target annual incentive award opportunities was based on the factors described in “Governance of Executive Compensation Program — Compensation-Setting Process” above. Based on higher levels of control and accountability for our overall performance, a higher percentage of each executive officer’s total target cash compensation was dependent on his or her performance-based annual incentive awards.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target annual incentive award opportunities for our Named Executive Officers were as follows:</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5580" w:type="dxa"/>
            <w:vAlign w:val="bottom"/>
            <w:shd w:val="clear" w:color="auto" w:fill="0071CE"/>
          </w:tcPr>
          <w:p>
            <w:pPr>
              <w:spacing w:after="0"/>
              <w:rPr>
                <w:sz w:val="15"/>
                <w:szCs w:val="15"/>
                <w:color w:val="auto"/>
              </w:rPr>
            </w:pPr>
          </w:p>
        </w:tc>
        <w:tc>
          <w:tcPr>
            <w:tcW w:w="3240" w:type="dxa"/>
            <w:vAlign w:val="bottom"/>
            <w:shd w:val="clear" w:color="auto" w:fill="0071CE"/>
          </w:tcPr>
          <w:p>
            <w:pPr>
              <w:jc w:val="center"/>
              <w:ind w:left="439"/>
              <w:spacing w:after="0"/>
              <w:rPr>
                <w:sz w:val="20"/>
                <w:szCs w:val="20"/>
                <w:color w:val="auto"/>
              </w:rPr>
            </w:pPr>
            <w:r>
              <w:rPr>
                <w:rFonts w:ascii="Arial" w:cs="Arial" w:eastAsia="Arial" w:hAnsi="Arial"/>
                <w:sz w:val="14"/>
                <w:szCs w:val="14"/>
                <w:b w:val="1"/>
                <w:bCs w:val="1"/>
                <w:color w:val="FFFFFF"/>
              </w:rPr>
              <w:t>2019 Target Annual</w:t>
            </w:r>
          </w:p>
        </w:tc>
        <w:tc>
          <w:tcPr>
            <w:tcW w:w="2180" w:type="dxa"/>
            <w:vAlign w:val="bottom"/>
            <w:shd w:val="clear" w:color="auto" w:fill="0071CE"/>
          </w:tcPr>
          <w:p>
            <w:pPr>
              <w:jc w:val="center"/>
              <w:ind w:left="399"/>
              <w:spacing w:after="0"/>
              <w:rPr>
                <w:sz w:val="20"/>
                <w:szCs w:val="20"/>
                <w:color w:val="auto"/>
              </w:rPr>
            </w:pPr>
            <w:r>
              <w:rPr>
                <w:rFonts w:ascii="Arial" w:cs="Arial" w:eastAsia="Arial" w:hAnsi="Arial"/>
                <w:sz w:val="14"/>
                <w:szCs w:val="14"/>
                <w:b w:val="1"/>
                <w:bCs w:val="1"/>
                <w:color w:val="FFFFFF"/>
              </w:rPr>
              <w:t>2018 Target Annual</w:t>
            </w:r>
          </w:p>
        </w:tc>
        <w:tc>
          <w:tcPr>
            <w:tcW w:w="20" w:type="dxa"/>
            <w:vAlign w:val="bottom"/>
            <w:shd w:val="clear" w:color="auto" w:fill="0071CE"/>
          </w:tcPr>
          <w:p>
            <w:pPr>
              <w:spacing w:after="0"/>
              <w:rPr>
                <w:sz w:val="15"/>
                <w:szCs w:val="15"/>
                <w:color w:val="auto"/>
              </w:rPr>
            </w:pPr>
          </w:p>
        </w:tc>
      </w:tr>
      <w:tr>
        <w:trPr>
          <w:trHeight w:val="162"/>
        </w:trPr>
        <w:tc>
          <w:tcPr>
            <w:tcW w:w="5580" w:type="dxa"/>
            <w:vAlign w:val="bottom"/>
            <w:shd w:val="clear" w:color="auto" w:fill="0071CE"/>
          </w:tcPr>
          <w:p>
            <w:pPr>
              <w:spacing w:after="0"/>
              <w:rPr>
                <w:sz w:val="14"/>
                <w:szCs w:val="14"/>
                <w:color w:val="auto"/>
              </w:rPr>
            </w:pPr>
          </w:p>
        </w:tc>
        <w:tc>
          <w:tcPr>
            <w:tcW w:w="3240" w:type="dxa"/>
            <w:vAlign w:val="bottom"/>
            <w:shd w:val="clear" w:color="auto" w:fill="0071CE"/>
          </w:tcPr>
          <w:p>
            <w:pPr>
              <w:jc w:val="center"/>
              <w:ind w:left="419"/>
              <w:spacing w:after="0"/>
              <w:rPr>
                <w:sz w:val="20"/>
                <w:szCs w:val="20"/>
                <w:color w:val="auto"/>
              </w:rPr>
            </w:pPr>
            <w:r>
              <w:rPr>
                <w:rFonts w:ascii="Arial" w:cs="Arial" w:eastAsia="Arial" w:hAnsi="Arial"/>
                <w:sz w:val="14"/>
                <w:szCs w:val="14"/>
                <w:b w:val="1"/>
                <w:bCs w:val="1"/>
                <w:color w:val="FFFFFF"/>
              </w:rPr>
              <w:t>Incentive Award</w:t>
            </w:r>
          </w:p>
        </w:tc>
        <w:tc>
          <w:tcPr>
            <w:tcW w:w="2180" w:type="dxa"/>
            <w:vAlign w:val="bottom"/>
            <w:shd w:val="clear" w:color="auto" w:fill="0071CE"/>
          </w:tcPr>
          <w:p>
            <w:pPr>
              <w:jc w:val="center"/>
              <w:ind w:left="399"/>
              <w:spacing w:after="0"/>
              <w:rPr>
                <w:sz w:val="20"/>
                <w:szCs w:val="20"/>
                <w:color w:val="auto"/>
              </w:rPr>
            </w:pPr>
            <w:r>
              <w:rPr>
                <w:rFonts w:ascii="Arial" w:cs="Arial" w:eastAsia="Arial" w:hAnsi="Arial"/>
                <w:sz w:val="14"/>
                <w:szCs w:val="14"/>
                <w:b w:val="1"/>
                <w:bCs w:val="1"/>
                <w:color w:val="FFFFFF"/>
              </w:rPr>
              <w:t>Incentive Award</w:t>
            </w:r>
          </w:p>
        </w:tc>
        <w:tc>
          <w:tcPr>
            <w:tcW w:w="20" w:type="dxa"/>
            <w:vAlign w:val="bottom"/>
            <w:shd w:val="clear" w:color="auto" w:fill="0071CE"/>
          </w:tcPr>
          <w:p>
            <w:pPr>
              <w:spacing w:after="0"/>
              <w:rPr>
                <w:sz w:val="14"/>
                <w:szCs w:val="14"/>
                <w:color w:val="auto"/>
              </w:rPr>
            </w:pPr>
          </w:p>
        </w:tc>
      </w:tr>
      <w:tr>
        <w:trPr>
          <w:trHeight w:val="162"/>
        </w:trPr>
        <w:tc>
          <w:tcPr>
            <w:tcW w:w="5580" w:type="dxa"/>
            <w:vAlign w:val="bottom"/>
            <w:shd w:val="clear" w:color="auto" w:fill="0071CE"/>
          </w:tcPr>
          <w:p>
            <w:pPr>
              <w:spacing w:after="0"/>
              <w:rPr>
                <w:sz w:val="14"/>
                <w:szCs w:val="14"/>
                <w:color w:val="auto"/>
              </w:rPr>
            </w:pPr>
          </w:p>
        </w:tc>
        <w:tc>
          <w:tcPr>
            <w:tcW w:w="3240" w:type="dxa"/>
            <w:vAlign w:val="bottom"/>
            <w:shd w:val="clear" w:color="auto" w:fill="0071CE"/>
          </w:tcPr>
          <w:p>
            <w:pPr>
              <w:jc w:val="center"/>
              <w:ind w:left="439"/>
              <w:spacing w:after="0"/>
              <w:rPr>
                <w:sz w:val="20"/>
                <w:szCs w:val="20"/>
                <w:color w:val="auto"/>
              </w:rPr>
            </w:pPr>
            <w:r>
              <w:rPr>
                <w:rFonts w:ascii="Arial" w:cs="Arial" w:eastAsia="Arial" w:hAnsi="Arial"/>
                <w:sz w:val="14"/>
                <w:szCs w:val="14"/>
                <w:b w:val="1"/>
                <w:bCs w:val="1"/>
                <w:color w:val="FFFFFF"/>
              </w:rPr>
              <w:t>Opportunity (as a</w:t>
            </w:r>
          </w:p>
        </w:tc>
        <w:tc>
          <w:tcPr>
            <w:tcW w:w="2180" w:type="dxa"/>
            <w:vAlign w:val="bottom"/>
            <w:shd w:val="clear" w:color="auto" w:fill="0071CE"/>
          </w:tcPr>
          <w:p>
            <w:pPr>
              <w:jc w:val="center"/>
              <w:ind w:left="399"/>
              <w:spacing w:after="0"/>
              <w:rPr>
                <w:sz w:val="20"/>
                <w:szCs w:val="20"/>
                <w:color w:val="auto"/>
              </w:rPr>
            </w:pPr>
            <w:r>
              <w:rPr>
                <w:rFonts w:ascii="Arial" w:cs="Arial" w:eastAsia="Arial" w:hAnsi="Arial"/>
                <w:sz w:val="14"/>
                <w:szCs w:val="14"/>
                <w:b w:val="1"/>
                <w:bCs w:val="1"/>
                <w:color w:val="FFFFFF"/>
              </w:rPr>
              <w:t>Opportunity (as a</w:t>
            </w:r>
          </w:p>
        </w:tc>
        <w:tc>
          <w:tcPr>
            <w:tcW w:w="20" w:type="dxa"/>
            <w:vAlign w:val="bottom"/>
            <w:shd w:val="clear" w:color="auto" w:fill="0071CE"/>
          </w:tcPr>
          <w:p>
            <w:pPr>
              <w:spacing w:after="0"/>
              <w:rPr>
                <w:sz w:val="14"/>
                <w:szCs w:val="14"/>
                <w:color w:val="auto"/>
              </w:rPr>
            </w:pPr>
          </w:p>
        </w:tc>
      </w:tr>
      <w:tr>
        <w:trPr>
          <w:trHeight w:val="162"/>
        </w:trPr>
        <w:tc>
          <w:tcPr>
            <w:tcW w:w="558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3240" w:type="dxa"/>
            <w:vAlign w:val="bottom"/>
            <w:shd w:val="clear" w:color="auto" w:fill="0071CE"/>
          </w:tcPr>
          <w:p>
            <w:pPr>
              <w:jc w:val="center"/>
              <w:ind w:left="439"/>
              <w:spacing w:after="0"/>
              <w:rPr>
                <w:sz w:val="20"/>
                <w:szCs w:val="20"/>
                <w:color w:val="auto"/>
              </w:rPr>
            </w:pPr>
            <w:r>
              <w:rPr>
                <w:rFonts w:ascii="Arial" w:cs="Arial" w:eastAsia="Arial" w:hAnsi="Arial"/>
                <w:sz w:val="14"/>
                <w:szCs w:val="14"/>
                <w:b w:val="1"/>
                <w:bCs w:val="1"/>
                <w:color w:val="FFFFFF"/>
              </w:rPr>
              <w:t>percentage of base</w:t>
            </w:r>
          </w:p>
        </w:tc>
        <w:tc>
          <w:tcPr>
            <w:tcW w:w="2180" w:type="dxa"/>
            <w:vAlign w:val="bottom"/>
            <w:shd w:val="clear" w:color="auto" w:fill="0071CE"/>
          </w:tcPr>
          <w:p>
            <w:pPr>
              <w:jc w:val="center"/>
              <w:ind w:left="399"/>
              <w:spacing w:after="0"/>
              <w:rPr>
                <w:sz w:val="20"/>
                <w:szCs w:val="20"/>
                <w:color w:val="auto"/>
              </w:rPr>
            </w:pPr>
            <w:r>
              <w:rPr>
                <w:rFonts w:ascii="Arial" w:cs="Arial" w:eastAsia="Arial" w:hAnsi="Arial"/>
                <w:sz w:val="14"/>
                <w:szCs w:val="14"/>
                <w:b w:val="1"/>
                <w:bCs w:val="1"/>
                <w:color w:val="FFFFFF"/>
              </w:rPr>
              <w:t>percentage of base</w:t>
            </w:r>
          </w:p>
        </w:tc>
        <w:tc>
          <w:tcPr>
            <w:tcW w:w="20" w:type="dxa"/>
            <w:vAlign w:val="bottom"/>
            <w:shd w:val="clear" w:color="auto" w:fill="0071CE"/>
          </w:tcPr>
          <w:p>
            <w:pPr>
              <w:spacing w:after="0"/>
              <w:rPr>
                <w:sz w:val="14"/>
                <w:szCs w:val="14"/>
                <w:color w:val="auto"/>
              </w:rPr>
            </w:pPr>
          </w:p>
        </w:tc>
      </w:tr>
      <w:tr>
        <w:trPr>
          <w:trHeight w:val="209"/>
        </w:trPr>
        <w:tc>
          <w:tcPr>
            <w:tcW w:w="558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3240" w:type="dxa"/>
            <w:vAlign w:val="bottom"/>
            <w:tcBorders>
              <w:bottom w:val="single" w:sz="8" w:color="0071CE"/>
            </w:tcBorders>
            <w:shd w:val="clear" w:color="auto" w:fill="0071CE"/>
          </w:tcPr>
          <w:p>
            <w:pPr>
              <w:jc w:val="center"/>
              <w:ind w:left="419"/>
              <w:spacing w:after="0"/>
              <w:rPr>
                <w:sz w:val="20"/>
                <w:szCs w:val="20"/>
                <w:color w:val="auto"/>
              </w:rPr>
            </w:pPr>
            <w:r>
              <w:rPr>
                <w:rFonts w:ascii="Arial" w:cs="Arial" w:eastAsia="Arial" w:hAnsi="Arial"/>
                <w:sz w:val="14"/>
                <w:szCs w:val="14"/>
                <w:b w:val="1"/>
                <w:bCs w:val="1"/>
                <w:color w:val="FFFFFF"/>
              </w:rPr>
              <w:t>salary)</w:t>
            </w:r>
          </w:p>
        </w:tc>
        <w:tc>
          <w:tcPr>
            <w:tcW w:w="2180" w:type="dxa"/>
            <w:vAlign w:val="bottom"/>
            <w:tcBorders>
              <w:bottom w:val="single" w:sz="8" w:color="0071CE"/>
            </w:tcBorders>
            <w:shd w:val="clear" w:color="auto" w:fill="0071CE"/>
          </w:tcPr>
          <w:p>
            <w:pPr>
              <w:jc w:val="center"/>
              <w:ind w:left="399"/>
              <w:spacing w:after="0"/>
              <w:rPr>
                <w:sz w:val="20"/>
                <w:szCs w:val="20"/>
                <w:color w:val="auto"/>
              </w:rPr>
            </w:pPr>
            <w:r>
              <w:rPr>
                <w:rFonts w:ascii="Arial" w:cs="Arial" w:eastAsia="Arial" w:hAnsi="Arial"/>
                <w:sz w:val="14"/>
                <w:szCs w:val="14"/>
                <w:b w:val="1"/>
                <w:bCs w:val="1"/>
                <w:color w:val="FFFFFF"/>
              </w:rPr>
              <w:t>salary)</w:t>
            </w:r>
          </w:p>
        </w:tc>
        <w:tc>
          <w:tcPr>
            <w:tcW w:w="20" w:type="dxa"/>
            <w:vAlign w:val="bottom"/>
            <w:tcBorders>
              <w:bottom w:val="single" w:sz="8" w:color="0071CE"/>
            </w:tcBorders>
            <w:shd w:val="clear" w:color="auto" w:fill="0071CE"/>
          </w:tcPr>
          <w:p>
            <w:pPr>
              <w:spacing w:after="0"/>
              <w:rPr>
                <w:sz w:val="18"/>
                <w:szCs w:val="18"/>
                <w:color w:val="auto"/>
              </w:rPr>
            </w:pPr>
          </w:p>
        </w:tc>
      </w:tr>
      <w:tr>
        <w:trPr>
          <w:trHeight w:val="270"/>
        </w:trPr>
        <w:tc>
          <w:tcPr>
            <w:tcW w:w="5580" w:type="dxa"/>
            <w:vAlign w:val="bottom"/>
            <w:shd w:val="clear" w:color="auto" w:fill="E5E5E5"/>
          </w:tcPr>
          <w:p>
            <w:pPr>
              <w:ind w:left="60"/>
              <w:spacing w:after="0"/>
              <w:rPr>
                <w:sz w:val="20"/>
                <w:szCs w:val="20"/>
                <w:color w:val="auto"/>
              </w:rPr>
            </w:pPr>
            <w:r>
              <w:rPr>
                <w:rFonts w:ascii="Arial" w:cs="Arial" w:eastAsia="Arial" w:hAnsi="Arial"/>
                <w:sz w:val="18"/>
                <w:szCs w:val="18"/>
                <w:color w:val="auto"/>
              </w:rPr>
              <w:t>Dr. Anzalone</w:t>
            </w:r>
          </w:p>
        </w:tc>
        <w:tc>
          <w:tcPr>
            <w:tcW w:w="3240" w:type="dxa"/>
            <w:vAlign w:val="bottom"/>
            <w:shd w:val="clear" w:color="auto" w:fill="E5E5E5"/>
          </w:tcPr>
          <w:p>
            <w:pPr>
              <w:jc w:val="right"/>
              <w:ind w:right="939"/>
              <w:spacing w:after="0"/>
              <w:rPr>
                <w:sz w:val="20"/>
                <w:szCs w:val="20"/>
                <w:color w:val="auto"/>
              </w:rPr>
            </w:pPr>
            <w:r>
              <w:rPr>
                <w:rFonts w:ascii="Arial" w:cs="Arial" w:eastAsia="Arial" w:hAnsi="Arial"/>
                <w:sz w:val="18"/>
                <w:szCs w:val="18"/>
                <w:color w:val="auto"/>
              </w:rPr>
              <w:t>100%</w:t>
            </w:r>
          </w:p>
        </w:tc>
        <w:tc>
          <w:tcPr>
            <w:tcW w:w="2180" w:type="dxa"/>
            <w:vAlign w:val="bottom"/>
            <w:shd w:val="clear" w:color="auto" w:fill="E5E5E5"/>
          </w:tcPr>
          <w:p>
            <w:pPr>
              <w:jc w:val="right"/>
              <w:ind w:right="41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3"/>
                <w:szCs w:val="23"/>
                <w:color w:val="auto"/>
              </w:rPr>
            </w:pPr>
          </w:p>
        </w:tc>
      </w:tr>
      <w:tr>
        <w:trPr>
          <w:trHeight w:val="263"/>
        </w:trPr>
        <w:tc>
          <w:tcPr>
            <w:tcW w:w="5580" w:type="dxa"/>
            <w:vAlign w:val="bottom"/>
          </w:tcPr>
          <w:p>
            <w:pPr>
              <w:ind w:left="60"/>
              <w:spacing w:after="0"/>
              <w:rPr>
                <w:sz w:val="20"/>
                <w:szCs w:val="20"/>
                <w:color w:val="auto"/>
              </w:rPr>
            </w:pPr>
            <w:r>
              <w:rPr>
                <w:rFonts w:ascii="Arial" w:cs="Arial" w:eastAsia="Arial" w:hAnsi="Arial"/>
                <w:sz w:val="18"/>
                <w:szCs w:val="18"/>
                <w:color w:val="auto"/>
              </w:rPr>
              <w:t>Dr. Given</w:t>
            </w:r>
          </w:p>
        </w:tc>
        <w:tc>
          <w:tcPr>
            <w:tcW w:w="3240" w:type="dxa"/>
            <w:vAlign w:val="bottom"/>
          </w:tcPr>
          <w:p>
            <w:pPr>
              <w:jc w:val="right"/>
              <w:ind w:right="939"/>
              <w:spacing w:after="0"/>
              <w:rPr>
                <w:sz w:val="20"/>
                <w:szCs w:val="20"/>
                <w:color w:val="auto"/>
              </w:rPr>
            </w:pPr>
            <w:r>
              <w:rPr>
                <w:rFonts w:ascii="Arial" w:cs="Arial" w:eastAsia="Arial" w:hAnsi="Arial"/>
                <w:sz w:val="18"/>
                <w:szCs w:val="18"/>
                <w:color w:val="auto"/>
              </w:rPr>
              <w:t>70%</w:t>
            </w:r>
          </w:p>
        </w:tc>
        <w:tc>
          <w:tcPr>
            <w:tcW w:w="2180" w:type="dxa"/>
            <w:vAlign w:val="bottom"/>
          </w:tcPr>
          <w:p>
            <w:pPr>
              <w:jc w:val="right"/>
              <w:ind w:right="419"/>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2"/>
                <w:szCs w:val="22"/>
                <w:color w:val="auto"/>
              </w:rPr>
            </w:pPr>
          </w:p>
        </w:tc>
      </w:tr>
      <w:tr>
        <w:trPr>
          <w:trHeight w:val="277"/>
        </w:trPr>
        <w:tc>
          <w:tcPr>
            <w:tcW w:w="5580" w:type="dxa"/>
            <w:vAlign w:val="bottom"/>
            <w:shd w:val="clear" w:color="auto" w:fill="E5E5E5"/>
          </w:tcPr>
          <w:p>
            <w:pPr>
              <w:ind w:left="60"/>
              <w:spacing w:after="0"/>
              <w:rPr>
                <w:sz w:val="20"/>
                <w:szCs w:val="20"/>
                <w:color w:val="auto"/>
              </w:rPr>
            </w:pPr>
            <w:r>
              <w:rPr>
                <w:rFonts w:ascii="Arial" w:cs="Arial" w:eastAsia="Arial" w:hAnsi="Arial"/>
                <w:sz w:val="18"/>
                <w:szCs w:val="18"/>
                <w:color w:val="auto"/>
              </w:rPr>
              <w:t>Mr. Myszkowski</w:t>
            </w:r>
          </w:p>
        </w:tc>
        <w:tc>
          <w:tcPr>
            <w:tcW w:w="3240" w:type="dxa"/>
            <w:vAlign w:val="bottom"/>
            <w:shd w:val="clear" w:color="auto" w:fill="E5E5E5"/>
          </w:tcPr>
          <w:p>
            <w:pPr>
              <w:jc w:val="right"/>
              <w:ind w:right="939"/>
              <w:spacing w:after="0"/>
              <w:rPr>
                <w:sz w:val="20"/>
                <w:szCs w:val="20"/>
                <w:color w:val="auto"/>
              </w:rPr>
            </w:pPr>
            <w:r>
              <w:rPr>
                <w:rFonts w:ascii="Arial" w:cs="Arial" w:eastAsia="Arial" w:hAnsi="Arial"/>
                <w:sz w:val="18"/>
                <w:szCs w:val="18"/>
                <w:color w:val="auto"/>
              </w:rPr>
              <w:t>45%</w:t>
            </w:r>
          </w:p>
        </w:tc>
        <w:tc>
          <w:tcPr>
            <w:tcW w:w="2180" w:type="dxa"/>
            <w:vAlign w:val="bottom"/>
            <w:shd w:val="clear" w:color="auto" w:fill="E5E5E5"/>
          </w:tcPr>
          <w:p>
            <w:pPr>
              <w:jc w:val="right"/>
              <w:ind w:right="419"/>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r>
      <w:tr>
        <w:trPr>
          <w:trHeight w:val="263"/>
        </w:trPr>
        <w:tc>
          <w:tcPr>
            <w:tcW w:w="5580" w:type="dxa"/>
            <w:vAlign w:val="bottom"/>
          </w:tcPr>
          <w:p>
            <w:pPr>
              <w:ind w:left="60"/>
              <w:spacing w:after="0"/>
              <w:rPr>
                <w:sz w:val="20"/>
                <w:szCs w:val="20"/>
                <w:color w:val="auto"/>
              </w:rPr>
            </w:pPr>
            <w:r>
              <w:rPr>
                <w:rFonts w:ascii="Arial" w:cs="Arial" w:eastAsia="Arial" w:hAnsi="Arial"/>
                <w:sz w:val="18"/>
                <w:szCs w:val="18"/>
                <w:color w:val="auto"/>
              </w:rPr>
              <w:t>Mr. O’Brien</w:t>
            </w:r>
          </w:p>
        </w:tc>
        <w:tc>
          <w:tcPr>
            <w:tcW w:w="3240" w:type="dxa"/>
            <w:vAlign w:val="bottom"/>
          </w:tcPr>
          <w:p>
            <w:pPr>
              <w:jc w:val="right"/>
              <w:ind w:right="939"/>
              <w:spacing w:after="0"/>
              <w:rPr>
                <w:sz w:val="20"/>
                <w:szCs w:val="20"/>
                <w:color w:val="auto"/>
              </w:rPr>
            </w:pPr>
            <w:r>
              <w:rPr>
                <w:rFonts w:ascii="Arial" w:cs="Arial" w:eastAsia="Arial" w:hAnsi="Arial"/>
                <w:sz w:val="18"/>
                <w:szCs w:val="18"/>
                <w:color w:val="auto"/>
              </w:rPr>
              <w:t>45%</w:t>
            </w:r>
          </w:p>
        </w:tc>
        <w:tc>
          <w:tcPr>
            <w:tcW w:w="2180" w:type="dxa"/>
            <w:vAlign w:val="bottom"/>
          </w:tcPr>
          <w:p>
            <w:pPr>
              <w:jc w:val="right"/>
              <w:ind w:right="419"/>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2"/>
                <w:szCs w:val="22"/>
                <w:color w:val="auto"/>
              </w:rPr>
            </w:pPr>
          </w:p>
        </w:tc>
      </w:tr>
      <w:tr>
        <w:trPr>
          <w:trHeight w:val="270"/>
        </w:trPr>
        <w:tc>
          <w:tcPr>
            <w:tcW w:w="5580" w:type="dxa"/>
            <w:vAlign w:val="bottom"/>
            <w:tcBorders>
              <w:bottom w:val="single" w:sz="8" w:color="0071CE"/>
            </w:tcBorders>
            <w:shd w:val="clear" w:color="auto" w:fill="E5E5E5"/>
          </w:tcPr>
          <w:p>
            <w:pPr>
              <w:ind w:left="60"/>
              <w:spacing w:after="0"/>
              <w:rPr>
                <w:sz w:val="20"/>
                <w:szCs w:val="20"/>
                <w:color w:val="auto"/>
              </w:rPr>
            </w:pPr>
            <w:r>
              <w:rPr>
                <w:rFonts w:ascii="Arial" w:cs="Arial" w:eastAsia="Arial" w:hAnsi="Arial"/>
                <w:sz w:val="18"/>
                <w:szCs w:val="18"/>
                <w:color w:val="auto"/>
              </w:rPr>
              <w:t>Dr. Li (1)</w:t>
            </w:r>
          </w:p>
        </w:tc>
        <w:tc>
          <w:tcPr>
            <w:tcW w:w="3240" w:type="dxa"/>
            <w:vAlign w:val="bottom"/>
            <w:tcBorders>
              <w:bottom w:val="single" w:sz="8" w:color="0071CE"/>
            </w:tcBorders>
            <w:shd w:val="clear" w:color="auto" w:fill="E5E5E5"/>
          </w:tcPr>
          <w:p>
            <w:pPr>
              <w:jc w:val="right"/>
              <w:ind w:right="939"/>
              <w:spacing w:after="0"/>
              <w:rPr>
                <w:sz w:val="20"/>
                <w:szCs w:val="20"/>
                <w:color w:val="auto"/>
              </w:rPr>
            </w:pPr>
            <w:r>
              <w:rPr>
                <w:rFonts w:ascii="Arial" w:cs="Arial" w:eastAsia="Arial" w:hAnsi="Arial"/>
                <w:sz w:val="18"/>
                <w:szCs w:val="18"/>
                <w:color w:val="auto"/>
              </w:rPr>
              <w:t>40%</w:t>
            </w:r>
          </w:p>
        </w:tc>
        <w:tc>
          <w:tcPr>
            <w:tcW w:w="2180" w:type="dxa"/>
            <w:vAlign w:val="bottom"/>
            <w:tcBorders>
              <w:bottom w:val="single" w:sz="8" w:color="0071CE"/>
            </w:tcBorders>
            <w:shd w:val="clear" w:color="auto" w:fill="E5E5E5"/>
          </w:tcPr>
          <w:p>
            <w:pPr>
              <w:jc w:val="right"/>
              <w:ind w:right="419"/>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3"/>
                <w:szCs w:val="23"/>
                <w:color w:val="auto"/>
              </w:rPr>
            </w:pPr>
          </w:p>
        </w:tc>
      </w:tr>
    </w:tbl>
    <w:p>
      <w:pPr>
        <w:spacing w:after="0" w:line="86" w:lineRule="exact"/>
        <w:rPr>
          <w:sz w:val="20"/>
          <w:szCs w:val="20"/>
          <w:color w:val="auto"/>
        </w:rPr>
      </w:pPr>
    </w:p>
    <w:p>
      <w:pPr>
        <w:ind w:left="640" w:hanging="430"/>
        <w:spacing w:after="0"/>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Dr. Li’s employment with the Company terminated in February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91440</wp:posOffset>
            </wp:positionV>
            <wp:extent cx="984885"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56"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25</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Performance Objectives</w:t>
      </w:r>
    </w:p>
    <w:p>
      <w:pPr>
        <w:spacing w:after="0" w:line="106" w:lineRule="exact"/>
        <w:rPr>
          <w:sz w:val="20"/>
          <w:szCs w:val="20"/>
          <w:color w:val="auto"/>
        </w:rPr>
      </w:pPr>
    </w:p>
    <w:p>
      <w:pPr>
        <w:ind w:left="220" w:right="120"/>
        <w:spacing w:after="0" w:line="249" w:lineRule="auto"/>
        <w:rPr>
          <w:sz w:val="20"/>
          <w:szCs w:val="20"/>
          <w:color w:val="auto"/>
        </w:rPr>
      </w:pPr>
      <w:r>
        <w:rPr>
          <w:rFonts w:ascii="Arial" w:cs="Arial" w:eastAsia="Arial" w:hAnsi="Arial"/>
          <w:sz w:val="16"/>
          <w:szCs w:val="16"/>
          <w:color w:val="auto"/>
        </w:rPr>
        <w:t>In determining the amount of the annual incentive award for each of our executive officers, including each of our Named Executive Officers, the Compensation Committee evaluated the corporate performance objectives that had been established at the beginning of the calendar year (as set forth below) as well as other corporate and individual achievements and performance throughout the year. These performance objectives addressed milestones for our lead products, research and development milestones for our drug pipeline and business development objectives. In December 2019, the Compensation Committee determined that we had largely achieved or exceeded our primary business objectives set for calendar 2019, as described below.</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36"/>
        </w:trPr>
        <w:tc>
          <w:tcPr>
            <w:tcW w:w="142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Goal</w:t>
            </w:r>
          </w:p>
        </w:tc>
        <w:tc>
          <w:tcPr>
            <w:tcW w:w="620" w:type="dxa"/>
            <w:vAlign w:val="bottom"/>
            <w:tcBorders>
              <w:bottom w:val="single" w:sz="8" w:color="0071CE"/>
            </w:tcBorders>
            <w:shd w:val="clear" w:color="auto" w:fill="0071CE"/>
          </w:tcPr>
          <w:p>
            <w:pPr>
              <w:spacing w:after="0"/>
              <w:rPr>
                <w:sz w:val="20"/>
                <w:szCs w:val="20"/>
                <w:color w:val="auto"/>
              </w:rPr>
            </w:pPr>
          </w:p>
        </w:tc>
        <w:tc>
          <w:tcPr>
            <w:tcW w:w="240" w:type="dxa"/>
            <w:vAlign w:val="bottom"/>
            <w:tcBorders>
              <w:bottom w:val="single" w:sz="8" w:color="0071CE"/>
            </w:tcBorders>
            <w:shd w:val="clear" w:color="auto" w:fill="0071CE"/>
          </w:tcPr>
          <w:p>
            <w:pPr>
              <w:spacing w:after="0"/>
              <w:rPr>
                <w:sz w:val="20"/>
                <w:szCs w:val="20"/>
                <w:color w:val="auto"/>
              </w:rPr>
            </w:pPr>
          </w:p>
        </w:tc>
        <w:tc>
          <w:tcPr>
            <w:tcW w:w="3380" w:type="dxa"/>
            <w:vAlign w:val="bottom"/>
            <w:tcBorders>
              <w:bottom w:val="single" w:sz="8" w:color="0071CE"/>
            </w:tcBorders>
            <w:shd w:val="clear" w:color="auto" w:fill="0071CE"/>
          </w:tcPr>
          <w:p>
            <w:pPr>
              <w:spacing w:after="0"/>
              <w:rPr>
                <w:sz w:val="20"/>
                <w:szCs w:val="20"/>
                <w:color w:val="auto"/>
              </w:rPr>
            </w:pPr>
          </w:p>
        </w:tc>
        <w:tc>
          <w:tcPr>
            <w:tcW w:w="5340" w:type="dxa"/>
            <w:vAlign w:val="bottom"/>
            <w:tcBorders>
              <w:bottom w:val="single" w:sz="8" w:color="0071CE"/>
            </w:tcBorders>
            <w:shd w:val="clear" w:color="auto" w:fill="0071CE"/>
          </w:tcPr>
          <w:p>
            <w:pPr>
              <w:ind w:left="2260"/>
              <w:spacing w:after="0"/>
              <w:rPr>
                <w:sz w:val="20"/>
                <w:szCs w:val="20"/>
                <w:color w:val="auto"/>
              </w:rPr>
            </w:pPr>
            <w:r>
              <w:rPr>
                <w:rFonts w:ascii="Arial" w:cs="Arial" w:eastAsia="Arial" w:hAnsi="Arial"/>
                <w:sz w:val="14"/>
                <w:szCs w:val="14"/>
                <w:b w:val="1"/>
                <w:bCs w:val="1"/>
                <w:color w:val="FFFFFF"/>
              </w:rPr>
              <w:t>Achievement</w:t>
            </w:r>
          </w:p>
        </w:tc>
        <w:tc>
          <w:tcPr>
            <w:tcW w:w="20" w:type="dxa"/>
            <w:vAlign w:val="bottom"/>
            <w:tcBorders>
              <w:bottom w:val="single" w:sz="8" w:color="0071CE"/>
            </w:tcBorders>
            <w:shd w:val="clear" w:color="auto" w:fill="0071CE"/>
          </w:tcPr>
          <w:p>
            <w:pPr>
              <w:spacing w:after="0"/>
              <w:rPr>
                <w:sz w:val="20"/>
                <w:szCs w:val="20"/>
                <w:color w:val="auto"/>
              </w:rPr>
            </w:pPr>
          </w:p>
        </w:tc>
      </w:tr>
      <w:tr>
        <w:trPr>
          <w:trHeight w:val="237"/>
        </w:trPr>
        <w:tc>
          <w:tcPr>
            <w:tcW w:w="204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Corporate Development</w:t>
            </w:r>
          </w:p>
        </w:tc>
        <w:tc>
          <w:tcPr>
            <w:tcW w:w="240" w:type="dxa"/>
            <w:vAlign w:val="bottom"/>
            <w:shd w:val="clear" w:color="auto" w:fill="E5E5E5"/>
          </w:tcPr>
          <w:p>
            <w:pPr>
              <w:spacing w:after="0"/>
              <w:rPr>
                <w:sz w:val="20"/>
                <w:szCs w:val="20"/>
                <w:color w:val="auto"/>
              </w:rPr>
            </w:pPr>
          </w:p>
        </w:tc>
        <w:tc>
          <w:tcPr>
            <w:tcW w:w="3380" w:type="dxa"/>
            <w:vAlign w:val="bottom"/>
            <w:shd w:val="clear" w:color="auto" w:fill="E5E5E5"/>
          </w:tcPr>
          <w:p>
            <w:pPr>
              <w:ind w:left="20"/>
              <w:spacing w:after="0"/>
              <w:rPr>
                <w:sz w:val="20"/>
                <w:szCs w:val="20"/>
                <w:color w:val="auto"/>
              </w:rPr>
            </w:pPr>
            <w:r>
              <w:rPr>
                <w:rFonts w:ascii="Arial" w:cs="Arial" w:eastAsia="Arial" w:hAnsi="Arial"/>
                <w:sz w:val="16"/>
                <w:szCs w:val="16"/>
                <w:color w:val="auto"/>
              </w:rPr>
              <w:t>Weight: 22%</w:t>
            </w:r>
          </w:p>
        </w:tc>
        <w:tc>
          <w:tcPr>
            <w:tcW w:w="53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Met and Exceeded</w:t>
            </w:r>
          </w:p>
        </w:tc>
        <w:tc>
          <w:tcPr>
            <w:tcW w:w="20" w:type="dxa"/>
            <w:vAlign w:val="bottom"/>
          </w:tcPr>
          <w:p>
            <w:pPr>
              <w:spacing w:after="0"/>
              <w:rPr>
                <w:sz w:val="20"/>
                <w:szCs w:val="20"/>
                <w:color w:val="auto"/>
              </w:rPr>
            </w:pPr>
          </w:p>
        </w:tc>
      </w:tr>
      <w:tr>
        <w:trPr>
          <w:trHeight w:val="410"/>
        </w:trPr>
        <w:tc>
          <w:tcPr>
            <w:tcW w:w="5660" w:type="dxa"/>
            <w:vAlign w:val="bottom"/>
            <w:gridSpan w:val="4"/>
            <w:shd w:val="clear" w:color="auto" w:fill="E5E5E5"/>
          </w:tcPr>
          <w:p>
            <w:pPr>
              <w:ind w:left="60"/>
              <w:spacing w:after="0"/>
              <w:rPr>
                <w:sz w:val="20"/>
                <w:szCs w:val="20"/>
                <w:color w:val="auto"/>
              </w:rPr>
            </w:pPr>
            <w:r>
              <w:rPr>
                <w:rFonts w:ascii="Arial" w:cs="Arial" w:eastAsia="Arial" w:hAnsi="Arial"/>
                <w:sz w:val="16"/>
                <w:szCs w:val="16"/>
                <w:i w:val="1"/>
                <w:iCs w:val="1"/>
                <w:color w:val="auto"/>
              </w:rPr>
              <w:t>Meet certain goals related to capital formation, market capitalization; board</w:t>
            </w:r>
          </w:p>
        </w:tc>
        <w:tc>
          <w:tcPr>
            <w:tcW w:w="53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Ended year with a market capitalization of $6.3 billion.</w:t>
            </w:r>
          </w:p>
        </w:tc>
        <w:tc>
          <w:tcPr>
            <w:tcW w:w="20" w:type="dxa"/>
            <w:vAlign w:val="bottom"/>
          </w:tcPr>
          <w:p>
            <w:pPr>
              <w:spacing w:after="0"/>
              <w:rPr>
                <w:sz w:val="24"/>
                <w:szCs w:val="24"/>
                <w:color w:val="auto"/>
              </w:rPr>
            </w:pPr>
          </w:p>
        </w:tc>
      </w:tr>
      <w:tr>
        <w:trPr>
          <w:trHeight w:val="210"/>
        </w:trPr>
        <w:tc>
          <w:tcPr>
            <w:tcW w:w="2280" w:type="dxa"/>
            <w:vAlign w:val="bottom"/>
            <w:gridSpan w:val="3"/>
            <w:shd w:val="clear" w:color="auto" w:fill="E5E5E5"/>
          </w:tcPr>
          <w:p>
            <w:pPr>
              <w:ind w:left="60"/>
              <w:spacing w:after="0"/>
              <w:rPr>
                <w:sz w:val="20"/>
                <w:szCs w:val="20"/>
                <w:color w:val="auto"/>
              </w:rPr>
            </w:pPr>
            <w:r>
              <w:rPr>
                <w:rFonts w:ascii="Arial" w:cs="Arial" w:eastAsia="Arial" w:hAnsi="Arial"/>
                <w:sz w:val="16"/>
                <w:szCs w:val="16"/>
                <w:i w:val="1"/>
                <w:iCs w:val="1"/>
                <w:color w:val="auto"/>
              </w:rPr>
              <w:t>interface with scientific leaders</w:t>
            </w:r>
          </w:p>
        </w:tc>
        <w:tc>
          <w:tcPr>
            <w:tcW w:w="3380" w:type="dxa"/>
            <w:vAlign w:val="bottom"/>
            <w:shd w:val="clear" w:color="auto" w:fill="E5E5E5"/>
          </w:tcPr>
          <w:p>
            <w:pPr>
              <w:spacing w:after="0"/>
              <w:rPr>
                <w:sz w:val="18"/>
                <w:szCs w:val="18"/>
                <w:color w:val="auto"/>
              </w:rPr>
            </w:pPr>
          </w:p>
        </w:tc>
        <w:tc>
          <w:tcPr>
            <w:tcW w:w="53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420" w:type="dxa"/>
            <w:vAlign w:val="bottom"/>
            <w:shd w:val="clear" w:color="auto" w:fill="E5E5E5"/>
          </w:tcPr>
          <w:p>
            <w:pPr>
              <w:spacing w:after="0"/>
              <w:rPr>
                <w:sz w:val="21"/>
                <w:szCs w:val="21"/>
                <w:color w:val="auto"/>
              </w:rPr>
            </w:pPr>
          </w:p>
        </w:tc>
        <w:tc>
          <w:tcPr>
            <w:tcW w:w="62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3380" w:type="dxa"/>
            <w:vAlign w:val="bottom"/>
            <w:shd w:val="clear" w:color="auto" w:fill="E5E5E5"/>
          </w:tcPr>
          <w:p>
            <w:pPr>
              <w:spacing w:after="0"/>
              <w:rPr>
                <w:sz w:val="21"/>
                <w:szCs w:val="21"/>
                <w:color w:val="auto"/>
              </w:rPr>
            </w:pPr>
          </w:p>
        </w:tc>
        <w:tc>
          <w:tcPr>
            <w:tcW w:w="53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Ended year with $533M cash.</w:t>
            </w:r>
          </w:p>
        </w:tc>
        <w:tc>
          <w:tcPr>
            <w:tcW w:w="20" w:type="dxa"/>
            <w:vAlign w:val="bottom"/>
          </w:tcPr>
          <w:p>
            <w:pPr>
              <w:spacing w:after="0"/>
              <w:rPr>
                <w:sz w:val="21"/>
                <w:szCs w:val="21"/>
                <w:color w:val="auto"/>
              </w:rPr>
            </w:pPr>
          </w:p>
        </w:tc>
      </w:tr>
      <w:tr>
        <w:trPr>
          <w:trHeight w:val="426"/>
        </w:trPr>
        <w:tc>
          <w:tcPr>
            <w:tcW w:w="1420" w:type="dxa"/>
            <w:vAlign w:val="bottom"/>
            <w:shd w:val="clear" w:color="auto" w:fill="E5E5E5"/>
          </w:tcPr>
          <w:p>
            <w:pPr>
              <w:spacing w:after="0"/>
              <w:rPr>
                <w:sz w:val="24"/>
                <w:szCs w:val="24"/>
                <w:color w:val="auto"/>
              </w:rPr>
            </w:pPr>
          </w:p>
        </w:tc>
        <w:tc>
          <w:tcPr>
            <w:tcW w:w="620" w:type="dxa"/>
            <w:vAlign w:val="bottom"/>
            <w:shd w:val="clear" w:color="auto" w:fill="E5E5E5"/>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3380" w:type="dxa"/>
            <w:vAlign w:val="bottom"/>
            <w:shd w:val="clear" w:color="auto" w:fill="E5E5E5"/>
          </w:tcPr>
          <w:p>
            <w:pPr>
              <w:spacing w:after="0"/>
              <w:rPr>
                <w:sz w:val="24"/>
                <w:szCs w:val="24"/>
                <w:color w:val="auto"/>
              </w:rPr>
            </w:pPr>
          </w:p>
        </w:tc>
        <w:tc>
          <w:tcPr>
            <w:tcW w:w="53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Developed strategic indication and regulatory plans for ARO-APOC3</w:t>
            </w:r>
          </w:p>
        </w:tc>
        <w:tc>
          <w:tcPr>
            <w:tcW w:w="20" w:type="dxa"/>
            <w:vAlign w:val="bottom"/>
          </w:tcPr>
          <w:p>
            <w:pPr>
              <w:spacing w:after="0"/>
              <w:rPr>
                <w:sz w:val="24"/>
                <w:szCs w:val="24"/>
                <w:color w:val="auto"/>
              </w:rPr>
            </w:pPr>
          </w:p>
        </w:tc>
      </w:tr>
      <w:tr>
        <w:trPr>
          <w:trHeight w:val="194"/>
        </w:trPr>
        <w:tc>
          <w:tcPr>
            <w:tcW w:w="142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3380" w:type="dxa"/>
            <w:vAlign w:val="bottom"/>
            <w:shd w:val="clear" w:color="auto" w:fill="E5E5E5"/>
          </w:tcPr>
          <w:p>
            <w:pPr>
              <w:spacing w:after="0"/>
              <w:rPr>
                <w:sz w:val="16"/>
                <w:szCs w:val="16"/>
                <w:color w:val="auto"/>
              </w:rPr>
            </w:pPr>
          </w:p>
        </w:tc>
        <w:tc>
          <w:tcPr>
            <w:tcW w:w="53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and ARO-ANG3</w:t>
            </w:r>
          </w:p>
        </w:tc>
        <w:tc>
          <w:tcPr>
            <w:tcW w:w="20" w:type="dxa"/>
            <w:vAlign w:val="bottom"/>
          </w:tcPr>
          <w:p>
            <w:pPr>
              <w:spacing w:after="0"/>
              <w:rPr>
                <w:sz w:val="16"/>
                <w:szCs w:val="16"/>
                <w:color w:val="auto"/>
              </w:rPr>
            </w:pPr>
          </w:p>
        </w:tc>
      </w:tr>
      <w:tr>
        <w:trPr>
          <w:trHeight w:val="426"/>
        </w:trPr>
        <w:tc>
          <w:tcPr>
            <w:tcW w:w="1420" w:type="dxa"/>
            <w:vAlign w:val="bottom"/>
            <w:shd w:val="clear" w:color="auto" w:fill="E5E5E5"/>
          </w:tcPr>
          <w:p>
            <w:pPr>
              <w:spacing w:after="0"/>
              <w:rPr>
                <w:sz w:val="24"/>
                <w:szCs w:val="24"/>
                <w:color w:val="auto"/>
              </w:rPr>
            </w:pPr>
          </w:p>
        </w:tc>
        <w:tc>
          <w:tcPr>
            <w:tcW w:w="620" w:type="dxa"/>
            <w:vAlign w:val="bottom"/>
            <w:shd w:val="clear" w:color="auto" w:fill="E5E5E5"/>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3380" w:type="dxa"/>
            <w:vAlign w:val="bottom"/>
            <w:shd w:val="clear" w:color="auto" w:fill="E5E5E5"/>
          </w:tcPr>
          <w:p>
            <w:pPr>
              <w:spacing w:after="0"/>
              <w:rPr>
                <w:sz w:val="24"/>
                <w:szCs w:val="24"/>
                <w:color w:val="auto"/>
              </w:rPr>
            </w:pPr>
          </w:p>
        </w:tc>
        <w:tc>
          <w:tcPr>
            <w:tcW w:w="53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Completed a financing in December 2019 that generated gross</w:t>
            </w:r>
          </w:p>
        </w:tc>
        <w:tc>
          <w:tcPr>
            <w:tcW w:w="20" w:type="dxa"/>
            <w:vAlign w:val="bottom"/>
          </w:tcPr>
          <w:p>
            <w:pPr>
              <w:spacing w:after="0"/>
              <w:rPr>
                <w:sz w:val="24"/>
                <w:szCs w:val="24"/>
                <w:color w:val="auto"/>
              </w:rPr>
            </w:pPr>
          </w:p>
        </w:tc>
      </w:tr>
      <w:tr>
        <w:trPr>
          <w:trHeight w:val="194"/>
        </w:trPr>
        <w:tc>
          <w:tcPr>
            <w:tcW w:w="142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3380" w:type="dxa"/>
            <w:vAlign w:val="bottom"/>
            <w:shd w:val="clear" w:color="auto" w:fill="E5E5E5"/>
          </w:tcPr>
          <w:p>
            <w:pPr>
              <w:spacing w:after="0"/>
              <w:rPr>
                <w:sz w:val="16"/>
                <w:szCs w:val="16"/>
                <w:color w:val="auto"/>
              </w:rPr>
            </w:pPr>
          </w:p>
        </w:tc>
        <w:tc>
          <w:tcPr>
            <w:tcW w:w="53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proceeds of $266.8 million</w:t>
            </w:r>
          </w:p>
        </w:tc>
        <w:tc>
          <w:tcPr>
            <w:tcW w:w="20" w:type="dxa"/>
            <w:vAlign w:val="bottom"/>
          </w:tcPr>
          <w:p>
            <w:pPr>
              <w:spacing w:after="0"/>
              <w:rPr>
                <w:sz w:val="16"/>
                <w:szCs w:val="16"/>
                <w:color w:val="auto"/>
              </w:rPr>
            </w:pPr>
          </w:p>
        </w:tc>
      </w:tr>
      <w:tr>
        <w:trPr>
          <w:trHeight w:val="87"/>
        </w:trPr>
        <w:tc>
          <w:tcPr>
            <w:tcW w:w="2280" w:type="dxa"/>
            <w:vAlign w:val="bottom"/>
            <w:gridSpan w:val="3"/>
            <w:shd w:val="clear" w:color="auto" w:fill="E5E5E5"/>
          </w:tcPr>
          <w:p>
            <w:pPr>
              <w:spacing w:after="0"/>
              <w:rPr>
                <w:sz w:val="7"/>
                <w:szCs w:val="7"/>
                <w:color w:val="auto"/>
              </w:rPr>
            </w:pPr>
          </w:p>
        </w:tc>
        <w:tc>
          <w:tcPr>
            <w:tcW w:w="3380" w:type="dxa"/>
            <w:vAlign w:val="bottom"/>
            <w:shd w:val="clear" w:color="auto" w:fill="E5E5E5"/>
          </w:tcPr>
          <w:p>
            <w:pPr>
              <w:spacing w:after="0"/>
              <w:rPr>
                <w:sz w:val="7"/>
                <w:szCs w:val="7"/>
                <w:color w:val="auto"/>
              </w:rPr>
            </w:pPr>
          </w:p>
        </w:tc>
        <w:tc>
          <w:tcPr>
            <w:tcW w:w="5340" w:type="dxa"/>
            <w:vAlign w:val="bottom"/>
            <w:shd w:val="clear" w:color="auto" w:fill="E5E5E5"/>
          </w:tcPr>
          <w:p>
            <w:pPr>
              <w:spacing w:after="0"/>
              <w:rPr>
                <w:sz w:val="7"/>
                <w:szCs w:val="7"/>
                <w:color w:val="auto"/>
              </w:rPr>
            </w:pPr>
          </w:p>
        </w:tc>
        <w:tc>
          <w:tcPr>
            <w:tcW w:w="20" w:type="dxa"/>
            <w:vAlign w:val="bottom"/>
          </w:tcPr>
          <w:p>
            <w:pPr>
              <w:spacing w:after="0"/>
              <w:rPr>
                <w:sz w:val="7"/>
                <w:szCs w:val="7"/>
                <w:color w:val="auto"/>
              </w:rPr>
            </w:pPr>
          </w:p>
        </w:tc>
      </w:tr>
      <w:tr>
        <w:trPr>
          <w:trHeight w:val="237"/>
        </w:trPr>
        <w:tc>
          <w:tcPr>
            <w:tcW w:w="2280" w:type="dxa"/>
            <w:vAlign w:val="bottom"/>
            <w:gridSpan w:val="3"/>
          </w:tcPr>
          <w:p>
            <w:pPr>
              <w:ind w:left="60"/>
              <w:spacing w:after="0"/>
              <w:rPr>
                <w:sz w:val="20"/>
                <w:szCs w:val="20"/>
                <w:color w:val="auto"/>
              </w:rPr>
            </w:pPr>
            <w:r>
              <w:rPr>
                <w:rFonts w:ascii="Arial" w:cs="Arial" w:eastAsia="Arial" w:hAnsi="Arial"/>
                <w:sz w:val="16"/>
                <w:szCs w:val="16"/>
                <w:b w:val="1"/>
                <w:bCs w:val="1"/>
                <w:color w:val="auto"/>
              </w:rPr>
              <w:t>New Business Development</w:t>
            </w:r>
          </w:p>
        </w:tc>
        <w:tc>
          <w:tcPr>
            <w:tcW w:w="3380" w:type="dxa"/>
            <w:vAlign w:val="bottom"/>
          </w:tcPr>
          <w:p>
            <w:pPr>
              <w:ind w:left="340"/>
              <w:spacing w:after="0"/>
              <w:rPr>
                <w:sz w:val="20"/>
                <w:szCs w:val="20"/>
                <w:color w:val="auto"/>
              </w:rPr>
            </w:pPr>
            <w:r>
              <w:rPr>
                <w:rFonts w:ascii="Arial" w:cs="Arial" w:eastAsia="Arial" w:hAnsi="Arial"/>
                <w:sz w:val="16"/>
                <w:szCs w:val="16"/>
                <w:color w:val="auto"/>
              </w:rPr>
              <w:t>Weight: 15%</w:t>
            </w:r>
          </w:p>
        </w:tc>
        <w:tc>
          <w:tcPr>
            <w:tcW w:w="5340" w:type="dxa"/>
            <w:vAlign w:val="bottom"/>
          </w:tcPr>
          <w:p>
            <w:pPr>
              <w:ind w:left="100"/>
              <w:spacing w:after="0"/>
              <w:rPr>
                <w:sz w:val="20"/>
                <w:szCs w:val="20"/>
                <w:color w:val="auto"/>
              </w:rPr>
            </w:pPr>
            <w:r>
              <w:rPr>
                <w:rFonts w:ascii="Arial" w:cs="Arial" w:eastAsia="Arial" w:hAnsi="Arial"/>
                <w:sz w:val="16"/>
                <w:szCs w:val="16"/>
                <w:color w:val="auto"/>
              </w:rPr>
              <w:t>Met</w:t>
            </w:r>
          </w:p>
        </w:tc>
        <w:tc>
          <w:tcPr>
            <w:tcW w:w="20" w:type="dxa"/>
            <w:vAlign w:val="bottom"/>
          </w:tcPr>
          <w:p>
            <w:pPr>
              <w:spacing w:after="0"/>
              <w:rPr>
                <w:sz w:val="20"/>
                <w:szCs w:val="20"/>
                <w:color w:val="auto"/>
              </w:rPr>
            </w:pPr>
          </w:p>
        </w:tc>
      </w:tr>
      <w:tr>
        <w:trPr>
          <w:trHeight w:val="432"/>
        </w:trPr>
        <w:tc>
          <w:tcPr>
            <w:tcW w:w="5660" w:type="dxa"/>
            <w:vAlign w:val="bottom"/>
            <w:gridSpan w:val="4"/>
          </w:tcPr>
          <w:p>
            <w:pPr>
              <w:ind w:left="60"/>
              <w:spacing w:after="0"/>
              <w:rPr>
                <w:sz w:val="20"/>
                <w:szCs w:val="20"/>
                <w:color w:val="auto"/>
              </w:rPr>
            </w:pPr>
            <w:r>
              <w:rPr>
                <w:rFonts w:ascii="Arial" w:cs="Arial" w:eastAsia="Arial" w:hAnsi="Arial"/>
                <w:sz w:val="16"/>
                <w:szCs w:val="16"/>
                <w:i w:val="1"/>
                <w:iCs w:val="1"/>
                <w:color w:val="auto"/>
              </w:rPr>
              <w:t>Meet certain goals with regard to new pharma collaborations</w:t>
            </w:r>
          </w:p>
        </w:tc>
        <w:tc>
          <w:tcPr>
            <w:tcW w:w="5340" w:type="dxa"/>
            <w:vAlign w:val="bottom"/>
          </w:tcPr>
          <w:p>
            <w:pPr>
              <w:ind w:left="100"/>
              <w:spacing w:after="0"/>
              <w:rPr>
                <w:sz w:val="20"/>
                <w:szCs w:val="20"/>
                <w:color w:val="auto"/>
              </w:rPr>
            </w:pPr>
            <w:r>
              <w:rPr>
                <w:rFonts w:ascii="Arial" w:cs="Arial" w:eastAsia="Arial" w:hAnsi="Arial"/>
                <w:sz w:val="16"/>
                <w:szCs w:val="16"/>
                <w:color w:val="auto"/>
              </w:rPr>
              <w:t>Initiated JNJ-1 program under collaboration agreement with Janssen.</w:t>
            </w:r>
          </w:p>
        </w:tc>
        <w:tc>
          <w:tcPr>
            <w:tcW w:w="20" w:type="dxa"/>
            <w:vAlign w:val="bottom"/>
          </w:tcPr>
          <w:p>
            <w:pPr>
              <w:spacing w:after="0"/>
              <w:rPr>
                <w:sz w:val="24"/>
                <w:szCs w:val="24"/>
                <w:color w:val="auto"/>
              </w:rPr>
            </w:pPr>
          </w:p>
        </w:tc>
      </w:tr>
      <w:tr>
        <w:trPr>
          <w:trHeight w:val="426"/>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Triggered milestone payments under Janssen licensing agreement</w:t>
            </w:r>
          </w:p>
        </w:tc>
        <w:tc>
          <w:tcPr>
            <w:tcW w:w="20" w:type="dxa"/>
            <w:vAlign w:val="bottom"/>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relating to JNJ-3989 (ARO-HBV).</w:t>
            </w:r>
          </w:p>
        </w:tc>
        <w:tc>
          <w:tcPr>
            <w:tcW w:w="20" w:type="dxa"/>
            <w:vAlign w:val="bottom"/>
          </w:tcPr>
          <w:p>
            <w:pPr>
              <w:spacing w:after="0"/>
              <w:rPr>
                <w:sz w:val="16"/>
                <w:szCs w:val="16"/>
                <w:color w:val="auto"/>
              </w:rPr>
            </w:pPr>
          </w:p>
        </w:tc>
      </w:tr>
      <w:tr>
        <w:trPr>
          <w:trHeight w:val="87"/>
        </w:trPr>
        <w:tc>
          <w:tcPr>
            <w:tcW w:w="1420" w:type="dxa"/>
            <w:vAlign w:val="bottom"/>
          </w:tcPr>
          <w:p>
            <w:pPr>
              <w:spacing w:after="0"/>
              <w:rPr>
                <w:sz w:val="7"/>
                <w:szCs w:val="7"/>
                <w:color w:val="auto"/>
              </w:rPr>
            </w:pPr>
          </w:p>
        </w:tc>
        <w:tc>
          <w:tcPr>
            <w:tcW w:w="4240" w:type="dxa"/>
            <w:vAlign w:val="bottom"/>
            <w:gridSpan w:val="3"/>
          </w:tcPr>
          <w:p>
            <w:pPr>
              <w:spacing w:after="0"/>
              <w:rPr>
                <w:sz w:val="7"/>
                <w:szCs w:val="7"/>
                <w:color w:val="auto"/>
              </w:rPr>
            </w:pPr>
          </w:p>
        </w:tc>
        <w:tc>
          <w:tcPr>
            <w:tcW w:w="53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37"/>
        </w:trPr>
        <w:tc>
          <w:tcPr>
            <w:tcW w:w="142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Manufacturing</w:t>
            </w:r>
          </w:p>
        </w:tc>
        <w:tc>
          <w:tcPr>
            <w:tcW w:w="4240" w:type="dxa"/>
            <w:vAlign w:val="bottom"/>
            <w:gridSpan w:val="3"/>
            <w:shd w:val="clear" w:color="auto" w:fill="E5E5E5"/>
          </w:tcPr>
          <w:p>
            <w:pPr>
              <w:ind w:left="120"/>
              <w:spacing w:after="0"/>
              <w:rPr>
                <w:sz w:val="20"/>
                <w:szCs w:val="20"/>
                <w:color w:val="auto"/>
              </w:rPr>
            </w:pPr>
            <w:r>
              <w:rPr>
                <w:rFonts w:ascii="Arial" w:cs="Arial" w:eastAsia="Arial" w:hAnsi="Arial"/>
                <w:sz w:val="16"/>
                <w:szCs w:val="16"/>
                <w:color w:val="auto"/>
              </w:rPr>
              <w:t>Weight: 10%</w:t>
            </w:r>
          </w:p>
        </w:tc>
        <w:tc>
          <w:tcPr>
            <w:tcW w:w="53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Met</w:t>
            </w:r>
          </w:p>
        </w:tc>
        <w:tc>
          <w:tcPr>
            <w:tcW w:w="20" w:type="dxa"/>
            <w:vAlign w:val="bottom"/>
          </w:tcPr>
          <w:p>
            <w:pPr>
              <w:spacing w:after="0"/>
              <w:rPr>
                <w:sz w:val="20"/>
                <w:szCs w:val="20"/>
                <w:color w:val="auto"/>
              </w:rPr>
            </w:pPr>
          </w:p>
        </w:tc>
      </w:tr>
      <w:tr>
        <w:trPr>
          <w:trHeight w:val="432"/>
        </w:trPr>
        <w:tc>
          <w:tcPr>
            <w:tcW w:w="5660" w:type="dxa"/>
            <w:vAlign w:val="bottom"/>
            <w:gridSpan w:val="4"/>
            <w:shd w:val="clear" w:color="auto" w:fill="E5E5E5"/>
          </w:tcPr>
          <w:p>
            <w:pPr>
              <w:ind w:left="60"/>
              <w:spacing w:after="0"/>
              <w:rPr>
                <w:sz w:val="20"/>
                <w:szCs w:val="20"/>
                <w:color w:val="auto"/>
              </w:rPr>
            </w:pPr>
            <w:r>
              <w:rPr>
                <w:rFonts w:ascii="Arial" w:cs="Arial" w:eastAsia="Arial" w:hAnsi="Arial"/>
                <w:sz w:val="16"/>
                <w:szCs w:val="16"/>
                <w:i w:val="1"/>
                <w:iCs w:val="1"/>
                <w:color w:val="auto"/>
              </w:rPr>
              <w:t>Meet certain requirements pursuant to GMP manufacturing capabilities</w:t>
            </w:r>
          </w:p>
        </w:tc>
        <w:tc>
          <w:tcPr>
            <w:tcW w:w="53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GMP facility construction complete.</w:t>
            </w:r>
          </w:p>
        </w:tc>
        <w:tc>
          <w:tcPr>
            <w:tcW w:w="20" w:type="dxa"/>
            <w:vAlign w:val="bottom"/>
          </w:tcPr>
          <w:p>
            <w:pPr>
              <w:spacing w:after="0"/>
              <w:rPr>
                <w:sz w:val="24"/>
                <w:szCs w:val="24"/>
                <w:color w:val="auto"/>
              </w:rPr>
            </w:pPr>
          </w:p>
        </w:tc>
      </w:tr>
      <w:tr>
        <w:trPr>
          <w:trHeight w:val="249"/>
        </w:trPr>
        <w:tc>
          <w:tcPr>
            <w:tcW w:w="2040" w:type="dxa"/>
            <w:vAlign w:val="bottom"/>
            <w:gridSpan w:val="2"/>
            <w:shd w:val="clear" w:color="auto" w:fill="E5E5E5"/>
          </w:tcPr>
          <w:p>
            <w:pPr>
              <w:spacing w:after="0"/>
              <w:rPr>
                <w:sz w:val="21"/>
                <w:szCs w:val="21"/>
                <w:color w:val="auto"/>
              </w:rPr>
            </w:pPr>
          </w:p>
        </w:tc>
        <w:tc>
          <w:tcPr>
            <w:tcW w:w="3620" w:type="dxa"/>
            <w:vAlign w:val="bottom"/>
            <w:gridSpan w:val="2"/>
            <w:shd w:val="clear" w:color="auto" w:fill="E5E5E5"/>
          </w:tcPr>
          <w:p>
            <w:pPr>
              <w:spacing w:after="0"/>
              <w:rPr>
                <w:sz w:val="21"/>
                <w:szCs w:val="21"/>
                <w:color w:val="auto"/>
              </w:rPr>
            </w:pPr>
          </w:p>
        </w:tc>
        <w:tc>
          <w:tcPr>
            <w:tcW w:w="53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040" w:type="dxa"/>
            <w:vAlign w:val="bottom"/>
            <w:gridSpan w:val="2"/>
          </w:tcPr>
          <w:p>
            <w:pPr>
              <w:ind w:left="60"/>
              <w:spacing w:after="0"/>
              <w:rPr>
                <w:sz w:val="20"/>
                <w:szCs w:val="20"/>
                <w:color w:val="auto"/>
              </w:rPr>
            </w:pPr>
            <w:r>
              <w:rPr>
                <w:rFonts w:ascii="Arial" w:cs="Arial" w:eastAsia="Arial" w:hAnsi="Arial"/>
                <w:sz w:val="16"/>
                <w:szCs w:val="16"/>
                <w:b w:val="1"/>
                <w:bCs w:val="1"/>
                <w:color w:val="auto"/>
              </w:rPr>
              <w:t>Clinical Development</w:t>
            </w: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Weight: 25%</w:t>
            </w:r>
          </w:p>
        </w:tc>
        <w:tc>
          <w:tcPr>
            <w:tcW w:w="5340" w:type="dxa"/>
            <w:vAlign w:val="bottom"/>
          </w:tcPr>
          <w:p>
            <w:pPr>
              <w:ind w:left="100"/>
              <w:spacing w:after="0"/>
              <w:rPr>
                <w:sz w:val="20"/>
                <w:szCs w:val="20"/>
                <w:color w:val="auto"/>
              </w:rPr>
            </w:pPr>
            <w:r>
              <w:rPr>
                <w:rFonts w:ascii="Arial" w:cs="Arial" w:eastAsia="Arial" w:hAnsi="Arial"/>
                <w:sz w:val="16"/>
                <w:szCs w:val="16"/>
                <w:color w:val="auto"/>
              </w:rPr>
              <w:t>Met and Exceeded</w:t>
            </w:r>
          </w:p>
        </w:tc>
        <w:tc>
          <w:tcPr>
            <w:tcW w:w="20" w:type="dxa"/>
            <w:vAlign w:val="bottom"/>
          </w:tcPr>
          <w:p>
            <w:pPr>
              <w:spacing w:after="0"/>
              <w:rPr>
                <w:sz w:val="20"/>
                <w:szCs w:val="20"/>
                <w:color w:val="auto"/>
              </w:rPr>
            </w:pPr>
          </w:p>
        </w:tc>
      </w:tr>
      <w:tr>
        <w:trPr>
          <w:trHeight w:val="410"/>
        </w:trPr>
        <w:tc>
          <w:tcPr>
            <w:tcW w:w="5660" w:type="dxa"/>
            <w:vAlign w:val="bottom"/>
            <w:gridSpan w:val="4"/>
          </w:tcPr>
          <w:p>
            <w:pPr>
              <w:ind w:left="60"/>
              <w:spacing w:after="0"/>
              <w:rPr>
                <w:sz w:val="20"/>
                <w:szCs w:val="20"/>
                <w:color w:val="auto"/>
              </w:rPr>
            </w:pPr>
            <w:r>
              <w:rPr>
                <w:rFonts w:ascii="Arial" w:cs="Arial" w:eastAsia="Arial" w:hAnsi="Arial"/>
                <w:sz w:val="16"/>
                <w:szCs w:val="16"/>
                <w:i w:val="1"/>
                <w:iCs w:val="1"/>
                <w:color w:val="auto"/>
              </w:rPr>
              <w:t>Meet certain goals with regard to progress on the Company’s</w:t>
            </w:r>
          </w:p>
        </w:tc>
        <w:tc>
          <w:tcPr>
            <w:tcW w:w="5340" w:type="dxa"/>
            <w:vAlign w:val="bottom"/>
          </w:tcPr>
          <w:p>
            <w:pPr>
              <w:ind w:left="100"/>
              <w:spacing w:after="0"/>
              <w:rPr>
                <w:sz w:val="20"/>
                <w:szCs w:val="20"/>
                <w:color w:val="auto"/>
              </w:rPr>
            </w:pPr>
            <w:r>
              <w:rPr>
                <w:rFonts w:ascii="Arial" w:cs="Arial" w:eastAsia="Arial" w:hAnsi="Arial"/>
                <w:sz w:val="16"/>
                <w:szCs w:val="16"/>
                <w:color w:val="auto"/>
              </w:rPr>
              <w:t>Filed IND for ARO-HIF2</w:t>
            </w:r>
          </w:p>
        </w:tc>
        <w:tc>
          <w:tcPr>
            <w:tcW w:w="20" w:type="dxa"/>
            <w:vAlign w:val="bottom"/>
          </w:tcPr>
          <w:p>
            <w:pPr>
              <w:spacing w:after="0"/>
              <w:rPr>
                <w:sz w:val="24"/>
                <w:szCs w:val="24"/>
                <w:color w:val="auto"/>
              </w:rPr>
            </w:pPr>
          </w:p>
        </w:tc>
      </w:tr>
      <w:tr>
        <w:trPr>
          <w:trHeight w:val="210"/>
        </w:trPr>
        <w:tc>
          <w:tcPr>
            <w:tcW w:w="1420" w:type="dxa"/>
            <w:vAlign w:val="bottom"/>
          </w:tcPr>
          <w:p>
            <w:pPr>
              <w:ind w:left="60"/>
              <w:spacing w:after="0"/>
              <w:rPr>
                <w:sz w:val="20"/>
                <w:szCs w:val="20"/>
                <w:color w:val="auto"/>
              </w:rPr>
            </w:pPr>
            <w:r>
              <w:rPr>
                <w:rFonts w:ascii="Arial" w:cs="Arial" w:eastAsia="Arial" w:hAnsi="Arial"/>
                <w:sz w:val="16"/>
                <w:szCs w:val="16"/>
                <w:i w:val="1"/>
                <w:iCs w:val="1"/>
                <w:color w:val="auto"/>
              </w:rPr>
              <w:t>clinical programs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Filed CTA for ARO-HSD (NASH target).</w:t>
            </w:r>
          </w:p>
        </w:tc>
        <w:tc>
          <w:tcPr>
            <w:tcW w:w="20" w:type="dxa"/>
            <w:vAlign w:val="bottom"/>
          </w:tcPr>
          <w:p>
            <w:pPr>
              <w:spacing w:after="0"/>
              <w:rPr>
                <w:sz w:val="21"/>
                <w:szCs w:val="21"/>
                <w:color w:val="auto"/>
              </w:rPr>
            </w:pPr>
          </w:p>
        </w:tc>
      </w:tr>
      <w:tr>
        <w:trPr>
          <w:trHeight w:val="432"/>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Completed enrollment and presented data for ARO-ANG3</w:t>
            </w:r>
          </w:p>
        </w:tc>
        <w:tc>
          <w:tcPr>
            <w:tcW w:w="2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Completed enrollment and presented data for ARO-APOC3</w:t>
            </w:r>
          </w:p>
        </w:tc>
        <w:tc>
          <w:tcPr>
            <w:tcW w:w="2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Initiated potentially pivotal study for ARO-AAT</w:t>
            </w:r>
          </w:p>
        </w:tc>
        <w:tc>
          <w:tcPr>
            <w:tcW w:w="20" w:type="dxa"/>
            <w:vAlign w:val="bottom"/>
          </w:tcPr>
          <w:p>
            <w:pPr>
              <w:spacing w:after="0"/>
              <w:rPr>
                <w:sz w:val="24"/>
                <w:szCs w:val="24"/>
                <w:color w:val="auto"/>
              </w:rPr>
            </w:pPr>
          </w:p>
        </w:tc>
      </w:tr>
      <w:tr>
        <w:trPr>
          <w:trHeight w:val="87"/>
        </w:trPr>
        <w:tc>
          <w:tcPr>
            <w:tcW w:w="2040" w:type="dxa"/>
            <w:vAlign w:val="bottom"/>
            <w:gridSpan w:val="2"/>
          </w:tcPr>
          <w:p>
            <w:pPr>
              <w:spacing w:after="0"/>
              <w:rPr>
                <w:sz w:val="7"/>
                <w:szCs w:val="7"/>
                <w:color w:val="auto"/>
              </w:rPr>
            </w:pPr>
          </w:p>
        </w:tc>
        <w:tc>
          <w:tcPr>
            <w:tcW w:w="240" w:type="dxa"/>
            <w:vAlign w:val="bottom"/>
          </w:tcPr>
          <w:p>
            <w:pPr>
              <w:spacing w:after="0"/>
              <w:rPr>
                <w:sz w:val="7"/>
                <w:szCs w:val="7"/>
                <w:color w:val="auto"/>
              </w:rPr>
            </w:pPr>
          </w:p>
        </w:tc>
        <w:tc>
          <w:tcPr>
            <w:tcW w:w="3380" w:type="dxa"/>
            <w:vAlign w:val="bottom"/>
          </w:tcPr>
          <w:p>
            <w:pPr>
              <w:spacing w:after="0"/>
              <w:rPr>
                <w:sz w:val="7"/>
                <w:szCs w:val="7"/>
                <w:color w:val="auto"/>
              </w:rPr>
            </w:pPr>
          </w:p>
        </w:tc>
        <w:tc>
          <w:tcPr>
            <w:tcW w:w="53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37"/>
        </w:trPr>
        <w:tc>
          <w:tcPr>
            <w:tcW w:w="204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auto"/>
              </w:rPr>
              <w:t>Pre-Clinical Development</w:t>
            </w:r>
          </w:p>
        </w:tc>
        <w:tc>
          <w:tcPr>
            <w:tcW w:w="240" w:type="dxa"/>
            <w:vAlign w:val="bottom"/>
            <w:shd w:val="clear" w:color="auto" w:fill="E5E5E5"/>
          </w:tcPr>
          <w:p>
            <w:pPr>
              <w:spacing w:after="0"/>
              <w:rPr>
                <w:sz w:val="20"/>
                <w:szCs w:val="20"/>
                <w:color w:val="auto"/>
              </w:rPr>
            </w:pPr>
          </w:p>
        </w:tc>
        <w:tc>
          <w:tcPr>
            <w:tcW w:w="33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Weight: 14%</w:t>
            </w:r>
          </w:p>
        </w:tc>
        <w:tc>
          <w:tcPr>
            <w:tcW w:w="53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Met, except certain stretch goals</w:t>
            </w:r>
          </w:p>
        </w:tc>
        <w:tc>
          <w:tcPr>
            <w:tcW w:w="20" w:type="dxa"/>
            <w:vAlign w:val="bottom"/>
          </w:tcPr>
          <w:p>
            <w:pPr>
              <w:spacing w:after="0"/>
              <w:rPr>
                <w:sz w:val="20"/>
                <w:szCs w:val="20"/>
                <w:color w:val="auto"/>
              </w:rPr>
            </w:pPr>
          </w:p>
        </w:tc>
      </w:tr>
      <w:tr>
        <w:trPr>
          <w:trHeight w:val="432"/>
        </w:trPr>
        <w:tc>
          <w:tcPr>
            <w:tcW w:w="1420" w:type="dxa"/>
            <w:vAlign w:val="bottom"/>
            <w:shd w:val="clear" w:color="auto" w:fill="E5E5E5"/>
          </w:tcPr>
          <w:p>
            <w:pPr>
              <w:spacing w:after="0"/>
              <w:rPr>
                <w:sz w:val="24"/>
                <w:szCs w:val="24"/>
                <w:color w:val="auto"/>
              </w:rPr>
            </w:pPr>
          </w:p>
        </w:tc>
        <w:tc>
          <w:tcPr>
            <w:tcW w:w="620" w:type="dxa"/>
            <w:vAlign w:val="bottom"/>
            <w:shd w:val="clear" w:color="auto" w:fill="E5E5E5"/>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3380" w:type="dxa"/>
            <w:vAlign w:val="bottom"/>
            <w:shd w:val="clear" w:color="auto" w:fill="E5E5E5"/>
          </w:tcPr>
          <w:p>
            <w:pPr>
              <w:spacing w:after="0"/>
              <w:rPr>
                <w:sz w:val="24"/>
                <w:szCs w:val="24"/>
                <w:color w:val="auto"/>
              </w:rPr>
            </w:pPr>
          </w:p>
        </w:tc>
        <w:tc>
          <w:tcPr>
            <w:tcW w:w="53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Good progress on Company’s discovery and new target projects</w:t>
            </w:r>
          </w:p>
        </w:tc>
        <w:tc>
          <w:tcPr>
            <w:tcW w:w="20" w:type="dxa"/>
            <w:vAlign w:val="bottom"/>
          </w:tcPr>
          <w:p>
            <w:pPr>
              <w:spacing w:after="0"/>
              <w:rPr>
                <w:sz w:val="24"/>
                <w:szCs w:val="24"/>
                <w:color w:val="auto"/>
              </w:rPr>
            </w:pPr>
          </w:p>
        </w:tc>
      </w:tr>
      <w:tr>
        <w:trPr>
          <w:trHeight w:val="87"/>
        </w:trPr>
        <w:tc>
          <w:tcPr>
            <w:tcW w:w="1420" w:type="dxa"/>
            <w:vAlign w:val="bottom"/>
            <w:shd w:val="clear" w:color="auto" w:fill="E5E5E5"/>
          </w:tcPr>
          <w:p>
            <w:pPr>
              <w:spacing w:after="0"/>
              <w:rPr>
                <w:sz w:val="7"/>
                <w:szCs w:val="7"/>
                <w:color w:val="auto"/>
              </w:rPr>
            </w:pPr>
          </w:p>
        </w:tc>
        <w:tc>
          <w:tcPr>
            <w:tcW w:w="4240" w:type="dxa"/>
            <w:vAlign w:val="bottom"/>
            <w:gridSpan w:val="3"/>
            <w:shd w:val="clear" w:color="auto" w:fill="E5E5E5"/>
          </w:tcPr>
          <w:p>
            <w:pPr>
              <w:spacing w:after="0"/>
              <w:rPr>
                <w:sz w:val="7"/>
                <w:szCs w:val="7"/>
                <w:color w:val="auto"/>
              </w:rPr>
            </w:pPr>
          </w:p>
        </w:tc>
        <w:tc>
          <w:tcPr>
            <w:tcW w:w="5340" w:type="dxa"/>
            <w:vAlign w:val="bottom"/>
            <w:shd w:val="clear" w:color="auto" w:fill="E5E5E5"/>
          </w:tcPr>
          <w:p>
            <w:pPr>
              <w:spacing w:after="0"/>
              <w:rPr>
                <w:sz w:val="7"/>
                <w:szCs w:val="7"/>
                <w:color w:val="auto"/>
              </w:rPr>
            </w:pPr>
          </w:p>
        </w:tc>
        <w:tc>
          <w:tcPr>
            <w:tcW w:w="20" w:type="dxa"/>
            <w:vAlign w:val="bottom"/>
          </w:tcPr>
          <w:p>
            <w:pPr>
              <w:spacing w:after="0"/>
              <w:rPr>
                <w:sz w:val="7"/>
                <w:szCs w:val="7"/>
                <w:color w:val="auto"/>
              </w:rPr>
            </w:pPr>
          </w:p>
        </w:tc>
      </w:tr>
      <w:tr>
        <w:trPr>
          <w:trHeight w:val="237"/>
        </w:trPr>
        <w:tc>
          <w:tcPr>
            <w:tcW w:w="1420" w:type="dxa"/>
            <w:vAlign w:val="bottom"/>
          </w:tcPr>
          <w:p>
            <w:pPr>
              <w:ind w:left="60"/>
              <w:spacing w:after="0"/>
              <w:rPr>
                <w:sz w:val="20"/>
                <w:szCs w:val="20"/>
                <w:color w:val="auto"/>
              </w:rPr>
            </w:pPr>
            <w:r>
              <w:rPr>
                <w:rFonts w:ascii="Arial" w:cs="Arial" w:eastAsia="Arial" w:hAnsi="Arial"/>
                <w:sz w:val="16"/>
                <w:szCs w:val="16"/>
                <w:b w:val="1"/>
                <w:bCs w:val="1"/>
                <w:color w:val="auto"/>
              </w:rPr>
              <w:t>Next Generation</w:t>
            </w:r>
          </w:p>
        </w:tc>
        <w:tc>
          <w:tcPr>
            <w:tcW w:w="4240" w:type="dxa"/>
            <w:vAlign w:val="bottom"/>
            <w:gridSpan w:val="3"/>
          </w:tcPr>
          <w:p>
            <w:pPr>
              <w:ind w:left="260"/>
              <w:spacing w:after="0"/>
              <w:rPr>
                <w:sz w:val="20"/>
                <w:szCs w:val="20"/>
                <w:color w:val="auto"/>
              </w:rPr>
            </w:pPr>
            <w:r>
              <w:rPr>
                <w:rFonts w:ascii="Arial" w:cs="Arial" w:eastAsia="Arial" w:hAnsi="Arial"/>
                <w:sz w:val="16"/>
                <w:szCs w:val="16"/>
                <w:color w:val="auto"/>
              </w:rPr>
              <w:t>Weight: 14%</w:t>
            </w:r>
          </w:p>
        </w:tc>
        <w:tc>
          <w:tcPr>
            <w:tcW w:w="5340" w:type="dxa"/>
            <w:vAlign w:val="bottom"/>
          </w:tcPr>
          <w:p>
            <w:pPr>
              <w:ind w:left="100"/>
              <w:spacing w:after="0"/>
              <w:rPr>
                <w:sz w:val="20"/>
                <w:szCs w:val="20"/>
                <w:color w:val="auto"/>
              </w:rPr>
            </w:pPr>
            <w:r>
              <w:rPr>
                <w:rFonts w:ascii="Arial" w:cs="Arial" w:eastAsia="Arial" w:hAnsi="Arial"/>
                <w:sz w:val="16"/>
                <w:szCs w:val="16"/>
                <w:color w:val="auto"/>
              </w:rPr>
              <w:t>Met and exceeded</w:t>
            </w:r>
          </w:p>
        </w:tc>
        <w:tc>
          <w:tcPr>
            <w:tcW w:w="20" w:type="dxa"/>
            <w:vAlign w:val="bottom"/>
          </w:tcPr>
          <w:p>
            <w:pPr>
              <w:spacing w:after="0"/>
              <w:rPr>
                <w:sz w:val="20"/>
                <w:szCs w:val="20"/>
                <w:color w:val="auto"/>
              </w:rPr>
            </w:pPr>
          </w:p>
        </w:tc>
      </w:tr>
      <w:tr>
        <w:trPr>
          <w:trHeight w:val="432"/>
        </w:trPr>
        <w:tc>
          <w:tcPr>
            <w:tcW w:w="5660" w:type="dxa"/>
            <w:vAlign w:val="bottom"/>
            <w:gridSpan w:val="4"/>
          </w:tcPr>
          <w:p>
            <w:pPr>
              <w:ind w:left="60"/>
              <w:spacing w:after="0"/>
              <w:rPr>
                <w:sz w:val="20"/>
                <w:szCs w:val="20"/>
                <w:color w:val="auto"/>
              </w:rPr>
            </w:pPr>
            <w:r>
              <w:rPr>
                <w:rFonts w:ascii="Arial" w:cs="Arial" w:eastAsia="Arial" w:hAnsi="Arial"/>
                <w:sz w:val="16"/>
                <w:szCs w:val="16"/>
                <w:i w:val="1"/>
                <w:iCs w:val="1"/>
                <w:color w:val="auto"/>
              </w:rPr>
              <w:t>Meet certain goals for Company’s new capabilities</w:t>
            </w:r>
          </w:p>
        </w:tc>
        <w:tc>
          <w:tcPr>
            <w:tcW w:w="5340" w:type="dxa"/>
            <w:vAlign w:val="bottom"/>
          </w:tcPr>
          <w:p>
            <w:pPr>
              <w:ind w:left="100"/>
              <w:spacing w:after="0"/>
              <w:rPr>
                <w:sz w:val="20"/>
                <w:szCs w:val="20"/>
                <w:color w:val="auto"/>
              </w:rPr>
            </w:pPr>
            <w:r>
              <w:rPr>
                <w:rFonts w:ascii="Arial" w:cs="Arial" w:eastAsia="Arial" w:hAnsi="Arial"/>
                <w:sz w:val="16"/>
                <w:szCs w:val="16"/>
                <w:color w:val="auto"/>
              </w:rPr>
              <w:t>Developed muscle- and pulmonary-targeting capability</w:t>
            </w:r>
          </w:p>
        </w:tc>
        <w:tc>
          <w:tcPr>
            <w:tcW w:w="2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6"/>
                <w:szCs w:val="16"/>
                <w:color w:val="auto"/>
              </w:rPr>
              <w:t>Advanced other significant new capabilities</w:t>
            </w:r>
          </w:p>
        </w:tc>
        <w:tc>
          <w:tcPr>
            <w:tcW w:w="20" w:type="dxa"/>
            <w:vAlign w:val="bottom"/>
          </w:tcPr>
          <w:p>
            <w:pPr>
              <w:spacing w:after="0"/>
              <w:rPr>
                <w:sz w:val="24"/>
                <w:szCs w:val="24"/>
                <w:color w:val="auto"/>
              </w:rPr>
            </w:pPr>
          </w:p>
        </w:tc>
      </w:tr>
      <w:tr>
        <w:trPr>
          <w:trHeight w:val="127"/>
        </w:trPr>
        <w:tc>
          <w:tcPr>
            <w:tcW w:w="1420" w:type="dxa"/>
            <w:vAlign w:val="bottom"/>
            <w:tcBorders>
              <w:bottom w:val="single" w:sz="8" w:color="0071CE"/>
            </w:tcBorders>
          </w:tcPr>
          <w:p>
            <w:pPr>
              <w:spacing w:after="0"/>
              <w:rPr>
                <w:sz w:val="11"/>
                <w:szCs w:val="11"/>
                <w:color w:val="auto"/>
              </w:rPr>
            </w:pPr>
          </w:p>
        </w:tc>
        <w:tc>
          <w:tcPr>
            <w:tcW w:w="620" w:type="dxa"/>
            <w:vAlign w:val="bottom"/>
            <w:tcBorders>
              <w:bottom w:val="single" w:sz="8" w:color="0071CE"/>
            </w:tcBorders>
          </w:tcPr>
          <w:p>
            <w:pPr>
              <w:spacing w:after="0"/>
              <w:rPr>
                <w:sz w:val="11"/>
                <w:szCs w:val="11"/>
                <w:color w:val="auto"/>
              </w:rPr>
            </w:pPr>
          </w:p>
        </w:tc>
        <w:tc>
          <w:tcPr>
            <w:tcW w:w="240" w:type="dxa"/>
            <w:vAlign w:val="bottom"/>
            <w:tcBorders>
              <w:bottom w:val="single" w:sz="8" w:color="0071CE"/>
            </w:tcBorders>
          </w:tcPr>
          <w:p>
            <w:pPr>
              <w:spacing w:after="0"/>
              <w:rPr>
                <w:sz w:val="11"/>
                <w:szCs w:val="11"/>
                <w:color w:val="auto"/>
              </w:rPr>
            </w:pPr>
          </w:p>
        </w:tc>
        <w:tc>
          <w:tcPr>
            <w:tcW w:w="3380" w:type="dxa"/>
            <w:vAlign w:val="bottom"/>
            <w:tcBorders>
              <w:bottom w:val="single" w:sz="8" w:color="0071CE"/>
            </w:tcBorders>
          </w:tcPr>
          <w:p>
            <w:pPr>
              <w:spacing w:after="0"/>
              <w:rPr>
                <w:sz w:val="11"/>
                <w:szCs w:val="11"/>
                <w:color w:val="auto"/>
              </w:rPr>
            </w:pPr>
          </w:p>
        </w:tc>
        <w:tc>
          <w:tcPr>
            <w:tcW w:w="5340" w:type="dxa"/>
            <w:vAlign w:val="bottom"/>
            <w:tcBorders>
              <w:bottom w:val="single" w:sz="8" w:color="0071CE"/>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93980</wp:posOffset>
            </wp:positionV>
            <wp:extent cx="984885"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26</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0"/>
        <w:spacing w:after="0"/>
        <w:tabs>
          <w:tab w:leader="none" w:pos="17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Annual Incentive Award Payments</w:t>
      </w:r>
    </w:p>
    <w:p>
      <w:pPr>
        <w:spacing w:after="0" w:line="106"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color w:val="auto"/>
        </w:rPr>
        <w:t>The actual annual incentive award payments earned by our Named Executive Officers ranged from 130% to 243% of their target annual incentive award opportunities. Except for the award for our CEO, these awards were recommended by our CEO and approved by the Compensation Committee based on the overall achievement of the Company’s goals, their contributions to the goals, and the overall performance of each officer during the year. The following table sets forth the target annual incentive award opportunities, the actual award payment as a percentage of each Named Executive Officer’s base salary, and the actual award payment made in cash to each of our Named Executive Officers based on their performance in 2019:</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4460" w:type="dxa"/>
            <w:vAlign w:val="bottom"/>
            <w:shd w:val="clear" w:color="auto" w:fill="0071CE"/>
          </w:tcPr>
          <w:p>
            <w:pPr>
              <w:spacing w:after="0"/>
              <w:rPr>
                <w:sz w:val="16"/>
                <w:szCs w:val="16"/>
                <w:color w:val="auto"/>
              </w:rPr>
            </w:pPr>
          </w:p>
        </w:tc>
        <w:tc>
          <w:tcPr>
            <w:tcW w:w="2520" w:type="dxa"/>
            <w:vAlign w:val="bottom"/>
            <w:shd w:val="clear" w:color="auto" w:fill="0071CE"/>
          </w:tcPr>
          <w:p>
            <w:pPr>
              <w:jc w:val="center"/>
              <w:ind w:left="264"/>
              <w:spacing w:after="0"/>
              <w:rPr>
                <w:sz w:val="20"/>
                <w:szCs w:val="20"/>
                <w:color w:val="auto"/>
              </w:rPr>
            </w:pPr>
            <w:r>
              <w:rPr>
                <w:rFonts w:ascii="Arial" w:cs="Arial" w:eastAsia="Arial" w:hAnsi="Arial"/>
                <w:sz w:val="14"/>
                <w:szCs w:val="14"/>
                <w:b w:val="1"/>
                <w:bCs w:val="1"/>
                <w:color w:val="FFFFFF"/>
                <w:w w:val="99"/>
              </w:rPr>
              <w:t>Target Annual</w:t>
            </w:r>
          </w:p>
        </w:tc>
        <w:tc>
          <w:tcPr>
            <w:tcW w:w="2320" w:type="dxa"/>
            <w:vAlign w:val="bottom"/>
            <w:shd w:val="clear" w:color="auto" w:fill="0071CE"/>
          </w:tcPr>
          <w:p>
            <w:pPr>
              <w:spacing w:after="0"/>
              <w:rPr>
                <w:sz w:val="16"/>
                <w:szCs w:val="16"/>
                <w:color w:val="auto"/>
              </w:rPr>
            </w:pPr>
          </w:p>
        </w:tc>
        <w:tc>
          <w:tcPr>
            <w:tcW w:w="960" w:type="dxa"/>
            <w:vAlign w:val="bottom"/>
            <w:shd w:val="clear" w:color="auto" w:fill="0071CE"/>
          </w:tcPr>
          <w:p>
            <w:pPr>
              <w:spacing w:after="0"/>
              <w:rPr>
                <w:sz w:val="16"/>
                <w:szCs w:val="16"/>
                <w:color w:val="auto"/>
              </w:rPr>
            </w:pPr>
          </w:p>
        </w:tc>
        <w:tc>
          <w:tcPr>
            <w:tcW w:w="740" w:type="dxa"/>
            <w:vAlign w:val="bottom"/>
            <w:shd w:val="clear" w:color="auto" w:fill="0071CE"/>
          </w:tcPr>
          <w:p>
            <w:pPr>
              <w:spacing w:after="0"/>
              <w:rPr>
                <w:sz w:val="16"/>
                <w:szCs w:val="16"/>
                <w:color w:val="auto"/>
              </w:rPr>
            </w:pPr>
          </w:p>
        </w:tc>
        <w:tc>
          <w:tcPr>
            <w:tcW w:w="20" w:type="dxa"/>
            <w:vAlign w:val="bottom"/>
            <w:shd w:val="clear" w:color="auto" w:fill="0071CE"/>
          </w:tcPr>
          <w:p>
            <w:pPr>
              <w:spacing w:after="0"/>
              <w:rPr>
                <w:sz w:val="16"/>
                <w:szCs w:val="16"/>
                <w:color w:val="auto"/>
              </w:rPr>
            </w:pPr>
          </w:p>
        </w:tc>
      </w:tr>
      <w:tr>
        <w:trPr>
          <w:trHeight w:val="162"/>
        </w:trPr>
        <w:tc>
          <w:tcPr>
            <w:tcW w:w="4460" w:type="dxa"/>
            <w:vAlign w:val="bottom"/>
            <w:shd w:val="clear" w:color="auto" w:fill="0071CE"/>
          </w:tcPr>
          <w:p>
            <w:pPr>
              <w:spacing w:after="0"/>
              <w:rPr>
                <w:sz w:val="14"/>
                <w:szCs w:val="14"/>
                <w:color w:val="auto"/>
              </w:rPr>
            </w:pPr>
          </w:p>
        </w:tc>
        <w:tc>
          <w:tcPr>
            <w:tcW w:w="2520" w:type="dxa"/>
            <w:vAlign w:val="bottom"/>
            <w:shd w:val="clear" w:color="auto" w:fill="0071CE"/>
          </w:tcPr>
          <w:p>
            <w:pPr>
              <w:jc w:val="center"/>
              <w:ind w:left="264"/>
              <w:spacing w:after="0"/>
              <w:rPr>
                <w:sz w:val="20"/>
                <w:szCs w:val="20"/>
                <w:color w:val="auto"/>
              </w:rPr>
            </w:pPr>
            <w:r>
              <w:rPr>
                <w:rFonts w:ascii="Arial" w:cs="Arial" w:eastAsia="Arial" w:hAnsi="Arial"/>
                <w:sz w:val="14"/>
                <w:szCs w:val="14"/>
                <w:b w:val="1"/>
                <w:bCs w:val="1"/>
                <w:color w:val="FFFFFF"/>
              </w:rPr>
              <w:t>Incentive Award</w:t>
            </w:r>
          </w:p>
        </w:tc>
        <w:tc>
          <w:tcPr>
            <w:tcW w:w="232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74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162"/>
        </w:trPr>
        <w:tc>
          <w:tcPr>
            <w:tcW w:w="4460" w:type="dxa"/>
            <w:vAlign w:val="bottom"/>
            <w:shd w:val="clear" w:color="auto" w:fill="0071CE"/>
          </w:tcPr>
          <w:p>
            <w:pPr>
              <w:spacing w:after="0"/>
              <w:rPr>
                <w:sz w:val="14"/>
                <w:szCs w:val="14"/>
                <w:color w:val="auto"/>
              </w:rPr>
            </w:pPr>
          </w:p>
        </w:tc>
        <w:tc>
          <w:tcPr>
            <w:tcW w:w="2520" w:type="dxa"/>
            <w:vAlign w:val="bottom"/>
            <w:shd w:val="clear" w:color="auto" w:fill="0071CE"/>
          </w:tcPr>
          <w:p>
            <w:pPr>
              <w:jc w:val="center"/>
              <w:ind w:left="264"/>
              <w:spacing w:after="0"/>
              <w:rPr>
                <w:sz w:val="20"/>
                <w:szCs w:val="20"/>
                <w:color w:val="auto"/>
              </w:rPr>
            </w:pPr>
            <w:r>
              <w:rPr>
                <w:rFonts w:ascii="Arial" w:cs="Arial" w:eastAsia="Arial" w:hAnsi="Arial"/>
                <w:sz w:val="14"/>
                <w:szCs w:val="14"/>
                <w:b w:val="1"/>
                <w:bCs w:val="1"/>
                <w:color w:val="FFFFFF"/>
              </w:rPr>
              <w:t>Opportunity (as a</w:t>
            </w:r>
          </w:p>
        </w:tc>
        <w:tc>
          <w:tcPr>
            <w:tcW w:w="23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Actual Annual</w:t>
            </w:r>
          </w:p>
        </w:tc>
        <w:tc>
          <w:tcPr>
            <w:tcW w:w="960" w:type="dxa"/>
            <w:vAlign w:val="bottom"/>
            <w:shd w:val="clear" w:color="auto" w:fill="0071CE"/>
          </w:tcPr>
          <w:p>
            <w:pPr>
              <w:spacing w:after="0"/>
              <w:rPr>
                <w:sz w:val="14"/>
                <w:szCs w:val="14"/>
                <w:color w:val="auto"/>
              </w:rPr>
            </w:pPr>
          </w:p>
        </w:tc>
        <w:tc>
          <w:tcPr>
            <w:tcW w:w="74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162"/>
        </w:trPr>
        <w:tc>
          <w:tcPr>
            <w:tcW w:w="4460" w:type="dxa"/>
            <w:vAlign w:val="bottom"/>
            <w:shd w:val="clear" w:color="auto" w:fill="0071CE"/>
          </w:tcPr>
          <w:p>
            <w:pPr>
              <w:spacing w:after="0"/>
              <w:rPr>
                <w:sz w:val="14"/>
                <w:szCs w:val="14"/>
                <w:color w:val="auto"/>
              </w:rPr>
            </w:pPr>
          </w:p>
        </w:tc>
        <w:tc>
          <w:tcPr>
            <w:tcW w:w="2520" w:type="dxa"/>
            <w:vAlign w:val="bottom"/>
            <w:shd w:val="clear" w:color="auto" w:fill="0071CE"/>
          </w:tcPr>
          <w:p>
            <w:pPr>
              <w:jc w:val="center"/>
              <w:ind w:left="224"/>
              <w:spacing w:after="0"/>
              <w:rPr>
                <w:sz w:val="20"/>
                <w:szCs w:val="20"/>
                <w:color w:val="auto"/>
              </w:rPr>
            </w:pPr>
            <w:r>
              <w:rPr>
                <w:rFonts w:ascii="Arial" w:cs="Arial" w:eastAsia="Arial" w:hAnsi="Arial"/>
                <w:sz w:val="14"/>
                <w:szCs w:val="14"/>
                <w:b w:val="1"/>
                <w:bCs w:val="1"/>
                <w:color w:val="FFFFFF"/>
              </w:rPr>
              <w:t>percentage of</w:t>
            </w:r>
          </w:p>
        </w:tc>
        <w:tc>
          <w:tcPr>
            <w:tcW w:w="23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 Award</w:t>
            </w:r>
          </w:p>
        </w:tc>
        <w:tc>
          <w:tcPr>
            <w:tcW w:w="1700" w:type="dxa"/>
            <w:vAlign w:val="bottom"/>
            <w:gridSpan w:val="2"/>
            <w:shd w:val="clear" w:color="auto" w:fill="0071CE"/>
          </w:tcPr>
          <w:p>
            <w:pPr>
              <w:jc w:val="center"/>
              <w:ind w:left="342"/>
              <w:spacing w:after="0"/>
              <w:rPr>
                <w:sz w:val="20"/>
                <w:szCs w:val="20"/>
                <w:color w:val="auto"/>
              </w:rPr>
            </w:pPr>
            <w:r>
              <w:rPr>
                <w:rFonts w:ascii="Arial" w:cs="Arial" w:eastAsia="Arial" w:hAnsi="Arial"/>
                <w:sz w:val="14"/>
                <w:szCs w:val="14"/>
                <w:b w:val="1"/>
                <w:bCs w:val="1"/>
                <w:color w:val="FFFFFF"/>
              </w:rPr>
              <w:t>Actual Annual</w:t>
            </w:r>
          </w:p>
        </w:tc>
        <w:tc>
          <w:tcPr>
            <w:tcW w:w="20" w:type="dxa"/>
            <w:vAlign w:val="bottom"/>
            <w:shd w:val="clear" w:color="auto" w:fill="0071CE"/>
          </w:tcPr>
          <w:p>
            <w:pPr>
              <w:spacing w:after="0"/>
              <w:rPr>
                <w:sz w:val="14"/>
                <w:szCs w:val="14"/>
                <w:color w:val="auto"/>
              </w:rPr>
            </w:pPr>
          </w:p>
        </w:tc>
      </w:tr>
      <w:tr>
        <w:trPr>
          <w:trHeight w:val="162"/>
        </w:trPr>
        <w:tc>
          <w:tcPr>
            <w:tcW w:w="446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2520" w:type="dxa"/>
            <w:vAlign w:val="bottom"/>
            <w:shd w:val="clear" w:color="auto" w:fill="0071CE"/>
          </w:tcPr>
          <w:p>
            <w:pPr>
              <w:jc w:val="center"/>
              <w:ind w:left="264"/>
              <w:spacing w:after="0"/>
              <w:rPr>
                <w:sz w:val="20"/>
                <w:szCs w:val="20"/>
                <w:color w:val="auto"/>
              </w:rPr>
            </w:pPr>
            <w:r>
              <w:rPr>
                <w:rFonts w:ascii="Arial" w:cs="Arial" w:eastAsia="Arial" w:hAnsi="Arial"/>
                <w:sz w:val="14"/>
                <w:szCs w:val="14"/>
                <w:b w:val="1"/>
                <w:bCs w:val="1"/>
                <w:color w:val="FFFFFF"/>
              </w:rPr>
              <w:t>base</w:t>
            </w:r>
          </w:p>
        </w:tc>
        <w:tc>
          <w:tcPr>
            <w:tcW w:w="23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(as a percentage of</w:t>
            </w:r>
          </w:p>
        </w:tc>
        <w:tc>
          <w:tcPr>
            <w:tcW w:w="1700" w:type="dxa"/>
            <w:vAlign w:val="bottom"/>
            <w:gridSpan w:val="2"/>
            <w:shd w:val="clear" w:color="auto" w:fill="0071CE"/>
          </w:tcPr>
          <w:p>
            <w:pPr>
              <w:jc w:val="center"/>
              <w:ind w:left="362"/>
              <w:spacing w:after="0"/>
              <w:rPr>
                <w:sz w:val="20"/>
                <w:szCs w:val="20"/>
                <w:color w:val="auto"/>
              </w:rPr>
            </w:pPr>
            <w:r>
              <w:rPr>
                <w:rFonts w:ascii="Arial" w:cs="Arial" w:eastAsia="Arial" w:hAnsi="Arial"/>
                <w:sz w:val="14"/>
                <w:szCs w:val="14"/>
                <w:b w:val="1"/>
                <w:bCs w:val="1"/>
                <w:color w:val="FFFFFF"/>
              </w:rPr>
              <w:t>Incentive Award</w:t>
            </w:r>
          </w:p>
        </w:tc>
        <w:tc>
          <w:tcPr>
            <w:tcW w:w="20" w:type="dxa"/>
            <w:vAlign w:val="bottom"/>
            <w:shd w:val="clear" w:color="auto" w:fill="0071CE"/>
          </w:tcPr>
          <w:p>
            <w:pPr>
              <w:spacing w:after="0"/>
              <w:rPr>
                <w:sz w:val="14"/>
                <w:szCs w:val="14"/>
                <w:color w:val="auto"/>
              </w:rPr>
            </w:pPr>
          </w:p>
        </w:tc>
      </w:tr>
      <w:tr>
        <w:trPr>
          <w:trHeight w:val="209"/>
        </w:trPr>
        <w:tc>
          <w:tcPr>
            <w:tcW w:w="446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2520" w:type="dxa"/>
            <w:vAlign w:val="bottom"/>
            <w:tcBorders>
              <w:bottom w:val="single" w:sz="8" w:color="0071CE"/>
            </w:tcBorders>
            <w:shd w:val="clear" w:color="auto" w:fill="0071CE"/>
          </w:tcPr>
          <w:p>
            <w:pPr>
              <w:jc w:val="center"/>
              <w:ind w:left="264"/>
              <w:spacing w:after="0"/>
              <w:rPr>
                <w:sz w:val="20"/>
                <w:szCs w:val="20"/>
                <w:color w:val="auto"/>
              </w:rPr>
            </w:pPr>
            <w:r>
              <w:rPr>
                <w:rFonts w:ascii="Arial" w:cs="Arial" w:eastAsia="Arial" w:hAnsi="Arial"/>
                <w:sz w:val="14"/>
                <w:szCs w:val="14"/>
                <w:b w:val="1"/>
                <w:bCs w:val="1"/>
                <w:color w:val="FFFFFF"/>
              </w:rPr>
              <w:t>salary)</w:t>
            </w:r>
          </w:p>
        </w:tc>
        <w:tc>
          <w:tcPr>
            <w:tcW w:w="23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base salary)</w:t>
            </w:r>
          </w:p>
        </w:tc>
        <w:tc>
          <w:tcPr>
            <w:tcW w:w="960" w:type="dxa"/>
            <w:vAlign w:val="bottom"/>
            <w:tcBorders>
              <w:bottom w:val="single" w:sz="8" w:color="0071CE"/>
            </w:tcBorders>
            <w:shd w:val="clear" w:color="auto" w:fill="0071CE"/>
          </w:tcPr>
          <w:p>
            <w:pPr>
              <w:spacing w:after="0"/>
              <w:rPr>
                <w:sz w:val="18"/>
                <w:szCs w:val="18"/>
                <w:color w:val="auto"/>
              </w:rPr>
            </w:pPr>
          </w:p>
        </w:tc>
        <w:tc>
          <w:tcPr>
            <w:tcW w:w="740" w:type="dxa"/>
            <w:vAlign w:val="bottom"/>
            <w:tcBorders>
              <w:bottom w:val="single" w:sz="8" w:color="0071CE"/>
            </w:tcBorders>
            <w:shd w:val="clear" w:color="auto" w:fill="0071CE"/>
          </w:tcPr>
          <w:p>
            <w:pPr>
              <w:jc w:val="center"/>
              <w:ind w:right="441"/>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71CE"/>
            </w:tcBorders>
            <w:shd w:val="clear" w:color="auto" w:fill="0071CE"/>
          </w:tcPr>
          <w:p>
            <w:pPr>
              <w:spacing w:after="0"/>
              <w:rPr>
                <w:sz w:val="18"/>
                <w:szCs w:val="18"/>
                <w:color w:val="auto"/>
              </w:rPr>
            </w:pPr>
          </w:p>
        </w:tc>
      </w:tr>
      <w:tr>
        <w:trPr>
          <w:trHeight w:val="256"/>
        </w:trPr>
        <w:tc>
          <w:tcPr>
            <w:tcW w:w="4460" w:type="dxa"/>
            <w:vAlign w:val="bottom"/>
            <w:shd w:val="clear" w:color="auto" w:fill="E5E5E5"/>
          </w:tcPr>
          <w:p>
            <w:pPr>
              <w:ind w:left="60"/>
              <w:spacing w:after="0"/>
              <w:rPr>
                <w:sz w:val="20"/>
                <w:szCs w:val="20"/>
                <w:color w:val="auto"/>
              </w:rPr>
            </w:pPr>
            <w:r>
              <w:rPr>
                <w:rFonts w:ascii="Arial" w:cs="Arial" w:eastAsia="Arial" w:hAnsi="Arial"/>
                <w:sz w:val="16"/>
                <w:szCs w:val="16"/>
                <w:color w:val="auto"/>
              </w:rPr>
              <w:t>Dr. Anzalone</w:t>
            </w:r>
          </w:p>
        </w:tc>
        <w:tc>
          <w:tcPr>
            <w:tcW w:w="2520" w:type="dxa"/>
            <w:vAlign w:val="bottom"/>
            <w:shd w:val="clear" w:color="auto" w:fill="E5E5E5"/>
          </w:tcPr>
          <w:p>
            <w:pPr>
              <w:jc w:val="right"/>
              <w:ind w:right="664"/>
              <w:spacing w:after="0"/>
              <w:rPr>
                <w:sz w:val="20"/>
                <w:szCs w:val="20"/>
                <w:color w:val="auto"/>
              </w:rPr>
            </w:pPr>
            <w:r>
              <w:rPr>
                <w:rFonts w:ascii="Arial" w:cs="Arial" w:eastAsia="Arial" w:hAnsi="Arial"/>
                <w:sz w:val="16"/>
                <w:szCs w:val="16"/>
                <w:color w:val="auto"/>
              </w:rPr>
              <w:t>100%</w:t>
            </w:r>
          </w:p>
        </w:tc>
        <w:tc>
          <w:tcPr>
            <w:tcW w:w="2320" w:type="dxa"/>
            <w:vAlign w:val="bottom"/>
            <w:shd w:val="clear" w:color="auto" w:fill="E5E5E5"/>
          </w:tcPr>
          <w:p>
            <w:pPr>
              <w:jc w:val="right"/>
              <w:ind w:right="763"/>
              <w:spacing w:after="0"/>
              <w:rPr>
                <w:sz w:val="20"/>
                <w:szCs w:val="20"/>
                <w:color w:val="auto"/>
              </w:rPr>
            </w:pPr>
            <w:r>
              <w:rPr>
                <w:rFonts w:ascii="Arial" w:cs="Arial" w:eastAsia="Arial" w:hAnsi="Arial"/>
                <w:sz w:val="16"/>
                <w:szCs w:val="16"/>
                <w:color w:val="auto"/>
              </w:rPr>
              <w:t>226%</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w w:val="98"/>
              </w:rPr>
              <w:t>1,540,000</w:t>
            </w:r>
          </w:p>
        </w:tc>
        <w:tc>
          <w:tcPr>
            <w:tcW w:w="20" w:type="dxa"/>
            <w:vAlign w:val="bottom"/>
          </w:tcPr>
          <w:p>
            <w:pPr>
              <w:spacing w:after="0"/>
              <w:rPr>
                <w:sz w:val="22"/>
                <w:szCs w:val="22"/>
                <w:color w:val="auto"/>
              </w:rPr>
            </w:pPr>
          </w:p>
        </w:tc>
      </w:tr>
      <w:tr>
        <w:trPr>
          <w:trHeight w:val="247"/>
        </w:trPr>
        <w:tc>
          <w:tcPr>
            <w:tcW w:w="4460" w:type="dxa"/>
            <w:vAlign w:val="bottom"/>
          </w:tcPr>
          <w:p>
            <w:pPr>
              <w:ind w:left="60"/>
              <w:spacing w:after="0"/>
              <w:rPr>
                <w:sz w:val="20"/>
                <w:szCs w:val="20"/>
                <w:color w:val="auto"/>
              </w:rPr>
            </w:pPr>
            <w:r>
              <w:rPr>
                <w:rFonts w:ascii="Arial" w:cs="Arial" w:eastAsia="Arial" w:hAnsi="Arial"/>
                <w:sz w:val="16"/>
                <w:szCs w:val="16"/>
                <w:color w:val="auto"/>
              </w:rPr>
              <w:t>Dr. Given</w:t>
            </w:r>
          </w:p>
        </w:tc>
        <w:tc>
          <w:tcPr>
            <w:tcW w:w="2520" w:type="dxa"/>
            <w:vAlign w:val="bottom"/>
          </w:tcPr>
          <w:p>
            <w:pPr>
              <w:jc w:val="right"/>
              <w:ind w:right="664"/>
              <w:spacing w:after="0"/>
              <w:rPr>
                <w:sz w:val="20"/>
                <w:szCs w:val="20"/>
                <w:color w:val="auto"/>
              </w:rPr>
            </w:pPr>
            <w:r>
              <w:rPr>
                <w:rFonts w:ascii="Arial" w:cs="Arial" w:eastAsia="Arial" w:hAnsi="Arial"/>
                <w:sz w:val="16"/>
                <w:szCs w:val="16"/>
                <w:color w:val="auto"/>
              </w:rPr>
              <w:t>70%</w:t>
            </w:r>
          </w:p>
        </w:tc>
        <w:tc>
          <w:tcPr>
            <w:tcW w:w="2320" w:type="dxa"/>
            <w:vAlign w:val="bottom"/>
          </w:tcPr>
          <w:p>
            <w:pPr>
              <w:jc w:val="right"/>
              <w:ind w:right="763"/>
              <w:spacing w:after="0"/>
              <w:rPr>
                <w:sz w:val="20"/>
                <w:szCs w:val="20"/>
                <w:color w:val="auto"/>
              </w:rPr>
            </w:pPr>
            <w:r>
              <w:rPr>
                <w:rFonts w:ascii="Arial" w:cs="Arial" w:eastAsia="Arial" w:hAnsi="Arial"/>
                <w:sz w:val="16"/>
                <w:szCs w:val="16"/>
                <w:color w:val="auto"/>
              </w:rPr>
              <w:t>170%</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850,000</w:t>
            </w:r>
          </w:p>
        </w:tc>
        <w:tc>
          <w:tcPr>
            <w:tcW w:w="20" w:type="dxa"/>
            <w:vAlign w:val="bottom"/>
          </w:tcPr>
          <w:p>
            <w:pPr>
              <w:spacing w:after="0"/>
              <w:rPr>
                <w:sz w:val="21"/>
                <w:szCs w:val="21"/>
                <w:color w:val="auto"/>
              </w:rPr>
            </w:pPr>
          </w:p>
        </w:tc>
      </w:tr>
      <w:tr>
        <w:trPr>
          <w:trHeight w:val="266"/>
        </w:trPr>
        <w:tc>
          <w:tcPr>
            <w:tcW w:w="4460" w:type="dxa"/>
            <w:vAlign w:val="bottom"/>
            <w:shd w:val="clear" w:color="auto" w:fill="E5E5E5"/>
          </w:tcPr>
          <w:p>
            <w:pPr>
              <w:ind w:left="60"/>
              <w:spacing w:after="0"/>
              <w:rPr>
                <w:sz w:val="20"/>
                <w:szCs w:val="20"/>
                <w:color w:val="auto"/>
              </w:rPr>
            </w:pPr>
            <w:r>
              <w:rPr>
                <w:rFonts w:ascii="Arial" w:cs="Arial" w:eastAsia="Arial" w:hAnsi="Arial"/>
                <w:sz w:val="16"/>
                <w:szCs w:val="16"/>
                <w:color w:val="auto"/>
              </w:rPr>
              <w:t>Mr. Myszkowski</w:t>
            </w:r>
          </w:p>
        </w:tc>
        <w:tc>
          <w:tcPr>
            <w:tcW w:w="2520" w:type="dxa"/>
            <w:vAlign w:val="bottom"/>
            <w:shd w:val="clear" w:color="auto" w:fill="E5E5E5"/>
          </w:tcPr>
          <w:p>
            <w:pPr>
              <w:jc w:val="right"/>
              <w:ind w:right="664"/>
              <w:spacing w:after="0"/>
              <w:rPr>
                <w:sz w:val="20"/>
                <w:szCs w:val="20"/>
                <w:color w:val="auto"/>
              </w:rPr>
            </w:pPr>
            <w:r>
              <w:rPr>
                <w:rFonts w:ascii="Arial" w:cs="Arial" w:eastAsia="Arial" w:hAnsi="Arial"/>
                <w:sz w:val="16"/>
                <w:szCs w:val="16"/>
                <w:color w:val="auto"/>
              </w:rPr>
              <w:t>45%</w:t>
            </w:r>
          </w:p>
        </w:tc>
        <w:tc>
          <w:tcPr>
            <w:tcW w:w="2320" w:type="dxa"/>
            <w:vAlign w:val="bottom"/>
            <w:shd w:val="clear" w:color="auto" w:fill="E5E5E5"/>
          </w:tcPr>
          <w:p>
            <w:pPr>
              <w:jc w:val="right"/>
              <w:ind w:right="763"/>
              <w:spacing w:after="0"/>
              <w:rPr>
                <w:sz w:val="20"/>
                <w:szCs w:val="20"/>
                <w:color w:val="auto"/>
              </w:rPr>
            </w:pPr>
            <w:r>
              <w:rPr>
                <w:rFonts w:ascii="Arial" w:cs="Arial" w:eastAsia="Arial" w:hAnsi="Arial"/>
                <w:sz w:val="16"/>
                <w:szCs w:val="16"/>
                <w:color w:val="auto"/>
              </w:rPr>
              <w:t>59%</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251,550</w:t>
            </w:r>
          </w:p>
        </w:tc>
        <w:tc>
          <w:tcPr>
            <w:tcW w:w="20" w:type="dxa"/>
            <w:vAlign w:val="bottom"/>
          </w:tcPr>
          <w:p>
            <w:pPr>
              <w:spacing w:after="0"/>
              <w:rPr>
                <w:sz w:val="23"/>
                <w:szCs w:val="23"/>
                <w:color w:val="auto"/>
              </w:rPr>
            </w:pPr>
          </w:p>
        </w:tc>
      </w:tr>
      <w:tr>
        <w:trPr>
          <w:trHeight w:val="247"/>
        </w:trPr>
        <w:tc>
          <w:tcPr>
            <w:tcW w:w="4460" w:type="dxa"/>
            <w:vAlign w:val="bottom"/>
          </w:tcPr>
          <w:p>
            <w:pPr>
              <w:ind w:left="60"/>
              <w:spacing w:after="0"/>
              <w:rPr>
                <w:sz w:val="20"/>
                <w:szCs w:val="20"/>
                <w:color w:val="auto"/>
              </w:rPr>
            </w:pPr>
            <w:r>
              <w:rPr>
                <w:rFonts w:ascii="Arial" w:cs="Arial" w:eastAsia="Arial" w:hAnsi="Arial"/>
                <w:sz w:val="16"/>
                <w:szCs w:val="16"/>
                <w:color w:val="auto"/>
              </w:rPr>
              <w:t>Mr. O’Brien</w:t>
            </w:r>
          </w:p>
        </w:tc>
        <w:tc>
          <w:tcPr>
            <w:tcW w:w="2520" w:type="dxa"/>
            <w:vAlign w:val="bottom"/>
          </w:tcPr>
          <w:p>
            <w:pPr>
              <w:jc w:val="right"/>
              <w:ind w:right="664"/>
              <w:spacing w:after="0"/>
              <w:rPr>
                <w:sz w:val="20"/>
                <w:szCs w:val="20"/>
                <w:color w:val="auto"/>
              </w:rPr>
            </w:pPr>
            <w:r>
              <w:rPr>
                <w:rFonts w:ascii="Arial" w:cs="Arial" w:eastAsia="Arial" w:hAnsi="Arial"/>
                <w:sz w:val="16"/>
                <w:szCs w:val="16"/>
                <w:color w:val="auto"/>
              </w:rPr>
              <w:t>45%</w:t>
            </w:r>
          </w:p>
        </w:tc>
        <w:tc>
          <w:tcPr>
            <w:tcW w:w="2320" w:type="dxa"/>
            <w:vAlign w:val="bottom"/>
          </w:tcPr>
          <w:p>
            <w:pPr>
              <w:jc w:val="right"/>
              <w:ind w:right="763"/>
              <w:spacing w:after="0"/>
              <w:rPr>
                <w:sz w:val="20"/>
                <w:szCs w:val="20"/>
                <w:color w:val="auto"/>
              </w:rPr>
            </w:pPr>
            <w:r>
              <w:rPr>
                <w:rFonts w:ascii="Arial" w:cs="Arial" w:eastAsia="Arial" w:hAnsi="Arial"/>
                <w:sz w:val="16"/>
                <w:szCs w:val="16"/>
                <w:color w:val="auto"/>
              </w:rPr>
              <w:t>59%</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249,444</w:t>
            </w:r>
          </w:p>
        </w:tc>
        <w:tc>
          <w:tcPr>
            <w:tcW w:w="20" w:type="dxa"/>
            <w:vAlign w:val="bottom"/>
          </w:tcPr>
          <w:p>
            <w:pPr>
              <w:spacing w:after="0"/>
              <w:rPr>
                <w:sz w:val="21"/>
                <w:szCs w:val="21"/>
                <w:color w:val="auto"/>
              </w:rPr>
            </w:pPr>
          </w:p>
        </w:tc>
      </w:tr>
      <w:tr>
        <w:trPr>
          <w:trHeight w:val="260"/>
        </w:trPr>
        <w:tc>
          <w:tcPr>
            <w:tcW w:w="4460" w:type="dxa"/>
            <w:vAlign w:val="bottom"/>
            <w:tcBorders>
              <w:bottom w:val="single" w:sz="8" w:color="0071CE"/>
            </w:tcBorders>
            <w:shd w:val="clear" w:color="auto" w:fill="E5E5E5"/>
          </w:tcPr>
          <w:p>
            <w:pPr>
              <w:ind w:left="60"/>
              <w:spacing w:after="0"/>
              <w:rPr>
                <w:sz w:val="20"/>
                <w:szCs w:val="20"/>
                <w:color w:val="auto"/>
              </w:rPr>
            </w:pPr>
            <w:r>
              <w:rPr>
                <w:rFonts w:ascii="Arial" w:cs="Arial" w:eastAsia="Arial" w:hAnsi="Arial"/>
                <w:sz w:val="16"/>
                <w:szCs w:val="16"/>
                <w:color w:val="auto"/>
              </w:rPr>
              <w:t>Dr. Li (1)</w:t>
            </w:r>
          </w:p>
        </w:tc>
        <w:tc>
          <w:tcPr>
            <w:tcW w:w="2520" w:type="dxa"/>
            <w:vAlign w:val="bottom"/>
            <w:tcBorders>
              <w:bottom w:val="single" w:sz="8" w:color="0071CE"/>
            </w:tcBorders>
            <w:shd w:val="clear" w:color="auto" w:fill="E5E5E5"/>
          </w:tcPr>
          <w:p>
            <w:pPr>
              <w:jc w:val="right"/>
              <w:ind w:right="664"/>
              <w:spacing w:after="0"/>
              <w:rPr>
                <w:sz w:val="20"/>
                <w:szCs w:val="20"/>
                <w:color w:val="auto"/>
              </w:rPr>
            </w:pPr>
            <w:r>
              <w:rPr>
                <w:rFonts w:ascii="Arial" w:cs="Arial" w:eastAsia="Arial" w:hAnsi="Arial"/>
                <w:sz w:val="16"/>
                <w:szCs w:val="16"/>
                <w:color w:val="auto"/>
              </w:rPr>
              <w:t>40%</w:t>
            </w:r>
          </w:p>
        </w:tc>
        <w:tc>
          <w:tcPr>
            <w:tcW w:w="2320" w:type="dxa"/>
            <w:vAlign w:val="bottom"/>
            <w:tcBorders>
              <w:bottom w:val="single" w:sz="8" w:color="0071CE"/>
            </w:tcBorders>
            <w:shd w:val="clear" w:color="auto" w:fill="E5E5E5"/>
          </w:tcPr>
          <w:p>
            <w:pPr>
              <w:jc w:val="right"/>
              <w:ind w:right="763"/>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2"/>
                <w:szCs w:val="22"/>
                <w:color w:val="auto"/>
              </w:rPr>
            </w:pPr>
          </w:p>
        </w:tc>
      </w:tr>
    </w:tbl>
    <w:p>
      <w:pPr>
        <w:spacing w:after="0" w:line="86" w:lineRule="exact"/>
        <w:rPr>
          <w:sz w:val="20"/>
          <w:szCs w:val="20"/>
          <w:color w:val="auto"/>
        </w:rPr>
      </w:pPr>
    </w:p>
    <w:p>
      <w:pPr>
        <w:ind w:left="640" w:hanging="430"/>
        <w:spacing w:after="0"/>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Dr. Li’s employment with the Company terminated in February 2019.</w:t>
      </w:r>
    </w:p>
    <w:p>
      <w:pPr>
        <w:spacing w:after="0" w:line="214" w:lineRule="exact"/>
        <w:rPr>
          <w:sz w:val="20"/>
          <w:szCs w:val="20"/>
          <w:color w:val="auto"/>
        </w:rPr>
      </w:pPr>
    </w:p>
    <w:p>
      <w:pPr>
        <w:ind w:left="220" w:right="320"/>
        <w:spacing w:after="0" w:line="260" w:lineRule="auto"/>
        <w:rPr>
          <w:sz w:val="20"/>
          <w:szCs w:val="20"/>
          <w:color w:val="auto"/>
        </w:rPr>
      </w:pPr>
      <w:r>
        <w:rPr>
          <w:rFonts w:ascii="Arial" w:cs="Arial" w:eastAsia="Arial" w:hAnsi="Arial"/>
          <w:sz w:val="16"/>
          <w:szCs w:val="16"/>
          <w:color w:val="auto"/>
        </w:rPr>
        <w:t>The annual incentive award payments made to our Named Executive Officers for fiscal 2019 are set forth in the “Fiscal 2019 Summary Compensation Table” below.</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Long-Term Incentive Compensation</w:t>
      </w:r>
    </w:p>
    <w:p>
      <w:pPr>
        <w:spacing w:after="0" w:line="124" w:lineRule="exact"/>
        <w:rPr>
          <w:sz w:val="20"/>
          <w:szCs w:val="20"/>
          <w:color w:val="auto"/>
        </w:rPr>
      </w:pPr>
    </w:p>
    <w:p>
      <w:pPr>
        <w:ind w:left="220" w:right="260"/>
        <w:spacing w:after="0" w:line="250" w:lineRule="auto"/>
        <w:rPr>
          <w:sz w:val="20"/>
          <w:szCs w:val="20"/>
          <w:color w:val="auto"/>
        </w:rPr>
      </w:pPr>
      <w:r>
        <w:rPr>
          <w:rFonts w:ascii="Arial" w:cs="Arial" w:eastAsia="Arial" w:hAnsi="Arial"/>
          <w:sz w:val="16"/>
          <w:szCs w:val="16"/>
          <w:color w:val="auto"/>
        </w:rPr>
        <w:t>We view long-term incentive compensation in the form of equity awards as a critical element of our executive compensation program. The realizable value of these equity awards over time bears a direct relationship to our stock price, and, therefore, these awards are an incentive for our executive officers, including our Named Executive Officers, to create value for our stockholders. Equity awards also help us retain qualified executive officers in a competitive market.</w:t>
      </w:r>
    </w:p>
    <w:p>
      <w:pPr>
        <w:spacing w:after="0" w:line="205"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Long-term incentive compensation opportunities in the form of equity awards are granted to our executive officers by the Compensation Committee. The amount and forms of such equity awards are determined by the Compensation Committee after considering the factors described in “Governance of Executive Compensation Program — Compensation-Setting Process” above.</w:t>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2019 Long-Term Incentive Awards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Performance-Based RSU Award for Chief Executive Officer</w:t>
      </w:r>
    </w:p>
    <w:p>
      <w:pPr>
        <w:spacing w:after="0" w:line="106" w:lineRule="exact"/>
        <w:rPr>
          <w:sz w:val="20"/>
          <w:szCs w:val="20"/>
          <w:color w:val="auto"/>
        </w:rPr>
      </w:pPr>
    </w:p>
    <w:p>
      <w:pPr>
        <w:ind w:left="220" w:right="240"/>
        <w:spacing w:after="0" w:line="253" w:lineRule="auto"/>
        <w:rPr>
          <w:sz w:val="20"/>
          <w:szCs w:val="20"/>
          <w:color w:val="auto"/>
        </w:rPr>
      </w:pPr>
      <w:r>
        <w:rPr>
          <w:rFonts w:ascii="Arial" w:cs="Arial" w:eastAsia="Arial" w:hAnsi="Arial"/>
          <w:sz w:val="16"/>
          <w:szCs w:val="16"/>
          <w:color w:val="auto"/>
        </w:rPr>
        <w:t>Annual equity awards granted to our executive officers are solely in the form of RSU awards that may be settled for shares of our common stock. In the case of our CEO, the award is entirely performance-based. On January 1, 2019, Dr. Anzalone was granted a performance-based RSU (“PRSU”) of 600,000 shares to be vested in three equal installments on the achievement of the following milestones:</w:t>
      </w:r>
    </w:p>
    <w:p>
      <w:pPr>
        <w:spacing w:after="0" w:line="106" w:lineRule="exact"/>
        <w:rPr>
          <w:sz w:val="20"/>
          <w:szCs w:val="20"/>
          <w:color w:val="auto"/>
        </w:rPr>
      </w:pPr>
    </w:p>
    <w:p>
      <w:pPr>
        <w:ind w:left="540" w:hanging="222"/>
        <w:spacing w:after="0"/>
        <w:tabs>
          <w:tab w:leader="none" w:pos="540" w:val="left"/>
        </w:tabs>
        <w:numPr>
          <w:ilvl w:val="0"/>
          <w:numId w:val="50"/>
        </w:numPr>
        <w:rPr>
          <w:rFonts w:ascii="Arial" w:cs="Arial" w:eastAsia="Arial" w:hAnsi="Arial"/>
          <w:sz w:val="16"/>
          <w:szCs w:val="16"/>
          <w:color w:val="0071CE"/>
        </w:rPr>
      </w:pPr>
      <w:r>
        <w:rPr>
          <w:rFonts w:ascii="Arial" w:cs="Arial" w:eastAsia="Arial" w:hAnsi="Arial"/>
          <w:sz w:val="16"/>
          <w:szCs w:val="16"/>
          <w:color w:val="auto"/>
        </w:rPr>
        <w:t>Achieve market capitalization of $2 billion and hold for 6 six months;</w:t>
      </w:r>
    </w:p>
    <w:p>
      <w:pPr>
        <w:spacing w:after="0" w:line="126" w:lineRule="exact"/>
        <w:rPr>
          <w:rFonts w:ascii="Arial" w:cs="Arial" w:eastAsia="Arial" w:hAnsi="Arial"/>
          <w:sz w:val="16"/>
          <w:szCs w:val="16"/>
          <w:color w:val="0071CE"/>
        </w:rPr>
      </w:pPr>
    </w:p>
    <w:p>
      <w:pPr>
        <w:ind w:left="540" w:hanging="222"/>
        <w:spacing w:after="0"/>
        <w:tabs>
          <w:tab w:leader="none" w:pos="540" w:val="left"/>
        </w:tabs>
        <w:numPr>
          <w:ilvl w:val="0"/>
          <w:numId w:val="50"/>
        </w:numPr>
        <w:rPr>
          <w:rFonts w:ascii="Arial" w:cs="Arial" w:eastAsia="Arial" w:hAnsi="Arial"/>
          <w:sz w:val="16"/>
          <w:szCs w:val="16"/>
          <w:color w:val="0071CE"/>
        </w:rPr>
      </w:pPr>
      <w:r>
        <w:rPr>
          <w:rFonts w:ascii="Arial" w:cs="Arial" w:eastAsia="Arial" w:hAnsi="Arial"/>
          <w:sz w:val="16"/>
          <w:szCs w:val="16"/>
          <w:color w:val="auto"/>
        </w:rPr>
        <w:t>File a clinical trial application or IND for lung- or muscle-targeted candidate; and</w:t>
      </w:r>
    </w:p>
    <w:p>
      <w:pPr>
        <w:spacing w:after="0" w:line="121" w:lineRule="exact"/>
        <w:rPr>
          <w:rFonts w:ascii="Arial" w:cs="Arial" w:eastAsia="Arial" w:hAnsi="Arial"/>
          <w:sz w:val="16"/>
          <w:szCs w:val="16"/>
          <w:color w:val="0071CE"/>
        </w:rPr>
      </w:pPr>
    </w:p>
    <w:p>
      <w:pPr>
        <w:ind w:left="540" w:hanging="222"/>
        <w:spacing w:after="0"/>
        <w:tabs>
          <w:tab w:leader="none" w:pos="540" w:val="left"/>
        </w:tabs>
        <w:numPr>
          <w:ilvl w:val="0"/>
          <w:numId w:val="50"/>
        </w:numPr>
        <w:rPr>
          <w:rFonts w:ascii="Arial" w:cs="Arial" w:eastAsia="Arial" w:hAnsi="Arial"/>
          <w:sz w:val="16"/>
          <w:szCs w:val="16"/>
          <w:color w:val="0071CE"/>
        </w:rPr>
      </w:pPr>
      <w:r>
        <w:rPr>
          <w:rFonts w:ascii="Arial" w:cs="Arial" w:eastAsia="Arial" w:hAnsi="Arial"/>
          <w:sz w:val="16"/>
          <w:szCs w:val="16"/>
          <w:color w:val="auto"/>
        </w:rPr>
        <w:t>Mantain 8 TRiM</w:t>
      </w:r>
      <w:r>
        <w:rPr>
          <w:rFonts w:ascii="Arial" w:cs="Arial" w:eastAsia="Arial" w:hAnsi="Arial"/>
          <w:sz w:val="27"/>
          <w:szCs w:val="27"/>
          <w:color w:val="auto"/>
          <w:vertAlign w:val="superscript"/>
        </w:rPr>
        <w:t>™</w:t>
      </w:r>
      <w:r>
        <w:rPr>
          <w:rFonts w:ascii="Arial" w:cs="Arial" w:eastAsia="Arial" w:hAnsi="Arial"/>
          <w:sz w:val="16"/>
          <w:szCs w:val="16"/>
          <w:color w:val="auto"/>
        </w:rPr>
        <w:t>-enabled candidates in the clinic at the same time. Candidates can either be wholly owned or partnered.</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milestones must be achieved by January 1, 2021 or the grant will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95885</wp:posOffset>
            </wp:positionV>
            <wp:extent cx="984885"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62"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27</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Results from PRSU Awards Previously Granted</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Compensation Committee has certified achievement of the performance milestones and the vesting of the following PRSUs granted to our CEO.</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3660" w:type="dxa"/>
            <w:vAlign w:val="bottom"/>
            <w:shd w:val="clear" w:color="auto" w:fill="0071CE"/>
          </w:tcPr>
          <w:p>
            <w:pPr>
              <w:spacing w:after="0"/>
              <w:rPr>
                <w:sz w:val="15"/>
                <w:szCs w:val="15"/>
                <w:color w:val="auto"/>
              </w:rPr>
            </w:pPr>
          </w:p>
        </w:tc>
        <w:tc>
          <w:tcPr>
            <w:tcW w:w="3980" w:type="dxa"/>
            <w:vAlign w:val="bottom"/>
            <w:shd w:val="clear" w:color="auto" w:fill="0071CE"/>
          </w:tcPr>
          <w:p>
            <w:pPr>
              <w:spacing w:after="0"/>
              <w:rPr>
                <w:sz w:val="15"/>
                <w:szCs w:val="15"/>
                <w:color w:val="auto"/>
              </w:rPr>
            </w:pPr>
          </w:p>
        </w:tc>
        <w:tc>
          <w:tcPr>
            <w:tcW w:w="3360" w:type="dxa"/>
            <w:vAlign w:val="bottom"/>
            <w:shd w:val="clear" w:color="auto" w:fill="0071CE"/>
          </w:tcPr>
          <w:p>
            <w:pPr>
              <w:ind w:left="1260"/>
              <w:spacing w:after="0"/>
              <w:rPr>
                <w:sz w:val="20"/>
                <w:szCs w:val="20"/>
                <w:color w:val="auto"/>
              </w:rPr>
            </w:pPr>
            <w:r>
              <w:rPr>
                <w:rFonts w:ascii="Arial" w:cs="Arial" w:eastAsia="Arial" w:hAnsi="Arial"/>
                <w:sz w:val="14"/>
                <w:szCs w:val="14"/>
                <w:b w:val="1"/>
                <w:bCs w:val="1"/>
                <w:color w:val="FFFFFF"/>
              </w:rPr>
              <w:t>No. of Shares</w:t>
            </w:r>
          </w:p>
        </w:tc>
        <w:tc>
          <w:tcPr>
            <w:tcW w:w="20" w:type="dxa"/>
            <w:vAlign w:val="bottom"/>
            <w:shd w:val="clear" w:color="auto" w:fill="0071CE"/>
          </w:tcPr>
          <w:p>
            <w:pPr>
              <w:spacing w:after="0"/>
              <w:rPr>
                <w:sz w:val="15"/>
                <w:szCs w:val="15"/>
                <w:color w:val="auto"/>
              </w:rPr>
            </w:pPr>
          </w:p>
        </w:tc>
      </w:tr>
      <w:tr>
        <w:trPr>
          <w:trHeight w:val="209"/>
        </w:trPr>
        <w:tc>
          <w:tcPr>
            <w:tcW w:w="366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Performance Goal</w:t>
            </w:r>
          </w:p>
        </w:tc>
        <w:tc>
          <w:tcPr>
            <w:tcW w:w="3980" w:type="dxa"/>
            <w:vAlign w:val="bottom"/>
            <w:tcBorders>
              <w:bottom w:val="single" w:sz="8" w:color="0071CE"/>
            </w:tcBorders>
            <w:shd w:val="clear" w:color="auto" w:fill="0071CE"/>
          </w:tcPr>
          <w:p>
            <w:pPr>
              <w:ind w:left="1660"/>
              <w:spacing w:after="0"/>
              <w:rPr>
                <w:sz w:val="20"/>
                <w:szCs w:val="20"/>
                <w:color w:val="auto"/>
              </w:rPr>
            </w:pPr>
            <w:r>
              <w:rPr>
                <w:rFonts w:ascii="Arial" w:cs="Arial" w:eastAsia="Arial" w:hAnsi="Arial"/>
                <w:sz w:val="14"/>
                <w:szCs w:val="14"/>
                <w:b w:val="1"/>
                <w:bCs w:val="1"/>
                <w:color w:val="FFFFFF"/>
              </w:rPr>
              <w:t>Achievement</w:t>
            </w:r>
          </w:p>
        </w:tc>
        <w:tc>
          <w:tcPr>
            <w:tcW w:w="3360" w:type="dxa"/>
            <w:vAlign w:val="bottom"/>
            <w:tcBorders>
              <w:bottom w:val="single" w:sz="8" w:color="0071CE"/>
            </w:tcBorders>
            <w:shd w:val="clear" w:color="auto" w:fill="0071CE"/>
          </w:tcPr>
          <w:p>
            <w:pPr>
              <w:ind w:left="1080"/>
              <w:spacing w:after="0"/>
              <w:rPr>
                <w:sz w:val="20"/>
                <w:szCs w:val="20"/>
                <w:color w:val="auto"/>
              </w:rPr>
            </w:pPr>
            <w:r>
              <w:rPr>
                <w:rFonts w:ascii="Arial" w:cs="Arial" w:eastAsia="Arial" w:hAnsi="Arial"/>
                <w:sz w:val="14"/>
                <w:szCs w:val="14"/>
                <w:b w:val="1"/>
                <w:bCs w:val="1"/>
                <w:color w:val="FFFFFF"/>
              </w:rPr>
              <w:t>Certified as Vested</w:t>
            </w:r>
          </w:p>
        </w:tc>
        <w:tc>
          <w:tcPr>
            <w:tcW w:w="20" w:type="dxa"/>
            <w:vAlign w:val="bottom"/>
            <w:tcBorders>
              <w:bottom w:val="single" w:sz="8" w:color="0071CE"/>
            </w:tcBorders>
            <w:shd w:val="clear" w:color="auto" w:fill="0071CE"/>
          </w:tcPr>
          <w:p>
            <w:pPr>
              <w:spacing w:after="0"/>
              <w:rPr>
                <w:sz w:val="18"/>
                <w:szCs w:val="18"/>
                <w:color w:val="auto"/>
              </w:rPr>
            </w:pPr>
          </w:p>
        </w:tc>
      </w:tr>
      <w:tr>
        <w:trPr>
          <w:trHeight w:val="231"/>
        </w:trPr>
        <w:tc>
          <w:tcPr>
            <w:tcW w:w="3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Achieve market capitalization of $2 billion and</w:t>
            </w:r>
          </w:p>
        </w:tc>
        <w:tc>
          <w:tcPr>
            <w:tcW w:w="39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Certified on 12/6/2019</w:t>
            </w:r>
          </w:p>
        </w:tc>
        <w:tc>
          <w:tcPr>
            <w:tcW w:w="33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200,000 shares pursuant to a PRSU award</w:t>
            </w:r>
          </w:p>
        </w:tc>
        <w:tc>
          <w:tcPr>
            <w:tcW w:w="20" w:type="dxa"/>
            <w:vAlign w:val="bottom"/>
          </w:tcPr>
          <w:p>
            <w:pPr>
              <w:spacing w:after="0"/>
              <w:rPr>
                <w:sz w:val="20"/>
                <w:szCs w:val="20"/>
                <w:color w:val="auto"/>
              </w:rPr>
            </w:pPr>
          </w:p>
        </w:tc>
      </w:tr>
      <w:tr>
        <w:trPr>
          <w:trHeight w:val="194"/>
        </w:trPr>
        <w:tc>
          <w:tcPr>
            <w:tcW w:w="3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hold for six months</w:t>
            </w:r>
          </w:p>
        </w:tc>
        <w:tc>
          <w:tcPr>
            <w:tcW w:w="3980" w:type="dxa"/>
            <w:vAlign w:val="bottom"/>
            <w:shd w:val="clear" w:color="auto" w:fill="E5E5E5"/>
          </w:tcPr>
          <w:p>
            <w:pPr>
              <w:spacing w:after="0"/>
              <w:rPr>
                <w:sz w:val="16"/>
                <w:szCs w:val="16"/>
                <w:color w:val="auto"/>
              </w:rPr>
            </w:pPr>
          </w:p>
        </w:tc>
        <w:tc>
          <w:tcPr>
            <w:tcW w:w="336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458"/>
        </w:trPr>
        <w:tc>
          <w:tcPr>
            <w:tcW w:w="36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i w:val="1"/>
                <w:iCs w:val="1"/>
                <w:color w:val="auto"/>
              </w:rPr>
              <w:t>Granted 01/01/2019</w:t>
            </w:r>
          </w:p>
        </w:tc>
        <w:tc>
          <w:tcPr>
            <w:tcW w:w="3980" w:type="dxa"/>
            <w:vAlign w:val="bottom"/>
            <w:tcBorders>
              <w:bottom w:val="single" w:sz="8" w:color="E5E5E5"/>
            </w:tcBorders>
            <w:shd w:val="clear" w:color="auto" w:fill="E5E5E5"/>
          </w:tcPr>
          <w:p>
            <w:pPr>
              <w:spacing w:after="0"/>
              <w:rPr>
                <w:sz w:val="24"/>
                <w:szCs w:val="24"/>
                <w:color w:val="auto"/>
              </w:rPr>
            </w:pPr>
          </w:p>
        </w:tc>
        <w:tc>
          <w:tcPr>
            <w:tcW w:w="3360" w:type="dxa"/>
            <w:vAlign w:val="bottom"/>
            <w:tcBorders>
              <w:bottom w:val="single" w:sz="8" w:color="E5E5E5"/>
            </w:tcBorders>
            <w:shd w:val="clear" w:color="auto" w:fill="E5E5E5"/>
          </w:tcPr>
          <w:p>
            <w:pPr>
              <w:spacing w:after="0"/>
              <w:rPr>
                <w:sz w:val="24"/>
                <w:szCs w:val="24"/>
                <w:color w:val="auto"/>
              </w:rPr>
            </w:pPr>
          </w:p>
        </w:tc>
        <w:tc>
          <w:tcPr>
            <w:tcW w:w="20" w:type="dxa"/>
            <w:vAlign w:val="bottom"/>
          </w:tcPr>
          <w:p>
            <w:pPr>
              <w:spacing w:after="0"/>
              <w:rPr>
                <w:sz w:val="24"/>
                <w:szCs w:val="24"/>
                <w:color w:val="auto"/>
              </w:rPr>
            </w:pPr>
          </w:p>
        </w:tc>
      </w:tr>
      <w:tr>
        <w:trPr>
          <w:trHeight w:val="231"/>
        </w:trPr>
        <w:tc>
          <w:tcPr>
            <w:tcW w:w="3660" w:type="dxa"/>
            <w:vAlign w:val="bottom"/>
          </w:tcPr>
          <w:p>
            <w:pPr>
              <w:ind w:left="60"/>
              <w:spacing w:after="0"/>
              <w:rPr>
                <w:sz w:val="20"/>
                <w:szCs w:val="20"/>
                <w:color w:val="auto"/>
              </w:rPr>
            </w:pPr>
            <w:r>
              <w:rPr>
                <w:rFonts w:ascii="Arial" w:cs="Arial" w:eastAsia="Arial" w:hAnsi="Arial"/>
                <w:sz w:val="16"/>
                <w:szCs w:val="16"/>
                <w:color w:val="auto"/>
              </w:rPr>
              <w:t>Initiate a study that could be pivotal or meet</w:t>
            </w:r>
          </w:p>
        </w:tc>
        <w:tc>
          <w:tcPr>
            <w:tcW w:w="3980" w:type="dxa"/>
            <w:vAlign w:val="bottom"/>
          </w:tcPr>
          <w:p>
            <w:pPr>
              <w:ind w:left="220"/>
              <w:spacing w:after="0"/>
              <w:rPr>
                <w:sz w:val="20"/>
                <w:szCs w:val="20"/>
                <w:color w:val="auto"/>
              </w:rPr>
            </w:pPr>
            <w:r>
              <w:rPr>
                <w:rFonts w:ascii="Arial" w:cs="Arial" w:eastAsia="Arial" w:hAnsi="Arial"/>
                <w:sz w:val="16"/>
                <w:szCs w:val="16"/>
                <w:color w:val="auto"/>
              </w:rPr>
              <w:t>Certified on 12/6/2019</w:t>
            </w:r>
          </w:p>
        </w:tc>
        <w:tc>
          <w:tcPr>
            <w:tcW w:w="3360" w:type="dxa"/>
            <w:vAlign w:val="bottom"/>
          </w:tcPr>
          <w:p>
            <w:pPr>
              <w:ind w:left="120"/>
              <w:spacing w:after="0"/>
              <w:rPr>
                <w:sz w:val="20"/>
                <w:szCs w:val="20"/>
                <w:color w:val="auto"/>
              </w:rPr>
            </w:pPr>
            <w:r>
              <w:rPr>
                <w:rFonts w:ascii="Arial" w:cs="Arial" w:eastAsia="Arial" w:hAnsi="Arial"/>
                <w:sz w:val="16"/>
                <w:szCs w:val="16"/>
                <w:color w:val="auto"/>
              </w:rPr>
              <w:t>166,666 shares pursuant to a PRSU award</w:t>
            </w:r>
          </w:p>
        </w:tc>
        <w:tc>
          <w:tcPr>
            <w:tcW w:w="20" w:type="dxa"/>
            <w:vAlign w:val="bottom"/>
          </w:tcPr>
          <w:p>
            <w:pPr>
              <w:spacing w:after="0"/>
              <w:rPr>
                <w:sz w:val="20"/>
                <w:szCs w:val="20"/>
                <w:color w:val="auto"/>
              </w:rPr>
            </w:pPr>
          </w:p>
        </w:tc>
      </w:tr>
      <w:tr>
        <w:trPr>
          <w:trHeight w:val="189"/>
        </w:trPr>
        <w:tc>
          <w:tcPr>
            <w:tcW w:w="3660" w:type="dxa"/>
            <w:vAlign w:val="bottom"/>
          </w:tcPr>
          <w:p>
            <w:pPr>
              <w:ind w:left="60"/>
              <w:spacing w:after="0"/>
              <w:rPr>
                <w:sz w:val="20"/>
                <w:szCs w:val="20"/>
                <w:color w:val="auto"/>
              </w:rPr>
            </w:pPr>
            <w:r>
              <w:rPr>
                <w:rFonts w:ascii="Arial" w:cs="Arial" w:eastAsia="Arial" w:hAnsi="Arial"/>
                <w:sz w:val="16"/>
                <w:szCs w:val="16"/>
                <w:color w:val="auto"/>
              </w:rPr>
              <w:t>criteria that big pharma would consider to be</w:t>
            </w:r>
          </w:p>
        </w:tc>
        <w:tc>
          <w:tcPr>
            <w:tcW w:w="3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3660" w:type="dxa"/>
            <w:vAlign w:val="bottom"/>
          </w:tcPr>
          <w:p>
            <w:pPr>
              <w:ind w:left="60"/>
              <w:spacing w:after="0"/>
              <w:rPr>
                <w:sz w:val="20"/>
                <w:szCs w:val="20"/>
                <w:color w:val="auto"/>
              </w:rPr>
            </w:pPr>
            <w:r>
              <w:rPr>
                <w:rFonts w:ascii="Arial" w:cs="Arial" w:eastAsia="Arial" w:hAnsi="Arial"/>
                <w:sz w:val="16"/>
                <w:szCs w:val="16"/>
                <w:color w:val="auto"/>
              </w:rPr>
              <w:t>proof-of-concept</w:t>
            </w:r>
          </w:p>
        </w:tc>
        <w:tc>
          <w:tcPr>
            <w:tcW w:w="3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32"/>
        </w:trPr>
        <w:tc>
          <w:tcPr>
            <w:tcW w:w="3660" w:type="dxa"/>
            <w:vAlign w:val="bottom"/>
          </w:tcPr>
          <w:p>
            <w:pPr>
              <w:ind w:left="60"/>
              <w:spacing w:after="0"/>
              <w:rPr>
                <w:sz w:val="20"/>
                <w:szCs w:val="20"/>
                <w:color w:val="auto"/>
              </w:rPr>
            </w:pPr>
            <w:r>
              <w:rPr>
                <w:rFonts w:ascii="Arial" w:cs="Arial" w:eastAsia="Arial" w:hAnsi="Arial"/>
                <w:sz w:val="16"/>
                <w:szCs w:val="16"/>
                <w:i w:val="1"/>
                <w:iCs w:val="1"/>
                <w:color w:val="auto"/>
              </w:rPr>
              <w:t>Granted 01/01/2018</w:t>
            </w:r>
          </w:p>
        </w:tc>
        <w:tc>
          <w:tcPr>
            <w:tcW w:w="3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
        </w:trPr>
        <w:tc>
          <w:tcPr>
            <w:tcW w:w="3660" w:type="dxa"/>
            <w:vAlign w:val="bottom"/>
          </w:tcPr>
          <w:p>
            <w:pPr>
              <w:spacing w:after="0"/>
              <w:rPr>
                <w:sz w:val="4"/>
                <w:szCs w:val="4"/>
                <w:color w:val="auto"/>
              </w:rPr>
            </w:pPr>
          </w:p>
        </w:tc>
        <w:tc>
          <w:tcPr>
            <w:tcW w:w="39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1"/>
        </w:trPr>
        <w:tc>
          <w:tcPr>
            <w:tcW w:w="3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Execute a business development transaction for a</w:t>
            </w:r>
          </w:p>
        </w:tc>
        <w:tc>
          <w:tcPr>
            <w:tcW w:w="39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The compensation committee deemed this</w:t>
            </w:r>
          </w:p>
        </w:tc>
        <w:tc>
          <w:tcPr>
            <w:tcW w:w="33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166,667 shares pursuant to a PRSU award</w:t>
            </w:r>
          </w:p>
        </w:tc>
        <w:tc>
          <w:tcPr>
            <w:tcW w:w="20" w:type="dxa"/>
            <w:vAlign w:val="bottom"/>
          </w:tcPr>
          <w:p>
            <w:pPr>
              <w:spacing w:after="0"/>
              <w:rPr>
                <w:sz w:val="20"/>
                <w:szCs w:val="20"/>
                <w:color w:val="auto"/>
              </w:rPr>
            </w:pPr>
          </w:p>
        </w:tc>
      </w:tr>
      <w:tr>
        <w:trPr>
          <w:trHeight w:val="189"/>
        </w:trPr>
        <w:tc>
          <w:tcPr>
            <w:tcW w:w="3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target outside hepatocytes</w:t>
            </w:r>
          </w:p>
        </w:tc>
        <w:tc>
          <w:tcPr>
            <w:tcW w:w="39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performance goal to be met on 12/22/2019 as the</w:t>
            </w:r>
          </w:p>
        </w:tc>
        <w:tc>
          <w:tcPr>
            <w:tcW w:w="336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660" w:type="dxa"/>
            <w:vAlign w:val="bottom"/>
            <w:shd w:val="clear" w:color="auto" w:fill="E5E5E5"/>
          </w:tcPr>
          <w:p>
            <w:pPr>
              <w:spacing w:after="0"/>
              <w:rPr>
                <w:sz w:val="16"/>
                <w:szCs w:val="16"/>
                <w:color w:val="auto"/>
              </w:rPr>
            </w:pPr>
          </w:p>
        </w:tc>
        <w:tc>
          <w:tcPr>
            <w:tcW w:w="39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intent of the performance goal was substantially</w:t>
            </w:r>
          </w:p>
        </w:tc>
        <w:tc>
          <w:tcPr>
            <w:tcW w:w="336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275"/>
        </w:trPr>
        <w:tc>
          <w:tcPr>
            <w:tcW w:w="36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i w:val="1"/>
                <w:iCs w:val="1"/>
                <w:color w:val="auto"/>
              </w:rPr>
              <w:t>Granted 1/1/2018</w:t>
            </w:r>
          </w:p>
        </w:tc>
        <w:tc>
          <w:tcPr>
            <w:tcW w:w="398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6"/>
                <w:szCs w:val="16"/>
                <w:color w:val="auto"/>
              </w:rPr>
              <w:t>met.</w:t>
            </w:r>
          </w:p>
        </w:tc>
        <w:tc>
          <w:tcPr>
            <w:tcW w:w="3360" w:type="dxa"/>
            <w:vAlign w:val="bottom"/>
            <w:tcBorders>
              <w:bottom w:val="single" w:sz="8" w:color="E5E5E5"/>
            </w:tcBorders>
            <w:shd w:val="clear" w:color="auto" w:fill="E5E5E5"/>
          </w:tcPr>
          <w:p>
            <w:pPr>
              <w:spacing w:after="0"/>
              <w:rPr>
                <w:sz w:val="23"/>
                <w:szCs w:val="23"/>
                <w:color w:val="auto"/>
              </w:rPr>
            </w:pPr>
          </w:p>
        </w:tc>
        <w:tc>
          <w:tcPr>
            <w:tcW w:w="20" w:type="dxa"/>
            <w:vAlign w:val="bottom"/>
          </w:tcPr>
          <w:p>
            <w:pPr>
              <w:spacing w:after="0"/>
              <w:rPr>
                <w:sz w:val="23"/>
                <w:szCs w:val="23"/>
                <w:color w:val="auto"/>
              </w:rPr>
            </w:pPr>
          </w:p>
        </w:tc>
      </w:tr>
      <w:tr>
        <w:trPr>
          <w:trHeight w:val="231"/>
        </w:trPr>
        <w:tc>
          <w:tcPr>
            <w:tcW w:w="3660" w:type="dxa"/>
            <w:vAlign w:val="bottom"/>
          </w:tcPr>
          <w:p>
            <w:pPr>
              <w:ind w:left="60"/>
              <w:spacing w:after="0"/>
              <w:rPr>
                <w:sz w:val="20"/>
                <w:szCs w:val="20"/>
                <w:color w:val="auto"/>
              </w:rPr>
            </w:pPr>
            <w:r>
              <w:rPr>
                <w:rFonts w:ascii="Arial" w:cs="Arial" w:eastAsia="Arial" w:hAnsi="Arial"/>
                <w:sz w:val="16"/>
                <w:szCs w:val="16"/>
                <w:color w:val="auto"/>
              </w:rPr>
              <w:t>Achieve $1 billion market capitalization and hold</w:t>
            </w:r>
          </w:p>
        </w:tc>
        <w:tc>
          <w:tcPr>
            <w:tcW w:w="3980" w:type="dxa"/>
            <w:vAlign w:val="bottom"/>
          </w:tcPr>
          <w:p>
            <w:pPr>
              <w:ind w:left="220"/>
              <w:spacing w:after="0"/>
              <w:rPr>
                <w:sz w:val="20"/>
                <w:szCs w:val="20"/>
                <w:color w:val="auto"/>
              </w:rPr>
            </w:pPr>
            <w:r>
              <w:rPr>
                <w:rFonts w:ascii="Arial" w:cs="Arial" w:eastAsia="Arial" w:hAnsi="Arial"/>
                <w:sz w:val="16"/>
                <w:szCs w:val="16"/>
                <w:color w:val="auto"/>
              </w:rPr>
              <w:t>Achieved on 12/18/2018</w:t>
            </w:r>
          </w:p>
        </w:tc>
        <w:tc>
          <w:tcPr>
            <w:tcW w:w="3360" w:type="dxa"/>
            <w:vAlign w:val="bottom"/>
          </w:tcPr>
          <w:p>
            <w:pPr>
              <w:ind w:left="120"/>
              <w:spacing w:after="0"/>
              <w:rPr>
                <w:sz w:val="20"/>
                <w:szCs w:val="20"/>
                <w:color w:val="auto"/>
              </w:rPr>
            </w:pPr>
            <w:r>
              <w:rPr>
                <w:rFonts w:ascii="Arial" w:cs="Arial" w:eastAsia="Arial" w:hAnsi="Arial"/>
                <w:sz w:val="16"/>
                <w:szCs w:val="16"/>
                <w:color w:val="auto"/>
              </w:rPr>
              <w:t>180,000 shares pursuant to a PRSU award</w:t>
            </w:r>
          </w:p>
        </w:tc>
        <w:tc>
          <w:tcPr>
            <w:tcW w:w="20" w:type="dxa"/>
            <w:vAlign w:val="bottom"/>
          </w:tcPr>
          <w:p>
            <w:pPr>
              <w:spacing w:after="0"/>
              <w:rPr>
                <w:sz w:val="20"/>
                <w:szCs w:val="20"/>
                <w:color w:val="auto"/>
              </w:rPr>
            </w:pPr>
          </w:p>
        </w:tc>
      </w:tr>
      <w:tr>
        <w:trPr>
          <w:trHeight w:val="194"/>
        </w:trPr>
        <w:tc>
          <w:tcPr>
            <w:tcW w:w="3660" w:type="dxa"/>
            <w:vAlign w:val="bottom"/>
          </w:tcPr>
          <w:p>
            <w:pPr>
              <w:ind w:left="60"/>
              <w:spacing w:after="0"/>
              <w:rPr>
                <w:sz w:val="20"/>
                <w:szCs w:val="20"/>
                <w:color w:val="auto"/>
              </w:rPr>
            </w:pPr>
            <w:r>
              <w:rPr>
                <w:rFonts w:ascii="Arial" w:cs="Arial" w:eastAsia="Arial" w:hAnsi="Arial"/>
                <w:sz w:val="16"/>
                <w:szCs w:val="16"/>
                <w:color w:val="auto"/>
              </w:rPr>
              <w:t>for 2 quarters</w:t>
            </w:r>
          </w:p>
        </w:tc>
        <w:tc>
          <w:tcPr>
            <w:tcW w:w="3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32"/>
        </w:trPr>
        <w:tc>
          <w:tcPr>
            <w:tcW w:w="3660" w:type="dxa"/>
            <w:vAlign w:val="bottom"/>
          </w:tcPr>
          <w:p>
            <w:pPr>
              <w:ind w:left="60"/>
              <w:spacing w:after="0"/>
              <w:rPr>
                <w:sz w:val="20"/>
                <w:szCs w:val="20"/>
                <w:color w:val="auto"/>
              </w:rPr>
            </w:pPr>
            <w:r>
              <w:rPr>
                <w:rFonts w:ascii="Arial" w:cs="Arial" w:eastAsia="Arial" w:hAnsi="Arial"/>
                <w:sz w:val="16"/>
                <w:szCs w:val="16"/>
                <w:i w:val="1"/>
                <w:iCs w:val="1"/>
                <w:color w:val="auto"/>
              </w:rPr>
              <w:t>Granted 1/1/2016</w:t>
            </w:r>
          </w:p>
        </w:tc>
        <w:tc>
          <w:tcPr>
            <w:tcW w:w="3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
        </w:trPr>
        <w:tc>
          <w:tcPr>
            <w:tcW w:w="3660" w:type="dxa"/>
            <w:vAlign w:val="bottom"/>
          </w:tcPr>
          <w:p>
            <w:pPr>
              <w:spacing w:after="0"/>
              <w:rPr>
                <w:sz w:val="4"/>
                <w:szCs w:val="4"/>
                <w:color w:val="auto"/>
              </w:rPr>
            </w:pPr>
          </w:p>
        </w:tc>
        <w:tc>
          <w:tcPr>
            <w:tcW w:w="39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1"/>
        </w:trPr>
        <w:tc>
          <w:tcPr>
            <w:tcW w:w="3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File an IND or equivalent for an extra-hepatic</w:t>
            </w:r>
          </w:p>
        </w:tc>
        <w:tc>
          <w:tcPr>
            <w:tcW w:w="39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The Compensation Committee deemed this</w:t>
            </w:r>
          </w:p>
        </w:tc>
        <w:tc>
          <w:tcPr>
            <w:tcW w:w="33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180,000 shares pursuant to a PRSU award</w:t>
            </w:r>
          </w:p>
        </w:tc>
        <w:tc>
          <w:tcPr>
            <w:tcW w:w="20" w:type="dxa"/>
            <w:vAlign w:val="bottom"/>
          </w:tcPr>
          <w:p>
            <w:pPr>
              <w:spacing w:after="0"/>
              <w:rPr>
                <w:sz w:val="20"/>
                <w:szCs w:val="20"/>
                <w:color w:val="auto"/>
              </w:rPr>
            </w:pPr>
          </w:p>
        </w:tc>
      </w:tr>
      <w:tr>
        <w:trPr>
          <w:trHeight w:val="189"/>
        </w:trPr>
        <w:tc>
          <w:tcPr>
            <w:tcW w:w="3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target</w:t>
            </w:r>
          </w:p>
        </w:tc>
        <w:tc>
          <w:tcPr>
            <w:tcW w:w="39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completed on 12/11/2018, given that the Company</w:t>
            </w:r>
          </w:p>
        </w:tc>
        <w:tc>
          <w:tcPr>
            <w:tcW w:w="336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660" w:type="dxa"/>
            <w:vAlign w:val="bottom"/>
            <w:shd w:val="clear" w:color="auto" w:fill="E5E5E5"/>
          </w:tcPr>
          <w:p>
            <w:pPr>
              <w:spacing w:after="0"/>
              <w:rPr>
                <w:sz w:val="16"/>
                <w:szCs w:val="16"/>
                <w:color w:val="auto"/>
              </w:rPr>
            </w:pPr>
          </w:p>
        </w:tc>
        <w:tc>
          <w:tcPr>
            <w:tcW w:w="39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could have filed an IND for an extra-hepatic target,</w:t>
            </w:r>
          </w:p>
        </w:tc>
        <w:tc>
          <w:tcPr>
            <w:tcW w:w="336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275"/>
        </w:trPr>
        <w:tc>
          <w:tcPr>
            <w:tcW w:w="36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i w:val="1"/>
                <w:iCs w:val="1"/>
                <w:color w:val="auto"/>
              </w:rPr>
              <w:t>Granted 1/1/2016</w:t>
            </w:r>
          </w:p>
        </w:tc>
        <w:tc>
          <w:tcPr>
            <w:tcW w:w="398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6"/>
                <w:szCs w:val="16"/>
                <w:color w:val="auto"/>
              </w:rPr>
              <w:t>but chose to delay this filing for strategic purposes</w:t>
            </w:r>
          </w:p>
        </w:tc>
        <w:tc>
          <w:tcPr>
            <w:tcW w:w="3360" w:type="dxa"/>
            <w:vAlign w:val="bottom"/>
            <w:tcBorders>
              <w:bottom w:val="single" w:sz="8" w:color="E5E5E5"/>
            </w:tcBorders>
            <w:shd w:val="clear" w:color="auto" w:fill="E5E5E5"/>
          </w:tcPr>
          <w:p>
            <w:pPr>
              <w:spacing w:after="0"/>
              <w:rPr>
                <w:sz w:val="23"/>
                <w:szCs w:val="23"/>
                <w:color w:val="auto"/>
              </w:rPr>
            </w:pPr>
          </w:p>
        </w:tc>
        <w:tc>
          <w:tcPr>
            <w:tcW w:w="20" w:type="dxa"/>
            <w:vAlign w:val="bottom"/>
          </w:tcPr>
          <w:p>
            <w:pPr>
              <w:spacing w:after="0"/>
              <w:rPr>
                <w:sz w:val="23"/>
                <w:szCs w:val="23"/>
                <w:color w:val="auto"/>
              </w:rPr>
            </w:pPr>
          </w:p>
        </w:tc>
      </w:tr>
      <w:tr>
        <w:trPr>
          <w:trHeight w:val="231"/>
        </w:trPr>
        <w:tc>
          <w:tcPr>
            <w:tcW w:w="3660" w:type="dxa"/>
            <w:vAlign w:val="bottom"/>
          </w:tcPr>
          <w:p>
            <w:pPr>
              <w:ind w:left="60"/>
              <w:spacing w:after="0"/>
              <w:rPr>
                <w:sz w:val="20"/>
                <w:szCs w:val="20"/>
                <w:color w:val="auto"/>
              </w:rPr>
            </w:pPr>
            <w:r>
              <w:rPr>
                <w:rFonts w:ascii="Arial" w:cs="Arial" w:eastAsia="Arial" w:hAnsi="Arial"/>
                <w:sz w:val="16"/>
                <w:szCs w:val="16"/>
                <w:color w:val="auto"/>
              </w:rPr>
              <w:t>Execute a significant business development</w:t>
            </w:r>
          </w:p>
        </w:tc>
        <w:tc>
          <w:tcPr>
            <w:tcW w:w="3980" w:type="dxa"/>
            <w:vAlign w:val="bottom"/>
          </w:tcPr>
          <w:p>
            <w:pPr>
              <w:ind w:left="220"/>
              <w:spacing w:after="0"/>
              <w:rPr>
                <w:sz w:val="20"/>
                <w:szCs w:val="20"/>
                <w:color w:val="auto"/>
              </w:rPr>
            </w:pPr>
            <w:r>
              <w:rPr>
                <w:rFonts w:ascii="Arial" w:cs="Arial" w:eastAsia="Arial" w:hAnsi="Arial"/>
                <w:sz w:val="16"/>
                <w:szCs w:val="16"/>
                <w:color w:val="auto"/>
              </w:rPr>
              <w:t>Janssen collaboration</w:t>
            </w:r>
          </w:p>
        </w:tc>
        <w:tc>
          <w:tcPr>
            <w:tcW w:w="3360" w:type="dxa"/>
            <w:vAlign w:val="bottom"/>
          </w:tcPr>
          <w:p>
            <w:pPr>
              <w:ind w:left="120"/>
              <w:spacing w:after="0"/>
              <w:rPr>
                <w:sz w:val="20"/>
                <w:szCs w:val="20"/>
                <w:color w:val="auto"/>
              </w:rPr>
            </w:pPr>
            <w:r>
              <w:rPr>
                <w:rFonts w:ascii="Arial" w:cs="Arial" w:eastAsia="Arial" w:hAnsi="Arial"/>
                <w:sz w:val="16"/>
                <w:szCs w:val="16"/>
                <w:color w:val="auto"/>
              </w:rPr>
              <w:t>163,000 shares pursuant to a PRSU award</w:t>
            </w:r>
          </w:p>
        </w:tc>
        <w:tc>
          <w:tcPr>
            <w:tcW w:w="20" w:type="dxa"/>
            <w:vAlign w:val="bottom"/>
          </w:tcPr>
          <w:p>
            <w:pPr>
              <w:spacing w:after="0"/>
              <w:rPr>
                <w:sz w:val="20"/>
                <w:szCs w:val="20"/>
                <w:color w:val="auto"/>
              </w:rPr>
            </w:pPr>
          </w:p>
        </w:tc>
      </w:tr>
      <w:tr>
        <w:trPr>
          <w:trHeight w:val="194"/>
        </w:trPr>
        <w:tc>
          <w:tcPr>
            <w:tcW w:w="3660" w:type="dxa"/>
            <w:vAlign w:val="bottom"/>
          </w:tcPr>
          <w:p>
            <w:pPr>
              <w:ind w:left="60"/>
              <w:spacing w:after="0"/>
              <w:rPr>
                <w:sz w:val="20"/>
                <w:szCs w:val="20"/>
                <w:color w:val="auto"/>
              </w:rPr>
            </w:pPr>
            <w:r>
              <w:rPr>
                <w:rFonts w:ascii="Arial" w:cs="Arial" w:eastAsia="Arial" w:hAnsi="Arial"/>
                <w:sz w:val="16"/>
                <w:szCs w:val="16"/>
                <w:color w:val="auto"/>
              </w:rPr>
              <w:t>transaction by 12/31/2019</w:t>
            </w:r>
          </w:p>
        </w:tc>
        <w:tc>
          <w:tcPr>
            <w:tcW w:w="3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32"/>
        </w:trPr>
        <w:tc>
          <w:tcPr>
            <w:tcW w:w="3660" w:type="dxa"/>
            <w:vAlign w:val="bottom"/>
          </w:tcPr>
          <w:p>
            <w:pPr>
              <w:ind w:left="60"/>
              <w:spacing w:after="0"/>
              <w:rPr>
                <w:sz w:val="20"/>
                <w:szCs w:val="20"/>
                <w:color w:val="auto"/>
              </w:rPr>
            </w:pPr>
            <w:r>
              <w:rPr>
                <w:rFonts w:ascii="Arial" w:cs="Arial" w:eastAsia="Arial" w:hAnsi="Arial"/>
                <w:sz w:val="16"/>
                <w:szCs w:val="16"/>
                <w:i w:val="1"/>
                <w:iCs w:val="1"/>
                <w:color w:val="auto"/>
              </w:rPr>
              <w:t>Granted 4/12/2017</w:t>
            </w:r>
          </w:p>
        </w:tc>
        <w:tc>
          <w:tcPr>
            <w:tcW w:w="3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
        </w:trPr>
        <w:tc>
          <w:tcPr>
            <w:tcW w:w="3660" w:type="dxa"/>
            <w:vAlign w:val="bottom"/>
            <w:tcBorders>
              <w:bottom w:val="single" w:sz="8" w:color="0071CE"/>
            </w:tcBorders>
          </w:tcPr>
          <w:p>
            <w:pPr>
              <w:spacing w:after="0"/>
              <w:rPr>
                <w:sz w:val="4"/>
                <w:szCs w:val="4"/>
                <w:color w:val="auto"/>
              </w:rPr>
            </w:pPr>
          </w:p>
        </w:tc>
        <w:tc>
          <w:tcPr>
            <w:tcW w:w="3980" w:type="dxa"/>
            <w:vAlign w:val="bottom"/>
            <w:tcBorders>
              <w:bottom w:val="single" w:sz="8" w:color="0071CE"/>
            </w:tcBorders>
          </w:tcPr>
          <w:p>
            <w:pPr>
              <w:spacing w:after="0"/>
              <w:rPr>
                <w:sz w:val="4"/>
                <w:szCs w:val="4"/>
                <w:color w:val="auto"/>
              </w:rPr>
            </w:pPr>
          </w:p>
        </w:tc>
        <w:tc>
          <w:tcPr>
            <w:tcW w:w="3360" w:type="dxa"/>
            <w:vAlign w:val="bottom"/>
            <w:tcBorders>
              <w:bottom w:val="single" w:sz="8" w:color="0071CE"/>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Equity Awards for Other Named Executive Officers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Compensation Committee approved the following aggregate equity awards for our Named Executive Officers for 2019:</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5540" w:type="dxa"/>
            <w:vAlign w:val="bottom"/>
            <w:shd w:val="clear" w:color="auto" w:fill="0071CE"/>
          </w:tcPr>
          <w:p>
            <w:pPr>
              <w:spacing w:after="0"/>
              <w:rPr>
                <w:sz w:val="15"/>
                <w:szCs w:val="15"/>
                <w:color w:val="auto"/>
              </w:rPr>
            </w:pPr>
          </w:p>
        </w:tc>
        <w:tc>
          <w:tcPr>
            <w:tcW w:w="3240" w:type="dxa"/>
            <w:vAlign w:val="bottom"/>
            <w:shd w:val="clear" w:color="auto" w:fill="0071CE"/>
          </w:tcPr>
          <w:p>
            <w:pPr>
              <w:jc w:val="center"/>
              <w:ind w:left="498"/>
              <w:spacing w:after="0"/>
              <w:rPr>
                <w:sz w:val="20"/>
                <w:szCs w:val="20"/>
                <w:color w:val="auto"/>
              </w:rPr>
            </w:pPr>
            <w:r>
              <w:rPr>
                <w:rFonts w:ascii="Arial" w:cs="Arial" w:eastAsia="Arial" w:hAnsi="Arial"/>
                <w:sz w:val="14"/>
                <w:szCs w:val="14"/>
                <w:b w:val="1"/>
                <w:bCs w:val="1"/>
                <w:color w:val="FFFFFF"/>
              </w:rPr>
              <w:t>Restricted Stock Unit</w:t>
            </w:r>
          </w:p>
        </w:tc>
        <w:tc>
          <w:tcPr>
            <w:tcW w:w="2220" w:type="dxa"/>
            <w:vAlign w:val="bottom"/>
            <w:gridSpan w:val="2"/>
            <w:shd w:val="clear" w:color="auto" w:fill="0071CE"/>
          </w:tcPr>
          <w:p>
            <w:pPr>
              <w:jc w:val="right"/>
              <w:spacing w:after="0"/>
              <w:rPr>
                <w:sz w:val="20"/>
                <w:szCs w:val="20"/>
                <w:color w:val="auto"/>
              </w:rPr>
            </w:pPr>
            <w:r>
              <w:rPr>
                <w:rFonts w:ascii="Arial" w:cs="Arial" w:eastAsia="Arial" w:hAnsi="Arial"/>
                <w:sz w:val="14"/>
                <w:szCs w:val="14"/>
                <w:b w:val="1"/>
                <w:bCs w:val="1"/>
                <w:color w:val="FFFFFF"/>
              </w:rPr>
              <w:t>Restricted Stock Unit</w:t>
            </w:r>
          </w:p>
        </w:tc>
        <w:tc>
          <w:tcPr>
            <w:tcW w:w="20" w:type="dxa"/>
            <w:vAlign w:val="bottom"/>
            <w:shd w:val="clear" w:color="auto" w:fill="0071CE"/>
          </w:tcPr>
          <w:p>
            <w:pPr>
              <w:spacing w:after="0"/>
              <w:rPr>
                <w:sz w:val="15"/>
                <w:szCs w:val="15"/>
                <w:color w:val="auto"/>
              </w:rPr>
            </w:pPr>
          </w:p>
        </w:tc>
      </w:tr>
      <w:tr>
        <w:trPr>
          <w:trHeight w:val="162"/>
        </w:trPr>
        <w:tc>
          <w:tcPr>
            <w:tcW w:w="554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3240" w:type="dxa"/>
            <w:vAlign w:val="bottom"/>
            <w:shd w:val="clear" w:color="auto" w:fill="0071CE"/>
          </w:tcPr>
          <w:p>
            <w:pPr>
              <w:jc w:val="center"/>
              <w:ind w:left="518"/>
              <w:spacing w:after="0"/>
              <w:rPr>
                <w:sz w:val="20"/>
                <w:szCs w:val="20"/>
                <w:color w:val="auto"/>
              </w:rPr>
            </w:pPr>
            <w:r>
              <w:rPr>
                <w:rFonts w:ascii="Arial" w:cs="Arial" w:eastAsia="Arial" w:hAnsi="Arial"/>
                <w:sz w:val="14"/>
                <w:szCs w:val="14"/>
                <w:b w:val="1"/>
                <w:bCs w:val="1"/>
                <w:color w:val="FFFFFF"/>
              </w:rPr>
              <w:t>Awards</w:t>
            </w:r>
          </w:p>
        </w:tc>
        <w:tc>
          <w:tcPr>
            <w:tcW w:w="2220" w:type="dxa"/>
            <w:vAlign w:val="bottom"/>
            <w:gridSpan w:val="2"/>
            <w:shd w:val="clear" w:color="auto" w:fill="0071CE"/>
          </w:tcPr>
          <w:p>
            <w:pPr>
              <w:jc w:val="right"/>
              <w:spacing w:after="0"/>
              <w:rPr>
                <w:sz w:val="20"/>
                <w:szCs w:val="20"/>
                <w:color w:val="auto"/>
              </w:rPr>
            </w:pPr>
            <w:r>
              <w:rPr>
                <w:rFonts w:ascii="Arial" w:cs="Arial" w:eastAsia="Arial" w:hAnsi="Arial"/>
                <w:sz w:val="14"/>
                <w:szCs w:val="14"/>
                <w:b w:val="1"/>
                <w:bCs w:val="1"/>
                <w:color w:val="FFFFFF"/>
              </w:rPr>
              <w:t>Grant Date Fair Values</w:t>
            </w:r>
          </w:p>
        </w:tc>
        <w:tc>
          <w:tcPr>
            <w:tcW w:w="20" w:type="dxa"/>
            <w:vAlign w:val="bottom"/>
            <w:shd w:val="clear" w:color="auto" w:fill="0071CE"/>
          </w:tcPr>
          <w:p>
            <w:pPr>
              <w:spacing w:after="0"/>
              <w:rPr>
                <w:sz w:val="14"/>
                <w:szCs w:val="14"/>
                <w:color w:val="auto"/>
              </w:rPr>
            </w:pPr>
          </w:p>
        </w:tc>
      </w:tr>
      <w:tr>
        <w:trPr>
          <w:trHeight w:val="209"/>
        </w:trPr>
        <w:tc>
          <w:tcPr>
            <w:tcW w:w="554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3240" w:type="dxa"/>
            <w:vAlign w:val="bottom"/>
            <w:tcBorders>
              <w:bottom w:val="single" w:sz="8" w:color="0071CE"/>
            </w:tcBorders>
            <w:shd w:val="clear" w:color="auto" w:fill="0071CE"/>
          </w:tcPr>
          <w:p>
            <w:pPr>
              <w:jc w:val="center"/>
              <w:ind w:left="498"/>
              <w:spacing w:after="0"/>
              <w:rPr>
                <w:sz w:val="20"/>
                <w:szCs w:val="20"/>
                <w:color w:val="auto"/>
              </w:rPr>
            </w:pPr>
            <w:r>
              <w:rPr>
                <w:rFonts w:ascii="Arial" w:cs="Arial" w:eastAsia="Arial" w:hAnsi="Arial"/>
                <w:sz w:val="14"/>
                <w:szCs w:val="14"/>
                <w:b w:val="1"/>
                <w:bCs w:val="1"/>
                <w:color w:val="FFFFFF"/>
              </w:rPr>
              <w:t>(number of shares)</w:t>
            </w:r>
          </w:p>
        </w:tc>
        <w:tc>
          <w:tcPr>
            <w:tcW w:w="1280" w:type="dxa"/>
            <w:vAlign w:val="bottom"/>
            <w:tcBorders>
              <w:bottom w:val="single" w:sz="8" w:color="0071CE"/>
            </w:tcBorders>
            <w:shd w:val="clear" w:color="auto" w:fill="0071CE"/>
          </w:tcPr>
          <w:p>
            <w:pPr>
              <w:spacing w:after="0"/>
              <w:rPr>
                <w:sz w:val="18"/>
                <w:szCs w:val="18"/>
                <w:color w:val="auto"/>
              </w:rPr>
            </w:pPr>
          </w:p>
        </w:tc>
        <w:tc>
          <w:tcPr>
            <w:tcW w:w="940" w:type="dxa"/>
            <w:vAlign w:val="bottom"/>
            <w:tcBorders>
              <w:bottom w:val="single" w:sz="8" w:color="0071CE"/>
            </w:tcBorders>
            <w:shd w:val="clear" w:color="auto" w:fill="0071CE"/>
          </w:tcPr>
          <w:p>
            <w:pPr>
              <w:jc w:val="right"/>
              <w:ind w:right="636"/>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71CE"/>
            </w:tcBorders>
            <w:shd w:val="clear" w:color="auto" w:fill="0071CE"/>
          </w:tcPr>
          <w:p>
            <w:pPr>
              <w:spacing w:after="0"/>
              <w:rPr>
                <w:sz w:val="18"/>
                <w:szCs w:val="18"/>
                <w:color w:val="auto"/>
              </w:rPr>
            </w:pPr>
          </w:p>
        </w:tc>
      </w:tr>
      <w:tr>
        <w:trPr>
          <w:trHeight w:val="270"/>
        </w:trPr>
        <w:tc>
          <w:tcPr>
            <w:tcW w:w="5540" w:type="dxa"/>
            <w:vAlign w:val="bottom"/>
            <w:shd w:val="clear" w:color="auto" w:fill="E5E5E5"/>
          </w:tcPr>
          <w:p>
            <w:pPr>
              <w:ind w:left="60"/>
              <w:spacing w:after="0"/>
              <w:rPr>
                <w:sz w:val="20"/>
                <w:szCs w:val="20"/>
                <w:color w:val="auto"/>
              </w:rPr>
            </w:pPr>
            <w:r>
              <w:rPr>
                <w:rFonts w:ascii="Arial" w:cs="Arial" w:eastAsia="Arial" w:hAnsi="Arial"/>
                <w:sz w:val="18"/>
                <w:szCs w:val="18"/>
                <w:color w:val="auto"/>
              </w:rPr>
              <w:t>Mr. Given</w:t>
            </w:r>
          </w:p>
        </w:tc>
        <w:tc>
          <w:tcPr>
            <w:tcW w:w="3240" w:type="dxa"/>
            <w:vAlign w:val="bottom"/>
            <w:shd w:val="clear" w:color="auto" w:fill="E5E5E5"/>
          </w:tcPr>
          <w:p>
            <w:pPr>
              <w:jc w:val="right"/>
              <w:ind w:right="878"/>
              <w:spacing w:after="0"/>
              <w:rPr>
                <w:sz w:val="20"/>
                <w:szCs w:val="20"/>
                <w:color w:val="auto"/>
              </w:rPr>
            </w:pPr>
            <w:r>
              <w:rPr>
                <w:rFonts w:ascii="Arial" w:cs="Arial" w:eastAsia="Arial" w:hAnsi="Arial"/>
                <w:sz w:val="18"/>
                <w:szCs w:val="18"/>
                <w:color w:val="auto"/>
              </w:rPr>
              <w:t>210,000</w:t>
            </w:r>
          </w:p>
        </w:tc>
        <w:tc>
          <w:tcPr>
            <w:tcW w:w="2220" w:type="dxa"/>
            <w:vAlign w:val="bottom"/>
            <w:gridSpan w:val="2"/>
            <w:shd w:val="clear" w:color="auto" w:fill="E5E5E5"/>
          </w:tcPr>
          <w:p>
            <w:pPr>
              <w:jc w:val="right"/>
              <w:ind w:right="96"/>
              <w:spacing w:after="0"/>
              <w:rPr>
                <w:sz w:val="20"/>
                <w:szCs w:val="20"/>
                <w:color w:val="auto"/>
              </w:rPr>
            </w:pPr>
            <w:r>
              <w:rPr>
                <w:rFonts w:ascii="Arial" w:cs="Arial" w:eastAsia="Arial" w:hAnsi="Arial"/>
                <w:sz w:val="18"/>
                <w:szCs w:val="18"/>
                <w:color w:val="auto"/>
              </w:rPr>
              <w:t>$2,608,200</w:t>
            </w:r>
          </w:p>
        </w:tc>
        <w:tc>
          <w:tcPr>
            <w:tcW w:w="20" w:type="dxa"/>
            <w:vAlign w:val="bottom"/>
          </w:tcPr>
          <w:p>
            <w:pPr>
              <w:spacing w:after="0"/>
              <w:rPr>
                <w:sz w:val="23"/>
                <w:szCs w:val="23"/>
                <w:color w:val="auto"/>
              </w:rPr>
            </w:pPr>
          </w:p>
        </w:tc>
      </w:tr>
      <w:tr>
        <w:trPr>
          <w:trHeight w:val="263"/>
        </w:trPr>
        <w:tc>
          <w:tcPr>
            <w:tcW w:w="5540" w:type="dxa"/>
            <w:vAlign w:val="bottom"/>
          </w:tcPr>
          <w:p>
            <w:pPr>
              <w:ind w:left="60"/>
              <w:spacing w:after="0"/>
              <w:rPr>
                <w:sz w:val="20"/>
                <w:szCs w:val="20"/>
                <w:color w:val="auto"/>
              </w:rPr>
            </w:pPr>
            <w:r>
              <w:rPr>
                <w:rFonts w:ascii="Arial" w:cs="Arial" w:eastAsia="Arial" w:hAnsi="Arial"/>
                <w:sz w:val="18"/>
                <w:szCs w:val="18"/>
                <w:color w:val="auto"/>
              </w:rPr>
              <w:t>Mr. Myszkowski</w:t>
            </w:r>
          </w:p>
        </w:tc>
        <w:tc>
          <w:tcPr>
            <w:tcW w:w="3240" w:type="dxa"/>
            <w:vAlign w:val="bottom"/>
          </w:tcPr>
          <w:p>
            <w:pPr>
              <w:jc w:val="right"/>
              <w:ind w:right="878"/>
              <w:spacing w:after="0"/>
              <w:rPr>
                <w:sz w:val="20"/>
                <w:szCs w:val="20"/>
                <w:color w:val="auto"/>
              </w:rPr>
            </w:pPr>
            <w:r>
              <w:rPr>
                <w:rFonts w:ascii="Arial" w:cs="Arial" w:eastAsia="Arial" w:hAnsi="Arial"/>
                <w:sz w:val="18"/>
                <w:szCs w:val="18"/>
                <w:color w:val="auto"/>
              </w:rPr>
              <w:t>85,000</w:t>
            </w:r>
          </w:p>
        </w:tc>
        <w:tc>
          <w:tcPr>
            <w:tcW w:w="2220" w:type="dxa"/>
            <w:vAlign w:val="bottom"/>
            <w:gridSpan w:val="2"/>
          </w:tcPr>
          <w:p>
            <w:pPr>
              <w:jc w:val="right"/>
              <w:ind w:right="96"/>
              <w:spacing w:after="0"/>
              <w:rPr>
                <w:sz w:val="20"/>
                <w:szCs w:val="20"/>
                <w:color w:val="auto"/>
              </w:rPr>
            </w:pPr>
            <w:r>
              <w:rPr>
                <w:rFonts w:ascii="Arial" w:cs="Arial" w:eastAsia="Arial" w:hAnsi="Arial"/>
                <w:sz w:val="18"/>
                <w:szCs w:val="18"/>
                <w:color w:val="auto"/>
              </w:rPr>
              <w:t>$1,055,700</w:t>
            </w:r>
          </w:p>
        </w:tc>
        <w:tc>
          <w:tcPr>
            <w:tcW w:w="20" w:type="dxa"/>
            <w:vAlign w:val="bottom"/>
          </w:tcPr>
          <w:p>
            <w:pPr>
              <w:spacing w:after="0"/>
              <w:rPr>
                <w:sz w:val="22"/>
                <w:szCs w:val="22"/>
                <w:color w:val="auto"/>
              </w:rPr>
            </w:pPr>
          </w:p>
        </w:tc>
      </w:tr>
      <w:tr>
        <w:trPr>
          <w:trHeight w:val="277"/>
        </w:trPr>
        <w:tc>
          <w:tcPr>
            <w:tcW w:w="5540" w:type="dxa"/>
            <w:vAlign w:val="bottom"/>
            <w:shd w:val="clear" w:color="auto" w:fill="E5E5E5"/>
          </w:tcPr>
          <w:p>
            <w:pPr>
              <w:ind w:left="60"/>
              <w:spacing w:after="0"/>
              <w:rPr>
                <w:sz w:val="20"/>
                <w:szCs w:val="20"/>
                <w:color w:val="auto"/>
              </w:rPr>
            </w:pPr>
            <w:r>
              <w:rPr>
                <w:rFonts w:ascii="Arial" w:cs="Arial" w:eastAsia="Arial" w:hAnsi="Arial"/>
                <w:sz w:val="18"/>
                <w:szCs w:val="18"/>
                <w:color w:val="auto"/>
              </w:rPr>
              <w:t>Mr. O’Brien</w:t>
            </w:r>
          </w:p>
        </w:tc>
        <w:tc>
          <w:tcPr>
            <w:tcW w:w="3240" w:type="dxa"/>
            <w:vAlign w:val="bottom"/>
            <w:shd w:val="clear" w:color="auto" w:fill="E5E5E5"/>
          </w:tcPr>
          <w:p>
            <w:pPr>
              <w:jc w:val="right"/>
              <w:ind w:right="878"/>
              <w:spacing w:after="0"/>
              <w:rPr>
                <w:sz w:val="20"/>
                <w:szCs w:val="20"/>
                <w:color w:val="auto"/>
              </w:rPr>
            </w:pPr>
            <w:r>
              <w:rPr>
                <w:rFonts w:ascii="Arial" w:cs="Arial" w:eastAsia="Arial" w:hAnsi="Arial"/>
                <w:sz w:val="18"/>
                <w:szCs w:val="18"/>
                <w:color w:val="auto"/>
              </w:rPr>
              <w:t>70,000</w:t>
            </w:r>
          </w:p>
        </w:tc>
        <w:tc>
          <w:tcPr>
            <w:tcW w:w="1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869,400</w:t>
            </w:r>
          </w:p>
        </w:tc>
        <w:tc>
          <w:tcPr>
            <w:tcW w:w="20" w:type="dxa"/>
            <w:vAlign w:val="bottom"/>
          </w:tcPr>
          <w:p>
            <w:pPr>
              <w:spacing w:after="0"/>
              <w:rPr>
                <w:sz w:val="24"/>
                <w:szCs w:val="24"/>
                <w:color w:val="auto"/>
              </w:rPr>
            </w:pPr>
          </w:p>
        </w:tc>
      </w:tr>
      <w:tr>
        <w:trPr>
          <w:trHeight w:val="263"/>
        </w:trPr>
        <w:tc>
          <w:tcPr>
            <w:tcW w:w="5540" w:type="dxa"/>
            <w:vAlign w:val="bottom"/>
            <w:tcBorders>
              <w:bottom w:val="single" w:sz="8" w:color="0071CE"/>
            </w:tcBorders>
          </w:tcPr>
          <w:p>
            <w:pPr>
              <w:ind w:left="60"/>
              <w:spacing w:after="0"/>
              <w:rPr>
                <w:sz w:val="20"/>
                <w:szCs w:val="20"/>
                <w:color w:val="auto"/>
              </w:rPr>
            </w:pPr>
            <w:r>
              <w:rPr>
                <w:rFonts w:ascii="Arial" w:cs="Arial" w:eastAsia="Arial" w:hAnsi="Arial"/>
                <w:sz w:val="18"/>
                <w:szCs w:val="18"/>
                <w:color w:val="auto"/>
              </w:rPr>
              <w:t>Dr. Li (1)</w:t>
            </w:r>
          </w:p>
        </w:tc>
        <w:tc>
          <w:tcPr>
            <w:tcW w:w="3240" w:type="dxa"/>
            <w:vAlign w:val="bottom"/>
            <w:tcBorders>
              <w:bottom w:val="single" w:sz="8" w:color="0071CE"/>
            </w:tcBorders>
          </w:tcPr>
          <w:p>
            <w:pPr>
              <w:jc w:val="right"/>
              <w:ind w:right="878"/>
              <w:spacing w:after="0"/>
              <w:rPr>
                <w:sz w:val="20"/>
                <w:szCs w:val="20"/>
                <w:color w:val="auto"/>
              </w:rPr>
            </w:pPr>
            <w:r>
              <w:rPr>
                <w:rFonts w:ascii="Arial" w:cs="Arial" w:eastAsia="Arial" w:hAnsi="Arial"/>
                <w:sz w:val="18"/>
                <w:szCs w:val="18"/>
                <w:color w:val="auto"/>
              </w:rPr>
              <w:t>75,000</w:t>
            </w:r>
          </w:p>
        </w:tc>
        <w:tc>
          <w:tcPr>
            <w:tcW w:w="1280" w:type="dxa"/>
            <w:vAlign w:val="bottom"/>
            <w:tcBorders>
              <w:bottom w:val="single" w:sz="8" w:color="0071CE"/>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071CE"/>
            </w:tcBorders>
          </w:tcPr>
          <w:p>
            <w:pPr>
              <w:jc w:val="right"/>
              <w:ind w:right="96"/>
              <w:spacing w:after="0"/>
              <w:rPr>
                <w:sz w:val="20"/>
                <w:szCs w:val="20"/>
                <w:color w:val="auto"/>
              </w:rPr>
            </w:pPr>
            <w:r>
              <w:rPr>
                <w:rFonts w:ascii="Arial" w:cs="Arial" w:eastAsia="Arial" w:hAnsi="Arial"/>
                <w:sz w:val="18"/>
                <w:szCs w:val="18"/>
                <w:color w:val="auto"/>
              </w:rPr>
              <w:t>931,500</w:t>
            </w:r>
          </w:p>
        </w:tc>
        <w:tc>
          <w:tcPr>
            <w:tcW w:w="20" w:type="dxa"/>
            <w:vAlign w:val="bottom"/>
          </w:tcPr>
          <w:p>
            <w:pPr>
              <w:spacing w:after="0"/>
              <w:rPr>
                <w:sz w:val="22"/>
                <w:szCs w:val="22"/>
                <w:color w:val="auto"/>
              </w:rPr>
            </w:pPr>
          </w:p>
        </w:tc>
      </w:tr>
    </w:tbl>
    <w:p>
      <w:pPr>
        <w:spacing w:after="0" w:line="86" w:lineRule="exact"/>
        <w:rPr>
          <w:sz w:val="20"/>
          <w:szCs w:val="20"/>
          <w:color w:val="auto"/>
        </w:rPr>
      </w:pPr>
    </w:p>
    <w:p>
      <w:pPr>
        <w:ind w:left="640" w:hanging="430"/>
        <w:spacing w:after="0"/>
        <w:tabs>
          <w:tab w:leader="none" w:pos="6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Dr. Li’s employment with the Company terminated in February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91440</wp:posOffset>
            </wp:positionV>
            <wp:extent cx="984885"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28</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awards vest over 4 years in 4 equal installments.</w:t>
      </w:r>
    </w:p>
    <w:p>
      <w:pPr>
        <w:spacing w:after="0" w:line="221" w:lineRule="exact"/>
        <w:rPr>
          <w:sz w:val="20"/>
          <w:szCs w:val="20"/>
          <w:color w:val="auto"/>
        </w:rPr>
      </w:pPr>
    </w:p>
    <w:p>
      <w:pPr>
        <w:ind w:left="220" w:right="40"/>
        <w:spacing w:after="0" w:line="260" w:lineRule="auto"/>
        <w:rPr>
          <w:sz w:val="20"/>
          <w:szCs w:val="20"/>
          <w:color w:val="auto"/>
        </w:rPr>
      </w:pPr>
      <w:r>
        <w:rPr>
          <w:rFonts w:ascii="Arial" w:cs="Arial" w:eastAsia="Arial" w:hAnsi="Arial"/>
          <w:sz w:val="16"/>
          <w:szCs w:val="16"/>
          <w:color w:val="auto"/>
        </w:rPr>
        <w:t>The equity awards granted to our Named Executive Officers in fiscal 2019 are set forth in the “Fiscal 2019 Summary Compensation Table” and the “Fiscal 2019 Grants of Plan-Based Awards Table” below.</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Welfare and Health Benefits</w:t>
      </w:r>
    </w:p>
    <w:p>
      <w:pPr>
        <w:spacing w:after="0" w:line="124" w:lineRule="exact"/>
        <w:rPr>
          <w:sz w:val="20"/>
          <w:szCs w:val="20"/>
          <w:color w:val="auto"/>
        </w:rPr>
      </w:pPr>
    </w:p>
    <w:p>
      <w:pPr>
        <w:ind w:left="220" w:right="140"/>
        <w:spacing w:after="0" w:line="249" w:lineRule="auto"/>
        <w:rPr>
          <w:sz w:val="20"/>
          <w:szCs w:val="20"/>
          <w:color w:val="auto"/>
        </w:rPr>
      </w:pPr>
      <w:r>
        <w:rPr>
          <w:rFonts w:ascii="Arial" w:cs="Arial" w:eastAsia="Arial" w:hAnsi="Arial"/>
          <w:sz w:val="16"/>
          <w:szCs w:val="16"/>
          <w:color w:val="auto"/>
        </w:rPr>
        <w:t>Our executive officers, including our Named Executive Officers, are eligible to participate in all of our employee benefit plans, including medical, dental, vision, life, and disability insurance, in each case on the same basis as our other employees, subject to applicable law. In addition, we provide additional life insurance for our CEO for the benefit of his heirs. We also provide vacation and other paid holidays to all our employees, including our executive officers, all of which we believe to be comparable to those provided at peer companies. These benefit programs are designed to enable us to attract and retain our workforce in a competitive marketplace. Our health, welfare, and vacation benefits are designed to ensure that we have a productive and focused workforce through reliable and competitive health and other benefits.</w:t>
      </w:r>
    </w:p>
    <w:p>
      <w:pPr>
        <w:spacing w:after="0" w:line="184" w:lineRule="exact"/>
        <w:rPr>
          <w:sz w:val="20"/>
          <w:szCs w:val="20"/>
          <w:color w:val="auto"/>
        </w:rPr>
      </w:pPr>
    </w:p>
    <w:p>
      <w:pPr>
        <w:ind w:left="220" w:right="20"/>
        <w:spacing w:after="0" w:line="256" w:lineRule="auto"/>
        <w:rPr>
          <w:sz w:val="20"/>
          <w:szCs w:val="20"/>
          <w:color w:val="auto"/>
        </w:rPr>
      </w:pPr>
      <w:r>
        <w:rPr>
          <w:rFonts w:ascii="Arial" w:cs="Arial" w:eastAsia="Arial" w:hAnsi="Arial"/>
          <w:sz w:val="16"/>
          <w:szCs w:val="16"/>
          <w:color w:val="auto"/>
        </w:rPr>
        <w:t>Our retirement savings plan (“</w:t>
      </w:r>
      <w:r>
        <w:rPr>
          <w:rFonts w:ascii="Arial" w:cs="Arial" w:eastAsia="Arial" w:hAnsi="Arial"/>
          <w:sz w:val="16"/>
          <w:szCs w:val="16"/>
          <w:b w:val="1"/>
          <w:bCs w:val="1"/>
          <w:color w:val="auto"/>
        </w:rPr>
        <w:t>401(k) plan</w:t>
      </w:r>
      <w:r>
        <w:rPr>
          <w:rFonts w:ascii="Arial" w:cs="Arial" w:eastAsia="Arial" w:hAnsi="Arial"/>
          <w:sz w:val="16"/>
          <w:szCs w:val="16"/>
          <w:color w:val="auto"/>
        </w:rPr>
        <w:t>”) is a tax-qualified retirement savings plan, pursuant to which qualified employees, including our Named Executive Officers, are able to contribute certain amounts of their annual compensation, subject to limits prescribed by the Internal Revenue Service. Historically, we have made matching contributions of 100% of the first 3% of base salary and of 50% of the next 2% of base salary contributed to the plan. The value of these benefits for each of our Named Executive Officers is reflected in the “All Other Compensation” column of the “Summary Compensation Table” below.</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24" w:lineRule="exact"/>
        <w:rPr>
          <w:sz w:val="20"/>
          <w:szCs w:val="20"/>
          <w:color w:val="auto"/>
        </w:rPr>
      </w:pPr>
    </w:p>
    <w:p>
      <w:pPr>
        <w:ind w:left="220" w:right="120"/>
        <w:spacing w:after="0" w:line="250"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his or her duties, to make our executive officers more efficient and effective and for recruitment and retention purposes.</w:t>
      </w:r>
    </w:p>
    <w:p>
      <w:pPr>
        <w:spacing w:after="0" w:line="205" w:lineRule="exact"/>
        <w:rPr>
          <w:sz w:val="20"/>
          <w:szCs w:val="20"/>
          <w:color w:val="auto"/>
        </w:rPr>
      </w:pPr>
    </w:p>
    <w:p>
      <w:pPr>
        <w:ind w:left="220" w:right="260"/>
        <w:spacing w:after="0" w:line="260"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Employment Arrangements</w:t>
      </w:r>
    </w:p>
    <w:p>
      <w:pPr>
        <w:spacing w:after="0" w:line="108" w:lineRule="exact"/>
        <w:rPr>
          <w:sz w:val="20"/>
          <w:szCs w:val="20"/>
          <w:color w:val="auto"/>
        </w:rPr>
      </w:pPr>
    </w:p>
    <w:p>
      <w:pPr>
        <w:ind w:left="220" w:right="20"/>
        <w:spacing w:after="0" w:line="256" w:lineRule="auto"/>
        <w:rPr>
          <w:sz w:val="20"/>
          <w:szCs w:val="20"/>
          <w:color w:val="auto"/>
        </w:rPr>
      </w:pPr>
      <w:r>
        <w:rPr>
          <w:rFonts w:ascii="Arial" w:cs="Arial" w:eastAsia="Arial" w:hAnsi="Arial"/>
          <w:sz w:val="16"/>
          <w:szCs w:val="16"/>
          <w:color w:val="auto"/>
        </w:rPr>
        <w:t>We have entered into a written employment agreement with our CEO and have written employment offer letters with our other executive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In filling each of our executive positions, we recognized the need to develop competitive compensation packages to attract qualified candidates in a dynamic labor market. At the same time, in formulating these compensation packages, we were sensitive to the need to integrate new executive officers into the executive compensation structure that we were seeking to develop, balancing both competitive and internal equity considerations. Each of these arrangements provides for “at will” employment.</w:t>
      </w:r>
    </w:p>
    <w:p>
      <w:pPr>
        <w:spacing w:after="0" w:line="199" w:lineRule="exact"/>
        <w:rPr>
          <w:sz w:val="20"/>
          <w:szCs w:val="20"/>
          <w:color w:val="auto"/>
        </w:rPr>
      </w:pPr>
    </w:p>
    <w:p>
      <w:pPr>
        <w:ind w:left="220" w:right="440"/>
        <w:spacing w:after="0" w:line="260" w:lineRule="auto"/>
        <w:rPr>
          <w:sz w:val="20"/>
          <w:szCs w:val="20"/>
          <w:color w:val="auto"/>
        </w:rPr>
      </w:pPr>
      <w:r>
        <w:rPr>
          <w:rFonts w:ascii="Arial" w:cs="Arial" w:eastAsia="Arial" w:hAnsi="Arial"/>
          <w:sz w:val="16"/>
          <w:szCs w:val="16"/>
          <w:color w:val="auto"/>
        </w:rPr>
        <w:t>For detailed descriptions of the employment arrangements we maintained with our Named Executive Officers for 2019, see “Termination Benefits — Potential Payments Upon Termination or Change in Control” below.</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Post-Employment Compensation Arrangements</w:t>
      </w:r>
    </w:p>
    <w:p>
      <w:pPr>
        <w:spacing w:after="0" w:line="128"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We have entered into an employment agreement with our CEO, and we also have agreements with our CFO and General Counsel that provide for certain payments and benefits in the event of certain involuntary terminations of employment. We believe that having in place reasonable and competitive post-employment compensation arrangements are essential to attracting and retaining highly-qualified executive officers. These agreements are designed to provide reasonable compensation to executive officers who leave our employ under certain circumstances to facilitate their transition to new employment. Further, in some instances we seek to mitigate any potential employer liability and avoid future disputes or litigation by requiring a departing executive officer to sign a separation and release agreement acceptable to us as a condition to receiving post-employment compensation payments or benefits.</w:t>
      </w:r>
    </w:p>
    <w:p>
      <w:pPr>
        <w:spacing w:after="0" w:line="204" w:lineRule="exact"/>
        <w:rPr>
          <w:sz w:val="20"/>
          <w:szCs w:val="20"/>
          <w:color w:val="auto"/>
        </w:rPr>
      </w:pPr>
    </w:p>
    <w:p>
      <w:pPr>
        <w:ind w:left="220" w:right="80"/>
        <w:spacing w:after="0" w:line="260" w:lineRule="auto"/>
        <w:rPr>
          <w:sz w:val="20"/>
          <w:szCs w:val="20"/>
          <w:color w:val="auto"/>
        </w:rPr>
      </w:pPr>
      <w:r>
        <w:rPr>
          <w:rFonts w:ascii="Arial" w:cs="Arial" w:eastAsia="Arial" w:hAnsi="Arial"/>
          <w:sz w:val="16"/>
          <w:szCs w:val="16"/>
          <w:color w:val="auto"/>
        </w:rPr>
        <w:t>The Compensation Committee does not consider the specific amounts payable under these agreements when establishing annual compensation. We do believe, however, that these arrangements are necessary to offer compensation packages that are 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80010</wp:posOffset>
            </wp:positionV>
            <wp:extent cx="984885"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7"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29</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4"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In addition, our 2013 Incentive Plan provides for the acceleration of vesting of outstanding and unvested equity awards in the event of a change in control of the Company, as defined in the plan, except as otherwise determined by our Board. The Company has amended the agreements for outstanding equity awards granted to our CEO pursuant to our 2004 Equity Incentive Plan and 2013 Incentive Plan to provide that, upon a change in control of the Company, the vesting of such awards will accelerate only in the event of a subsequent involuntary termination of employment (a “double-trigger” arrangement).</w:t>
      </w:r>
    </w:p>
    <w:p>
      <w:pPr>
        <w:spacing w:after="0" w:line="205" w:lineRule="exact"/>
        <w:rPr>
          <w:sz w:val="20"/>
          <w:szCs w:val="20"/>
          <w:color w:val="auto"/>
        </w:rPr>
      </w:pPr>
    </w:p>
    <w:p>
      <w:pPr>
        <w:jc w:val="both"/>
        <w:ind w:left="220" w:right="140"/>
        <w:spacing w:after="0" w:line="253" w:lineRule="auto"/>
        <w:rPr>
          <w:sz w:val="20"/>
          <w:szCs w:val="20"/>
          <w:color w:val="auto"/>
        </w:rPr>
      </w:pPr>
      <w:r>
        <w:rPr>
          <w:rFonts w:ascii="Arial" w:cs="Arial" w:eastAsia="Arial" w:hAnsi="Arial"/>
          <w:sz w:val="16"/>
          <w:szCs w:val="16"/>
          <w:color w:val="auto"/>
        </w:rPr>
        <w:t>For detailed descriptions of the post-employment compensation arrangements we maintained with our Named Executive Officers for 2019, as well as an estimate of the potential payments and benefits payable under these arrangements, see “Termination Benefits — Potential Payments Upon Termination or Change in Control” below.</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Other Compensation Policies and Practices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Awards Grant Policy</w:t>
      </w:r>
    </w:p>
    <w:p>
      <w:pPr>
        <w:spacing w:after="0" w:line="124"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We do not have any program, plan, or obligation that requires us to grant equity awards on specified dates, although historically we have granted such awards to our existing executive officers and employees at least annually and to newly-hired employees on the commencement of their employment. We do not have any program, plan, or practice to grant options to purchase shares of our common stock to our executive officers in coordination with the release of material nonpublic information. Equity awards may occasionally be granted following a significant change in job responsibilities or to meet other special retention or performance objectives.</w:t>
      </w:r>
    </w:p>
    <w:p>
      <w:pPr>
        <w:spacing w:after="0" w:line="206"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auto"/>
        </w:rPr>
        <w:t>Authority to grant equity awards to our employees rests with the Compensation Committee, although the Compensation Committee has delegated authority to our CEO to grant equity awards to non-executive employees within prescribed limits set by the Compensation Committee. With respect to our executive officers, except for our CEO, recommendations for equity awards are made by our CEO and reviewed and approved by the Compensation Committee.</w:t>
      </w:r>
    </w:p>
    <w:p>
      <w:pPr>
        <w:spacing w:after="0" w:line="205" w:lineRule="exact"/>
        <w:rPr>
          <w:sz w:val="20"/>
          <w:szCs w:val="20"/>
          <w:color w:val="auto"/>
        </w:rPr>
      </w:pPr>
    </w:p>
    <w:p>
      <w:pPr>
        <w:ind w:left="220" w:right="100"/>
        <w:spacing w:after="0" w:line="253" w:lineRule="auto"/>
        <w:rPr>
          <w:sz w:val="20"/>
          <w:szCs w:val="20"/>
          <w:color w:val="auto"/>
        </w:rPr>
      </w:pPr>
      <w:r>
        <w:rPr>
          <w:rFonts w:ascii="Arial" w:cs="Arial" w:eastAsia="Arial" w:hAnsi="Arial"/>
          <w:sz w:val="16"/>
          <w:szCs w:val="16"/>
          <w:color w:val="auto"/>
        </w:rPr>
        <w:t>Under the terms of our 2013 Incentive Plan, pursuant to which new equity awards are granted, the exercise price of any option to purchase shares of our common stock awarded under the plan must be equal to at least 100% of the fair market value of our common stock (which is determined based on the closing sales price of our common stock on the Nasdaq Global Market) on the date of grant.</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Ownership Policy</w:t>
      </w:r>
    </w:p>
    <w:p>
      <w:pPr>
        <w:spacing w:after="0" w:line="124"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We maintain a stock ownership policy for our CEO, COO, and CFO to further align their respective interests with the interests of our stockholders, and to further promote our commitment to sound corporate governance. This policy requires our CEO to own a minimum number of shares of our common stock equal to a value of six times his annualized base salary and our COO and CFO to own a minimum number of shares of our common stock equal to a value of twice their annualized base salary. Each of these executive officers has achieved the required ownership.</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Compensation Recovery (“Clawback”) Policy</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December 2017, our Board adopted a compensation recovery (“clawback”) policy as follows:</w:t>
      </w:r>
    </w:p>
    <w:p>
      <w:pPr>
        <w:spacing w:after="0" w:line="113" w:lineRule="exact"/>
        <w:rPr>
          <w:sz w:val="20"/>
          <w:szCs w:val="20"/>
          <w:color w:val="auto"/>
        </w:rPr>
      </w:pPr>
    </w:p>
    <w:p>
      <w:pPr>
        <w:ind w:left="660" w:right="80"/>
        <w:spacing w:after="0" w:line="248" w:lineRule="auto"/>
        <w:rPr>
          <w:sz w:val="20"/>
          <w:szCs w:val="20"/>
          <w:color w:val="auto"/>
        </w:rPr>
      </w:pPr>
      <w:r>
        <w:rPr>
          <w:rFonts w:ascii="Arial" w:cs="Arial" w:eastAsia="Arial" w:hAnsi="Arial"/>
          <w:sz w:val="16"/>
          <w:szCs w:val="16"/>
          <w:color w:val="auto"/>
        </w:rPr>
        <w:t>“If Arrowhead Pharmaceuticals, Inc. (the “Company”) is required to materially restate any of its financial statements, the Board of Directors (the “Board”) shall assess the degree to which any fraud, negligence, or intentional misconduct by any executive officer of the Company was responsible for such restatement. If the Board determines that any executive officer was responsible for causing such restatement, the Board shall, in addition to any other lawful remedies the Board or the Company may take, seek recovery of all or a portion of the incentive compensation awarded to the executive officer for the performance period covered by the restated financial statement, provided that such recovery shall not extend to payments made more than three years prior to the date the financial record was restated. In addition, the Board may, in its absolute discretion, revoke any of the responsible executive officer’s unpaid or unvested incentive compensation outstanding as of the date of the Board’s determination of the executive officer’s responsibility for the financial restatement.”</w:t>
      </w:r>
    </w:p>
    <w:p>
      <w:pPr>
        <w:spacing w:after="0" w:line="206" w:lineRule="exact"/>
        <w:rPr>
          <w:sz w:val="20"/>
          <w:szCs w:val="20"/>
          <w:color w:val="auto"/>
        </w:rPr>
      </w:pPr>
    </w:p>
    <w:p>
      <w:pPr>
        <w:ind w:left="220" w:right="180"/>
        <w:spacing w:after="0" w:line="260" w:lineRule="auto"/>
        <w:rPr>
          <w:sz w:val="20"/>
          <w:szCs w:val="20"/>
          <w:color w:val="auto"/>
        </w:rPr>
      </w:pPr>
      <w:r>
        <w:rPr>
          <w:rFonts w:ascii="Arial" w:cs="Arial" w:eastAsia="Arial" w:hAnsi="Arial"/>
          <w:sz w:val="16"/>
          <w:szCs w:val="16"/>
          <w:color w:val="auto"/>
        </w:rPr>
        <w:t>In addition, our 2013 Incentive Plan provides for the recovery of awards made under the plan in accordance with any applicable compensation recovery or recoupment policy, including as required by law, regulation, or national securities exchange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80010</wp:posOffset>
            </wp:positionV>
            <wp:extent cx="98488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30</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Policy Prohibiting Hedging and Limiting Pledging</w:t>
      </w:r>
    </w:p>
    <w:p>
      <w:pPr>
        <w:spacing w:after="0" w:line="124" w:lineRule="exact"/>
        <w:rPr>
          <w:sz w:val="20"/>
          <w:szCs w:val="20"/>
          <w:color w:val="auto"/>
        </w:rPr>
      </w:pPr>
    </w:p>
    <w:p>
      <w:pPr>
        <w:ind w:left="220" w:right="40"/>
        <w:spacing w:after="0" w:line="253" w:lineRule="auto"/>
        <w:rPr>
          <w:sz w:val="20"/>
          <w:szCs w:val="20"/>
          <w:color w:val="auto"/>
        </w:rPr>
      </w:pPr>
      <w:r>
        <w:rPr>
          <w:rFonts w:ascii="Arial" w:cs="Arial" w:eastAsia="Arial" w:hAnsi="Arial"/>
          <w:sz w:val="16"/>
          <w:szCs w:val="16"/>
          <w:color w:val="auto"/>
        </w:rPr>
        <w:t>Our Insider Trading Policy prohibits our employees, including our executive officers, and the non-employee members of our Board from short-term trading, options trading, trading on margin, pledging our common stock as collateral, and all hedging transactions with respect to our securities, except for pledging up to 50% owned and vested stock as collateral for a loan subject to the approval of the Board.</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Tax and Accounting Considerations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04"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Prior to the US Tax Cuts and Jobs Act enacted in December of 2017 (the “</w:t>
      </w:r>
      <w:r>
        <w:rPr>
          <w:rFonts w:ascii="Arial" w:cs="Arial" w:eastAsia="Arial" w:hAnsi="Arial"/>
          <w:sz w:val="16"/>
          <w:szCs w:val="16"/>
          <w:b w:val="1"/>
          <w:bCs w:val="1"/>
          <w:color w:val="auto"/>
        </w:rPr>
        <w:t>US Tax Act</w:t>
      </w:r>
      <w:r>
        <w:rPr>
          <w:rFonts w:ascii="Arial" w:cs="Arial" w:eastAsia="Arial" w:hAnsi="Arial"/>
          <w:sz w:val="16"/>
          <w:szCs w:val="16"/>
          <w:color w:val="auto"/>
        </w:rPr>
        <w:t>”), compensation that satisfied conditions set forth under Section 162(m) of the Internal Revenue Code to qualify as “performance-based compensation” was not subject to a $1 million limit on deductibility, and the limit did not apply to compensation paid to the Chief Financial Officer. The US Tax Act eliminates the performance-based compensation exception and applies the limit to the Chief Financial Officer and certain former executive officers. However, it provides a transition rule with respect to remuneration provided under a written contract which was in effect on November 2, 2017 and which was not materially modified after that date. With eliminating the exemption for performance-based compensation, we expect that we will be unable to deduct all compensation in excess of $1 million paid to our Chief Executive Officer, Chief Financial Officer and our other Named Executive Officers covered by the new tax law, other than previously granted awards that comply with the transition rules. We monitor the application of Section 162(m) and the associated Treasury regulations on an ongoing basis and the advisability of qualifying executive compensation for deductibility. Notwithstanding the repeal of the exemption for “performance-based compensation,” the Compensation Committee intends to maintain its commitment to structuring the Company’s executive compensation programs in a manner designed to align pay with performance.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04" w:lineRule="exact"/>
        <w:rPr>
          <w:sz w:val="20"/>
          <w:szCs w:val="20"/>
          <w:color w:val="auto"/>
        </w:rPr>
      </w:pPr>
    </w:p>
    <w:p>
      <w:pPr>
        <w:ind w:left="220" w:right="60"/>
        <w:spacing w:after="0" w:line="256" w:lineRule="auto"/>
        <w:rPr>
          <w:sz w:val="20"/>
          <w:szCs w:val="20"/>
          <w:color w:val="auto"/>
        </w:rPr>
      </w:pPr>
      <w:r>
        <w:rPr>
          <w:rFonts w:ascii="Arial" w:cs="Arial" w:eastAsia="Arial" w:hAnsi="Arial"/>
          <w:sz w:val="16"/>
          <w:szCs w:val="16"/>
          <w:color w:val="auto"/>
        </w:rPr>
        <w:t>We follow the Financial Accounting Standard Board’s Accounting Standards Codification Topic 718 (“</w:t>
      </w:r>
      <w:r>
        <w:rPr>
          <w:rFonts w:ascii="Arial" w:cs="Arial" w:eastAsia="Arial" w:hAnsi="Arial"/>
          <w:sz w:val="16"/>
          <w:szCs w:val="16"/>
          <w:b w:val="1"/>
          <w:bCs w:val="1"/>
          <w:color w:val="auto"/>
        </w:rPr>
        <w:t>FASB ASC Topic 718</w:t>
      </w:r>
      <w:r>
        <w:rPr>
          <w:rFonts w:ascii="Arial" w:cs="Arial" w:eastAsia="Arial" w:hAnsi="Arial"/>
          <w:sz w:val="16"/>
          <w:szCs w:val="16"/>
          <w:color w:val="auto"/>
        </w:rPr>
        <w:t>”) for our stock-based compensation awards. FASB ASC Topic 718 requires us to measure the compensation expense for all share-based payment awards made to our employees and non-employee members of our Board,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81915</wp:posOffset>
            </wp:positionV>
            <wp:extent cx="984885"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1"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Compensation Risk Assessment</w:t>
      </w:r>
    </w:p>
    <w:p>
      <w:pPr>
        <w:spacing w:after="0" w:line="372"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In reviewing our various compensation programs, the Compensation Committee considers how our compensation policies and practices may affect our risk profile and whether such policies and practices may encourage undue risk-taking by our employees. More specifically, the Compensation Committee considers the general design philosophy of our policies and practices for our employees whose conduct would be most affected by incentives established pursuant to these compensation policies. In considering these issues, the Compensation Committee concluded that the use of a performance-based annual incentive compensation plan and long-term incentive compensation opportunities in the form of equity awards did not appear to create undue risks for us or encourage excessive risk-taking behavior on the part of our Named Executive Officers.</w:t>
      </w:r>
    </w:p>
    <w:p>
      <w:pPr>
        <w:spacing w:after="0" w:line="204"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With respect to the annual incentive awards for our executive officers, the amount of an individual’s award depends principally on overall Company performance, as determined by the Compensation Committee, which reduces the ability and incentive for an individual to take undue risks at the expense of our performance in an effort to increase the amount of his or her annual incentive award. Our performance objectives are reviewed regularly by the Compensation Committee and our Board and are considered to be generally of the nature that promote the steady progression of our development programs and would not encourage or reward excessive risk-taking. In addition, our Board has the ability to intervene in instances where actions by our executive officers vis-à-vis Company performance objective attainment would be considered unduly risky to prevent or penalize such actions.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Compensation Committee Report</w:t>
      </w:r>
    </w:p>
    <w:p>
      <w:pPr>
        <w:spacing w:after="0" w:line="128" w:lineRule="exact"/>
        <w:rPr>
          <w:sz w:val="20"/>
          <w:szCs w:val="20"/>
          <w:color w:val="auto"/>
        </w:rPr>
      </w:pPr>
    </w:p>
    <w:p>
      <w:pPr>
        <w:ind w:left="220" w:right="200"/>
        <w:spacing w:after="0" w:line="253" w:lineRule="auto"/>
        <w:rPr>
          <w:sz w:val="20"/>
          <w:szCs w:val="20"/>
          <w:color w:val="auto"/>
        </w:rPr>
      </w:pPr>
      <w:r>
        <w:rPr>
          <w:rFonts w:ascii="Arial" w:cs="Arial" w:eastAsia="Arial" w:hAnsi="Arial"/>
          <w:sz w:val="16"/>
          <w:szCs w:val="16"/>
          <w:color w:val="auto"/>
        </w:rPr>
        <w:t>The Compensation Committee of the Company has reviewed and discussed with management the Compensation Discussion and Analysis required by Item 402(b) of Regulation S-K. Based on this review and discussion, the Compensation Committee recommended to the Board that the foregoing Compensation Discussion and Analysis be included in this proxy statement.</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Submitted by the Compensation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of the Board of Directors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Michael S. Perry, Chairman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Mauro Ferrari</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William Waddill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95885</wp:posOffset>
            </wp:positionV>
            <wp:extent cx="984885"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32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Compensation Committee Interlocks and Insider Participation</w:t>
      </w:r>
    </w:p>
    <w:p>
      <w:pPr>
        <w:spacing w:after="0" w:line="128" w:lineRule="exact"/>
        <w:rPr>
          <w:sz w:val="20"/>
          <w:szCs w:val="20"/>
          <w:color w:val="auto"/>
        </w:rPr>
      </w:pPr>
    </w:p>
    <w:p>
      <w:pPr>
        <w:ind w:left="220" w:right="160"/>
        <w:spacing w:after="0" w:line="260" w:lineRule="auto"/>
        <w:rPr>
          <w:sz w:val="20"/>
          <w:szCs w:val="20"/>
          <w:color w:val="auto"/>
        </w:rPr>
      </w:pPr>
      <w:r>
        <w:rPr>
          <w:rFonts w:ascii="Arial" w:cs="Arial" w:eastAsia="Arial" w:hAnsi="Arial"/>
          <w:sz w:val="16"/>
          <w:szCs w:val="16"/>
          <w:color w:val="auto"/>
        </w:rPr>
        <w:t>During 2019, Dr. Perry, Dr. Ferrari, and Mr. Waddill served on the Compensation Committee. During fiscal year 2019 and through December 2019, there were no compensation committee interlocks between the Company and other entities involving the Company’s executive officers and directors.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6"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The following table summarizes compensation earned for services rendered during fiscal 2019, 2018, and 2017 by our Chief Executive Officer, our Chief Financial Officer, our Chief Operating Officer, our General Counsel and our Senior Vice President of Chemistry and Non-Clinical Development, collectively our “Named Executive Officers”: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2760" w:type="dxa"/>
            <w:vAlign w:val="bottom"/>
            <w:shd w:val="clear" w:color="auto" w:fill="0071CE"/>
          </w:tcPr>
          <w:p>
            <w:pPr>
              <w:spacing w:after="0"/>
              <w:rPr>
                <w:sz w:val="15"/>
                <w:szCs w:val="15"/>
                <w:color w:val="auto"/>
              </w:rPr>
            </w:pPr>
          </w:p>
        </w:tc>
        <w:tc>
          <w:tcPr>
            <w:tcW w:w="260" w:type="dxa"/>
            <w:vAlign w:val="bottom"/>
            <w:shd w:val="clear" w:color="auto" w:fill="0071CE"/>
          </w:tcPr>
          <w:p>
            <w:pPr>
              <w:spacing w:after="0"/>
              <w:rPr>
                <w:sz w:val="15"/>
                <w:szCs w:val="15"/>
                <w:color w:val="auto"/>
              </w:rPr>
            </w:pPr>
          </w:p>
        </w:tc>
        <w:tc>
          <w:tcPr>
            <w:tcW w:w="600" w:type="dxa"/>
            <w:vAlign w:val="bottom"/>
            <w:shd w:val="clear" w:color="auto" w:fill="0071CE"/>
          </w:tcPr>
          <w:p>
            <w:pPr>
              <w:spacing w:after="0"/>
              <w:rPr>
                <w:sz w:val="15"/>
                <w:szCs w:val="15"/>
                <w:color w:val="auto"/>
              </w:rPr>
            </w:pPr>
          </w:p>
        </w:tc>
        <w:tc>
          <w:tcPr>
            <w:tcW w:w="920" w:type="dxa"/>
            <w:vAlign w:val="bottom"/>
            <w:shd w:val="clear" w:color="auto" w:fill="0071CE"/>
          </w:tcPr>
          <w:p>
            <w:pPr>
              <w:spacing w:after="0"/>
              <w:rPr>
                <w:sz w:val="15"/>
                <w:szCs w:val="15"/>
                <w:color w:val="auto"/>
              </w:rPr>
            </w:pPr>
          </w:p>
        </w:tc>
        <w:tc>
          <w:tcPr>
            <w:tcW w:w="1400" w:type="dxa"/>
            <w:vAlign w:val="bottom"/>
            <w:shd w:val="clear" w:color="auto" w:fill="0071CE"/>
          </w:tcPr>
          <w:p>
            <w:pPr>
              <w:spacing w:after="0"/>
              <w:rPr>
                <w:sz w:val="15"/>
                <w:szCs w:val="15"/>
                <w:color w:val="auto"/>
              </w:rPr>
            </w:pPr>
          </w:p>
        </w:tc>
        <w:tc>
          <w:tcPr>
            <w:tcW w:w="1960" w:type="dxa"/>
            <w:vAlign w:val="bottom"/>
            <w:shd w:val="clear" w:color="auto" w:fill="0071CE"/>
          </w:tcPr>
          <w:p>
            <w:pPr>
              <w:jc w:val="center"/>
              <w:ind w:right="41"/>
              <w:spacing w:after="0"/>
              <w:rPr>
                <w:sz w:val="20"/>
                <w:szCs w:val="20"/>
                <w:color w:val="auto"/>
              </w:rPr>
            </w:pPr>
            <w:r>
              <w:rPr>
                <w:rFonts w:ascii="Arial" w:cs="Arial" w:eastAsia="Arial" w:hAnsi="Arial"/>
                <w:sz w:val="14"/>
                <w:szCs w:val="14"/>
                <w:b w:val="1"/>
                <w:bCs w:val="1"/>
                <w:color w:val="FFFFFF"/>
              </w:rPr>
              <w:t>Non-Equity</w:t>
            </w:r>
          </w:p>
        </w:tc>
        <w:tc>
          <w:tcPr>
            <w:tcW w:w="1960" w:type="dxa"/>
            <w:vAlign w:val="bottom"/>
            <w:shd w:val="clear" w:color="auto" w:fill="0071CE"/>
          </w:tcPr>
          <w:p>
            <w:pPr>
              <w:spacing w:after="0"/>
              <w:rPr>
                <w:sz w:val="15"/>
                <w:szCs w:val="15"/>
                <w:color w:val="auto"/>
              </w:rPr>
            </w:pPr>
          </w:p>
        </w:tc>
        <w:tc>
          <w:tcPr>
            <w:tcW w:w="1140" w:type="dxa"/>
            <w:vAlign w:val="bottom"/>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0071CE"/>
          </w:tcPr>
          <w:p>
            <w:pPr>
              <w:spacing w:after="0"/>
              <w:rPr>
                <w:sz w:val="14"/>
                <w:szCs w:val="14"/>
                <w:color w:val="auto"/>
              </w:rPr>
            </w:pPr>
          </w:p>
        </w:tc>
        <w:tc>
          <w:tcPr>
            <w:tcW w:w="260" w:type="dxa"/>
            <w:vAlign w:val="bottom"/>
            <w:shd w:val="clear" w:color="auto" w:fill="0071CE"/>
          </w:tcPr>
          <w:p>
            <w:pPr>
              <w:spacing w:after="0"/>
              <w:rPr>
                <w:sz w:val="14"/>
                <w:szCs w:val="14"/>
                <w:color w:val="auto"/>
              </w:rPr>
            </w:pPr>
          </w:p>
        </w:tc>
        <w:tc>
          <w:tcPr>
            <w:tcW w:w="600" w:type="dxa"/>
            <w:vAlign w:val="bottom"/>
            <w:shd w:val="clear" w:color="auto" w:fill="0071CE"/>
          </w:tcPr>
          <w:p>
            <w:pPr>
              <w:spacing w:after="0"/>
              <w:rPr>
                <w:sz w:val="14"/>
                <w:szCs w:val="14"/>
                <w:color w:val="auto"/>
              </w:rPr>
            </w:pPr>
          </w:p>
        </w:tc>
        <w:tc>
          <w:tcPr>
            <w:tcW w:w="920" w:type="dxa"/>
            <w:vAlign w:val="bottom"/>
            <w:shd w:val="clear" w:color="auto" w:fill="0071CE"/>
          </w:tcPr>
          <w:p>
            <w:pPr>
              <w:spacing w:after="0"/>
              <w:rPr>
                <w:sz w:val="14"/>
                <w:szCs w:val="14"/>
                <w:color w:val="auto"/>
              </w:rPr>
            </w:pPr>
          </w:p>
        </w:tc>
        <w:tc>
          <w:tcPr>
            <w:tcW w:w="1400" w:type="dxa"/>
            <w:vAlign w:val="bottom"/>
            <w:shd w:val="clear" w:color="auto" w:fill="0071CE"/>
          </w:tcPr>
          <w:p>
            <w:pPr>
              <w:jc w:val="center"/>
              <w:ind w:right="141"/>
              <w:spacing w:after="0"/>
              <w:rPr>
                <w:sz w:val="20"/>
                <w:szCs w:val="20"/>
                <w:color w:val="auto"/>
              </w:rPr>
            </w:pPr>
            <w:r>
              <w:rPr>
                <w:rFonts w:ascii="Arial" w:cs="Arial" w:eastAsia="Arial" w:hAnsi="Arial"/>
                <w:sz w:val="14"/>
                <w:szCs w:val="14"/>
                <w:b w:val="1"/>
                <w:bCs w:val="1"/>
                <w:color w:val="FFFFFF"/>
                <w:w w:val="99"/>
              </w:rPr>
              <w:t>Stock</w:t>
            </w:r>
          </w:p>
        </w:tc>
        <w:tc>
          <w:tcPr>
            <w:tcW w:w="1960" w:type="dxa"/>
            <w:vAlign w:val="bottom"/>
            <w:shd w:val="clear" w:color="auto" w:fill="0071CE"/>
          </w:tcPr>
          <w:p>
            <w:pPr>
              <w:jc w:val="center"/>
              <w:ind w:right="41"/>
              <w:spacing w:after="0"/>
              <w:rPr>
                <w:sz w:val="20"/>
                <w:szCs w:val="20"/>
                <w:color w:val="auto"/>
              </w:rPr>
            </w:pPr>
            <w:r>
              <w:rPr>
                <w:rFonts w:ascii="Arial" w:cs="Arial" w:eastAsia="Arial" w:hAnsi="Arial"/>
                <w:sz w:val="14"/>
                <w:szCs w:val="14"/>
                <w:b w:val="1"/>
                <w:bCs w:val="1"/>
                <w:color w:val="FFFFFF"/>
              </w:rPr>
              <w:t>Incentive Plan</w:t>
            </w:r>
          </w:p>
        </w:tc>
        <w:tc>
          <w:tcPr>
            <w:tcW w:w="1960" w:type="dxa"/>
            <w:vAlign w:val="bottom"/>
            <w:shd w:val="clear" w:color="auto" w:fill="0071CE"/>
          </w:tcPr>
          <w:p>
            <w:pPr>
              <w:jc w:val="center"/>
              <w:ind w:left="81"/>
              <w:spacing w:after="0"/>
              <w:rPr>
                <w:sz w:val="20"/>
                <w:szCs w:val="20"/>
                <w:color w:val="auto"/>
              </w:rPr>
            </w:pPr>
            <w:r>
              <w:rPr>
                <w:rFonts w:ascii="Arial" w:cs="Arial" w:eastAsia="Arial" w:hAnsi="Arial"/>
                <w:sz w:val="14"/>
                <w:szCs w:val="14"/>
                <w:b w:val="1"/>
                <w:bCs w:val="1"/>
                <w:color w:val="FFFFFF"/>
              </w:rPr>
              <w:t>All Other</w:t>
            </w:r>
          </w:p>
        </w:tc>
        <w:tc>
          <w:tcPr>
            <w:tcW w:w="114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Name and</w:t>
            </w:r>
          </w:p>
        </w:tc>
        <w:tc>
          <w:tcPr>
            <w:tcW w:w="260" w:type="dxa"/>
            <w:vAlign w:val="bottom"/>
            <w:shd w:val="clear" w:color="auto" w:fill="0071CE"/>
          </w:tcPr>
          <w:p>
            <w:pPr>
              <w:spacing w:after="0"/>
              <w:rPr>
                <w:sz w:val="14"/>
                <w:szCs w:val="14"/>
                <w:color w:val="auto"/>
              </w:rPr>
            </w:pPr>
          </w:p>
        </w:tc>
        <w:tc>
          <w:tcPr>
            <w:tcW w:w="600" w:type="dxa"/>
            <w:vAlign w:val="bottom"/>
            <w:shd w:val="clear" w:color="auto" w:fill="0071CE"/>
          </w:tcPr>
          <w:p>
            <w:pPr>
              <w:spacing w:after="0"/>
              <w:rPr>
                <w:sz w:val="14"/>
                <w:szCs w:val="14"/>
                <w:color w:val="auto"/>
              </w:rPr>
            </w:pPr>
          </w:p>
        </w:tc>
        <w:tc>
          <w:tcPr>
            <w:tcW w:w="920" w:type="dxa"/>
            <w:vAlign w:val="bottom"/>
            <w:shd w:val="clear" w:color="auto" w:fill="0071CE"/>
          </w:tcPr>
          <w:p>
            <w:pPr>
              <w:jc w:val="right"/>
              <w:ind w:right="220"/>
              <w:spacing w:after="0"/>
              <w:rPr>
                <w:sz w:val="20"/>
                <w:szCs w:val="20"/>
                <w:color w:val="auto"/>
              </w:rPr>
            </w:pPr>
            <w:r>
              <w:rPr>
                <w:rFonts w:ascii="Arial" w:cs="Arial" w:eastAsia="Arial" w:hAnsi="Arial"/>
                <w:sz w:val="14"/>
                <w:szCs w:val="14"/>
                <w:b w:val="1"/>
                <w:bCs w:val="1"/>
                <w:color w:val="FFFFFF"/>
              </w:rPr>
              <w:t>Salary</w:t>
            </w:r>
          </w:p>
        </w:tc>
        <w:tc>
          <w:tcPr>
            <w:tcW w:w="1400" w:type="dxa"/>
            <w:vAlign w:val="bottom"/>
            <w:shd w:val="clear" w:color="auto" w:fill="0071CE"/>
          </w:tcPr>
          <w:p>
            <w:pPr>
              <w:jc w:val="center"/>
              <w:ind w:right="141"/>
              <w:spacing w:after="0"/>
              <w:rPr>
                <w:sz w:val="20"/>
                <w:szCs w:val="20"/>
                <w:color w:val="auto"/>
              </w:rPr>
            </w:pPr>
            <w:r>
              <w:rPr>
                <w:rFonts w:ascii="Arial" w:cs="Arial" w:eastAsia="Arial" w:hAnsi="Arial"/>
                <w:sz w:val="14"/>
                <w:szCs w:val="14"/>
                <w:b w:val="1"/>
                <w:bCs w:val="1"/>
                <w:color w:val="FFFFFF"/>
              </w:rPr>
              <w:t>Awards (1)</w:t>
            </w:r>
          </w:p>
        </w:tc>
        <w:tc>
          <w:tcPr>
            <w:tcW w:w="1960" w:type="dxa"/>
            <w:vAlign w:val="bottom"/>
            <w:shd w:val="clear" w:color="auto" w:fill="0071CE"/>
          </w:tcPr>
          <w:p>
            <w:pPr>
              <w:jc w:val="center"/>
              <w:ind w:right="61"/>
              <w:spacing w:after="0"/>
              <w:rPr>
                <w:sz w:val="20"/>
                <w:szCs w:val="20"/>
                <w:color w:val="auto"/>
              </w:rPr>
            </w:pPr>
            <w:r>
              <w:rPr>
                <w:rFonts w:ascii="Arial" w:cs="Arial" w:eastAsia="Arial" w:hAnsi="Arial"/>
                <w:sz w:val="14"/>
                <w:szCs w:val="14"/>
                <w:b w:val="1"/>
                <w:bCs w:val="1"/>
                <w:color w:val="FFFFFF"/>
              </w:rPr>
              <w:t>Compensation (2)</w:t>
            </w:r>
          </w:p>
        </w:tc>
        <w:tc>
          <w:tcPr>
            <w:tcW w:w="1960" w:type="dxa"/>
            <w:vAlign w:val="bottom"/>
            <w:shd w:val="clear" w:color="auto" w:fill="0071CE"/>
          </w:tcPr>
          <w:p>
            <w:pPr>
              <w:jc w:val="center"/>
              <w:ind w:left="61"/>
              <w:spacing w:after="0"/>
              <w:rPr>
                <w:sz w:val="20"/>
                <w:szCs w:val="20"/>
                <w:color w:val="auto"/>
              </w:rPr>
            </w:pPr>
            <w:r>
              <w:rPr>
                <w:rFonts w:ascii="Arial" w:cs="Arial" w:eastAsia="Arial" w:hAnsi="Arial"/>
                <w:sz w:val="14"/>
                <w:szCs w:val="14"/>
                <w:b w:val="1"/>
                <w:bCs w:val="1"/>
                <w:color w:val="FFFFFF"/>
              </w:rPr>
              <w:t>Compensation (3)</w:t>
            </w:r>
          </w:p>
        </w:tc>
        <w:tc>
          <w:tcPr>
            <w:tcW w:w="114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0071CE"/>
            </w:tcBorders>
            <w:shd w:val="clear" w:color="auto" w:fill="0071CE"/>
          </w:tcPr>
          <w:p>
            <w:pPr>
              <w:ind w:left="140"/>
              <w:spacing w:after="0"/>
              <w:rPr>
                <w:sz w:val="20"/>
                <w:szCs w:val="20"/>
                <w:color w:val="auto"/>
              </w:rPr>
            </w:pPr>
            <w:r>
              <w:rPr>
                <w:rFonts w:ascii="Arial" w:cs="Arial" w:eastAsia="Arial" w:hAnsi="Arial"/>
                <w:sz w:val="14"/>
                <w:szCs w:val="14"/>
                <w:b w:val="1"/>
                <w:bCs w:val="1"/>
                <w:color w:val="FFFFFF"/>
              </w:rPr>
              <w:t>Principal Position</w:t>
            </w:r>
          </w:p>
        </w:tc>
        <w:tc>
          <w:tcPr>
            <w:tcW w:w="260" w:type="dxa"/>
            <w:vAlign w:val="bottom"/>
            <w:tcBorders>
              <w:bottom w:val="single" w:sz="8" w:color="0071CE"/>
            </w:tcBorders>
            <w:shd w:val="clear" w:color="auto" w:fill="0071CE"/>
          </w:tcPr>
          <w:p>
            <w:pPr>
              <w:spacing w:after="0"/>
              <w:rPr>
                <w:sz w:val="17"/>
                <w:szCs w:val="17"/>
                <w:color w:val="auto"/>
              </w:rPr>
            </w:pPr>
          </w:p>
        </w:tc>
        <w:tc>
          <w:tcPr>
            <w:tcW w:w="600" w:type="dxa"/>
            <w:vAlign w:val="bottom"/>
            <w:tcBorders>
              <w:bottom w:val="single" w:sz="8" w:color="0071CE"/>
            </w:tcBorders>
            <w:shd w:val="clear" w:color="auto" w:fill="0071CE"/>
          </w:tcPr>
          <w:p>
            <w:pPr>
              <w:ind w:left="40"/>
              <w:spacing w:after="0"/>
              <w:rPr>
                <w:sz w:val="20"/>
                <w:szCs w:val="20"/>
                <w:color w:val="auto"/>
              </w:rPr>
            </w:pPr>
            <w:r>
              <w:rPr>
                <w:rFonts w:ascii="Arial" w:cs="Arial" w:eastAsia="Arial" w:hAnsi="Arial"/>
                <w:sz w:val="14"/>
                <w:szCs w:val="14"/>
                <w:b w:val="1"/>
                <w:bCs w:val="1"/>
                <w:color w:val="FFFFFF"/>
              </w:rPr>
              <w:t>Year</w:t>
            </w:r>
          </w:p>
        </w:tc>
        <w:tc>
          <w:tcPr>
            <w:tcW w:w="920" w:type="dxa"/>
            <w:vAlign w:val="bottom"/>
            <w:tcBorders>
              <w:bottom w:val="single" w:sz="8" w:color="0071CE"/>
            </w:tcBorders>
            <w:shd w:val="clear" w:color="auto" w:fill="0071CE"/>
          </w:tcPr>
          <w:p>
            <w:pPr>
              <w:jc w:val="right"/>
              <w:ind w:right="340"/>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0071CE"/>
            </w:tcBorders>
            <w:shd w:val="clear" w:color="auto" w:fill="0071CE"/>
          </w:tcPr>
          <w:p>
            <w:pPr>
              <w:jc w:val="center"/>
              <w:ind w:right="141"/>
              <w:spacing w:after="0"/>
              <w:rPr>
                <w:sz w:val="20"/>
                <w:szCs w:val="20"/>
                <w:color w:val="auto"/>
              </w:rPr>
            </w:pPr>
            <w:r>
              <w:rPr>
                <w:rFonts w:ascii="Arial" w:cs="Arial" w:eastAsia="Arial" w:hAnsi="Arial"/>
                <w:sz w:val="14"/>
                <w:szCs w:val="14"/>
                <w:b w:val="1"/>
                <w:bCs w:val="1"/>
                <w:color w:val="FFFFFF"/>
              </w:rPr>
              <w:t>($)</w:t>
            </w:r>
          </w:p>
        </w:tc>
        <w:tc>
          <w:tcPr>
            <w:tcW w:w="1960" w:type="dxa"/>
            <w:vAlign w:val="bottom"/>
            <w:tcBorders>
              <w:bottom w:val="single" w:sz="8" w:color="0071CE"/>
            </w:tcBorders>
            <w:shd w:val="clear" w:color="auto" w:fill="0071CE"/>
          </w:tcPr>
          <w:p>
            <w:pPr>
              <w:jc w:val="center"/>
              <w:ind w:right="61"/>
              <w:spacing w:after="0"/>
              <w:rPr>
                <w:sz w:val="20"/>
                <w:szCs w:val="20"/>
                <w:color w:val="auto"/>
              </w:rPr>
            </w:pPr>
            <w:r>
              <w:rPr>
                <w:rFonts w:ascii="Arial" w:cs="Arial" w:eastAsia="Arial" w:hAnsi="Arial"/>
                <w:sz w:val="14"/>
                <w:szCs w:val="14"/>
                <w:b w:val="1"/>
                <w:bCs w:val="1"/>
                <w:color w:val="FFFFFF"/>
              </w:rPr>
              <w:t>($)</w:t>
            </w:r>
          </w:p>
        </w:tc>
        <w:tc>
          <w:tcPr>
            <w:tcW w:w="1960" w:type="dxa"/>
            <w:vAlign w:val="bottom"/>
            <w:tcBorders>
              <w:bottom w:val="single" w:sz="8" w:color="0071CE"/>
            </w:tcBorders>
            <w:shd w:val="clear" w:color="auto" w:fill="0071CE"/>
          </w:tcPr>
          <w:p>
            <w:pPr>
              <w:jc w:val="center"/>
              <w:ind w:left="61"/>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0071CE"/>
            </w:tcBorders>
            <w:shd w:val="clear" w:color="auto" w:fill="0071CE"/>
          </w:tcPr>
          <w:p>
            <w:pPr>
              <w:jc w:val="right"/>
              <w:ind w:right="220"/>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0071CE"/>
            </w:tcBorders>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Christopher Anzalone</w:t>
            </w:r>
          </w:p>
        </w:tc>
        <w:tc>
          <w:tcPr>
            <w:tcW w:w="86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2019</w:t>
            </w:r>
          </w:p>
        </w:tc>
        <w:tc>
          <w:tcPr>
            <w:tcW w:w="92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674,375</w:t>
            </w:r>
          </w:p>
        </w:tc>
        <w:tc>
          <w:tcPr>
            <w:tcW w:w="140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 (4)</w:t>
            </w:r>
          </w:p>
        </w:tc>
        <w:tc>
          <w:tcPr>
            <w:tcW w:w="196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1,540,000</w:t>
            </w:r>
          </w:p>
        </w:tc>
        <w:tc>
          <w:tcPr>
            <w:tcW w:w="1960" w:type="dxa"/>
            <w:vAlign w:val="bottom"/>
            <w:shd w:val="clear" w:color="auto" w:fill="E5E5E5"/>
          </w:tcPr>
          <w:p>
            <w:pPr>
              <w:jc w:val="right"/>
              <w:ind w:right="541"/>
              <w:spacing w:after="0"/>
              <w:rPr>
                <w:sz w:val="20"/>
                <w:szCs w:val="20"/>
                <w:color w:val="auto"/>
              </w:rPr>
            </w:pPr>
            <w:r>
              <w:rPr>
                <w:rFonts w:ascii="Arial" w:cs="Arial" w:eastAsia="Arial" w:hAnsi="Arial"/>
                <w:sz w:val="16"/>
                <w:szCs w:val="16"/>
                <w:color w:val="auto"/>
              </w:rPr>
              <w:t>1,889</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2,216,264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E5E5E5"/>
          </w:tcPr>
          <w:p>
            <w:pPr>
              <w:ind w:left="140"/>
              <w:spacing w:after="0"/>
              <w:rPr>
                <w:sz w:val="20"/>
                <w:szCs w:val="20"/>
                <w:color w:val="auto"/>
              </w:rPr>
            </w:pPr>
            <w:r>
              <w:rPr>
                <w:rFonts w:ascii="Arial" w:cs="Arial" w:eastAsia="Arial" w:hAnsi="Arial"/>
                <w:sz w:val="16"/>
                <w:szCs w:val="16"/>
                <w:color w:val="auto"/>
              </w:rPr>
              <w:t>President and Chief</w:t>
            </w:r>
          </w:p>
        </w:tc>
        <w:tc>
          <w:tcPr>
            <w:tcW w:w="260" w:type="dxa"/>
            <w:vAlign w:val="bottom"/>
            <w:shd w:val="clear" w:color="auto" w:fill="E5E5E5"/>
          </w:tcPr>
          <w:p>
            <w:pPr>
              <w:spacing w:after="0"/>
              <w:rPr>
                <w:sz w:val="18"/>
                <w:szCs w:val="18"/>
                <w:color w:val="auto"/>
              </w:rPr>
            </w:pPr>
          </w:p>
        </w:tc>
        <w:tc>
          <w:tcPr>
            <w:tcW w:w="60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2018</w:t>
            </w:r>
          </w:p>
        </w:tc>
        <w:tc>
          <w:tcPr>
            <w:tcW w:w="92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643,012</w:t>
            </w:r>
          </w:p>
        </w:tc>
        <w:tc>
          <w:tcPr>
            <w:tcW w:w="140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 (5)</w:t>
            </w:r>
          </w:p>
        </w:tc>
        <w:tc>
          <w:tcPr>
            <w:tcW w:w="196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975,000</w:t>
            </w:r>
          </w:p>
        </w:tc>
        <w:tc>
          <w:tcPr>
            <w:tcW w:w="1960" w:type="dxa"/>
            <w:vAlign w:val="bottom"/>
            <w:shd w:val="clear" w:color="auto" w:fill="E5E5E5"/>
          </w:tcPr>
          <w:p>
            <w:pPr>
              <w:jc w:val="right"/>
              <w:ind w:right="541"/>
              <w:spacing w:after="0"/>
              <w:rPr>
                <w:sz w:val="20"/>
                <w:szCs w:val="20"/>
                <w:color w:val="auto"/>
              </w:rPr>
            </w:pPr>
            <w:r>
              <w:rPr>
                <w:rFonts w:ascii="Arial" w:cs="Arial" w:eastAsia="Arial" w:hAnsi="Arial"/>
                <w:sz w:val="16"/>
                <w:szCs w:val="16"/>
                <w:color w:val="auto"/>
              </w:rPr>
              <w:t>1,889</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1,619,901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E5E5E5"/>
          </w:tcPr>
          <w:p>
            <w:pPr>
              <w:ind w:left="140"/>
              <w:spacing w:after="0"/>
              <w:rPr>
                <w:sz w:val="20"/>
                <w:szCs w:val="20"/>
                <w:color w:val="auto"/>
              </w:rPr>
            </w:pPr>
            <w:r>
              <w:rPr>
                <w:rFonts w:ascii="Arial" w:cs="Arial" w:eastAsia="Arial" w:hAnsi="Arial"/>
                <w:sz w:val="16"/>
                <w:szCs w:val="16"/>
                <w:color w:val="auto"/>
              </w:rPr>
              <w:t>Executive Officer</w:t>
            </w:r>
          </w:p>
        </w:tc>
        <w:tc>
          <w:tcPr>
            <w:tcW w:w="260" w:type="dxa"/>
            <w:vAlign w:val="bottom"/>
            <w:shd w:val="clear" w:color="auto" w:fill="E5E5E5"/>
          </w:tcPr>
          <w:p>
            <w:pPr>
              <w:spacing w:after="0"/>
              <w:rPr>
                <w:sz w:val="18"/>
                <w:szCs w:val="18"/>
                <w:color w:val="auto"/>
              </w:rPr>
            </w:pPr>
          </w:p>
        </w:tc>
        <w:tc>
          <w:tcPr>
            <w:tcW w:w="60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2017</w:t>
            </w:r>
          </w:p>
        </w:tc>
        <w:tc>
          <w:tcPr>
            <w:tcW w:w="92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616,068</w:t>
            </w:r>
          </w:p>
        </w:tc>
        <w:tc>
          <w:tcPr>
            <w:tcW w:w="1400" w:type="dxa"/>
            <w:vAlign w:val="bottom"/>
            <w:shd w:val="clear" w:color="auto" w:fill="E5E5E5"/>
          </w:tcPr>
          <w:p>
            <w:pPr>
              <w:jc w:val="right"/>
              <w:ind w:right="241"/>
              <w:spacing w:after="0"/>
              <w:rPr>
                <w:sz w:val="20"/>
                <w:szCs w:val="20"/>
                <w:color w:val="auto"/>
              </w:rPr>
            </w:pPr>
            <w:r>
              <w:rPr>
                <w:rFonts w:ascii="Arial" w:cs="Arial" w:eastAsia="Arial" w:hAnsi="Arial"/>
                <w:sz w:val="16"/>
                <w:szCs w:val="16"/>
                <w:color w:val="auto"/>
              </w:rPr>
              <w:t>537,900(6)</w:t>
            </w:r>
          </w:p>
        </w:tc>
        <w:tc>
          <w:tcPr>
            <w:tcW w:w="196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715,357</w:t>
            </w:r>
          </w:p>
        </w:tc>
        <w:tc>
          <w:tcPr>
            <w:tcW w:w="1960" w:type="dxa"/>
            <w:vAlign w:val="bottom"/>
            <w:shd w:val="clear" w:color="auto" w:fill="E5E5E5"/>
          </w:tcPr>
          <w:p>
            <w:pPr>
              <w:jc w:val="right"/>
              <w:ind w:right="541"/>
              <w:spacing w:after="0"/>
              <w:rPr>
                <w:sz w:val="20"/>
                <w:szCs w:val="20"/>
                <w:color w:val="auto"/>
              </w:rPr>
            </w:pPr>
            <w:r>
              <w:rPr>
                <w:rFonts w:ascii="Arial" w:cs="Arial" w:eastAsia="Arial" w:hAnsi="Arial"/>
                <w:sz w:val="16"/>
                <w:szCs w:val="16"/>
                <w:color w:val="auto"/>
              </w:rPr>
              <w:t>1,889</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1,871,214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tcPr>
          <w:p>
            <w:pPr>
              <w:ind w:left="140"/>
              <w:spacing w:after="0"/>
              <w:rPr>
                <w:sz w:val="20"/>
                <w:szCs w:val="20"/>
                <w:color w:val="auto"/>
              </w:rPr>
            </w:pPr>
            <w:r>
              <w:rPr>
                <w:rFonts w:ascii="Arial" w:cs="Arial" w:eastAsia="Arial" w:hAnsi="Arial"/>
                <w:sz w:val="16"/>
                <w:szCs w:val="16"/>
                <w:b w:val="1"/>
                <w:bCs w:val="1"/>
                <w:color w:val="0071CE"/>
              </w:rPr>
              <w:t>Kenneth Myszkowski</w:t>
            </w: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2019</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422,500</w:t>
            </w:r>
          </w:p>
        </w:tc>
        <w:tc>
          <w:tcPr>
            <w:tcW w:w="1400" w:type="dxa"/>
            <w:vAlign w:val="bottom"/>
          </w:tcPr>
          <w:p>
            <w:pPr>
              <w:jc w:val="right"/>
              <w:ind w:right="441"/>
              <w:spacing w:after="0"/>
              <w:rPr>
                <w:sz w:val="20"/>
                <w:szCs w:val="20"/>
                <w:color w:val="auto"/>
              </w:rPr>
            </w:pPr>
            <w:r>
              <w:rPr>
                <w:rFonts w:ascii="Arial" w:cs="Arial" w:eastAsia="Arial" w:hAnsi="Arial"/>
                <w:sz w:val="16"/>
                <w:szCs w:val="16"/>
                <w:color w:val="auto"/>
              </w:rPr>
              <w:t>1,055,700</w:t>
            </w:r>
          </w:p>
        </w:tc>
        <w:tc>
          <w:tcPr>
            <w:tcW w:w="1960" w:type="dxa"/>
            <w:vAlign w:val="bottom"/>
          </w:tcPr>
          <w:p>
            <w:pPr>
              <w:jc w:val="right"/>
              <w:ind w:right="581"/>
              <w:spacing w:after="0"/>
              <w:rPr>
                <w:sz w:val="20"/>
                <w:szCs w:val="20"/>
                <w:color w:val="auto"/>
              </w:rPr>
            </w:pPr>
            <w:r>
              <w:rPr>
                <w:rFonts w:ascii="Arial" w:cs="Arial" w:eastAsia="Arial" w:hAnsi="Arial"/>
                <w:sz w:val="16"/>
                <w:szCs w:val="16"/>
                <w:color w:val="auto"/>
              </w:rPr>
              <w:t>251,550</w:t>
            </w:r>
          </w:p>
        </w:tc>
        <w:tc>
          <w:tcPr>
            <w:tcW w:w="1960" w:type="dxa"/>
            <w:vAlign w:val="bottom"/>
          </w:tcPr>
          <w:p>
            <w:pPr>
              <w:jc w:val="right"/>
              <w:ind w:right="541"/>
              <w:spacing w:after="0"/>
              <w:rPr>
                <w:sz w:val="20"/>
                <w:szCs w:val="20"/>
                <w:color w:val="auto"/>
              </w:rPr>
            </w:pPr>
            <w:r>
              <w:rPr>
                <w:rFonts w:ascii="Arial" w:cs="Arial" w:eastAsia="Arial" w:hAnsi="Arial"/>
                <w:sz w:val="16"/>
                <w:szCs w:val="16"/>
                <w:color w:val="auto"/>
              </w:rPr>
              <w:t>11,799</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1,741,549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60" w:type="dxa"/>
            <w:vAlign w:val="bottom"/>
          </w:tcPr>
          <w:p>
            <w:pPr>
              <w:ind w:left="140"/>
              <w:spacing w:after="0"/>
              <w:rPr>
                <w:sz w:val="20"/>
                <w:szCs w:val="20"/>
                <w:color w:val="auto"/>
              </w:rPr>
            </w:pPr>
            <w:r>
              <w:rPr>
                <w:rFonts w:ascii="Arial" w:cs="Arial" w:eastAsia="Arial" w:hAnsi="Arial"/>
                <w:sz w:val="16"/>
                <w:szCs w:val="16"/>
                <w:color w:val="auto"/>
              </w:rPr>
              <w:t>Chief Financial Officer</w:t>
            </w: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2018</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384,841</w:t>
            </w:r>
          </w:p>
        </w:tc>
        <w:tc>
          <w:tcPr>
            <w:tcW w:w="1400" w:type="dxa"/>
            <w:vAlign w:val="bottom"/>
          </w:tcPr>
          <w:p>
            <w:pPr>
              <w:jc w:val="right"/>
              <w:ind w:right="441"/>
              <w:spacing w:after="0"/>
              <w:rPr>
                <w:sz w:val="20"/>
                <w:szCs w:val="20"/>
                <w:color w:val="auto"/>
              </w:rPr>
            </w:pPr>
            <w:r>
              <w:rPr>
                <w:rFonts w:ascii="Arial" w:cs="Arial" w:eastAsia="Arial" w:hAnsi="Arial"/>
                <w:sz w:val="16"/>
                <w:szCs w:val="16"/>
                <w:color w:val="auto"/>
              </w:rPr>
              <w:t>276,000</w:t>
            </w:r>
          </w:p>
        </w:tc>
        <w:tc>
          <w:tcPr>
            <w:tcW w:w="1960" w:type="dxa"/>
            <w:vAlign w:val="bottom"/>
          </w:tcPr>
          <w:p>
            <w:pPr>
              <w:jc w:val="right"/>
              <w:ind w:right="581"/>
              <w:spacing w:after="0"/>
              <w:rPr>
                <w:sz w:val="20"/>
                <w:szCs w:val="20"/>
                <w:color w:val="auto"/>
              </w:rPr>
            </w:pPr>
            <w:r>
              <w:rPr>
                <w:rFonts w:ascii="Arial" w:cs="Arial" w:eastAsia="Arial" w:hAnsi="Arial"/>
                <w:sz w:val="16"/>
                <w:szCs w:val="16"/>
                <w:color w:val="auto"/>
              </w:rPr>
              <w:t>180,000</w:t>
            </w:r>
          </w:p>
        </w:tc>
        <w:tc>
          <w:tcPr>
            <w:tcW w:w="1960" w:type="dxa"/>
            <w:vAlign w:val="bottom"/>
          </w:tcPr>
          <w:p>
            <w:pPr>
              <w:jc w:val="right"/>
              <w:ind w:right="541"/>
              <w:spacing w:after="0"/>
              <w:rPr>
                <w:sz w:val="20"/>
                <w:szCs w:val="20"/>
                <w:color w:val="auto"/>
              </w:rPr>
            </w:pPr>
            <w:r>
              <w:rPr>
                <w:rFonts w:ascii="Arial" w:cs="Arial" w:eastAsia="Arial" w:hAnsi="Arial"/>
                <w:sz w:val="16"/>
                <w:szCs w:val="16"/>
                <w:color w:val="auto"/>
              </w:rPr>
              <w:t>12,177</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853,018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6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2017</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336,099</w:t>
            </w:r>
          </w:p>
        </w:tc>
        <w:tc>
          <w:tcPr>
            <w:tcW w:w="1400" w:type="dxa"/>
            <w:vAlign w:val="bottom"/>
          </w:tcPr>
          <w:p>
            <w:pPr>
              <w:jc w:val="right"/>
              <w:ind w:right="441"/>
              <w:spacing w:after="0"/>
              <w:rPr>
                <w:sz w:val="20"/>
                <w:szCs w:val="20"/>
                <w:color w:val="auto"/>
              </w:rPr>
            </w:pPr>
            <w:r>
              <w:rPr>
                <w:rFonts w:ascii="Arial" w:cs="Arial" w:eastAsia="Arial" w:hAnsi="Arial"/>
                <w:sz w:val="16"/>
                <w:szCs w:val="16"/>
                <w:color w:val="auto"/>
              </w:rPr>
              <w:t>224,750</w:t>
            </w:r>
          </w:p>
        </w:tc>
        <w:tc>
          <w:tcPr>
            <w:tcW w:w="1960" w:type="dxa"/>
            <w:vAlign w:val="bottom"/>
          </w:tcPr>
          <w:p>
            <w:pPr>
              <w:jc w:val="right"/>
              <w:ind w:right="581"/>
              <w:spacing w:after="0"/>
              <w:rPr>
                <w:sz w:val="20"/>
                <w:szCs w:val="20"/>
                <w:color w:val="auto"/>
              </w:rPr>
            </w:pPr>
            <w:r>
              <w:rPr>
                <w:rFonts w:ascii="Arial" w:cs="Arial" w:eastAsia="Arial" w:hAnsi="Arial"/>
                <w:sz w:val="16"/>
                <w:szCs w:val="16"/>
                <w:color w:val="auto"/>
              </w:rPr>
              <w:t>152,713</w:t>
            </w:r>
          </w:p>
        </w:tc>
        <w:tc>
          <w:tcPr>
            <w:tcW w:w="1960" w:type="dxa"/>
            <w:vAlign w:val="bottom"/>
          </w:tcPr>
          <w:p>
            <w:pPr>
              <w:jc w:val="right"/>
              <w:ind w:right="541"/>
              <w:spacing w:after="0"/>
              <w:rPr>
                <w:sz w:val="20"/>
                <w:szCs w:val="20"/>
                <w:color w:val="auto"/>
              </w:rPr>
            </w:pPr>
            <w:r>
              <w:rPr>
                <w:rFonts w:ascii="Arial" w:cs="Arial" w:eastAsia="Arial" w:hAnsi="Arial"/>
                <w:sz w:val="16"/>
                <w:szCs w:val="16"/>
                <w:color w:val="auto"/>
              </w:rPr>
              <w:t>11,809</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725,371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6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Bruce D. Given</w:t>
            </w:r>
          </w:p>
        </w:tc>
        <w:tc>
          <w:tcPr>
            <w:tcW w:w="86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2019</w:t>
            </w:r>
          </w:p>
        </w:tc>
        <w:tc>
          <w:tcPr>
            <w:tcW w:w="92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488,750</w:t>
            </w:r>
          </w:p>
        </w:tc>
        <w:tc>
          <w:tcPr>
            <w:tcW w:w="1400" w:type="dxa"/>
            <w:vAlign w:val="bottom"/>
            <w:shd w:val="clear" w:color="auto" w:fill="E5E5E5"/>
          </w:tcPr>
          <w:p>
            <w:pPr>
              <w:jc w:val="right"/>
              <w:ind w:right="441"/>
              <w:spacing w:after="0"/>
              <w:rPr>
                <w:sz w:val="20"/>
                <w:szCs w:val="20"/>
                <w:color w:val="auto"/>
              </w:rPr>
            </w:pPr>
            <w:r>
              <w:rPr>
                <w:rFonts w:ascii="Arial" w:cs="Arial" w:eastAsia="Arial" w:hAnsi="Arial"/>
                <w:sz w:val="16"/>
                <w:szCs w:val="16"/>
                <w:color w:val="auto"/>
              </w:rPr>
              <w:t>2,608,200</w:t>
            </w:r>
          </w:p>
        </w:tc>
        <w:tc>
          <w:tcPr>
            <w:tcW w:w="196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850,000</w:t>
            </w:r>
          </w:p>
        </w:tc>
        <w:tc>
          <w:tcPr>
            <w:tcW w:w="1960" w:type="dxa"/>
            <w:vAlign w:val="bottom"/>
            <w:shd w:val="clear" w:color="auto" w:fill="E5E5E5"/>
          </w:tcPr>
          <w:p>
            <w:pPr>
              <w:jc w:val="right"/>
              <w:ind w:right="541"/>
              <w:spacing w:after="0"/>
              <w:rPr>
                <w:sz w:val="20"/>
                <w:szCs w:val="20"/>
                <w:color w:val="auto"/>
              </w:rPr>
            </w:pPr>
            <w:r>
              <w:rPr>
                <w:rFonts w:ascii="Arial" w:cs="Arial" w:eastAsia="Arial" w:hAnsi="Arial"/>
                <w:sz w:val="16"/>
                <w:szCs w:val="16"/>
                <w:color w:val="auto"/>
              </w:rPr>
              <w:t>11,799</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3,958,759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Chief Operating Officer</w:t>
            </w:r>
          </w:p>
        </w:tc>
        <w:tc>
          <w:tcPr>
            <w:tcW w:w="260" w:type="dxa"/>
            <w:vAlign w:val="bottom"/>
            <w:shd w:val="clear" w:color="auto" w:fill="E5E5E5"/>
          </w:tcPr>
          <w:p>
            <w:pPr>
              <w:spacing w:after="0"/>
              <w:rPr>
                <w:sz w:val="18"/>
                <w:szCs w:val="18"/>
                <w:color w:val="auto"/>
              </w:rPr>
            </w:pPr>
          </w:p>
        </w:tc>
        <w:tc>
          <w:tcPr>
            <w:tcW w:w="60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2018</w:t>
            </w:r>
          </w:p>
        </w:tc>
        <w:tc>
          <w:tcPr>
            <w:tcW w:w="92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450,362</w:t>
            </w:r>
          </w:p>
        </w:tc>
        <w:tc>
          <w:tcPr>
            <w:tcW w:w="1400" w:type="dxa"/>
            <w:vAlign w:val="bottom"/>
            <w:shd w:val="clear" w:color="auto" w:fill="E5E5E5"/>
          </w:tcPr>
          <w:p>
            <w:pPr>
              <w:jc w:val="right"/>
              <w:ind w:right="441"/>
              <w:spacing w:after="0"/>
              <w:rPr>
                <w:sz w:val="20"/>
                <w:szCs w:val="20"/>
                <w:color w:val="auto"/>
              </w:rPr>
            </w:pPr>
            <w:r>
              <w:rPr>
                <w:rFonts w:ascii="Arial" w:cs="Arial" w:eastAsia="Arial" w:hAnsi="Arial"/>
                <w:sz w:val="16"/>
                <w:szCs w:val="16"/>
                <w:color w:val="auto"/>
              </w:rPr>
              <w:t>644,000</w:t>
            </w:r>
          </w:p>
        </w:tc>
        <w:tc>
          <w:tcPr>
            <w:tcW w:w="196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445,900</w:t>
            </w:r>
          </w:p>
        </w:tc>
        <w:tc>
          <w:tcPr>
            <w:tcW w:w="1960" w:type="dxa"/>
            <w:vAlign w:val="bottom"/>
            <w:shd w:val="clear" w:color="auto" w:fill="E5E5E5"/>
          </w:tcPr>
          <w:p>
            <w:pPr>
              <w:jc w:val="right"/>
              <w:ind w:right="541"/>
              <w:spacing w:after="0"/>
              <w:rPr>
                <w:sz w:val="20"/>
                <w:szCs w:val="20"/>
                <w:color w:val="auto"/>
              </w:rPr>
            </w:pPr>
            <w:r>
              <w:rPr>
                <w:rFonts w:ascii="Arial" w:cs="Arial" w:eastAsia="Arial" w:hAnsi="Arial"/>
                <w:sz w:val="16"/>
                <w:szCs w:val="16"/>
                <w:color w:val="auto"/>
              </w:rPr>
              <w:t>11,799</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1,552,061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0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2017</w:t>
            </w:r>
          </w:p>
        </w:tc>
        <w:tc>
          <w:tcPr>
            <w:tcW w:w="92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432,250</w:t>
            </w:r>
          </w:p>
        </w:tc>
        <w:tc>
          <w:tcPr>
            <w:tcW w:w="1400" w:type="dxa"/>
            <w:vAlign w:val="bottom"/>
            <w:shd w:val="clear" w:color="auto" w:fill="E5E5E5"/>
          </w:tcPr>
          <w:p>
            <w:pPr>
              <w:jc w:val="right"/>
              <w:ind w:right="441"/>
              <w:spacing w:after="0"/>
              <w:rPr>
                <w:sz w:val="20"/>
                <w:szCs w:val="20"/>
                <w:color w:val="auto"/>
              </w:rPr>
            </w:pPr>
            <w:r>
              <w:rPr>
                <w:rFonts w:ascii="Arial" w:cs="Arial" w:eastAsia="Arial" w:hAnsi="Arial"/>
                <w:sz w:val="16"/>
                <w:szCs w:val="16"/>
                <w:color w:val="auto"/>
              </w:rPr>
              <w:t>589,000</w:t>
            </w:r>
          </w:p>
        </w:tc>
        <w:tc>
          <w:tcPr>
            <w:tcW w:w="196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351,340</w:t>
            </w:r>
          </w:p>
        </w:tc>
        <w:tc>
          <w:tcPr>
            <w:tcW w:w="1960" w:type="dxa"/>
            <w:vAlign w:val="bottom"/>
            <w:shd w:val="clear" w:color="auto" w:fill="E5E5E5"/>
          </w:tcPr>
          <w:p>
            <w:pPr>
              <w:jc w:val="right"/>
              <w:ind w:right="541"/>
              <w:spacing w:after="0"/>
              <w:rPr>
                <w:sz w:val="20"/>
                <w:szCs w:val="20"/>
                <w:color w:val="auto"/>
              </w:rPr>
            </w:pPr>
            <w:r>
              <w:rPr>
                <w:rFonts w:ascii="Arial" w:cs="Arial" w:eastAsia="Arial" w:hAnsi="Arial"/>
                <w:sz w:val="16"/>
                <w:szCs w:val="16"/>
                <w:color w:val="auto"/>
              </w:rPr>
              <w:t>11,599</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1,384,189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tcPr>
          <w:p>
            <w:pPr>
              <w:ind w:left="140"/>
              <w:spacing w:after="0"/>
              <w:rPr>
                <w:sz w:val="20"/>
                <w:szCs w:val="20"/>
                <w:color w:val="auto"/>
              </w:rPr>
            </w:pPr>
            <w:r>
              <w:rPr>
                <w:rFonts w:ascii="Arial" w:cs="Arial" w:eastAsia="Arial" w:hAnsi="Arial"/>
                <w:sz w:val="16"/>
                <w:szCs w:val="16"/>
                <w:b w:val="1"/>
                <w:bCs w:val="1"/>
                <w:color w:val="0071CE"/>
              </w:rPr>
              <w:t>Patrick O’Brien</w:t>
            </w: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2019</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422,300</w:t>
            </w:r>
          </w:p>
        </w:tc>
        <w:tc>
          <w:tcPr>
            <w:tcW w:w="1400" w:type="dxa"/>
            <w:vAlign w:val="bottom"/>
          </w:tcPr>
          <w:p>
            <w:pPr>
              <w:jc w:val="right"/>
              <w:ind w:right="441"/>
              <w:spacing w:after="0"/>
              <w:rPr>
                <w:sz w:val="20"/>
                <w:szCs w:val="20"/>
                <w:color w:val="auto"/>
              </w:rPr>
            </w:pPr>
            <w:r>
              <w:rPr>
                <w:rFonts w:ascii="Arial" w:cs="Arial" w:eastAsia="Arial" w:hAnsi="Arial"/>
                <w:sz w:val="16"/>
                <w:szCs w:val="16"/>
                <w:color w:val="auto"/>
              </w:rPr>
              <w:t>869,400</w:t>
            </w:r>
          </w:p>
        </w:tc>
        <w:tc>
          <w:tcPr>
            <w:tcW w:w="1960" w:type="dxa"/>
            <w:vAlign w:val="bottom"/>
          </w:tcPr>
          <w:p>
            <w:pPr>
              <w:jc w:val="right"/>
              <w:ind w:right="581"/>
              <w:spacing w:after="0"/>
              <w:rPr>
                <w:sz w:val="20"/>
                <w:szCs w:val="20"/>
                <w:color w:val="auto"/>
              </w:rPr>
            </w:pPr>
            <w:r>
              <w:rPr>
                <w:rFonts w:ascii="Arial" w:cs="Arial" w:eastAsia="Arial" w:hAnsi="Arial"/>
                <w:sz w:val="16"/>
                <w:szCs w:val="16"/>
                <w:color w:val="auto"/>
              </w:rPr>
              <w:t>249,444</w:t>
            </w:r>
          </w:p>
        </w:tc>
        <w:tc>
          <w:tcPr>
            <w:tcW w:w="1960" w:type="dxa"/>
            <w:vAlign w:val="bottom"/>
          </w:tcPr>
          <w:p>
            <w:pPr>
              <w:jc w:val="right"/>
              <w:ind w:right="541"/>
              <w:spacing w:after="0"/>
              <w:rPr>
                <w:sz w:val="20"/>
                <w:szCs w:val="20"/>
                <w:color w:val="auto"/>
              </w:rPr>
            </w:pPr>
            <w:r>
              <w:rPr>
                <w:rFonts w:ascii="Arial" w:cs="Arial" w:eastAsia="Arial" w:hAnsi="Arial"/>
                <w:sz w:val="16"/>
                <w:szCs w:val="16"/>
                <w:color w:val="auto"/>
              </w:rPr>
              <w:t>11,799</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1,552,943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40"/>
              <w:spacing w:after="0"/>
              <w:rPr>
                <w:sz w:val="20"/>
                <w:szCs w:val="20"/>
                <w:color w:val="auto"/>
              </w:rPr>
            </w:pPr>
            <w:r>
              <w:rPr>
                <w:rFonts w:ascii="Arial" w:cs="Arial" w:eastAsia="Arial" w:hAnsi="Arial"/>
                <w:sz w:val="16"/>
                <w:szCs w:val="16"/>
                <w:color w:val="auto"/>
              </w:rPr>
              <w:t>General Counsel</w:t>
            </w: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2018</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406,196</w:t>
            </w:r>
          </w:p>
        </w:tc>
        <w:tc>
          <w:tcPr>
            <w:tcW w:w="1400" w:type="dxa"/>
            <w:vAlign w:val="bottom"/>
          </w:tcPr>
          <w:p>
            <w:pPr>
              <w:jc w:val="right"/>
              <w:ind w:right="441"/>
              <w:spacing w:after="0"/>
              <w:rPr>
                <w:sz w:val="20"/>
                <w:szCs w:val="20"/>
                <w:color w:val="auto"/>
              </w:rPr>
            </w:pPr>
            <w:r>
              <w:rPr>
                <w:rFonts w:ascii="Arial" w:cs="Arial" w:eastAsia="Arial" w:hAnsi="Arial"/>
                <w:sz w:val="16"/>
                <w:szCs w:val="16"/>
                <w:color w:val="auto"/>
              </w:rPr>
              <w:t>220,800</w:t>
            </w:r>
          </w:p>
        </w:tc>
        <w:tc>
          <w:tcPr>
            <w:tcW w:w="1960" w:type="dxa"/>
            <w:vAlign w:val="bottom"/>
          </w:tcPr>
          <w:p>
            <w:pPr>
              <w:jc w:val="right"/>
              <w:ind w:right="581"/>
              <w:spacing w:after="0"/>
              <w:rPr>
                <w:sz w:val="20"/>
                <w:szCs w:val="20"/>
                <w:color w:val="auto"/>
              </w:rPr>
            </w:pPr>
            <w:r>
              <w:rPr>
                <w:rFonts w:ascii="Arial" w:cs="Arial" w:eastAsia="Arial" w:hAnsi="Arial"/>
                <w:sz w:val="16"/>
                <w:szCs w:val="16"/>
                <w:color w:val="auto"/>
              </w:rPr>
              <w:t>184,500</w:t>
            </w:r>
          </w:p>
        </w:tc>
        <w:tc>
          <w:tcPr>
            <w:tcW w:w="1960" w:type="dxa"/>
            <w:vAlign w:val="bottom"/>
          </w:tcPr>
          <w:p>
            <w:pPr>
              <w:jc w:val="right"/>
              <w:ind w:right="541"/>
              <w:spacing w:after="0"/>
              <w:rPr>
                <w:sz w:val="20"/>
                <w:szCs w:val="20"/>
                <w:color w:val="auto"/>
              </w:rPr>
            </w:pPr>
            <w:r>
              <w:rPr>
                <w:rFonts w:ascii="Arial" w:cs="Arial" w:eastAsia="Arial" w:hAnsi="Arial"/>
                <w:sz w:val="16"/>
                <w:szCs w:val="16"/>
                <w:color w:val="auto"/>
              </w:rPr>
              <w:t>11,799</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823,295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2017</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390,988</w:t>
            </w:r>
          </w:p>
        </w:tc>
        <w:tc>
          <w:tcPr>
            <w:tcW w:w="1400" w:type="dxa"/>
            <w:vAlign w:val="bottom"/>
          </w:tcPr>
          <w:p>
            <w:pPr>
              <w:jc w:val="right"/>
              <w:ind w:right="441"/>
              <w:spacing w:after="0"/>
              <w:rPr>
                <w:sz w:val="20"/>
                <w:szCs w:val="20"/>
                <w:color w:val="auto"/>
              </w:rPr>
            </w:pPr>
            <w:r>
              <w:rPr>
                <w:rFonts w:ascii="Arial" w:cs="Arial" w:eastAsia="Arial" w:hAnsi="Arial"/>
                <w:sz w:val="16"/>
                <w:szCs w:val="16"/>
                <w:color w:val="auto"/>
              </w:rPr>
              <w:t>224,750</w:t>
            </w:r>
          </w:p>
        </w:tc>
        <w:tc>
          <w:tcPr>
            <w:tcW w:w="1960" w:type="dxa"/>
            <w:vAlign w:val="bottom"/>
          </w:tcPr>
          <w:p>
            <w:pPr>
              <w:jc w:val="right"/>
              <w:ind w:right="581"/>
              <w:spacing w:after="0"/>
              <w:rPr>
                <w:sz w:val="20"/>
                <w:szCs w:val="20"/>
                <w:color w:val="auto"/>
              </w:rPr>
            </w:pPr>
            <w:r>
              <w:rPr>
                <w:rFonts w:ascii="Arial" w:cs="Arial" w:eastAsia="Arial" w:hAnsi="Arial"/>
                <w:sz w:val="16"/>
                <w:szCs w:val="16"/>
                <w:color w:val="auto"/>
              </w:rPr>
              <w:t>177,653</w:t>
            </w:r>
          </w:p>
        </w:tc>
        <w:tc>
          <w:tcPr>
            <w:tcW w:w="1960" w:type="dxa"/>
            <w:vAlign w:val="bottom"/>
          </w:tcPr>
          <w:p>
            <w:pPr>
              <w:jc w:val="right"/>
              <w:ind w:right="541"/>
              <w:spacing w:after="0"/>
              <w:rPr>
                <w:sz w:val="20"/>
                <w:szCs w:val="20"/>
                <w:color w:val="auto"/>
              </w:rPr>
            </w:pPr>
            <w:r>
              <w:rPr>
                <w:rFonts w:ascii="Arial" w:cs="Arial" w:eastAsia="Arial" w:hAnsi="Arial"/>
                <w:sz w:val="16"/>
                <w:szCs w:val="16"/>
                <w:color w:val="auto"/>
              </w:rPr>
              <w:t>11,599</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804,990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76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Zhen Li (7)</w:t>
            </w:r>
          </w:p>
        </w:tc>
        <w:tc>
          <w:tcPr>
            <w:tcW w:w="86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2019</w:t>
            </w:r>
          </w:p>
        </w:tc>
        <w:tc>
          <w:tcPr>
            <w:tcW w:w="92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150,257</w:t>
            </w:r>
          </w:p>
        </w:tc>
        <w:tc>
          <w:tcPr>
            <w:tcW w:w="1400" w:type="dxa"/>
            <w:vAlign w:val="bottom"/>
            <w:shd w:val="clear" w:color="auto" w:fill="E5E5E5"/>
          </w:tcPr>
          <w:p>
            <w:pPr>
              <w:jc w:val="right"/>
              <w:ind w:right="441"/>
              <w:spacing w:after="0"/>
              <w:rPr>
                <w:sz w:val="20"/>
                <w:szCs w:val="20"/>
                <w:color w:val="auto"/>
              </w:rPr>
            </w:pPr>
            <w:r>
              <w:rPr>
                <w:rFonts w:ascii="Arial" w:cs="Arial" w:eastAsia="Arial" w:hAnsi="Arial"/>
                <w:sz w:val="16"/>
                <w:szCs w:val="16"/>
                <w:color w:val="auto"/>
              </w:rPr>
              <w:t>931,500</w:t>
            </w:r>
          </w:p>
        </w:tc>
        <w:tc>
          <w:tcPr>
            <w:tcW w:w="196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w:t>
            </w:r>
          </w:p>
        </w:tc>
        <w:tc>
          <w:tcPr>
            <w:tcW w:w="1960" w:type="dxa"/>
            <w:vAlign w:val="bottom"/>
            <w:shd w:val="clear" w:color="auto" w:fill="E5E5E5"/>
          </w:tcPr>
          <w:p>
            <w:pPr>
              <w:jc w:val="right"/>
              <w:ind w:right="541"/>
              <w:spacing w:after="0"/>
              <w:rPr>
                <w:sz w:val="20"/>
                <w:szCs w:val="20"/>
                <w:color w:val="auto"/>
              </w:rPr>
            </w:pPr>
            <w:r>
              <w:rPr>
                <w:rFonts w:ascii="Arial" w:cs="Arial" w:eastAsia="Arial" w:hAnsi="Arial"/>
                <w:sz w:val="16"/>
                <w:szCs w:val="16"/>
                <w:color w:val="auto"/>
              </w:rPr>
              <w:t>4,236</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1,085,993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E5E5E5"/>
          </w:tcPr>
          <w:p>
            <w:pPr>
              <w:ind w:left="140"/>
              <w:spacing w:after="0"/>
              <w:rPr>
                <w:sz w:val="20"/>
                <w:szCs w:val="20"/>
                <w:color w:val="auto"/>
              </w:rPr>
            </w:pPr>
            <w:r>
              <w:rPr>
                <w:rFonts w:ascii="Arial" w:cs="Arial" w:eastAsia="Arial" w:hAnsi="Arial"/>
                <w:sz w:val="16"/>
                <w:szCs w:val="16"/>
                <w:color w:val="auto"/>
              </w:rPr>
              <w:t>Senior Vice President,</w:t>
            </w:r>
          </w:p>
        </w:tc>
        <w:tc>
          <w:tcPr>
            <w:tcW w:w="260" w:type="dxa"/>
            <w:vAlign w:val="bottom"/>
            <w:shd w:val="clear" w:color="auto" w:fill="E5E5E5"/>
          </w:tcPr>
          <w:p>
            <w:pPr>
              <w:spacing w:after="0"/>
              <w:rPr>
                <w:sz w:val="16"/>
                <w:szCs w:val="16"/>
                <w:color w:val="auto"/>
              </w:rPr>
            </w:pPr>
          </w:p>
        </w:tc>
        <w:tc>
          <w:tcPr>
            <w:tcW w:w="60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2018</w:t>
            </w:r>
          </w:p>
        </w:tc>
        <w:tc>
          <w:tcPr>
            <w:tcW w:w="920" w:type="dxa"/>
            <w:vAlign w:val="bottom"/>
            <w:shd w:val="clear" w:color="auto" w:fill="E5E5E5"/>
          </w:tcPr>
          <w:p>
            <w:pPr>
              <w:jc w:val="right"/>
              <w:ind w:right="80"/>
              <w:spacing w:after="0"/>
              <w:rPr>
                <w:sz w:val="20"/>
                <w:szCs w:val="20"/>
                <w:color w:val="auto"/>
              </w:rPr>
            </w:pPr>
            <w:r>
              <w:rPr>
                <w:rFonts w:ascii="Arial" w:cs="Arial" w:eastAsia="Arial" w:hAnsi="Arial"/>
                <w:sz w:val="16"/>
                <w:szCs w:val="16"/>
                <w:color w:val="auto"/>
              </w:rPr>
              <w:t>287,462</w:t>
            </w:r>
          </w:p>
        </w:tc>
        <w:tc>
          <w:tcPr>
            <w:tcW w:w="1400" w:type="dxa"/>
            <w:vAlign w:val="bottom"/>
            <w:shd w:val="clear" w:color="auto" w:fill="E5E5E5"/>
          </w:tcPr>
          <w:p>
            <w:pPr>
              <w:jc w:val="right"/>
              <w:ind w:right="441"/>
              <w:spacing w:after="0"/>
              <w:rPr>
                <w:sz w:val="20"/>
                <w:szCs w:val="20"/>
                <w:color w:val="auto"/>
              </w:rPr>
            </w:pPr>
            <w:r>
              <w:rPr>
                <w:rFonts w:ascii="Arial" w:cs="Arial" w:eastAsia="Arial" w:hAnsi="Arial"/>
                <w:sz w:val="16"/>
                <w:szCs w:val="16"/>
                <w:color w:val="auto"/>
              </w:rPr>
              <w:t>239,200</w:t>
            </w:r>
          </w:p>
        </w:tc>
        <w:tc>
          <w:tcPr>
            <w:tcW w:w="196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150,000</w:t>
            </w:r>
          </w:p>
        </w:tc>
        <w:tc>
          <w:tcPr>
            <w:tcW w:w="1960" w:type="dxa"/>
            <w:vAlign w:val="bottom"/>
            <w:shd w:val="clear" w:color="auto" w:fill="E5E5E5"/>
          </w:tcPr>
          <w:p>
            <w:pPr>
              <w:jc w:val="right"/>
              <w:ind w:right="541"/>
              <w:spacing w:after="0"/>
              <w:rPr>
                <w:sz w:val="20"/>
                <w:szCs w:val="20"/>
                <w:color w:val="auto"/>
              </w:rPr>
            </w:pPr>
            <w:r>
              <w:rPr>
                <w:rFonts w:ascii="Arial" w:cs="Arial" w:eastAsia="Arial" w:hAnsi="Arial"/>
                <w:sz w:val="16"/>
                <w:szCs w:val="16"/>
                <w:color w:val="auto"/>
              </w:rPr>
              <w:t>9,462</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686,124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Chemistry and Non-</w:t>
            </w:r>
          </w:p>
        </w:tc>
        <w:tc>
          <w:tcPr>
            <w:tcW w:w="260" w:type="dxa"/>
            <w:vAlign w:val="bottom"/>
            <w:shd w:val="clear" w:color="auto" w:fill="E5E5E5"/>
          </w:tcPr>
          <w:p>
            <w:pPr>
              <w:spacing w:after="0"/>
              <w:rPr>
                <w:sz w:val="16"/>
                <w:szCs w:val="16"/>
                <w:color w:val="auto"/>
              </w:rPr>
            </w:pPr>
          </w:p>
        </w:tc>
        <w:tc>
          <w:tcPr>
            <w:tcW w:w="60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2017</w:t>
            </w:r>
          </w:p>
        </w:tc>
        <w:tc>
          <w:tcPr>
            <w:tcW w:w="920" w:type="dxa"/>
            <w:vAlign w:val="bottom"/>
            <w:vMerge w:val="restart"/>
            <w:shd w:val="clear" w:color="auto" w:fill="E5E5E5"/>
          </w:tcPr>
          <w:p>
            <w:pPr>
              <w:jc w:val="right"/>
              <w:ind w:right="80"/>
              <w:spacing w:after="0"/>
              <w:rPr>
                <w:sz w:val="20"/>
                <w:szCs w:val="20"/>
                <w:color w:val="auto"/>
              </w:rPr>
            </w:pPr>
            <w:r>
              <w:rPr>
                <w:rFonts w:ascii="Arial" w:cs="Arial" w:eastAsia="Arial" w:hAnsi="Arial"/>
                <w:sz w:val="16"/>
                <w:szCs w:val="16"/>
                <w:color w:val="auto"/>
              </w:rPr>
              <w:t>247,448</w:t>
            </w:r>
          </w:p>
        </w:tc>
        <w:tc>
          <w:tcPr>
            <w:tcW w:w="1400" w:type="dxa"/>
            <w:vAlign w:val="bottom"/>
            <w:vMerge w:val="restart"/>
            <w:shd w:val="clear" w:color="auto" w:fill="E5E5E5"/>
          </w:tcPr>
          <w:p>
            <w:pPr>
              <w:jc w:val="right"/>
              <w:ind w:right="441"/>
              <w:spacing w:after="0"/>
              <w:rPr>
                <w:sz w:val="20"/>
                <w:szCs w:val="20"/>
                <w:color w:val="auto"/>
              </w:rPr>
            </w:pPr>
            <w:r>
              <w:rPr>
                <w:rFonts w:ascii="Arial" w:cs="Arial" w:eastAsia="Arial" w:hAnsi="Arial"/>
                <w:sz w:val="16"/>
                <w:szCs w:val="16"/>
                <w:color w:val="auto"/>
              </w:rPr>
              <w:t>131,750</w:t>
            </w:r>
          </w:p>
        </w:tc>
        <w:tc>
          <w:tcPr>
            <w:tcW w:w="1960" w:type="dxa"/>
            <w:vAlign w:val="bottom"/>
            <w:vMerge w:val="restart"/>
            <w:shd w:val="clear" w:color="auto" w:fill="E5E5E5"/>
          </w:tcPr>
          <w:p>
            <w:pPr>
              <w:jc w:val="right"/>
              <w:ind w:right="581"/>
              <w:spacing w:after="0"/>
              <w:rPr>
                <w:sz w:val="20"/>
                <w:szCs w:val="20"/>
                <w:color w:val="auto"/>
              </w:rPr>
            </w:pPr>
            <w:r>
              <w:rPr>
                <w:rFonts w:ascii="Arial" w:cs="Arial" w:eastAsia="Arial" w:hAnsi="Arial"/>
                <w:sz w:val="16"/>
                <w:szCs w:val="16"/>
                <w:color w:val="auto"/>
              </w:rPr>
              <w:t>120,000</w:t>
            </w:r>
          </w:p>
        </w:tc>
        <w:tc>
          <w:tcPr>
            <w:tcW w:w="1960" w:type="dxa"/>
            <w:vAlign w:val="bottom"/>
            <w:vMerge w:val="restart"/>
            <w:shd w:val="clear" w:color="auto" w:fill="E5E5E5"/>
          </w:tcPr>
          <w:p>
            <w:pPr>
              <w:jc w:val="right"/>
              <w:ind w:right="541"/>
              <w:spacing w:after="0"/>
              <w:rPr>
                <w:sz w:val="20"/>
                <w:szCs w:val="20"/>
                <w:color w:val="auto"/>
              </w:rPr>
            </w:pPr>
            <w:r>
              <w:rPr>
                <w:rFonts w:ascii="Arial" w:cs="Arial" w:eastAsia="Arial" w:hAnsi="Arial"/>
                <w:sz w:val="16"/>
                <w:szCs w:val="16"/>
                <w:color w:val="auto"/>
              </w:rPr>
              <w:t>6,798</w:t>
            </w:r>
          </w:p>
        </w:tc>
        <w:tc>
          <w:tcPr>
            <w:tcW w:w="1140" w:type="dxa"/>
            <w:vAlign w:val="bottom"/>
            <w:vMerge w:val="restart"/>
            <w:shd w:val="clear" w:color="auto" w:fill="E5E5E5"/>
          </w:tcPr>
          <w:p>
            <w:pPr>
              <w:jc w:val="right"/>
              <w:ind w:right="20"/>
              <w:spacing w:after="0"/>
              <w:rPr>
                <w:sz w:val="20"/>
                <w:szCs w:val="20"/>
                <w:color w:val="auto"/>
              </w:rPr>
            </w:pPr>
            <w:r>
              <w:rPr>
                <w:rFonts w:ascii="Arial" w:cs="Arial" w:eastAsia="Arial" w:hAnsi="Arial"/>
                <w:sz w:val="16"/>
                <w:szCs w:val="16"/>
                <w:color w:val="auto"/>
              </w:rPr>
              <w:t>505,996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2760" w:type="dxa"/>
            <w:vAlign w:val="bottom"/>
            <w:vMerge w:val="restart"/>
            <w:shd w:val="clear" w:color="auto" w:fill="E5E5E5"/>
          </w:tcPr>
          <w:p>
            <w:pPr>
              <w:ind w:left="140"/>
              <w:spacing w:after="0"/>
              <w:rPr>
                <w:sz w:val="20"/>
                <w:szCs w:val="20"/>
                <w:color w:val="auto"/>
              </w:rPr>
            </w:pPr>
            <w:r>
              <w:rPr>
                <w:rFonts w:ascii="Arial" w:cs="Arial" w:eastAsia="Arial" w:hAnsi="Arial"/>
                <w:sz w:val="16"/>
                <w:szCs w:val="16"/>
                <w:color w:val="auto"/>
              </w:rPr>
              <w:t>Clinical Development</w:t>
            </w:r>
          </w:p>
        </w:tc>
        <w:tc>
          <w:tcPr>
            <w:tcW w:w="260" w:type="dxa"/>
            <w:vAlign w:val="bottom"/>
            <w:shd w:val="clear" w:color="auto" w:fill="E5E5E5"/>
          </w:tcPr>
          <w:p>
            <w:pPr>
              <w:spacing w:after="0"/>
              <w:rPr>
                <w:sz w:val="6"/>
                <w:szCs w:val="6"/>
                <w:color w:val="auto"/>
              </w:rPr>
            </w:pPr>
          </w:p>
        </w:tc>
        <w:tc>
          <w:tcPr>
            <w:tcW w:w="600" w:type="dxa"/>
            <w:vAlign w:val="bottom"/>
            <w:vMerge w:val="continue"/>
            <w:shd w:val="clear" w:color="auto" w:fill="E5E5E5"/>
          </w:tcPr>
          <w:p>
            <w:pPr>
              <w:spacing w:after="0"/>
              <w:rPr>
                <w:sz w:val="6"/>
                <w:szCs w:val="6"/>
                <w:color w:val="auto"/>
              </w:rPr>
            </w:pPr>
          </w:p>
        </w:tc>
        <w:tc>
          <w:tcPr>
            <w:tcW w:w="920" w:type="dxa"/>
            <w:vAlign w:val="bottom"/>
            <w:vMerge w:val="continue"/>
            <w:shd w:val="clear" w:color="auto" w:fill="E5E5E5"/>
          </w:tcPr>
          <w:p>
            <w:pPr>
              <w:spacing w:after="0"/>
              <w:rPr>
                <w:sz w:val="6"/>
                <w:szCs w:val="6"/>
                <w:color w:val="auto"/>
              </w:rPr>
            </w:pPr>
          </w:p>
        </w:tc>
        <w:tc>
          <w:tcPr>
            <w:tcW w:w="1400" w:type="dxa"/>
            <w:vAlign w:val="bottom"/>
            <w:vMerge w:val="continue"/>
            <w:shd w:val="clear" w:color="auto" w:fill="E5E5E5"/>
          </w:tcPr>
          <w:p>
            <w:pPr>
              <w:spacing w:after="0"/>
              <w:rPr>
                <w:sz w:val="6"/>
                <w:szCs w:val="6"/>
                <w:color w:val="auto"/>
              </w:rPr>
            </w:pPr>
          </w:p>
        </w:tc>
        <w:tc>
          <w:tcPr>
            <w:tcW w:w="1960" w:type="dxa"/>
            <w:vAlign w:val="bottom"/>
            <w:vMerge w:val="continue"/>
            <w:shd w:val="clear" w:color="auto" w:fill="E5E5E5"/>
          </w:tcPr>
          <w:p>
            <w:pPr>
              <w:spacing w:after="0"/>
              <w:rPr>
                <w:sz w:val="6"/>
                <w:szCs w:val="6"/>
                <w:color w:val="auto"/>
              </w:rPr>
            </w:pPr>
          </w:p>
        </w:tc>
        <w:tc>
          <w:tcPr>
            <w:tcW w:w="1960" w:type="dxa"/>
            <w:vAlign w:val="bottom"/>
            <w:vMerge w:val="continue"/>
            <w:shd w:val="clear" w:color="auto" w:fill="E5E5E5"/>
          </w:tcPr>
          <w:p>
            <w:pPr>
              <w:spacing w:after="0"/>
              <w:rPr>
                <w:sz w:val="6"/>
                <w:szCs w:val="6"/>
                <w:color w:val="auto"/>
              </w:rPr>
            </w:pPr>
          </w:p>
        </w:tc>
        <w:tc>
          <w:tcPr>
            <w:tcW w:w="1140" w:type="dxa"/>
            <w:vAlign w:val="bottom"/>
            <w:vMerge w:val="continue"/>
            <w:shd w:val="clear" w:color="auto" w:fill="E5E5E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760" w:type="dxa"/>
            <w:vAlign w:val="bottom"/>
            <w:tcBorders>
              <w:bottom w:val="single" w:sz="8" w:color="0071CE"/>
            </w:tcBorders>
            <w:vMerge w:val="continue"/>
            <w:shd w:val="clear" w:color="auto" w:fill="E5E5E5"/>
          </w:tcPr>
          <w:p>
            <w:pPr>
              <w:spacing w:after="0"/>
              <w:rPr>
                <w:sz w:val="10"/>
                <w:szCs w:val="10"/>
                <w:color w:val="auto"/>
              </w:rPr>
            </w:pPr>
          </w:p>
        </w:tc>
        <w:tc>
          <w:tcPr>
            <w:tcW w:w="260" w:type="dxa"/>
            <w:vAlign w:val="bottom"/>
            <w:tcBorders>
              <w:bottom w:val="single" w:sz="8" w:color="0071CE"/>
            </w:tcBorders>
            <w:shd w:val="clear" w:color="auto" w:fill="E5E5E5"/>
          </w:tcPr>
          <w:p>
            <w:pPr>
              <w:spacing w:after="0"/>
              <w:rPr>
                <w:sz w:val="10"/>
                <w:szCs w:val="10"/>
                <w:color w:val="auto"/>
              </w:rPr>
            </w:pPr>
          </w:p>
        </w:tc>
        <w:tc>
          <w:tcPr>
            <w:tcW w:w="600" w:type="dxa"/>
            <w:vAlign w:val="bottom"/>
            <w:tcBorders>
              <w:bottom w:val="single" w:sz="8" w:color="0071CE"/>
            </w:tcBorders>
            <w:shd w:val="clear" w:color="auto" w:fill="E5E5E5"/>
          </w:tcPr>
          <w:p>
            <w:pPr>
              <w:spacing w:after="0"/>
              <w:rPr>
                <w:sz w:val="10"/>
                <w:szCs w:val="10"/>
                <w:color w:val="auto"/>
              </w:rPr>
            </w:pPr>
          </w:p>
        </w:tc>
        <w:tc>
          <w:tcPr>
            <w:tcW w:w="920" w:type="dxa"/>
            <w:vAlign w:val="bottom"/>
            <w:tcBorders>
              <w:bottom w:val="single" w:sz="8" w:color="0071CE"/>
            </w:tcBorders>
            <w:shd w:val="clear" w:color="auto" w:fill="E5E5E5"/>
          </w:tcPr>
          <w:p>
            <w:pPr>
              <w:spacing w:after="0"/>
              <w:rPr>
                <w:sz w:val="10"/>
                <w:szCs w:val="10"/>
                <w:color w:val="auto"/>
              </w:rPr>
            </w:pPr>
          </w:p>
        </w:tc>
        <w:tc>
          <w:tcPr>
            <w:tcW w:w="1400" w:type="dxa"/>
            <w:vAlign w:val="bottom"/>
            <w:tcBorders>
              <w:bottom w:val="single" w:sz="8" w:color="0071CE"/>
            </w:tcBorders>
            <w:shd w:val="clear" w:color="auto" w:fill="E5E5E5"/>
          </w:tcPr>
          <w:p>
            <w:pPr>
              <w:spacing w:after="0"/>
              <w:rPr>
                <w:sz w:val="10"/>
                <w:szCs w:val="10"/>
                <w:color w:val="auto"/>
              </w:rPr>
            </w:pPr>
          </w:p>
        </w:tc>
        <w:tc>
          <w:tcPr>
            <w:tcW w:w="1960" w:type="dxa"/>
            <w:vAlign w:val="bottom"/>
            <w:tcBorders>
              <w:bottom w:val="single" w:sz="8" w:color="0071CE"/>
            </w:tcBorders>
            <w:shd w:val="clear" w:color="auto" w:fill="E5E5E5"/>
          </w:tcPr>
          <w:p>
            <w:pPr>
              <w:spacing w:after="0"/>
              <w:rPr>
                <w:sz w:val="10"/>
                <w:szCs w:val="10"/>
                <w:color w:val="auto"/>
              </w:rPr>
            </w:pPr>
          </w:p>
        </w:tc>
        <w:tc>
          <w:tcPr>
            <w:tcW w:w="1960" w:type="dxa"/>
            <w:vAlign w:val="bottom"/>
            <w:tcBorders>
              <w:bottom w:val="single" w:sz="8" w:color="0071CE"/>
            </w:tcBorders>
            <w:shd w:val="clear" w:color="auto" w:fill="E5E5E5"/>
          </w:tcPr>
          <w:p>
            <w:pPr>
              <w:spacing w:after="0"/>
              <w:rPr>
                <w:sz w:val="10"/>
                <w:szCs w:val="10"/>
                <w:color w:val="auto"/>
              </w:rPr>
            </w:pPr>
          </w:p>
        </w:tc>
        <w:tc>
          <w:tcPr>
            <w:tcW w:w="1140" w:type="dxa"/>
            <w:vAlign w:val="bottom"/>
            <w:tcBorders>
              <w:bottom w:val="single" w:sz="8" w:color="0071CE"/>
            </w:tcBorders>
            <w:shd w:val="clear" w:color="auto" w:fill="E5E5E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640" w:right="40" w:hanging="430"/>
        <w:spacing w:after="0" w:line="249" w:lineRule="auto"/>
        <w:tabs>
          <w:tab w:leader="none" w:pos="6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restricted stock units granted during fiscal year 2019, 2018 and 2017. The assumptions used to calculate the value of the stock underlying the option and restricted stock unit awards are set forth in Note 8 of the Notes to the Consolidated Financial Statements included with the Company’s Annual Report on Form 10-K.</w:t>
      </w:r>
    </w:p>
    <w:p>
      <w:pPr>
        <w:spacing w:after="0" w:line="65" w:lineRule="exact"/>
        <w:rPr>
          <w:rFonts w:ascii="Arial" w:cs="Arial" w:eastAsia="Arial" w:hAnsi="Arial"/>
          <w:sz w:val="14"/>
          <w:szCs w:val="14"/>
          <w:color w:val="auto"/>
        </w:rPr>
      </w:pPr>
    </w:p>
    <w:p>
      <w:pPr>
        <w:ind w:left="640" w:right="120" w:hanging="430"/>
        <w:spacing w:after="0" w:line="257" w:lineRule="auto"/>
        <w:tabs>
          <w:tab w:leader="none" w:pos="6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bonus amounts represent the amounts earned for performance under the Company’s Annual Bonus Incentive Plan during calendar year 2019, 2018 and 2017 and paid in fiscal year 2020, 2019 and 2018, respectively. The Annual Bonuses are described in more detail in the “Bonus Incentive” section.</w:t>
      </w:r>
    </w:p>
    <w:p>
      <w:pPr>
        <w:spacing w:after="0" w:line="59" w:lineRule="exact"/>
        <w:rPr>
          <w:rFonts w:ascii="Arial" w:cs="Arial" w:eastAsia="Arial" w:hAnsi="Arial"/>
          <w:sz w:val="14"/>
          <w:szCs w:val="14"/>
          <w:color w:val="auto"/>
        </w:rPr>
      </w:pPr>
    </w:p>
    <w:p>
      <w:pPr>
        <w:ind w:left="640" w:hanging="430"/>
        <w:spacing w:after="0"/>
        <w:tabs>
          <w:tab w:leader="none" w:pos="6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consist of 401(k) matching contribution, as well as life insurance premiums for the benefit of each executive officer.</w:t>
      </w:r>
    </w:p>
    <w:p>
      <w:pPr>
        <w:spacing w:after="0" w:line="81" w:lineRule="exact"/>
        <w:rPr>
          <w:rFonts w:ascii="Arial" w:cs="Arial" w:eastAsia="Arial" w:hAnsi="Arial"/>
          <w:sz w:val="14"/>
          <w:szCs w:val="14"/>
          <w:color w:val="auto"/>
        </w:rPr>
      </w:pPr>
    </w:p>
    <w:p>
      <w:pPr>
        <w:ind w:left="640" w:right="60" w:hanging="430"/>
        <w:spacing w:after="0" w:line="244" w:lineRule="auto"/>
        <w:tabs>
          <w:tab w:leader="none" w:pos="6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 January 2019 restricted stock unit award that is subject to vesting upon the achievement of specific performance conditions, as described above in the Compensation Discussion and Analysis. We determined the performance conditions that were probable and not probable of being achieved as of the grant date, as defined under applicable accounting guidance, and assigned a grant date fair value of $0 based on this evaluation. If we had determined that as of the date of the grant it was probable that 100% of the performance conditions would be achieved, we would have assigned a grant date fair value of $7,452,000 for the restricted stock units. The amounts reported in the Summary Compensation Table for these awards may not represent the amounts that Christopher Anzalone will realize from the awards. Whether, and to what extent, a named executive officer realizes value will depend on our actual operating performance, stock price fluctuations and the named executive officer’s continued employment.</w:t>
      </w:r>
    </w:p>
    <w:p>
      <w:pPr>
        <w:spacing w:after="0" w:line="68" w:lineRule="exact"/>
        <w:rPr>
          <w:rFonts w:ascii="Arial" w:cs="Arial" w:eastAsia="Arial" w:hAnsi="Arial"/>
          <w:sz w:val="14"/>
          <w:szCs w:val="14"/>
          <w:color w:val="auto"/>
        </w:rPr>
      </w:pPr>
    </w:p>
    <w:p>
      <w:pPr>
        <w:ind w:left="640" w:right="60" w:hanging="430"/>
        <w:spacing w:after="0" w:line="245" w:lineRule="auto"/>
        <w:tabs>
          <w:tab w:leader="none" w:pos="6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 January 2018 restricted stock unit award that is subject to vesting upon the achievement of specific performance conditions, as described above in the Compensation Discussion and Analysis. We determined the performance conditions that were probable and not probable of being achieved as of the grant date, as defined under applicable accounting guidance, and assigned a grant date fair value of $0 based on this evaluation. If we had determined that as of the date of the grant it was probable that 100% of the performance conditions would be achieved, we would have assigned a grant date fair value of $1,840,000 for the restricted stock units. The amounts reported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83185</wp:posOffset>
            </wp:positionV>
            <wp:extent cx="984885"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2"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33</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7" w:lineRule="exact"/>
        <w:rPr>
          <w:sz w:val="20"/>
          <w:szCs w:val="20"/>
          <w:color w:val="auto"/>
        </w:rPr>
      </w:pPr>
    </w:p>
    <w:p>
      <w:pPr>
        <w:ind w:left="640" w:right="120"/>
        <w:spacing w:after="0" w:line="249" w:lineRule="auto"/>
        <w:rPr>
          <w:sz w:val="20"/>
          <w:szCs w:val="20"/>
          <w:color w:val="auto"/>
        </w:rPr>
      </w:pPr>
      <w:r>
        <w:rPr>
          <w:rFonts w:ascii="Arial" w:cs="Arial" w:eastAsia="Arial" w:hAnsi="Arial"/>
          <w:sz w:val="14"/>
          <w:szCs w:val="14"/>
          <w:color w:val="auto"/>
        </w:rPr>
        <w:t>Summary Compensation Table for these awards may not represent the amounts that Christopher Anzalone will realize from the awards. Whether, and to what extent, a named executive officer realizes value will depend on our actual operating performance, stock price fluctuations and the named executive officer’s continued employment.</w:t>
      </w:r>
    </w:p>
    <w:p>
      <w:pPr>
        <w:spacing w:after="0" w:line="65" w:lineRule="exact"/>
        <w:rPr>
          <w:sz w:val="20"/>
          <w:szCs w:val="20"/>
          <w:color w:val="auto"/>
        </w:rPr>
      </w:pPr>
    </w:p>
    <w:p>
      <w:pPr>
        <w:ind w:left="640" w:right="80" w:hanging="430"/>
        <w:spacing w:after="0" w:line="244" w:lineRule="auto"/>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an April 2017 restricted stock unit award that is subject to vesting upon the achievement of specific performance conditions. We determined the performance conditions that were probable and not probable of being achieved as of the grant date, as defined under applicable accounting guidance, and assigned a grant date fair value of $537,900 based on this evaluation. If we had determined that as of the date of the grant it was probable that 100% of the performance conditions would be achieved, we would have assigned a grant date fair value of $1,613,700 for the restricted stock units. The amounts reported in the Summary Compensation Table for these awards may not represent the amounts that Christopher Anzalone will realize from the awards. Whether, and to what extent, a named executive officer realizes value will depend on our actual operating performance, stock price fluctuations and the named executive officer’s continued employment.</w:t>
      </w:r>
    </w:p>
    <w:p>
      <w:pPr>
        <w:spacing w:after="0" w:line="68" w:lineRule="exact"/>
        <w:rPr>
          <w:rFonts w:ascii="Arial" w:cs="Arial" w:eastAsia="Arial" w:hAnsi="Arial"/>
          <w:sz w:val="14"/>
          <w:szCs w:val="14"/>
          <w:color w:val="auto"/>
        </w:rPr>
      </w:pPr>
    </w:p>
    <w:p>
      <w:pPr>
        <w:ind w:left="640" w:hanging="430"/>
        <w:spacing w:after="0"/>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Dr. Li’s employment with the Company terminated in February 2019.</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Grants of Plan 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cash bonus and equity grants made to the named executive officers in fiscal 2019:</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2320" w:type="dxa"/>
            <w:vAlign w:val="bottom"/>
            <w:shd w:val="clear" w:color="auto" w:fill="0071CE"/>
          </w:tcPr>
          <w:p>
            <w:pPr>
              <w:spacing w:after="0"/>
              <w:rPr>
                <w:sz w:val="22"/>
                <w:szCs w:val="22"/>
                <w:color w:val="auto"/>
              </w:rPr>
            </w:pPr>
          </w:p>
        </w:tc>
        <w:tc>
          <w:tcPr>
            <w:tcW w:w="1420" w:type="dxa"/>
            <w:vAlign w:val="bottom"/>
            <w:shd w:val="clear" w:color="auto" w:fill="0071CE"/>
          </w:tcPr>
          <w:p>
            <w:pPr>
              <w:spacing w:after="0"/>
              <w:rPr>
                <w:sz w:val="22"/>
                <w:szCs w:val="22"/>
                <w:color w:val="auto"/>
              </w:rPr>
            </w:pPr>
          </w:p>
        </w:tc>
        <w:tc>
          <w:tcPr>
            <w:tcW w:w="2440" w:type="dxa"/>
            <w:vAlign w:val="bottom"/>
            <w:shd w:val="clear" w:color="auto" w:fill="0071CE"/>
          </w:tcPr>
          <w:p>
            <w:pPr>
              <w:spacing w:after="0"/>
              <w:rPr>
                <w:sz w:val="22"/>
                <w:szCs w:val="22"/>
                <w:color w:val="auto"/>
              </w:rPr>
            </w:pPr>
          </w:p>
        </w:tc>
        <w:tc>
          <w:tcPr>
            <w:tcW w:w="2020" w:type="dxa"/>
            <w:vAlign w:val="bottom"/>
            <w:shd w:val="clear" w:color="auto" w:fill="0071CE"/>
          </w:tcPr>
          <w:p>
            <w:pPr>
              <w:jc w:val="center"/>
              <w:ind w:left="262"/>
              <w:spacing w:after="0"/>
              <w:rPr>
                <w:sz w:val="20"/>
                <w:szCs w:val="20"/>
                <w:color w:val="auto"/>
              </w:rPr>
            </w:pPr>
            <w:r>
              <w:rPr>
                <w:rFonts w:ascii="Arial" w:cs="Arial" w:eastAsia="Arial" w:hAnsi="Arial"/>
                <w:sz w:val="14"/>
                <w:szCs w:val="14"/>
                <w:b w:val="1"/>
                <w:bCs w:val="1"/>
                <w:color w:val="FFFFFF"/>
              </w:rPr>
              <w:t>Estimated</w:t>
            </w:r>
          </w:p>
        </w:tc>
        <w:tc>
          <w:tcPr>
            <w:tcW w:w="1680" w:type="dxa"/>
            <w:vAlign w:val="bottom"/>
            <w:shd w:val="clear" w:color="auto" w:fill="0071CE"/>
          </w:tcPr>
          <w:p>
            <w:pPr>
              <w:spacing w:after="0"/>
              <w:rPr>
                <w:sz w:val="22"/>
                <w:szCs w:val="22"/>
                <w:color w:val="auto"/>
              </w:rPr>
            </w:pPr>
          </w:p>
        </w:tc>
        <w:tc>
          <w:tcPr>
            <w:tcW w:w="280" w:type="dxa"/>
            <w:vAlign w:val="bottom"/>
            <w:shd w:val="clear" w:color="auto" w:fill="0071CE"/>
          </w:tcPr>
          <w:p>
            <w:pPr>
              <w:spacing w:after="0"/>
              <w:rPr>
                <w:sz w:val="22"/>
                <w:szCs w:val="22"/>
                <w:color w:val="auto"/>
              </w:rPr>
            </w:pPr>
          </w:p>
        </w:tc>
        <w:tc>
          <w:tcPr>
            <w:tcW w:w="840" w:type="dxa"/>
            <w:vAlign w:val="bottom"/>
            <w:shd w:val="clear" w:color="auto" w:fill="0071CE"/>
          </w:tcPr>
          <w:p>
            <w:pPr>
              <w:spacing w:after="0"/>
              <w:rPr>
                <w:sz w:val="22"/>
                <w:szCs w:val="22"/>
                <w:color w:val="auto"/>
              </w:rPr>
            </w:pPr>
          </w:p>
        </w:tc>
        <w:tc>
          <w:tcPr>
            <w:tcW w:w="20" w:type="dxa"/>
            <w:vAlign w:val="bottom"/>
            <w:shd w:val="clear" w:color="auto" w:fill="0071CE"/>
          </w:tcPr>
          <w:p>
            <w:pPr>
              <w:spacing w:after="0"/>
              <w:rPr>
                <w:sz w:val="22"/>
                <w:szCs w:val="22"/>
                <w:color w:val="auto"/>
              </w:rPr>
            </w:pPr>
          </w:p>
        </w:tc>
      </w:tr>
      <w:tr>
        <w:trPr>
          <w:trHeight w:val="175"/>
        </w:trPr>
        <w:tc>
          <w:tcPr>
            <w:tcW w:w="2320" w:type="dxa"/>
            <w:vAlign w:val="bottom"/>
            <w:shd w:val="clear" w:color="auto" w:fill="0071CE"/>
          </w:tcPr>
          <w:p>
            <w:pPr>
              <w:spacing w:after="0"/>
              <w:rPr>
                <w:sz w:val="15"/>
                <w:szCs w:val="15"/>
                <w:color w:val="auto"/>
              </w:rPr>
            </w:pPr>
          </w:p>
        </w:tc>
        <w:tc>
          <w:tcPr>
            <w:tcW w:w="1420" w:type="dxa"/>
            <w:vAlign w:val="bottom"/>
            <w:shd w:val="clear" w:color="auto" w:fill="0071CE"/>
          </w:tcPr>
          <w:p>
            <w:pPr>
              <w:spacing w:after="0"/>
              <w:rPr>
                <w:sz w:val="15"/>
                <w:szCs w:val="15"/>
                <w:color w:val="auto"/>
              </w:rPr>
            </w:pPr>
          </w:p>
        </w:tc>
        <w:tc>
          <w:tcPr>
            <w:tcW w:w="2440" w:type="dxa"/>
            <w:vAlign w:val="bottom"/>
            <w:shd w:val="clear" w:color="auto" w:fill="0071CE"/>
          </w:tcPr>
          <w:p>
            <w:pPr>
              <w:spacing w:after="0"/>
              <w:rPr>
                <w:sz w:val="15"/>
                <w:szCs w:val="15"/>
                <w:color w:val="auto"/>
              </w:rPr>
            </w:pPr>
          </w:p>
        </w:tc>
        <w:tc>
          <w:tcPr>
            <w:tcW w:w="2020" w:type="dxa"/>
            <w:vAlign w:val="bottom"/>
            <w:shd w:val="clear" w:color="auto" w:fill="0071CE"/>
          </w:tcPr>
          <w:p>
            <w:pPr>
              <w:jc w:val="center"/>
              <w:ind w:left="262"/>
              <w:spacing w:after="0"/>
              <w:rPr>
                <w:sz w:val="20"/>
                <w:szCs w:val="20"/>
                <w:color w:val="auto"/>
              </w:rPr>
            </w:pPr>
            <w:r>
              <w:rPr>
                <w:rFonts w:ascii="Arial" w:cs="Arial" w:eastAsia="Arial" w:hAnsi="Arial"/>
                <w:sz w:val="14"/>
                <w:szCs w:val="14"/>
                <w:b w:val="1"/>
                <w:bCs w:val="1"/>
                <w:color w:val="FFFFFF"/>
              </w:rPr>
              <w:t>Future Payouts</w:t>
            </w:r>
          </w:p>
        </w:tc>
        <w:tc>
          <w:tcPr>
            <w:tcW w:w="1680" w:type="dxa"/>
            <w:vAlign w:val="bottom"/>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rPr>
              <w:t>All Other Stock</w:t>
            </w:r>
          </w:p>
        </w:tc>
        <w:tc>
          <w:tcPr>
            <w:tcW w:w="280" w:type="dxa"/>
            <w:vAlign w:val="bottom"/>
            <w:shd w:val="clear" w:color="auto" w:fill="0071CE"/>
          </w:tcPr>
          <w:p>
            <w:pPr>
              <w:spacing w:after="0"/>
              <w:rPr>
                <w:sz w:val="15"/>
                <w:szCs w:val="15"/>
                <w:color w:val="auto"/>
              </w:rPr>
            </w:pPr>
          </w:p>
        </w:tc>
        <w:tc>
          <w:tcPr>
            <w:tcW w:w="840" w:type="dxa"/>
            <w:vAlign w:val="bottom"/>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r>
      <w:tr>
        <w:trPr>
          <w:trHeight w:val="162"/>
        </w:trPr>
        <w:tc>
          <w:tcPr>
            <w:tcW w:w="2320" w:type="dxa"/>
            <w:vAlign w:val="bottom"/>
            <w:shd w:val="clear" w:color="auto" w:fill="0071CE"/>
          </w:tcPr>
          <w:p>
            <w:pPr>
              <w:spacing w:after="0"/>
              <w:rPr>
                <w:sz w:val="14"/>
                <w:szCs w:val="14"/>
                <w:color w:val="auto"/>
              </w:rPr>
            </w:pPr>
          </w:p>
        </w:tc>
        <w:tc>
          <w:tcPr>
            <w:tcW w:w="1420" w:type="dxa"/>
            <w:vAlign w:val="bottom"/>
            <w:shd w:val="clear" w:color="auto" w:fill="0071CE"/>
          </w:tcPr>
          <w:p>
            <w:pPr>
              <w:spacing w:after="0"/>
              <w:rPr>
                <w:sz w:val="14"/>
                <w:szCs w:val="14"/>
                <w:color w:val="auto"/>
              </w:rPr>
            </w:pPr>
          </w:p>
        </w:tc>
        <w:tc>
          <w:tcPr>
            <w:tcW w:w="24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2020" w:type="dxa"/>
            <w:vAlign w:val="bottom"/>
            <w:shd w:val="clear" w:color="auto" w:fill="0071CE"/>
          </w:tcPr>
          <w:p>
            <w:pPr>
              <w:jc w:val="center"/>
              <w:ind w:left="242"/>
              <w:spacing w:after="0"/>
              <w:rPr>
                <w:sz w:val="20"/>
                <w:szCs w:val="20"/>
                <w:color w:val="auto"/>
              </w:rPr>
            </w:pPr>
            <w:r>
              <w:rPr>
                <w:rFonts w:ascii="Arial" w:cs="Arial" w:eastAsia="Arial" w:hAnsi="Arial"/>
                <w:sz w:val="14"/>
                <w:szCs w:val="14"/>
                <w:b w:val="1"/>
                <w:bCs w:val="1"/>
                <w:color w:val="FFFFFF"/>
              </w:rPr>
              <w:t>Under Equity</w:t>
            </w:r>
          </w:p>
        </w:tc>
        <w:tc>
          <w:tcPr>
            <w:tcW w:w="1680" w:type="dxa"/>
            <w:vAlign w:val="bottom"/>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rPr>
              <w:t>Awards: Number</w:t>
            </w:r>
          </w:p>
        </w:tc>
        <w:tc>
          <w:tcPr>
            <w:tcW w:w="28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162"/>
        </w:trPr>
        <w:tc>
          <w:tcPr>
            <w:tcW w:w="2320" w:type="dxa"/>
            <w:vAlign w:val="bottom"/>
            <w:shd w:val="clear" w:color="auto" w:fill="0071CE"/>
          </w:tcPr>
          <w:p>
            <w:pPr>
              <w:spacing w:after="0"/>
              <w:rPr>
                <w:sz w:val="14"/>
                <w:szCs w:val="14"/>
                <w:color w:val="auto"/>
              </w:rPr>
            </w:pPr>
          </w:p>
        </w:tc>
        <w:tc>
          <w:tcPr>
            <w:tcW w:w="1420" w:type="dxa"/>
            <w:vAlign w:val="bottom"/>
            <w:shd w:val="clear" w:color="auto" w:fill="0071CE"/>
          </w:tcPr>
          <w:p>
            <w:pPr>
              <w:spacing w:after="0"/>
              <w:rPr>
                <w:sz w:val="14"/>
                <w:szCs w:val="14"/>
                <w:color w:val="auto"/>
              </w:rPr>
            </w:pPr>
          </w:p>
        </w:tc>
        <w:tc>
          <w:tcPr>
            <w:tcW w:w="24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Under Non-Equity</w:t>
            </w:r>
          </w:p>
        </w:tc>
        <w:tc>
          <w:tcPr>
            <w:tcW w:w="2020" w:type="dxa"/>
            <w:vAlign w:val="bottom"/>
            <w:shd w:val="clear" w:color="auto" w:fill="0071CE"/>
          </w:tcPr>
          <w:p>
            <w:pPr>
              <w:jc w:val="center"/>
              <w:ind w:left="262"/>
              <w:spacing w:after="0"/>
              <w:rPr>
                <w:sz w:val="20"/>
                <w:szCs w:val="20"/>
                <w:color w:val="auto"/>
              </w:rPr>
            </w:pPr>
            <w:r>
              <w:rPr>
                <w:rFonts w:ascii="Arial" w:cs="Arial" w:eastAsia="Arial" w:hAnsi="Arial"/>
                <w:sz w:val="14"/>
                <w:szCs w:val="14"/>
                <w:b w:val="1"/>
                <w:bCs w:val="1"/>
                <w:color w:val="FFFFFF"/>
              </w:rPr>
              <w:t>Incentive Plan</w:t>
            </w:r>
          </w:p>
        </w:tc>
        <w:tc>
          <w:tcPr>
            <w:tcW w:w="1680" w:type="dxa"/>
            <w:vAlign w:val="bottom"/>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rPr>
              <w:t>of Shares of</w:t>
            </w:r>
          </w:p>
        </w:tc>
        <w:tc>
          <w:tcPr>
            <w:tcW w:w="280" w:type="dxa"/>
            <w:vAlign w:val="bottom"/>
            <w:shd w:val="clear" w:color="auto" w:fill="0071CE"/>
          </w:tcPr>
          <w:p>
            <w:pPr>
              <w:spacing w:after="0"/>
              <w:rPr>
                <w:sz w:val="14"/>
                <w:szCs w:val="14"/>
                <w:color w:val="auto"/>
              </w:rPr>
            </w:pPr>
          </w:p>
        </w:tc>
        <w:tc>
          <w:tcPr>
            <w:tcW w:w="840" w:type="dxa"/>
            <w:vAlign w:val="bottom"/>
            <w:shd w:val="clear" w:color="auto" w:fill="0071CE"/>
          </w:tcPr>
          <w:p>
            <w:pPr>
              <w:jc w:val="center"/>
              <w:ind w:right="61"/>
              <w:spacing w:after="0"/>
              <w:rPr>
                <w:sz w:val="20"/>
                <w:szCs w:val="20"/>
                <w:color w:val="auto"/>
              </w:rPr>
            </w:pPr>
            <w:r>
              <w:rPr>
                <w:rFonts w:ascii="Arial" w:cs="Arial" w:eastAsia="Arial" w:hAnsi="Arial"/>
                <w:sz w:val="14"/>
                <w:szCs w:val="14"/>
                <w:b w:val="1"/>
                <w:bCs w:val="1"/>
                <w:color w:val="FFFFFF"/>
              </w:rPr>
              <w:t>Grant</w:t>
            </w:r>
          </w:p>
        </w:tc>
        <w:tc>
          <w:tcPr>
            <w:tcW w:w="20" w:type="dxa"/>
            <w:vAlign w:val="bottom"/>
            <w:shd w:val="clear" w:color="auto" w:fill="0071CE"/>
          </w:tcPr>
          <w:p>
            <w:pPr>
              <w:spacing w:after="0"/>
              <w:rPr>
                <w:sz w:val="14"/>
                <w:szCs w:val="14"/>
                <w:color w:val="auto"/>
              </w:rPr>
            </w:pPr>
          </w:p>
        </w:tc>
      </w:tr>
      <w:tr>
        <w:trPr>
          <w:trHeight w:val="175"/>
        </w:trPr>
        <w:tc>
          <w:tcPr>
            <w:tcW w:w="2320" w:type="dxa"/>
            <w:vAlign w:val="bottom"/>
            <w:shd w:val="clear" w:color="auto" w:fill="0071CE"/>
          </w:tcPr>
          <w:p>
            <w:pPr>
              <w:spacing w:after="0"/>
              <w:rPr>
                <w:sz w:val="15"/>
                <w:szCs w:val="15"/>
                <w:color w:val="auto"/>
              </w:rPr>
            </w:pPr>
          </w:p>
        </w:tc>
        <w:tc>
          <w:tcPr>
            <w:tcW w:w="1420" w:type="dxa"/>
            <w:vAlign w:val="bottom"/>
            <w:shd w:val="clear" w:color="auto" w:fill="0071CE"/>
          </w:tcPr>
          <w:p>
            <w:pPr>
              <w:spacing w:after="0"/>
              <w:rPr>
                <w:sz w:val="15"/>
                <w:szCs w:val="15"/>
                <w:color w:val="auto"/>
              </w:rPr>
            </w:pPr>
          </w:p>
        </w:tc>
        <w:tc>
          <w:tcPr>
            <w:tcW w:w="24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 Plan Awards (1)</w:t>
            </w:r>
          </w:p>
        </w:tc>
        <w:tc>
          <w:tcPr>
            <w:tcW w:w="2020" w:type="dxa"/>
            <w:vAlign w:val="bottom"/>
            <w:shd w:val="clear" w:color="auto" w:fill="0071CE"/>
          </w:tcPr>
          <w:p>
            <w:pPr>
              <w:jc w:val="center"/>
              <w:ind w:left="242"/>
              <w:spacing w:after="0"/>
              <w:rPr>
                <w:sz w:val="20"/>
                <w:szCs w:val="20"/>
                <w:color w:val="auto"/>
              </w:rPr>
            </w:pPr>
            <w:r>
              <w:rPr>
                <w:rFonts w:ascii="Arial" w:cs="Arial" w:eastAsia="Arial" w:hAnsi="Arial"/>
                <w:sz w:val="14"/>
                <w:szCs w:val="14"/>
                <w:b w:val="1"/>
                <w:bCs w:val="1"/>
                <w:color w:val="FFFFFF"/>
              </w:rPr>
              <w:t>Awards (2)</w:t>
            </w:r>
          </w:p>
        </w:tc>
        <w:tc>
          <w:tcPr>
            <w:tcW w:w="1680" w:type="dxa"/>
            <w:vAlign w:val="bottom"/>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rPr>
              <w:t>Stock or Units</w:t>
            </w:r>
          </w:p>
        </w:tc>
        <w:tc>
          <w:tcPr>
            <w:tcW w:w="280" w:type="dxa"/>
            <w:vAlign w:val="bottom"/>
            <w:shd w:val="clear" w:color="auto" w:fill="0071CE"/>
          </w:tcPr>
          <w:p>
            <w:pPr>
              <w:spacing w:after="0"/>
              <w:rPr>
                <w:sz w:val="15"/>
                <w:szCs w:val="15"/>
                <w:color w:val="auto"/>
              </w:rPr>
            </w:pPr>
          </w:p>
        </w:tc>
        <w:tc>
          <w:tcPr>
            <w:tcW w:w="840" w:type="dxa"/>
            <w:vAlign w:val="bottom"/>
            <w:shd w:val="clear" w:color="auto" w:fill="0071CE"/>
          </w:tcPr>
          <w:p>
            <w:pPr>
              <w:jc w:val="center"/>
              <w:ind w:right="61"/>
              <w:spacing w:after="0"/>
              <w:rPr>
                <w:sz w:val="20"/>
                <w:szCs w:val="20"/>
                <w:color w:val="auto"/>
              </w:rPr>
            </w:pPr>
            <w:r>
              <w:rPr>
                <w:rFonts w:ascii="Arial" w:cs="Arial" w:eastAsia="Arial" w:hAnsi="Arial"/>
                <w:sz w:val="14"/>
                <w:szCs w:val="14"/>
                <w:b w:val="1"/>
                <w:bCs w:val="1"/>
                <w:color w:val="FFFFFF"/>
              </w:rPr>
              <w:t>Date Fair</w:t>
            </w:r>
          </w:p>
        </w:tc>
        <w:tc>
          <w:tcPr>
            <w:tcW w:w="20" w:type="dxa"/>
            <w:vAlign w:val="bottom"/>
            <w:shd w:val="clear" w:color="auto" w:fill="0071CE"/>
          </w:tcPr>
          <w:p>
            <w:pPr>
              <w:spacing w:after="0"/>
              <w:rPr>
                <w:sz w:val="15"/>
                <w:szCs w:val="15"/>
                <w:color w:val="auto"/>
              </w:rPr>
            </w:pPr>
          </w:p>
        </w:tc>
      </w:tr>
      <w:tr>
        <w:trPr>
          <w:trHeight w:val="182"/>
        </w:trPr>
        <w:tc>
          <w:tcPr>
            <w:tcW w:w="2320" w:type="dxa"/>
            <w:vAlign w:val="bottom"/>
            <w:tcBorders>
              <w:bottom w:val="single" w:sz="8" w:color="0071CE"/>
            </w:tcBorders>
            <w:shd w:val="clear" w:color="auto" w:fill="0071CE"/>
          </w:tcPr>
          <w:p>
            <w:pPr>
              <w:ind w:left="140"/>
              <w:spacing w:after="0"/>
              <w:rPr>
                <w:sz w:val="20"/>
                <w:szCs w:val="20"/>
                <w:color w:val="auto"/>
              </w:rPr>
            </w:pPr>
            <w:r>
              <w:rPr>
                <w:rFonts w:ascii="Arial" w:cs="Arial" w:eastAsia="Arial" w:hAnsi="Arial"/>
                <w:sz w:val="14"/>
                <w:szCs w:val="14"/>
                <w:b w:val="1"/>
                <w:bCs w:val="1"/>
                <w:color w:val="FFFFFF"/>
              </w:rPr>
              <w:t>Name</w:t>
            </w:r>
          </w:p>
        </w:tc>
        <w:tc>
          <w:tcPr>
            <w:tcW w:w="1420" w:type="dxa"/>
            <w:vAlign w:val="bottom"/>
            <w:tcBorders>
              <w:bottom w:val="single" w:sz="8" w:color="0071CE"/>
            </w:tcBorders>
            <w:shd w:val="clear" w:color="auto" w:fill="0071CE"/>
          </w:tcPr>
          <w:p>
            <w:pPr>
              <w:jc w:val="right"/>
              <w:ind w:right="260"/>
              <w:spacing w:after="0"/>
              <w:rPr>
                <w:sz w:val="20"/>
                <w:szCs w:val="20"/>
                <w:color w:val="auto"/>
              </w:rPr>
            </w:pPr>
            <w:r>
              <w:rPr>
                <w:rFonts w:ascii="Arial" w:cs="Arial" w:eastAsia="Arial" w:hAnsi="Arial"/>
                <w:sz w:val="14"/>
                <w:szCs w:val="14"/>
                <w:b w:val="1"/>
                <w:bCs w:val="1"/>
                <w:color w:val="FFFFFF"/>
              </w:rPr>
              <w:t>Grant Date</w:t>
            </w:r>
          </w:p>
        </w:tc>
        <w:tc>
          <w:tcPr>
            <w:tcW w:w="24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Target</w:t>
            </w:r>
          </w:p>
        </w:tc>
        <w:tc>
          <w:tcPr>
            <w:tcW w:w="2020" w:type="dxa"/>
            <w:vAlign w:val="bottom"/>
            <w:tcBorders>
              <w:bottom w:val="single" w:sz="8" w:color="0071CE"/>
            </w:tcBorders>
            <w:shd w:val="clear" w:color="auto" w:fill="0071CE"/>
          </w:tcPr>
          <w:p>
            <w:pPr>
              <w:jc w:val="center"/>
              <w:ind w:left="242"/>
              <w:spacing w:after="0"/>
              <w:rPr>
                <w:sz w:val="20"/>
                <w:szCs w:val="20"/>
                <w:color w:val="auto"/>
              </w:rPr>
            </w:pPr>
            <w:r>
              <w:rPr>
                <w:rFonts w:ascii="Arial" w:cs="Arial" w:eastAsia="Arial" w:hAnsi="Arial"/>
                <w:sz w:val="14"/>
                <w:szCs w:val="14"/>
                <w:b w:val="1"/>
                <w:bCs w:val="1"/>
                <w:color w:val="FFFFFF"/>
                <w:w w:val="98"/>
              </w:rPr>
              <w:t>Target</w:t>
            </w:r>
          </w:p>
        </w:tc>
        <w:tc>
          <w:tcPr>
            <w:tcW w:w="1680" w:type="dxa"/>
            <w:vAlign w:val="bottom"/>
            <w:tcBorders>
              <w:bottom w:val="single" w:sz="8" w:color="0071CE"/>
            </w:tcBorders>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w w:val="99"/>
              </w:rPr>
              <w:t>(#) (3)</w:t>
            </w:r>
          </w:p>
        </w:tc>
        <w:tc>
          <w:tcPr>
            <w:tcW w:w="280" w:type="dxa"/>
            <w:vAlign w:val="bottom"/>
            <w:tcBorders>
              <w:bottom w:val="single" w:sz="8" w:color="0071CE"/>
            </w:tcBorders>
            <w:shd w:val="clear" w:color="auto" w:fill="0071CE"/>
          </w:tcPr>
          <w:p>
            <w:pPr>
              <w:spacing w:after="0"/>
              <w:rPr>
                <w:sz w:val="15"/>
                <w:szCs w:val="15"/>
                <w:color w:val="auto"/>
              </w:rPr>
            </w:pPr>
          </w:p>
        </w:tc>
        <w:tc>
          <w:tcPr>
            <w:tcW w:w="840" w:type="dxa"/>
            <w:vAlign w:val="bottom"/>
            <w:tcBorders>
              <w:bottom w:val="single" w:sz="8" w:color="0071CE"/>
            </w:tcBorders>
            <w:shd w:val="clear" w:color="auto" w:fill="0071CE"/>
          </w:tcPr>
          <w:p>
            <w:pPr>
              <w:jc w:val="center"/>
              <w:ind w:right="61"/>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0071CE"/>
            </w:tcBorders>
            <w:shd w:val="clear" w:color="auto" w:fill="0071CE"/>
          </w:tcPr>
          <w:p>
            <w:pPr>
              <w:spacing w:after="0"/>
              <w:rPr>
                <w:sz w:val="15"/>
                <w:szCs w:val="15"/>
                <w:color w:val="auto"/>
              </w:rPr>
            </w:pPr>
          </w:p>
        </w:tc>
      </w:tr>
      <w:tr>
        <w:trPr>
          <w:trHeight w:val="250"/>
        </w:trPr>
        <w:tc>
          <w:tcPr>
            <w:tcW w:w="232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Christopher Anzalone</w:t>
            </w:r>
          </w:p>
        </w:tc>
        <w:tc>
          <w:tcPr>
            <w:tcW w:w="1420" w:type="dxa"/>
            <w:vAlign w:val="bottom"/>
            <w:shd w:val="clear" w:color="auto" w:fill="E5E5E5"/>
          </w:tcPr>
          <w:p>
            <w:pPr>
              <w:spacing w:after="0"/>
              <w:rPr>
                <w:sz w:val="21"/>
                <w:szCs w:val="21"/>
                <w:color w:val="auto"/>
              </w:rPr>
            </w:pPr>
          </w:p>
        </w:tc>
        <w:tc>
          <w:tcPr>
            <w:tcW w:w="2440" w:type="dxa"/>
            <w:vAlign w:val="bottom"/>
            <w:shd w:val="clear" w:color="auto" w:fill="E5E5E5"/>
          </w:tcPr>
          <w:p>
            <w:pPr>
              <w:spacing w:after="0"/>
              <w:rPr>
                <w:sz w:val="21"/>
                <w:szCs w:val="21"/>
                <w:color w:val="auto"/>
              </w:rPr>
            </w:pPr>
          </w:p>
        </w:tc>
        <w:tc>
          <w:tcPr>
            <w:tcW w:w="2020" w:type="dxa"/>
            <w:vAlign w:val="bottom"/>
            <w:shd w:val="clear" w:color="auto" w:fill="E5E5E5"/>
          </w:tcPr>
          <w:p>
            <w:pPr>
              <w:spacing w:after="0"/>
              <w:rPr>
                <w:sz w:val="21"/>
                <w:szCs w:val="21"/>
                <w:color w:val="auto"/>
              </w:rPr>
            </w:pPr>
          </w:p>
        </w:tc>
        <w:tc>
          <w:tcPr>
            <w:tcW w:w="16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8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83"/>
        </w:trPr>
        <w:tc>
          <w:tcPr>
            <w:tcW w:w="23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Cash Bonus</w:t>
            </w:r>
          </w:p>
        </w:tc>
        <w:tc>
          <w:tcPr>
            <w:tcW w:w="1420" w:type="dxa"/>
            <w:vAlign w:val="bottom"/>
            <w:shd w:val="clear" w:color="auto" w:fill="E5E5E5"/>
          </w:tcPr>
          <w:p>
            <w:pPr>
              <w:spacing w:after="0"/>
              <w:rPr>
                <w:sz w:val="24"/>
                <w:szCs w:val="24"/>
                <w:color w:val="auto"/>
              </w:rPr>
            </w:pPr>
          </w:p>
        </w:tc>
        <w:tc>
          <w:tcPr>
            <w:tcW w:w="244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$682,500</w:t>
            </w:r>
          </w:p>
        </w:tc>
        <w:tc>
          <w:tcPr>
            <w:tcW w:w="202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w:t>
            </w:r>
          </w:p>
        </w:tc>
        <w:tc>
          <w:tcPr>
            <w:tcW w:w="168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4"/>
                <w:szCs w:val="24"/>
                <w:color w:val="auto"/>
              </w:rPr>
            </w:pPr>
          </w:p>
        </w:tc>
        <w:tc>
          <w:tcPr>
            <w:tcW w:w="8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83"/>
        </w:trPr>
        <w:tc>
          <w:tcPr>
            <w:tcW w:w="23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420" w:type="dxa"/>
            <w:vAlign w:val="bottom"/>
            <w:shd w:val="clear" w:color="auto" w:fill="E5E5E5"/>
          </w:tcPr>
          <w:p>
            <w:pPr>
              <w:jc w:val="right"/>
              <w:ind w:right="280"/>
              <w:spacing w:after="0"/>
              <w:rPr>
                <w:sz w:val="20"/>
                <w:szCs w:val="20"/>
                <w:color w:val="auto"/>
              </w:rPr>
            </w:pPr>
            <w:r>
              <w:rPr>
                <w:rFonts w:ascii="Arial" w:cs="Arial" w:eastAsia="Arial" w:hAnsi="Arial"/>
                <w:sz w:val="16"/>
                <w:szCs w:val="16"/>
                <w:color w:val="auto"/>
              </w:rPr>
              <w:t>1/1/2019</w:t>
            </w:r>
          </w:p>
        </w:tc>
        <w:tc>
          <w:tcPr>
            <w:tcW w:w="244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200,000</w:t>
            </w:r>
          </w:p>
        </w:tc>
        <w:tc>
          <w:tcPr>
            <w:tcW w:w="168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4"/>
                <w:szCs w:val="24"/>
                <w:color w:val="auto"/>
              </w:rPr>
            </w:pPr>
          </w:p>
        </w:tc>
        <w:tc>
          <w:tcPr>
            <w:tcW w:w="8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83"/>
        </w:trPr>
        <w:tc>
          <w:tcPr>
            <w:tcW w:w="23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420" w:type="dxa"/>
            <w:vAlign w:val="bottom"/>
            <w:shd w:val="clear" w:color="auto" w:fill="E5E5E5"/>
          </w:tcPr>
          <w:p>
            <w:pPr>
              <w:jc w:val="right"/>
              <w:ind w:right="280"/>
              <w:spacing w:after="0"/>
              <w:rPr>
                <w:sz w:val="20"/>
                <w:szCs w:val="20"/>
                <w:color w:val="auto"/>
              </w:rPr>
            </w:pPr>
            <w:r>
              <w:rPr>
                <w:rFonts w:ascii="Arial" w:cs="Arial" w:eastAsia="Arial" w:hAnsi="Arial"/>
                <w:sz w:val="16"/>
                <w:szCs w:val="16"/>
                <w:color w:val="auto"/>
              </w:rPr>
              <w:t>1/1/2019</w:t>
            </w:r>
          </w:p>
        </w:tc>
        <w:tc>
          <w:tcPr>
            <w:tcW w:w="244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200,000</w:t>
            </w:r>
          </w:p>
        </w:tc>
        <w:tc>
          <w:tcPr>
            <w:tcW w:w="168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4"/>
                <w:szCs w:val="24"/>
                <w:color w:val="auto"/>
              </w:rPr>
            </w:pPr>
          </w:p>
        </w:tc>
        <w:tc>
          <w:tcPr>
            <w:tcW w:w="8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96"/>
        </w:trPr>
        <w:tc>
          <w:tcPr>
            <w:tcW w:w="232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420" w:type="dxa"/>
            <w:vAlign w:val="bottom"/>
            <w:tcBorders>
              <w:bottom w:val="single" w:sz="8" w:color="E5E5E5"/>
            </w:tcBorders>
            <w:shd w:val="clear" w:color="auto" w:fill="E5E5E5"/>
          </w:tcPr>
          <w:p>
            <w:pPr>
              <w:jc w:val="right"/>
              <w:ind w:right="280"/>
              <w:spacing w:after="0"/>
              <w:rPr>
                <w:sz w:val="20"/>
                <w:szCs w:val="20"/>
                <w:color w:val="auto"/>
              </w:rPr>
            </w:pPr>
            <w:r>
              <w:rPr>
                <w:rFonts w:ascii="Arial" w:cs="Arial" w:eastAsia="Arial" w:hAnsi="Arial"/>
                <w:sz w:val="16"/>
                <w:szCs w:val="16"/>
                <w:color w:val="auto"/>
              </w:rPr>
              <w:t>1/1/2019</w:t>
            </w:r>
          </w:p>
        </w:tc>
        <w:tc>
          <w:tcPr>
            <w:tcW w:w="2440" w:type="dxa"/>
            <w:vAlign w:val="bottom"/>
            <w:tcBorders>
              <w:bottom w:val="single" w:sz="8" w:color="E5E5E5"/>
            </w:tcBorders>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E5E5E5"/>
            </w:tcBorders>
            <w:shd w:val="clear" w:color="auto" w:fill="E5E5E5"/>
          </w:tcPr>
          <w:p>
            <w:pPr>
              <w:jc w:val="right"/>
              <w:ind w:right="442"/>
              <w:spacing w:after="0"/>
              <w:rPr>
                <w:sz w:val="20"/>
                <w:szCs w:val="20"/>
                <w:color w:val="auto"/>
              </w:rPr>
            </w:pPr>
            <w:r>
              <w:rPr>
                <w:rFonts w:ascii="Arial" w:cs="Arial" w:eastAsia="Arial" w:hAnsi="Arial"/>
                <w:sz w:val="16"/>
                <w:szCs w:val="16"/>
                <w:color w:val="auto"/>
              </w:rPr>
              <w:t>200,000</w:t>
            </w:r>
          </w:p>
        </w:tc>
        <w:tc>
          <w:tcPr>
            <w:tcW w:w="1680" w:type="dxa"/>
            <w:vAlign w:val="bottom"/>
            <w:tcBorders>
              <w:bottom w:val="single" w:sz="8" w:color="E5E5E5"/>
            </w:tcBorders>
            <w:shd w:val="clear" w:color="auto" w:fill="E5E5E5"/>
          </w:tcPr>
          <w:p>
            <w:pPr>
              <w:jc w:val="right"/>
              <w:ind w:right="26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5E5E5"/>
            </w:tcBorders>
            <w:shd w:val="clear" w:color="auto" w:fill="E5E5E5"/>
          </w:tcPr>
          <w:p>
            <w:pPr>
              <w:spacing w:after="0"/>
              <w:rPr>
                <w:sz w:val="24"/>
                <w:szCs w:val="24"/>
                <w:color w:val="auto"/>
              </w:rPr>
            </w:pPr>
          </w:p>
        </w:tc>
        <w:tc>
          <w:tcPr>
            <w:tcW w:w="840" w:type="dxa"/>
            <w:vAlign w:val="bottom"/>
            <w:tcBorders>
              <w:bottom w:val="single" w:sz="8" w:color="E5E5E5"/>
            </w:tcBorders>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50"/>
        </w:trPr>
        <w:tc>
          <w:tcPr>
            <w:tcW w:w="2320" w:type="dxa"/>
            <w:vAlign w:val="bottom"/>
          </w:tcPr>
          <w:p>
            <w:pPr>
              <w:ind w:left="140"/>
              <w:spacing w:after="0"/>
              <w:rPr>
                <w:sz w:val="20"/>
                <w:szCs w:val="20"/>
                <w:color w:val="auto"/>
              </w:rPr>
            </w:pPr>
            <w:r>
              <w:rPr>
                <w:rFonts w:ascii="Arial" w:cs="Arial" w:eastAsia="Arial" w:hAnsi="Arial"/>
                <w:sz w:val="16"/>
                <w:szCs w:val="16"/>
                <w:b w:val="1"/>
                <w:bCs w:val="1"/>
                <w:color w:val="0071CE"/>
              </w:rPr>
              <w:t>Kenneth Myszkowski</w:t>
            </w:r>
          </w:p>
        </w:tc>
        <w:tc>
          <w:tcPr>
            <w:tcW w:w="14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3"/>
        </w:trPr>
        <w:tc>
          <w:tcPr>
            <w:tcW w:w="2320" w:type="dxa"/>
            <w:vAlign w:val="bottom"/>
          </w:tcPr>
          <w:p>
            <w:pPr>
              <w:ind w:left="480"/>
              <w:spacing w:after="0"/>
              <w:rPr>
                <w:sz w:val="20"/>
                <w:szCs w:val="20"/>
                <w:color w:val="auto"/>
              </w:rPr>
            </w:pPr>
            <w:r>
              <w:rPr>
                <w:rFonts w:ascii="Arial" w:cs="Arial" w:eastAsia="Arial" w:hAnsi="Arial"/>
                <w:sz w:val="16"/>
                <w:szCs w:val="16"/>
                <w:color w:val="auto"/>
              </w:rPr>
              <w:t>Cash Bonus</w:t>
            </w:r>
          </w:p>
        </w:tc>
        <w:tc>
          <w:tcPr>
            <w:tcW w:w="1420" w:type="dxa"/>
            <w:vAlign w:val="bottom"/>
          </w:tcPr>
          <w:p>
            <w:pPr>
              <w:spacing w:after="0"/>
              <w:rPr>
                <w:sz w:val="24"/>
                <w:szCs w:val="24"/>
                <w:color w:val="auto"/>
              </w:rPr>
            </w:pPr>
          </w:p>
        </w:tc>
        <w:tc>
          <w:tcPr>
            <w:tcW w:w="2440" w:type="dxa"/>
            <w:vAlign w:val="bottom"/>
          </w:tcPr>
          <w:p>
            <w:pPr>
              <w:jc w:val="right"/>
              <w:ind w:right="801"/>
              <w:spacing w:after="0"/>
              <w:rPr>
                <w:sz w:val="20"/>
                <w:szCs w:val="20"/>
                <w:color w:val="auto"/>
              </w:rPr>
            </w:pPr>
            <w:r>
              <w:rPr>
                <w:rFonts w:ascii="Arial" w:cs="Arial" w:eastAsia="Arial" w:hAnsi="Arial"/>
                <w:sz w:val="16"/>
                <w:szCs w:val="16"/>
                <w:color w:val="auto"/>
              </w:rPr>
              <w:t>$193,500</w:t>
            </w:r>
          </w:p>
        </w:tc>
        <w:tc>
          <w:tcPr>
            <w:tcW w:w="202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83"/>
        </w:trPr>
        <w:tc>
          <w:tcPr>
            <w:tcW w:w="2320" w:type="dxa"/>
            <w:vAlign w:val="bottom"/>
          </w:tcPr>
          <w:p>
            <w:pPr>
              <w:ind w:left="480"/>
              <w:spacing w:after="0"/>
              <w:rPr>
                <w:sz w:val="20"/>
                <w:szCs w:val="20"/>
                <w:color w:val="auto"/>
              </w:rPr>
            </w:pPr>
            <w:r>
              <w:rPr>
                <w:rFonts w:ascii="Arial" w:cs="Arial" w:eastAsia="Arial" w:hAnsi="Arial"/>
                <w:sz w:val="16"/>
                <w:szCs w:val="16"/>
                <w:color w:val="auto"/>
              </w:rPr>
              <w:t>RSUs</w:t>
            </w:r>
          </w:p>
        </w:tc>
        <w:tc>
          <w:tcPr>
            <w:tcW w:w="1420" w:type="dxa"/>
            <w:vAlign w:val="bottom"/>
          </w:tcPr>
          <w:p>
            <w:pPr>
              <w:jc w:val="right"/>
              <w:ind w:right="280"/>
              <w:spacing w:after="0"/>
              <w:rPr>
                <w:sz w:val="20"/>
                <w:szCs w:val="20"/>
                <w:color w:val="auto"/>
              </w:rPr>
            </w:pPr>
            <w:r>
              <w:rPr>
                <w:rFonts w:ascii="Arial" w:cs="Arial" w:eastAsia="Arial" w:hAnsi="Arial"/>
                <w:sz w:val="16"/>
                <w:szCs w:val="16"/>
                <w:color w:val="auto"/>
              </w:rPr>
              <w:t>1/1/2019</w:t>
            </w:r>
          </w:p>
        </w:tc>
        <w:tc>
          <w:tcPr>
            <w:tcW w:w="244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62"/>
              <w:spacing w:after="0"/>
              <w:rPr>
                <w:sz w:val="20"/>
                <w:szCs w:val="20"/>
                <w:color w:val="auto"/>
              </w:rPr>
            </w:pPr>
            <w:r>
              <w:rPr>
                <w:rFonts w:ascii="Arial" w:cs="Arial" w:eastAsia="Arial" w:hAnsi="Arial"/>
                <w:sz w:val="16"/>
                <w:szCs w:val="16"/>
                <w:color w:val="auto"/>
              </w:rPr>
              <w:t>85,000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1,055,700</w:t>
            </w:r>
          </w:p>
        </w:tc>
        <w:tc>
          <w:tcPr>
            <w:tcW w:w="20" w:type="dxa"/>
            <w:vAlign w:val="bottom"/>
          </w:tcPr>
          <w:p>
            <w:pPr>
              <w:spacing w:after="0"/>
              <w:rPr>
                <w:sz w:val="24"/>
                <w:szCs w:val="24"/>
                <w:color w:val="auto"/>
              </w:rPr>
            </w:pPr>
          </w:p>
        </w:tc>
      </w:tr>
      <w:tr>
        <w:trPr>
          <w:trHeight w:val="33"/>
        </w:trPr>
        <w:tc>
          <w:tcPr>
            <w:tcW w:w="2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32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Bruce D. Given</w:t>
            </w:r>
          </w:p>
        </w:tc>
        <w:tc>
          <w:tcPr>
            <w:tcW w:w="1420" w:type="dxa"/>
            <w:vAlign w:val="bottom"/>
            <w:shd w:val="clear" w:color="auto" w:fill="E5E5E5"/>
          </w:tcPr>
          <w:p>
            <w:pPr>
              <w:spacing w:after="0"/>
              <w:rPr>
                <w:sz w:val="21"/>
                <w:szCs w:val="21"/>
                <w:color w:val="auto"/>
              </w:rPr>
            </w:pPr>
          </w:p>
        </w:tc>
        <w:tc>
          <w:tcPr>
            <w:tcW w:w="2440" w:type="dxa"/>
            <w:vAlign w:val="bottom"/>
            <w:shd w:val="clear" w:color="auto" w:fill="E5E5E5"/>
          </w:tcPr>
          <w:p>
            <w:pPr>
              <w:spacing w:after="0"/>
              <w:rPr>
                <w:sz w:val="21"/>
                <w:szCs w:val="21"/>
                <w:color w:val="auto"/>
              </w:rPr>
            </w:pPr>
          </w:p>
        </w:tc>
        <w:tc>
          <w:tcPr>
            <w:tcW w:w="2020" w:type="dxa"/>
            <w:vAlign w:val="bottom"/>
            <w:shd w:val="clear" w:color="auto" w:fill="E5E5E5"/>
          </w:tcPr>
          <w:p>
            <w:pPr>
              <w:spacing w:after="0"/>
              <w:rPr>
                <w:sz w:val="21"/>
                <w:szCs w:val="21"/>
                <w:color w:val="auto"/>
              </w:rPr>
            </w:pPr>
          </w:p>
        </w:tc>
        <w:tc>
          <w:tcPr>
            <w:tcW w:w="16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8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83"/>
        </w:trPr>
        <w:tc>
          <w:tcPr>
            <w:tcW w:w="23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Cash Bonus</w:t>
            </w:r>
          </w:p>
        </w:tc>
        <w:tc>
          <w:tcPr>
            <w:tcW w:w="1420" w:type="dxa"/>
            <w:vAlign w:val="bottom"/>
            <w:shd w:val="clear" w:color="auto" w:fill="E5E5E5"/>
          </w:tcPr>
          <w:p>
            <w:pPr>
              <w:spacing w:after="0"/>
              <w:rPr>
                <w:sz w:val="24"/>
                <w:szCs w:val="24"/>
                <w:color w:val="auto"/>
              </w:rPr>
            </w:pPr>
          </w:p>
        </w:tc>
        <w:tc>
          <w:tcPr>
            <w:tcW w:w="244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$350,000</w:t>
            </w:r>
          </w:p>
        </w:tc>
        <w:tc>
          <w:tcPr>
            <w:tcW w:w="202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w:t>
            </w:r>
          </w:p>
        </w:tc>
        <w:tc>
          <w:tcPr>
            <w:tcW w:w="168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4"/>
                <w:szCs w:val="24"/>
                <w:color w:val="auto"/>
              </w:rPr>
            </w:pPr>
          </w:p>
        </w:tc>
        <w:tc>
          <w:tcPr>
            <w:tcW w:w="8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96"/>
        </w:trPr>
        <w:tc>
          <w:tcPr>
            <w:tcW w:w="232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RSUs</w:t>
            </w:r>
          </w:p>
        </w:tc>
        <w:tc>
          <w:tcPr>
            <w:tcW w:w="1420" w:type="dxa"/>
            <w:vAlign w:val="bottom"/>
            <w:tcBorders>
              <w:bottom w:val="single" w:sz="8" w:color="E5E5E5"/>
            </w:tcBorders>
            <w:shd w:val="clear" w:color="auto" w:fill="E5E5E5"/>
          </w:tcPr>
          <w:p>
            <w:pPr>
              <w:jc w:val="right"/>
              <w:ind w:right="280"/>
              <w:spacing w:after="0"/>
              <w:rPr>
                <w:sz w:val="20"/>
                <w:szCs w:val="20"/>
                <w:color w:val="auto"/>
              </w:rPr>
            </w:pPr>
            <w:r>
              <w:rPr>
                <w:rFonts w:ascii="Arial" w:cs="Arial" w:eastAsia="Arial" w:hAnsi="Arial"/>
                <w:sz w:val="16"/>
                <w:szCs w:val="16"/>
                <w:color w:val="auto"/>
              </w:rPr>
              <w:t>1/1/2019</w:t>
            </w:r>
          </w:p>
        </w:tc>
        <w:tc>
          <w:tcPr>
            <w:tcW w:w="2440" w:type="dxa"/>
            <w:vAlign w:val="bottom"/>
            <w:tcBorders>
              <w:bottom w:val="single" w:sz="8" w:color="E5E5E5"/>
            </w:tcBorders>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E5E5E5"/>
            </w:tcBorders>
            <w:shd w:val="clear" w:color="auto" w:fill="E5E5E5"/>
          </w:tcPr>
          <w:p>
            <w:pPr>
              <w:jc w:val="right"/>
              <w:ind w:right="442"/>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5E5E5"/>
            </w:tcBorders>
            <w:shd w:val="clear" w:color="auto" w:fill="E5E5E5"/>
          </w:tcPr>
          <w:p>
            <w:pPr>
              <w:jc w:val="right"/>
              <w:ind w:right="262"/>
              <w:spacing w:after="0"/>
              <w:rPr>
                <w:sz w:val="20"/>
                <w:szCs w:val="20"/>
                <w:color w:val="auto"/>
              </w:rPr>
            </w:pPr>
            <w:r>
              <w:rPr>
                <w:rFonts w:ascii="Arial" w:cs="Arial" w:eastAsia="Arial" w:hAnsi="Arial"/>
                <w:sz w:val="16"/>
                <w:szCs w:val="16"/>
                <w:color w:val="auto"/>
              </w:rPr>
              <w:t>210,000</w:t>
            </w:r>
          </w:p>
        </w:tc>
        <w:tc>
          <w:tcPr>
            <w:tcW w:w="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5E5E5"/>
            </w:tcBorders>
            <w:shd w:val="clear" w:color="auto" w:fill="E5E5E5"/>
          </w:tcPr>
          <w:p>
            <w:pPr>
              <w:jc w:val="right"/>
              <w:ind w:right="21"/>
              <w:spacing w:after="0"/>
              <w:rPr>
                <w:sz w:val="20"/>
                <w:szCs w:val="20"/>
                <w:color w:val="auto"/>
              </w:rPr>
            </w:pPr>
            <w:r>
              <w:rPr>
                <w:rFonts w:ascii="Arial" w:cs="Arial" w:eastAsia="Arial" w:hAnsi="Arial"/>
                <w:sz w:val="16"/>
                <w:szCs w:val="16"/>
                <w:color w:val="auto"/>
              </w:rPr>
              <w:t>2,608,200</w:t>
            </w:r>
          </w:p>
        </w:tc>
        <w:tc>
          <w:tcPr>
            <w:tcW w:w="20" w:type="dxa"/>
            <w:vAlign w:val="bottom"/>
          </w:tcPr>
          <w:p>
            <w:pPr>
              <w:spacing w:after="0"/>
              <w:rPr>
                <w:sz w:val="24"/>
                <w:szCs w:val="24"/>
                <w:color w:val="auto"/>
              </w:rPr>
            </w:pPr>
          </w:p>
        </w:tc>
      </w:tr>
      <w:tr>
        <w:trPr>
          <w:trHeight w:val="250"/>
        </w:trPr>
        <w:tc>
          <w:tcPr>
            <w:tcW w:w="2320" w:type="dxa"/>
            <w:vAlign w:val="bottom"/>
          </w:tcPr>
          <w:p>
            <w:pPr>
              <w:ind w:left="140"/>
              <w:spacing w:after="0"/>
              <w:rPr>
                <w:sz w:val="20"/>
                <w:szCs w:val="20"/>
                <w:color w:val="auto"/>
              </w:rPr>
            </w:pPr>
            <w:r>
              <w:rPr>
                <w:rFonts w:ascii="Arial" w:cs="Arial" w:eastAsia="Arial" w:hAnsi="Arial"/>
                <w:sz w:val="16"/>
                <w:szCs w:val="16"/>
                <w:b w:val="1"/>
                <w:bCs w:val="1"/>
                <w:color w:val="0071CE"/>
              </w:rPr>
              <w:t>Patrick O’Brien</w:t>
            </w:r>
          </w:p>
        </w:tc>
        <w:tc>
          <w:tcPr>
            <w:tcW w:w="14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3"/>
        </w:trPr>
        <w:tc>
          <w:tcPr>
            <w:tcW w:w="2320" w:type="dxa"/>
            <w:vAlign w:val="bottom"/>
          </w:tcPr>
          <w:p>
            <w:pPr>
              <w:ind w:left="480"/>
              <w:spacing w:after="0"/>
              <w:rPr>
                <w:sz w:val="20"/>
                <w:szCs w:val="20"/>
                <w:color w:val="auto"/>
              </w:rPr>
            </w:pPr>
            <w:r>
              <w:rPr>
                <w:rFonts w:ascii="Arial" w:cs="Arial" w:eastAsia="Arial" w:hAnsi="Arial"/>
                <w:sz w:val="16"/>
                <w:szCs w:val="16"/>
                <w:color w:val="auto"/>
              </w:rPr>
              <w:t>Cash Bonus</w:t>
            </w:r>
          </w:p>
        </w:tc>
        <w:tc>
          <w:tcPr>
            <w:tcW w:w="1420" w:type="dxa"/>
            <w:vAlign w:val="bottom"/>
          </w:tcPr>
          <w:p>
            <w:pPr>
              <w:spacing w:after="0"/>
              <w:rPr>
                <w:sz w:val="24"/>
                <w:szCs w:val="24"/>
                <w:color w:val="auto"/>
              </w:rPr>
            </w:pPr>
          </w:p>
        </w:tc>
        <w:tc>
          <w:tcPr>
            <w:tcW w:w="2440" w:type="dxa"/>
            <w:vAlign w:val="bottom"/>
          </w:tcPr>
          <w:p>
            <w:pPr>
              <w:jc w:val="right"/>
              <w:ind w:right="801"/>
              <w:spacing w:after="0"/>
              <w:rPr>
                <w:sz w:val="20"/>
                <w:szCs w:val="20"/>
                <w:color w:val="auto"/>
              </w:rPr>
            </w:pPr>
            <w:r>
              <w:rPr>
                <w:rFonts w:ascii="Arial" w:cs="Arial" w:eastAsia="Arial" w:hAnsi="Arial"/>
                <w:sz w:val="16"/>
                <w:szCs w:val="16"/>
                <w:color w:val="auto"/>
              </w:rPr>
              <w:t>$191,880</w:t>
            </w:r>
          </w:p>
        </w:tc>
        <w:tc>
          <w:tcPr>
            <w:tcW w:w="202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83"/>
        </w:trPr>
        <w:tc>
          <w:tcPr>
            <w:tcW w:w="2320" w:type="dxa"/>
            <w:vAlign w:val="bottom"/>
          </w:tcPr>
          <w:p>
            <w:pPr>
              <w:ind w:left="480"/>
              <w:spacing w:after="0"/>
              <w:rPr>
                <w:sz w:val="20"/>
                <w:szCs w:val="20"/>
                <w:color w:val="auto"/>
              </w:rPr>
            </w:pPr>
            <w:r>
              <w:rPr>
                <w:rFonts w:ascii="Arial" w:cs="Arial" w:eastAsia="Arial" w:hAnsi="Arial"/>
                <w:sz w:val="16"/>
                <w:szCs w:val="16"/>
                <w:color w:val="auto"/>
              </w:rPr>
              <w:t>RSUs</w:t>
            </w:r>
          </w:p>
        </w:tc>
        <w:tc>
          <w:tcPr>
            <w:tcW w:w="1420" w:type="dxa"/>
            <w:vAlign w:val="bottom"/>
          </w:tcPr>
          <w:p>
            <w:pPr>
              <w:jc w:val="right"/>
              <w:ind w:right="280"/>
              <w:spacing w:after="0"/>
              <w:rPr>
                <w:sz w:val="20"/>
                <w:szCs w:val="20"/>
                <w:color w:val="auto"/>
              </w:rPr>
            </w:pPr>
            <w:r>
              <w:rPr>
                <w:rFonts w:ascii="Arial" w:cs="Arial" w:eastAsia="Arial" w:hAnsi="Arial"/>
                <w:sz w:val="16"/>
                <w:szCs w:val="16"/>
                <w:color w:val="auto"/>
              </w:rPr>
              <w:t>1/1/2019</w:t>
            </w:r>
          </w:p>
        </w:tc>
        <w:tc>
          <w:tcPr>
            <w:tcW w:w="244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62"/>
              <w:spacing w:after="0"/>
              <w:rPr>
                <w:sz w:val="20"/>
                <w:szCs w:val="20"/>
                <w:color w:val="auto"/>
              </w:rPr>
            </w:pPr>
            <w:r>
              <w:rPr>
                <w:rFonts w:ascii="Arial" w:cs="Arial" w:eastAsia="Arial" w:hAnsi="Arial"/>
                <w:sz w:val="16"/>
                <w:szCs w:val="16"/>
                <w:color w:val="auto"/>
              </w:rPr>
              <w:t>70,000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869,400</w:t>
            </w:r>
          </w:p>
        </w:tc>
        <w:tc>
          <w:tcPr>
            <w:tcW w:w="20" w:type="dxa"/>
            <w:vAlign w:val="bottom"/>
          </w:tcPr>
          <w:p>
            <w:pPr>
              <w:spacing w:after="0"/>
              <w:rPr>
                <w:sz w:val="24"/>
                <w:szCs w:val="24"/>
                <w:color w:val="auto"/>
              </w:rPr>
            </w:pPr>
          </w:p>
        </w:tc>
      </w:tr>
      <w:tr>
        <w:trPr>
          <w:trHeight w:val="33"/>
        </w:trPr>
        <w:tc>
          <w:tcPr>
            <w:tcW w:w="2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320" w:type="dxa"/>
            <w:vAlign w:val="bottom"/>
            <w:shd w:val="clear" w:color="auto" w:fill="E5E5E5"/>
          </w:tcPr>
          <w:p>
            <w:pPr>
              <w:ind w:left="140"/>
              <w:spacing w:after="0"/>
              <w:rPr>
                <w:sz w:val="20"/>
                <w:szCs w:val="20"/>
                <w:color w:val="auto"/>
              </w:rPr>
            </w:pPr>
            <w:r>
              <w:rPr>
                <w:rFonts w:ascii="Arial" w:cs="Arial" w:eastAsia="Arial" w:hAnsi="Arial"/>
                <w:sz w:val="16"/>
                <w:szCs w:val="16"/>
                <w:b w:val="1"/>
                <w:bCs w:val="1"/>
                <w:color w:val="0071CE"/>
              </w:rPr>
              <w:t>Zhen Li</w:t>
            </w:r>
          </w:p>
        </w:tc>
        <w:tc>
          <w:tcPr>
            <w:tcW w:w="1420" w:type="dxa"/>
            <w:vAlign w:val="bottom"/>
            <w:shd w:val="clear" w:color="auto" w:fill="E5E5E5"/>
          </w:tcPr>
          <w:p>
            <w:pPr>
              <w:spacing w:after="0"/>
              <w:rPr>
                <w:sz w:val="21"/>
                <w:szCs w:val="21"/>
                <w:color w:val="auto"/>
              </w:rPr>
            </w:pPr>
          </w:p>
        </w:tc>
        <w:tc>
          <w:tcPr>
            <w:tcW w:w="2440" w:type="dxa"/>
            <w:vAlign w:val="bottom"/>
            <w:shd w:val="clear" w:color="auto" w:fill="E5E5E5"/>
          </w:tcPr>
          <w:p>
            <w:pPr>
              <w:spacing w:after="0"/>
              <w:rPr>
                <w:sz w:val="21"/>
                <w:szCs w:val="21"/>
                <w:color w:val="auto"/>
              </w:rPr>
            </w:pPr>
          </w:p>
        </w:tc>
        <w:tc>
          <w:tcPr>
            <w:tcW w:w="2020" w:type="dxa"/>
            <w:vAlign w:val="bottom"/>
            <w:shd w:val="clear" w:color="auto" w:fill="E5E5E5"/>
          </w:tcPr>
          <w:p>
            <w:pPr>
              <w:spacing w:after="0"/>
              <w:rPr>
                <w:sz w:val="21"/>
                <w:szCs w:val="21"/>
                <w:color w:val="auto"/>
              </w:rPr>
            </w:pPr>
          </w:p>
        </w:tc>
        <w:tc>
          <w:tcPr>
            <w:tcW w:w="16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8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83"/>
        </w:trPr>
        <w:tc>
          <w:tcPr>
            <w:tcW w:w="23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Cash Bonus</w:t>
            </w:r>
          </w:p>
        </w:tc>
        <w:tc>
          <w:tcPr>
            <w:tcW w:w="1420" w:type="dxa"/>
            <w:vAlign w:val="bottom"/>
            <w:shd w:val="clear" w:color="auto" w:fill="E5E5E5"/>
          </w:tcPr>
          <w:p>
            <w:pPr>
              <w:spacing w:after="0"/>
              <w:rPr>
                <w:sz w:val="24"/>
                <w:szCs w:val="24"/>
                <w:color w:val="auto"/>
              </w:rPr>
            </w:pPr>
          </w:p>
        </w:tc>
        <w:tc>
          <w:tcPr>
            <w:tcW w:w="2440" w:type="dxa"/>
            <w:vAlign w:val="bottom"/>
            <w:shd w:val="clear" w:color="auto" w:fill="E5E5E5"/>
          </w:tcPr>
          <w:p>
            <w:pPr>
              <w:jc w:val="right"/>
              <w:ind w:right="801"/>
              <w:spacing w:after="0"/>
              <w:rPr>
                <w:sz w:val="20"/>
                <w:szCs w:val="20"/>
                <w:color w:val="auto"/>
              </w:rPr>
            </w:pPr>
            <w:r>
              <w:rPr>
                <w:rFonts w:ascii="Arial" w:cs="Arial" w:eastAsia="Arial" w:hAnsi="Arial"/>
                <w:sz w:val="16"/>
                <w:szCs w:val="16"/>
                <w:color w:val="auto"/>
              </w:rPr>
              <w:t>$156,000</w:t>
            </w:r>
          </w:p>
        </w:tc>
        <w:tc>
          <w:tcPr>
            <w:tcW w:w="202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w:t>
            </w:r>
          </w:p>
        </w:tc>
        <w:tc>
          <w:tcPr>
            <w:tcW w:w="168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spacing w:after="0"/>
              <w:rPr>
                <w:sz w:val="24"/>
                <w:szCs w:val="24"/>
                <w:color w:val="auto"/>
              </w:rPr>
            </w:pPr>
          </w:p>
        </w:tc>
        <w:tc>
          <w:tcPr>
            <w:tcW w:w="8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r>
      <w:tr>
        <w:trPr>
          <w:trHeight w:val="296"/>
        </w:trPr>
        <w:tc>
          <w:tcPr>
            <w:tcW w:w="232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color w:val="auto"/>
              </w:rPr>
              <w:t>RSUs</w:t>
            </w:r>
          </w:p>
        </w:tc>
        <w:tc>
          <w:tcPr>
            <w:tcW w:w="1420" w:type="dxa"/>
            <w:vAlign w:val="bottom"/>
            <w:tcBorders>
              <w:bottom w:val="single" w:sz="8" w:color="E5E5E5"/>
            </w:tcBorders>
            <w:shd w:val="clear" w:color="auto" w:fill="E5E5E5"/>
          </w:tcPr>
          <w:p>
            <w:pPr>
              <w:jc w:val="right"/>
              <w:ind w:right="280"/>
              <w:spacing w:after="0"/>
              <w:rPr>
                <w:sz w:val="20"/>
                <w:szCs w:val="20"/>
                <w:color w:val="auto"/>
              </w:rPr>
            </w:pPr>
            <w:r>
              <w:rPr>
                <w:rFonts w:ascii="Arial" w:cs="Arial" w:eastAsia="Arial" w:hAnsi="Arial"/>
                <w:sz w:val="16"/>
                <w:szCs w:val="16"/>
                <w:color w:val="auto"/>
              </w:rPr>
              <w:t>1/1/2019</w:t>
            </w:r>
          </w:p>
        </w:tc>
        <w:tc>
          <w:tcPr>
            <w:tcW w:w="2440" w:type="dxa"/>
            <w:vAlign w:val="bottom"/>
            <w:tcBorders>
              <w:bottom w:val="single" w:sz="8" w:color="E5E5E5"/>
            </w:tcBorders>
            <w:shd w:val="clear" w:color="auto" w:fill="E5E5E5"/>
          </w:tcPr>
          <w:p>
            <w:pPr>
              <w:jc w:val="right"/>
              <w:ind w:right="801"/>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E5E5E5"/>
            </w:tcBorders>
            <w:shd w:val="clear" w:color="auto" w:fill="E5E5E5"/>
          </w:tcPr>
          <w:p>
            <w:pPr>
              <w:jc w:val="right"/>
              <w:ind w:right="442"/>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5E5E5"/>
            </w:tcBorders>
            <w:shd w:val="clear" w:color="auto" w:fill="E5E5E5"/>
          </w:tcPr>
          <w:p>
            <w:pPr>
              <w:jc w:val="right"/>
              <w:ind w:right="262"/>
              <w:spacing w:after="0"/>
              <w:rPr>
                <w:sz w:val="20"/>
                <w:szCs w:val="20"/>
                <w:color w:val="auto"/>
              </w:rPr>
            </w:pPr>
            <w:r>
              <w:rPr>
                <w:rFonts w:ascii="Arial" w:cs="Arial" w:eastAsia="Arial" w:hAnsi="Arial"/>
                <w:sz w:val="16"/>
                <w:szCs w:val="16"/>
                <w:color w:val="auto"/>
              </w:rPr>
              <w:t>75,000</w:t>
            </w:r>
          </w:p>
        </w:tc>
        <w:tc>
          <w:tcPr>
            <w:tcW w:w="2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5E5E5"/>
            </w:tcBorders>
            <w:shd w:val="clear" w:color="auto" w:fill="E5E5E5"/>
          </w:tcPr>
          <w:p>
            <w:pPr>
              <w:jc w:val="right"/>
              <w:ind w:right="21"/>
              <w:spacing w:after="0"/>
              <w:rPr>
                <w:sz w:val="20"/>
                <w:szCs w:val="20"/>
                <w:color w:val="auto"/>
              </w:rPr>
            </w:pPr>
            <w:r>
              <w:rPr>
                <w:rFonts w:ascii="Arial" w:cs="Arial" w:eastAsia="Arial" w:hAnsi="Arial"/>
                <w:sz w:val="16"/>
                <w:szCs w:val="16"/>
                <w:color w:val="auto"/>
              </w:rPr>
              <w:t>931,500</w:t>
            </w:r>
          </w:p>
        </w:tc>
        <w:tc>
          <w:tcPr>
            <w:tcW w:w="20" w:type="dxa"/>
            <w:vAlign w:val="bottom"/>
          </w:tcPr>
          <w:p>
            <w:pPr>
              <w:spacing w:after="0"/>
              <w:rPr>
                <w:sz w:val="24"/>
                <w:szCs w:val="24"/>
                <w:color w:val="auto"/>
              </w:rPr>
            </w:pPr>
          </w:p>
        </w:tc>
      </w:tr>
      <w:tr>
        <w:trPr>
          <w:trHeight w:val="20"/>
        </w:trPr>
        <w:tc>
          <w:tcPr>
            <w:tcW w:w="2320" w:type="dxa"/>
            <w:vAlign w:val="bottom"/>
            <w:shd w:val="clear" w:color="auto" w:fill="0071CE"/>
          </w:tcPr>
          <w:p>
            <w:pPr>
              <w:spacing w:after="0" w:line="20" w:lineRule="exact"/>
              <w:rPr>
                <w:sz w:val="1"/>
                <w:szCs w:val="1"/>
                <w:color w:val="auto"/>
              </w:rPr>
            </w:pPr>
          </w:p>
        </w:tc>
        <w:tc>
          <w:tcPr>
            <w:tcW w:w="1420" w:type="dxa"/>
            <w:vAlign w:val="bottom"/>
            <w:shd w:val="clear" w:color="auto" w:fill="0071CE"/>
          </w:tcPr>
          <w:p>
            <w:pPr>
              <w:spacing w:after="0" w:line="20" w:lineRule="exact"/>
              <w:rPr>
                <w:sz w:val="1"/>
                <w:szCs w:val="1"/>
                <w:color w:val="auto"/>
              </w:rPr>
            </w:pPr>
          </w:p>
        </w:tc>
        <w:tc>
          <w:tcPr>
            <w:tcW w:w="2440" w:type="dxa"/>
            <w:vAlign w:val="bottom"/>
            <w:shd w:val="clear" w:color="auto" w:fill="0071CE"/>
          </w:tcPr>
          <w:p>
            <w:pPr>
              <w:spacing w:after="0" w:line="20" w:lineRule="exact"/>
              <w:rPr>
                <w:sz w:val="1"/>
                <w:szCs w:val="1"/>
                <w:color w:val="auto"/>
              </w:rPr>
            </w:pPr>
          </w:p>
        </w:tc>
        <w:tc>
          <w:tcPr>
            <w:tcW w:w="2020" w:type="dxa"/>
            <w:vAlign w:val="bottom"/>
            <w:shd w:val="clear" w:color="auto" w:fill="0071CE"/>
          </w:tcPr>
          <w:p>
            <w:pPr>
              <w:spacing w:after="0" w:line="20" w:lineRule="exact"/>
              <w:rPr>
                <w:sz w:val="1"/>
                <w:szCs w:val="1"/>
                <w:color w:val="auto"/>
              </w:rPr>
            </w:pPr>
          </w:p>
        </w:tc>
        <w:tc>
          <w:tcPr>
            <w:tcW w:w="1680" w:type="dxa"/>
            <w:vAlign w:val="bottom"/>
            <w:shd w:val="clear" w:color="auto" w:fill="0071CE"/>
          </w:tcPr>
          <w:p>
            <w:pPr>
              <w:spacing w:after="0" w:line="20" w:lineRule="exact"/>
              <w:rPr>
                <w:sz w:val="1"/>
                <w:szCs w:val="1"/>
                <w:color w:val="auto"/>
              </w:rPr>
            </w:pPr>
          </w:p>
        </w:tc>
        <w:tc>
          <w:tcPr>
            <w:tcW w:w="280" w:type="dxa"/>
            <w:vAlign w:val="bottom"/>
            <w:shd w:val="clear" w:color="auto" w:fill="0071CE"/>
          </w:tcPr>
          <w:p>
            <w:pPr>
              <w:spacing w:after="0" w:line="20" w:lineRule="exact"/>
              <w:rPr>
                <w:sz w:val="1"/>
                <w:szCs w:val="1"/>
                <w:color w:val="auto"/>
              </w:rPr>
            </w:pPr>
          </w:p>
        </w:tc>
        <w:tc>
          <w:tcPr>
            <w:tcW w:w="840" w:type="dxa"/>
            <w:vAlign w:val="bottom"/>
            <w:shd w:val="clear" w:color="auto" w:fill="0071C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-3202940</wp:posOffset>
            </wp:positionV>
            <wp:extent cx="28270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66" w:lineRule="exact"/>
        <w:rPr>
          <w:sz w:val="20"/>
          <w:szCs w:val="20"/>
          <w:color w:val="auto"/>
        </w:rPr>
      </w:pPr>
    </w:p>
    <w:p>
      <w:pPr>
        <w:ind w:left="640" w:right="60" w:hanging="430"/>
        <w:spacing w:after="0" w:line="257" w:lineRule="auto"/>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listed represent cash award targets for our named executive officers in 2019. Actual payments were made in fiscal 2020 and the amounts are reported in the Summary Compensation Table above. There are no thresholds or maximum levels for such awards.</w:t>
      </w:r>
    </w:p>
    <w:p>
      <w:pPr>
        <w:spacing w:after="0" w:line="59" w:lineRule="exact"/>
        <w:rPr>
          <w:rFonts w:ascii="Arial" w:cs="Arial" w:eastAsia="Arial" w:hAnsi="Arial"/>
          <w:sz w:val="14"/>
          <w:szCs w:val="14"/>
          <w:color w:val="auto"/>
        </w:rPr>
      </w:pPr>
    </w:p>
    <w:p>
      <w:pPr>
        <w:ind w:left="640" w:hanging="430"/>
        <w:spacing w:after="0"/>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These RSU and PRSU awards are described above in the “Compensation Discussion and Analysis” under the heading “Equity Compensation”.</w:t>
      </w:r>
    </w:p>
    <w:p>
      <w:pPr>
        <w:spacing w:after="0" w:line="81" w:lineRule="exact"/>
        <w:rPr>
          <w:rFonts w:ascii="Arial" w:cs="Arial" w:eastAsia="Arial" w:hAnsi="Arial"/>
          <w:sz w:val="14"/>
          <w:szCs w:val="14"/>
          <w:color w:val="auto"/>
        </w:rPr>
      </w:pPr>
    </w:p>
    <w:p>
      <w:pPr>
        <w:ind w:left="640" w:hanging="430"/>
        <w:spacing w:after="0"/>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RSUs have various vesting parameters. The RSUs granted in 2019 vest in four equal annual installments beginning 1 year from the grant date.</w:t>
      </w:r>
    </w:p>
    <w:p>
      <w:pPr>
        <w:spacing w:after="0" w:line="81" w:lineRule="exact"/>
        <w:rPr>
          <w:rFonts w:ascii="Arial" w:cs="Arial" w:eastAsia="Arial" w:hAnsi="Arial"/>
          <w:sz w:val="14"/>
          <w:szCs w:val="14"/>
          <w:color w:val="auto"/>
        </w:rPr>
      </w:pPr>
    </w:p>
    <w:p>
      <w:pPr>
        <w:ind w:left="640" w:right="80" w:hanging="430"/>
        <w:spacing w:after="0" w:line="257" w:lineRule="auto"/>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determined that as of the date of the grant it was not probable as defined under applicable accounting guidance that any of the performance vesting conditions for these PRSU awards would be achieved and assigned a grant date fair value of $0 based on this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78105</wp:posOffset>
            </wp:positionV>
            <wp:extent cx="984885"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34</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Outstanding Equity Awards at Fiscal Year 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6" w:lineRule="exact"/>
        <w:rPr>
          <w:sz w:val="20"/>
          <w:szCs w:val="20"/>
          <w:color w:val="auto"/>
        </w:rPr>
      </w:pPr>
    </w:p>
    <w:p>
      <w:pPr>
        <w:ind w:left="220" w:right="220"/>
        <w:spacing w:after="0" w:line="260" w:lineRule="auto"/>
        <w:rPr>
          <w:sz w:val="20"/>
          <w:szCs w:val="20"/>
          <w:color w:val="auto"/>
        </w:rPr>
      </w:pPr>
      <w:r>
        <w:rPr>
          <w:rFonts w:ascii="Arial" w:cs="Arial" w:eastAsia="Arial" w:hAnsi="Arial"/>
          <w:sz w:val="16"/>
          <w:szCs w:val="16"/>
          <w:color w:val="auto"/>
        </w:rPr>
        <w:t>The following table provides information, with respect to the Named Executive Officers, concerning the outstanding equity awards covering shares of the Company’s common stock as of September 30, 2019.</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640" w:type="dxa"/>
            <w:vAlign w:val="bottom"/>
            <w:shd w:val="clear" w:color="auto" w:fill="0071CE"/>
          </w:tcPr>
          <w:p>
            <w:pPr>
              <w:spacing w:after="0"/>
              <w:rPr>
                <w:sz w:val="16"/>
                <w:szCs w:val="16"/>
                <w:color w:val="auto"/>
              </w:rPr>
            </w:pPr>
          </w:p>
        </w:tc>
        <w:tc>
          <w:tcPr>
            <w:tcW w:w="880" w:type="dxa"/>
            <w:vAlign w:val="bottom"/>
            <w:shd w:val="clear" w:color="auto" w:fill="0071CE"/>
          </w:tcPr>
          <w:p>
            <w:pPr>
              <w:spacing w:after="0"/>
              <w:rPr>
                <w:sz w:val="16"/>
                <w:szCs w:val="16"/>
                <w:color w:val="auto"/>
              </w:rPr>
            </w:pPr>
          </w:p>
        </w:tc>
        <w:tc>
          <w:tcPr>
            <w:tcW w:w="1440" w:type="dxa"/>
            <w:vAlign w:val="bottom"/>
            <w:shd w:val="clear" w:color="auto" w:fill="0071CE"/>
          </w:tcPr>
          <w:p>
            <w:pPr>
              <w:spacing w:after="0"/>
              <w:rPr>
                <w:sz w:val="16"/>
                <w:szCs w:val="16"/>
                <w:color w:val="auto"/>
              </w:rPr>
            </w:pPr>
          </w:p>
        </w:tc>
        <w:tc>
          <w:tcPr>
            <w:tcW w:w="1580" w:type="dxa"/>
            <w:vAlign w:val="bottom"/>
            <w:shd w:val="clear" w:color="auto" w:fill="0071CE"/>
          </w:tcPr>
          <w:p>
            <w:pPr>
              <w:jc w:val="right"/>
              <w:ind w:right="48"/>
              <w:spacing w:after="0"/>
              <w:rPr>
                <w:sz w:val="20"/>
                <w:szCs w:val="20"/>
                <w:color w:val="auto"/>
              </w:rPr>
            </w:pPr>
            <w:r>
              <w:rPr>
                <w:rFonts w:ascii="Arial" w:cs="Arial" w:eastAsia="Arial" w:hAnsi="Arial"/>
                <w:sz w:val="14"/>
                <w:szCs w:val="14"/>
                <w:b w:val="1"/>
                <w:bCs w:val="1"/>
                <w:color w:val="FFFFFF"/>
              </w:rPr>
              <w:t>Option Awards</w:t>
            </w:r>
          </w:p>
        </w:tc>
        <w:tc>
          <w:tcPr>
            <w:tcW w:w="880" w:type="dxa"/>
            <w:vAlign w:val="bottom"/>
            <w:shd w:val="clear" w:color="auto" w:fill="0071CE"/>
          </w:tcPr>
          <w:p>
            <w:pPr>
              <w:spacing w:after="0"/>
              <w:rPr>
                <w:sz w:val="16"/>
                <w:szCs w:val="16"/>
                <w:color w:val="auto"/>
              </w:rPr>
            </w:pPr>
          </w:p>
        </w:tc>
        <w:tc>
          <w:tcPr>
            <w:tcW w:w="1060" w:type="dxa"/>
            <w:vAlign w:val="bottom"/>
            <w:shd w:val="clear" w:color="auto" w:fill="0071CE"/>
          </w:tcPr>
          <w:p>
            <w:pPr>
              <w:spacing w:after="0"/>
              <w:rPr>
                <w:sz w:val="16"/>
                <w:szCs w:val="16"/>
                <w:color w:val="auto"/>
              </w:rPr>
            </w:pPr>
          </w:p>
        </w:tc>
        <w:tc>
          <w:tcPr>
            <w:tcW w:w="1040" w:type="dxa"/>
            <w:vAlign w:val="bottom"/>
            <w:shd w:val="clear" w:color="auto" w:fill="0071CE"/>
          </w:tcPr>
          <w:p>
            <w:pPr>
              <w:spacing w:after="0"/>
              <w:rPr>
                <w:sz w:val="16"/>
                <w:szCs w:val="16"/>
                <w:color w:val="auto"/>
              </w:rPr>
            </w:pPr>
          </w:p>
        </w:tc>
        <w:tc>
          <w:tcPr>
            <w:tcW w:w="1700" w:type="dxa"/>
            <w:vAlign w:val="bottom"/>
            <w:gridSpan w:val="2"/>
            <w:shd w:val="clear" w:color="auto" w:fill="0071CE"/>
          </w:tcPr>
          <w:p>
            <w:pPr>
              <w:jc w:val="right"/>
              <w:ind w:right="508"/>
              <w:spacing w:after="0"/>
              <w:rPr>
                <w:sz w:val="20"/>
                <w:szCs w:val="20"/>
                <w:color w:val="auto"/>
              </w:rPr>
            </w:pPr>
            <w:r>
              <w:rPr>
                <w:rFonts w:ascii="Arial" w:cs="Arial" w:eastAsia="Arial" w:hAnsi="Arial"/>
                <w:sz w:val="14"/>
                <w:szCs w:val="14"/>
                <w:b w:val="1"/>
                <w:bCs w:val="1"/>
                <w:color w:val="FFFFFF"/>
              </w:rPr>
              <w:t>Stock Awards</w:t>
            </w:r>
          </w:p>
        </w:tc>
        <w:tc>
          <w:tcPr>
            <w:tcW w:w="88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76"/>
        </w:trPr>
        <w:tc>
          <w:tcPr>
            <w:tcW w:w="1640" w:type="dxa"/>
            <w:vAlign w:val="bottom"/>
            <w:shd w:val="clear" w:color="auto" w:fill="0071CE"/>
          </w:tcPr>
          <w:p>
            <w:pPr>
              <w:spacing w:after="0"/>
              <w:rPr>
                <w:sz w:val="15"/>
                <w:szCs w:val="15"/>
                <w:color w:val="auto"/>
              </w:rPr>
            </w:pPr>
          </w:p>
        </w:tc>
        <w:tc>
          <w:tcPr>
            <w:tcW w:w="880" w:type="dxa"/>
            <w:vAlign w:val="bottom"/>
            <w:shd w:val="clear" w:color="auto" w:fill="0071CE"/>
          </w:tcPr>
          <w:p>
            <w:pPr>
              <w:spacing w:after="0"/>
              <w:rPr>
                <w:sz w:val="15"/>
                <w:szCs w:val="15"/>
                <w:color w:val="auto"/>
              </w:rPr>
            </w:pPr>
          </w:p>
        </w:tc>
        <w:tc>
          <w:tcPr>
            <w:tcW w:w="1440" w:type="dxa"/>
            <w:vAlign w:val="bottom"/>
            <w:shd w:val="clear" w:color="auto" w:fill="0071CE"/>
          </w:tcPr>
          <w:p>
            <w:pPr>
              <w:spacing w:after="0"/>
              <w:rPr>
                <w:sz w:val="15"/>
                <w:szCs w:val="15"/>
                <w:color w:val="auto"/>
              </w:rPr>
            </w:pPr>
          </w:p>
        </w:tc>
        <w:tc>
          <w:tcPr>
            <w:tcW w:w="1580" w:type="dxa"/>
            <w:vAlign w:val="bottom"/>
            <w:shd w:val="clear" w:color="auto" w:fill="0071CE"/>
          </w:tcPr>
          <w:p>
            <w:pPr>
              <w:spacing w:after="0"/>
              <w:rPr>
                <w:sz w:val="15"/>
                <w:szCs w:val="15"/>
                <w:color w:val="auto"/>
              </w:rPr>
            </w:pPr>
          </w:p>
        </w:tc>
        <w:tc>
          <w:tcPr>
            <w:tcW w:w="880" w:type="dxa"/>
            <w:vAlign w:val="bottom"/>
            <w:shd w:val="clear" w:color="auto" w:fill="0071CE"/>
          </w:tcPr>
          <w:p>
            <w:pPr>
              <w:spacing w:after="0"/>
              <w:rPr>
                <w:sz w:val="15"/>
                <w:szCs w:val="15"/>
                <w:color w:val="auto"/>
              </w:rPr>
            </w:pPr>
          </w:p>
        </w:tc>
        <w:tc>
          <w:tcPr>
            <w:tcW w:w="1060" w:type="dxa"/>
            <w:vAlign w:val="bottom"/>
            <w:shd w:val="clear" w:color="auto" w:fill="0071CE"/>
          </w:tcPr>
          <w:p>
            <w:pPr>
              <w:spacing w:after="0"/>
              <w:rPr>
                <w:sz w:val="15"/>
                <w:szCs w:val="15"/>
                <w:color w:val="auto"/>
              </w:rPr>
            </w:pPr>
          </w:p>
        </w:tc>
        <w:tc>
          <w:tcPr>
            <w:tcW w:w="1040" w:type="dxa"/>
            <w:vAlign w:val="bottom"/>
            <w:shd w:val="clear" w:color="auto" w:fill="0071CE"/>
          </w:tcPr>
          <w:p>
            <w:pPr>
              <w:spacing w:after="0"/>
              <w:rPr>
                <w:sz w:val="15"/>
                <w:szCs w:val="15"/>
                <w:color w:val="auto"/>
              </w:rPr>
            </w:pPr>
          </w:p>
        </w:tc>
        <w:tc>
          <w:tcPr>
            <w:tcW w:w="900" w:type="dxa"/>
            <w:vAlign w:val="bottom"/>
            <w:shd w:val="clear" w:color="auto" w:fill="0071CE"/>
          </w:tcPr>
          <w:p>
            <w:pPr>
              <w:spacing w:after="0"/>
              <w:rPr>
                <w:sz w:val="15"/>
                <w:szCs w:val="15"/>
                <w:color w:val="auto"/>
              </w:rPr>
            </w:pPr>
          </w:p>
        </w:tc>
        <w:tc>
          <w:tcPr>
            <w:tcW w:w="800" w:type="dxa"/>
            <w:vAlign w:val="bottom"/>
            <w:shd w:val="clear" w:color="auto" w:fill="0071CE"/>
          </w:tcPr>
          <w:p>
            <w:pPr>
              <w:spacing w:after="0"/>
              <w:rPr>
                <w:sz w:val="15"/>
                <w:szCs w:val="15"/>
                <w:color w:val="auto"/>
              </w:rPr>
            </w:pPr>
          </w:p>
        </w:tc>
        <w:tc>
          <w:tcPr>
            <w:tcW w:w="880" w:type="dxa"/>
            <w:vAlign w:val="bottom"/>
            <w:vMerge w:val="continue"/>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spacing w:after="0"/>
              <w:rPr>
                <w:sz w:val="14"/>
                <w:szCs w:val="14"/>
                <w:color w:val="auto"/>
              </w:rPr>
            </w:pPr>
          </w:p>
        </w:tc>
        <w:tc>
          <w:tcPr>
            <w:tcW w:w="158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0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spacing w:after="0"/>
              <w:rPr>
                <w:sz w:val="14"/>
                <w:szCs w:val="14"/>
                <w:color w:val="auto"/>
              </w:rPr>
            </w:pPr>
          </w:p>
        </w:tc>
        <w:tc>
          <w:tcPr>
            <w:tcW w:w="158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00" w:type="dxa"/>
            <w:vAlign w:val="bottom"/>
            <w:shd w:val="clear" w:color="auto" w:fill="0071CE"/>
          </w:tcPr>
          <w:p>
            <w:pPr>
              <w:spacing w:after="0"/>
              <w:rPr>
                <w:sz w:val="14"/>
                <w:szCs w:val="14"/>
                <w:color w:val="auto"/>
              </w:rPr>
            </w:pP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Equity</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Plan</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spacing w:after="0"/>
              <w:rPr>
                <w:sz w:val="14"/>
                <w:szCs w:val="14"/>
                <w:color w:val="auto"/>
              </w:rPr>
            </w:pPr>
          </w:p>
        </w:tc>
        <w:tc>
          <w:tcPr>
            <w:tcW w:w="158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00" w:type="dxa"/>
            <w:vAlign w:val="bottom"/>
            <w:shd w:val="clear" w:color="auto" w:fill="0071CE"/>
          </w:tcPr>
          <w:p>
            <w:pPr>
              <w:spacing w:after="0"/>
              <w:rPr>
                <w:sz w:val="14"/>
                <w:szCs w:val="14"/>
                <w:color w:val="auto"/>
              </w:rPr>
            </w:pP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spacing w:after="0"/>
              <w:rPr>
                <w:sz w:val="14"/>
                <w:szCs w:val="14"/>
                <w:color w:val="auto"/>
              </w:rPr>
            </w:pPr>
          </w:p>
        </w:tc>
        <w:tc>
          <w:tcPr>
            <w:tcW w:w="158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00" w:type="dxa"/>
            <w:vAlign w:val="bottom"/>
            <w:shd w:val="clear" w:color="auto" w:fill="0071CE"/>
          </w:tcPr>
          <w:p>
            <w:pPr>
              <w:spacing w:after="0"/>
              <w:rPr>
                <w:sz w:val="14"/>
                <w:szCs w:val="14"/>
                <w:color w:val="auto"/>
              </w:rPr>
            </w:pP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Plan</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Market</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spacing w:after="0"/>
              <w:rPr>
                <w:sz w:val="14"/>
                <w:szCs w:val="14"/>
                <w:color w:val="auto"/>
              </w:rPr>
            </w:pPr>
          </w:p>
        </w:tc>
        <w:tc>
          <w:tcPr>
            <w:tcW w:w="158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00" w:type="dxa"/>
            <w:vAlign w:val="bottom"/>
            <w:shd w:val="clear" w:color="auto" w:fill="0071CE"/>
          </w:tcPr>
          <w:p>
            <w:pPr>
              <w:spacing w:after="0"/>
              <w:rPr>
                <w:sz w:val="14"/>
                <w:szCs w:val="14"/>
                <w:color w:val="auto"/>
              </w:rPr>
            </w:pP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spacing w:after="0"/>
              <w:rPr>
                <w:sz w:val="14"/>
                <w:szCs w:val="14"/>
                <w:color w:val="auto"/>
              </w:rPr>
            </w:pPr>
          </w:p>
        </w:tc>
        <w:tc>
          <w:tcPr>
            <w:tcW w:w="158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rPr>
              <w:t>Market</w:t>
            </w: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of</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spacing w:after="0"/>
              <w:rPr>
                <w:sz w:val="14"/>
                <w:szCs w:val="14"/>
                <w:color w:val="auto"/>
              </w:rPr>
            </w:pPr>
          </w:p>
        </w:tc>
        <w:tc>
          <w:tcPr>
            <w:tcW w:w="158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w w:val="99"/>
              </w:rPr>
              <w:t>Value of</w:t>
            </w: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Unearned</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spacing w:after="0"/>
              <w:rPr>
                <w:sz w:val="14"/>
                <w:szCs w:val="14"/>
                <w:color w:val="auto"/>
              </w:rPr>
            </w:pPr>
          </w:p>
        </w:tc>
        <w:tc>
          <w:tcPr>
            <w:tcW w:w="158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9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rPr>
              <w:t>Shares or</w:t>
            </w: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158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9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rPr>
              <w:t>Units of</w:t>
            </w: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Securities</w:t>
            </w:r>
          </w:p>
        </w:tc>
        <w:tc>
          <w:tcPr>
            <w:tcW w:w="15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8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9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w w:val="99"/>
              </w:rPr>
              <w:t>Stock</w:t>
            </w: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Stock</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Underlying</w:t>
            </w:r>
          </w:p>
        </w:tc>
        <w:tc>
          <w:tcPr>
            <w:tcW w:w="1580" w:type="dxa"/>
            <w:vAlign w:val="bottom"/>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Securities</w:t>
            </w:r>
          </w:p>
        </w:tc>
        <w:tc>
          <w:tcPr>
            <w:tcW w:w="8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9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rPr>
              <w:t>That</w:t>
            </w: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Unexercised</w:t>
            </w:r>
          </w:p>
        </w:tc>
        <w:tc>
          <w:tcPr>
            <w:tcW w:w="1580" w:type="dxa"/>
            <w:vAlign w:val="bottom"/>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Underlying</w:t>
            </w:r>
          </w:p>
        </w:tc>
        <w:tc>
          <w:tcPr>
            <w:tcW w:w="880" w:type="dxa"/>
            <w:vAlign w:val="bottom"/>
            <w:shd w:val="clear" w:color="auto" w:fill="0071CE"/>
          </w:tcPr>
          <w:p>
            <w:pPr>
              <w:spacing w:after="0"/>
              <w:rPr>
                <w:sz w:val="14"/>
                <w:szCs w:val="14"/>
                <w:color w:val="auto"/>
              </w:rPr>
            </w:pPr>
          </w:p>
        </w:tc>
        <w:tc>
          <w:tcPr>
            <w:tcW w:w="1060" w:type="dxa"/>
            <w:vAlign w:val="bottom"/>
            <w:shd w:val="clear" w:color="auto" w:fill="0071CE"/>
          </w:tcPr>
          <w:p>
            <w:pPr>
              <w:spacing w:after="0"/>
              <w:rPr>
                <w:sz w:val="14"/>
                <w:szCs w:val="14"/>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c>
          <w:tcPr>
            <w:tcW w:w="9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rPr>
              <w:t>Have</w:t>
            </w: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4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Options (#</w:t>
            </w:r>
          </w:p>
        </w:tc>
        <w:tc>
          <w:tcPr>
            <w:tcW w:w="1580" w:type="dxa"/>
            <w:vAlign w:val="bottom"/>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Unexercised</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Option</w:t>
            </w:r>
          </w:p>
        </w:tc>
        <w:tc>
          <w:tcPr>
            <w:tcW w:w="1060" w:type="dxa"/>
            <w:vAlign w:val="bottom"/>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Option</w:t>
            </w: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 Not</w:t>
            </w:r>
          </w:p>
        </w:tc>
        <w:tc>
          <w:tcPr>
            <w:tcW w:w="90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Not</w:t>
            </w: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Not</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Not</w:t>
            </w:r>
          </w:p>
        </w:tc>
        <w:tc>
          <w:tcPr>
            <w:tcW w:w="0" w:type="dxa"/>
            <w:vAlign w:val="bottom"/>
          </w:tcPr>
          <w:p>
            <w:pPr>
              <w:spacing w:after="0"/>
              <w:rPr>
                <w:sz w:val="1"/>
                <w:szCs w:val="1"/>
                <w:color w:val="auto"/>
              </w:rPr>
            </w:pPr>
          </w:p>
        </w:tc>
      </w:tr>
      <w:tr>
        <w:trPr>
          <w:trHeight w:val="162"/>
        </w:trPr>
        <w:tc>
          <w:tcPr>
            <w:tcW w:w="1640" w:type="dxa"/>
            <w:vAlign w:val="bottom"/>
            <w:shd w:val="clear" w:color="auto" w:fill="0071CE"/>
          </w:tcPr>
          <w:p>
            <w:pPr>
              <w:spacing w:after="0"/>
              <w:rPr>
                <w:sz w:val="14"/>
                <w:szCs w:val="14"/>
                <w:color w:val="auto"/>
              </w:rPr>
            </w:pPr>
          </w:p>
        </w:tc>
        <w:tc>
          <w:tcPr>
            <w:tcW w:w="880" w:type="dxa"/>
            <w:vAlign w:val="bottom"/>
            <w:shd w:val="clear" w:color="auto" w:fill="0071CE"/>
          </w:tcPr>
          <w:p>
            <w:pPr>
              <w:jc w:val="right"/>
              <w:ind w:right="168"/>
              <w:spacing w:after="0"/>
              <w:rPr>
                <w:sz w:val="20"/>
                <w:szCs w:val="20"/>
                <w:color w:val="auto"/>
              </w:rPr>
            </w:pPr>
            <w:r>
              <w:rPr>
                <w:rFonts w:ascii="Arial" w:cs="Arial" w:eastAsia="Arial" w:hAnsi="Arial"/>
                <w:sz w:val="14"/>
                <w:szCs w:val="14"/>
                <w:b w:val="1"/>
                <w:bCs w:val="1"/>
                <w:color w:val="FFFFFF"/>
              </w:rPr>
              <w:t>Grant</w:t>
            </w:r>
          </w:p>
        </w:tc>
        <w:tc>
          <w:tcPr>
            <w:tcW w:w="14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Exercisable)</w:t>
            </w:r>
          </w:p>
        </w:tc>
        <w:tc>
          <w:tcPr>
            <w:tcW w:w="1580" w:type="dxa"/>
            <w:vAlign w:val="bottom"/>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Options (#</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Exercise</w:t>
            </w:r>
          </w:p>
        </w:tc>
        <w:tc>
          <w:tcPr>
            <w:tcW w:w="1060" w:type="dxa"/>
            <w:vAlign w:val="bottom"/>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Expiration</w:t>
            </w: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c>
          <w:tcPr>
            <w:tcW w:w="900" w:type="dxa"/>
            <w:vAlign w:val="bottom"/>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rPr>
              <w:t>Vested</w:t>
            </w:r>
          </w:p>
        </w:tc>
        <w:tc>
          <w:tcPr>
            <w:tcW w:w="8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c>
          <w:tcPr>
            <w:tcW w:w="8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0071CE"/>
            </w:tcBorders>
            <w:shd w:val="clear" w:color="auto" w:fill="0071CE"/>
          </w:tcPr>
          <w:p>
            <w:pPr>
              <w:ind w:left="140"/>
              <w:spacing w:after="0"/>
              <w:rPr>
                <w:sz w:val="20"/>
                <w:szCs w:val="20"/>
                <w:color w:val="auto"/>
              </w:rPr>
            </w:pPr>
            <w:r>
              <w:rPr>
                <w:rFonts w:ascii="Arial" w:cs="Arial" w:eastAsia="Arial" w:hAnsi="Arial"/>
                <w:sz w:val="14"/>
                <w:szCs w:val="14"/>
                <w:b w:val="1"/>
                <w:bCs w:val="1"/>
                <w:color w:val="FFFFFF"/>
              </w:rPr>
              <w:t>Name</w:t>
            </w:r>
          </w:p>
        </w:tc>
        <w:tc>
          <w:tcPr>
            <w:tcW w:w="880" w:type="dxa"/>
            <w:vAlign w:val="bottom"/>
            <w:tcBorders>
              <w:bottom w:val="single" w:sz="8" w:color="0071CE"/>
            </w:tcBorders>
            <w:shd w:val="clear" w:color="auto" w:fill="0071CE"/>
          </w:tcPr>
          <w:p>
            <w:pPr>
              <w:jc w:val="right"/>
              <w:ind w:right="208"/>
              <w:spacing w:after="0"/>
              <w:rPr>
                <w:sz w:val="20"/>
                <w:szCs w:val="20"/>
                <w:color w:val="auto"/>
              </w:rPr>
            </w:pPr>
            <w:r>
              <w:rPr>
                <w:rFonts w:ascii="Arial" w:cs="Arial" w:eastAsia="Arial" w:hAnsi="Arial"/>
                <w:sz w:val="14"/>
                <w:szCs w:val="14"/>
                <w:b w:val="1"/>
                <w:bCs w:val="1"/>
                <w:color w:val="FFFFFF"/>
              </w:rPr>
              <w:t>Date</w:t>
            </w:r>
          </w:p>
        </w:tc>
        <w:tc>
          <w:tcPr>
            <w:tcW w:w="14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3"/>
              </w:rPr>
              <w:t>(1)</w:t>
            </w:r>
          </w:p>
        </w:tc>
        <w:tc>
          <w:tcPr>
            <w:tcW w:w="1580" w:type="dxa"/>
            <w:vAlign w:val="bottom"/>
            <w:tcBorders>
              <w:bottom w:val="single" w:sz="8" w:color="0071CE"/>
            </w:tcBorders>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Unexercisable)</w:t>
            </w:r>
          </w:p>
        </w:tc>
        <w:tc>
          <w:tcPr>
            <w:tcW w:w="8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Price ($)</w:t>
            </w:r>
          </w:p>
        </w:tc>
        <w:tc>
          <w:tcPr>
            <w:tcW w:w="1060" w:type="dxa"/>
            <w:vAlign w:val="bottom"/>
            <w:tcBorders>
              <w:bottom w:val="single" w:sz="8" w:color="0071CE"/>
            </w:tcBorders>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w w:val="98"/>
              </w:rPr>
              <w:t>Date</w:t>
            </w:r>
          </w:p>
        </w:tc>
        <w:tc>
          <w:tcPr>
            <w:tcW w:w="10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 (3)</w:t>
            </w:r>
          </w:p>
        </w:tc>
        <w:tc>
          <w:tcPr>
            <w:tcW w:w="900" w:type="dxa"/>
            <w:vAlign w:val="bottom"/>
            <w:tcBorders>
              <w:bottom w:val="single" w:sz="8" w:color="0071CE"/>
            </w:tcBorders>
            <w:shd w:val="clear" w:color="auto" w:fill="0071CE"/>
          </w:tcPr>
          <w:p>
            <w:pPr>
              <w:jc w:val="center"/>
              <w:ind w:left="48"/>
              <w:spacing w:after="0"/>
              <w:rPr>
                <w:sz w:val="20"/>
                <w:szCs w:val="20"/>
                <w:color w:val="auto"/>
              </w:rPr>
            </w:pPr>
            <w:r>
              <w:rPr>
                <w:rFonts w:ascii="Arial" w:cs="Arial" w:eastAsia="Arial" w:hAnsi="Arial"/>
                <w:sz w:val="14"/>
                <w:szCs w:val="14"/>
                <w:b w:val="1"/>
                <w:bCs w:val="1"/>
                <w:color w:val="FFFFFF"/>
                <w:w w:val="99"/>
              </w:rPr>
              <w:t>($) (4)</w:t>
            </w:r>
          </w:p>
        </w:tc>
        <w:tc>
          <w:tcPr>
            <w:tcW w:w="80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 (2)</w:t>
            </w:r>
          </w:p>
        </w:tc>
        <w:tc>
          <w:tcPr>
            <w:tcW w:w="8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 (4)</w:t>
            </w:r>
          </w:p>
        </w:tc>
        <w:tc>
          <w:tcPr>
            <w:tcW w:w="0" w:type="dxa"/>
            <w:vAlign w:val="bottom"/>
          </w:tcPr>
          <w:p>
            <w:pPr>
              <w:spacing w:after="0"/>
              <w:rPr>
                <w:sz w:val="1"/>
                <w:szCs w:val="1"/>
                <w:color w:val="auto"/>
              </w:rPr>
            </w:pPr>
          </w:p>
        </w:tc>
      </w:tr>
      <w:tr>
        <w:trPr>
          <w:trHeight w:val="231"/>
        </w:trPr>
        <w:tc>
          <w:tcPr>
            <w:tcW w:w="1640" w:type="dxa"/>
            <w:vAlign w:val="bottom"/>
            <w:shd w:val="clear" w:color="auto" w:fill="E5E5E5"/>
          </w:tcPr>
          <w:p>
            <w:pPr>
              <w:ind w:left="140"/>
              <w:spacing w:after="0"/>
              <w:rPr>
                <w:sz w:val="20"/>
                <w:szCs w:val="20"/>
                <w:color w:val="auto"/>
              </w:rPr>
            </w:pPr>
            <w:r>
              <w:rPr>
                <w:rFonts w:ascii="Arial" w:cs="Arial" w:eastAsia="Arial" w:hAnsi="Arial"/>
                <w:sz w:val="14"/>
                <w:szCs w:val="14"/>
                <w:b w:val="1"/>
                <w:bCs w:val="1"/>
                <w:color w:val="0071CE"/>
              </w:rPr>
              <w:t>Christopher Anzalone</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3/4/2010</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56,325</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5.20</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3/4/2020</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8/16/2010</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50,000</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9.90</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8/16/2020</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10/21/2011</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15,000</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4.60</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10/21/2021</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2/16/2012</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170,000</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5.19</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2/16/2022</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9/28/2012</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40,624</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2.62</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9/28/2022</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5/6/2013</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159,928</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2.01</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5/6/2023</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9/21/2013</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69,991</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4.75</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9/21/2023</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2/6/2014</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60,000</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14.54</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2/6/2024</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3/6/2015</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300,000</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7.75</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3/6/2025</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1/1/2016</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73,333</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6,667</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6.15</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1/1/2026</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1/1/2018</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333,333</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6,389,994</w:t>
            </w:r>
          </w:p>
        </w:tc>
        <w:tc>
          <w:tcPr>
            <w:tcW w:w="0" w:type="dxa"/>
            <w:vAlign w:val="bottom"/>
          </w:tcPr>
          <w:p>
            <w:pPr>
              <w:spacing w:after="0"/>
              <w:rPr>
                <w:sz w:val="1"/>
                <w:szCs w:val="1"/>
                <w:color w:val="auto"/>
              </w:rPr>
            </w:pPr>
          </w:p>
        </w:tc>
      </w:tr>
      <w:tr>
        <w:trPr>
          <w:trHeight w:val="248"/>
        </w:trPr>
        <w:tc>
          <w:tcPr>
            <w:tcW w:w="1640" w:type="dxa"/>
            <w:vAlign w:val="bottom"/>
            <w:tcBorders>
              <w:bottom w:val="single" w:sz="8" w:color="E5E5E5"/>
            </w:tcBorders>
            <w:shd w:val="clear" w:color="auto" w:fill="E5E5E5"/>
          </w:tcPr>
          <w:p>
            <w:pPr>
              <w:spacing w:after="0"/>
              <w:rPr>
                <w:sz w:val="21"/>
                <w:szCs w:val="21"/>
                <w:color w:val="auto"/>
              </w:rPr>
            </w:pPr>
          </w:p>
        </w:tc>
        <w:tc>
          <w:tcPr>
            <w:tcW w:w="8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1/1/2019</w:t>
            </w:r>
          </w:p>
        </w:tc>
        <w:tc>
          <w:tcPr>
            <w:tcW w:w="1440" w:type="dxa"/>
            <w:vAlign w:val="bottom"/>
            <w:tcBorders>
              <w:bottom w:val="single" w:sz="8" w:color="E5E5E5"/>
            </w:tcBorders>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E5E5E5"/>
            </w:tcBorders>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5E5E5"/>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5E5E5"/>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600,000</w:t>
            </w:r>
          </w:p>
        </w:tc>
        <w:tc>
          <w:tcPr>
            <w:tcW w:w="8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16,908,000</w:t>
            </w:r>
          </w:p>
        </w:tc>
        <w:tc>
          <w:tcPr>
            <w:tcW w:w="0" w:type="dxa"/>
            <w:vAlign w:val="bottom"/>
          </w:tcPr>
          <w:p>
            <w:pPr>
              <w:spacing w:after="0"/>
              <w:rPr>
                <w:sz w:val="1"/>
                <w:szCs w:val="1"/>
                <w:color w:val="auto"/>
              </w:rPr>
            </w:pPr>
          </w:p>
        </w:tc>
      </w:tr>
      <w:tr>
        <w:trPr>
          <w:trHeight w:val="231"/>
        </w:trPr>
        <w:tc>
          <w:tcPr>
            <w:tcW w:w="1640" w:type="dxa"/>
            <w:vAlign w:val="bottom"/>
          </w:tcPr>
          <w:p>
            <w:pPr>
              <w:ind w:left="140"/>
              <w:spacing w:after="0"/>
              <w:rPr>
                <w:sz w:val="20"/>
                <w:szCs w:val="20"/>
                <w:color w:val="auto"/>
              </w:rPr>
            </w:pPr>
            <w:r>
              <w:rPr>
                <w:rFonts w:ascii="Arial" w:cs="Arial" w:eastAsia="Arial" w:hAnsi="Arial"/>
                <w:sz w:val="14"/>
                <w:szCs w:val="14"/>
                <w:b w:val="1"/>
                <w:bCs w:val="1"/>
                <w:color w:val="0071CE"/>
              </w:rPr>
              <w:t>Kenneth Myszkowski</w:t>
            </w:r>
          </w:p>
        </w:tc>
        <w:tc>
          <w:tcPr>
            <w:tcW w:w="880" w:type="dxa"/>
            <w:vAlign w:val="bottom"/>
          </w:tcPr>
          <w:p>
            <w:pPr>
              <w:jc w:val="right"/>
              <w:spacing w:after="0"/>
              <w:rPr>
                <w:sz w:val="20"/>
                <w:szCs w:val="20"/>
                <w:color w:val="auto"/>
              </w:rPr>
            </w:pPr>
            <w:r>
              <w:rPr>
                <w:rFonts w:ascii="Arial" w:cs="Arial" w:eastAsia="Arial" w:hAnsi="Arial"/>
                <w:sz w:val="14"/>
                <w:szCs w:val="14"/>
                <w:color w:val="auto"/>
              </w:rPr>
              <w:t>8/16/2010</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12,000</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9.90</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8/16/2020</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2/16/2012</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48,000</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5.19</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2/16/2022</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2/6/2014</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50,000</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14.54</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2/6/2024</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3/6/2015</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50,000</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7.75</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3/6/2025</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1/1/2016</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36,666</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3,334</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6.15</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1/1/2026</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1/1/2018</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56,250</w:t>
            </w:r>
          </w:p>
        </w:tc>
        <w:tc>
          <w:tcPr>
            <w:tcW w:w="900" w:type="dxa"/>
            <w:vAlign w:val="bottom"/>
          </w:tcPr>
          <w:p>
            <w:pPr>
              <w:jc w:val="right"/>
              <w:spacing w:after="0"/>
              <w:rPr>
                <w:sz w:val="20"/>
                <w:szCs w:val="20"/>
                <w:color w:val="auto"/>
              </w:rPr>
            </w:pPr>
            <w:r>
              <w:rPr>
                <w:rFonts w:ascii="Arial" w:cs="Arial" w:eastAsia="Arial" w:hAnsi="Arial"/>
                <w:sz w:val="14"/>
                <w:szCs w:val="14"/>
                <w:color w:val="auto"/>
              </w:rPr>
              <w:t>1,585,125</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1/1/2019</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85,000</w:t>
            </w:r>
          </w:p>
        </w:tc>
        <w:tc>
          <w:tcPr>
            <w:tcW w:w="900" w:type="dxa"/>
            <w:vAlign w:val="bottom"/>
          </w:tcPr>
          <w:p>
            <w:pPr>
              <w:jc w:val="right"/>
              <w:spacing w:after="0"/>
              <w:rPr>
                <w:sz w:val="20"/>
                <w:szCs w:val="20"/>
                <w:color w:val="auto"/>
              </w:rPr>
            </w:pPr>
            <w:r>
              <w:rPr>
                <w:rFonts w:ascii="Arial" w:cs="Arial" w:eastAsia="Arial" w:hAnsi="Arial"/>
                <w:sz w:val="14"/>
                <w:szCs w:val="14"/>
                <w:color w:val="auto"/>
              </w:rPr>
              <w:t>2,395,300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1640" w:type="dxa"/>
            <w:vAlign w:val="bottom"/>
            <w:shd w:val="clear" w:color="auto" w:fill="E5E5E5"/>
          </w:tcPr>
          <w:p>
            <w:pPr>
              <w:ind w:left="140"/>
              <w:spacing w:after="0"/>
              <w:rPr>
                <w:sz w:val="20"/>
                <w:szCs w:val="20"/>
                <w:color w:val="auto"/>
              </w:rPr>
            </w:pPr>
            <w:r>
              <w:rPr>
                <w:rFonts w:ascii="Arial" w:cs="Arial" w:eastAsia="Arial" w:hAnsi="Arial"/>
                <w:sz w:val="14"/>
                <w:szCs w:val="14"/>
                <w:b w:val="1"/>
                <w:bCs w:val="1"/>
                <w:color w:val="0071CE"/>
              </w:rPr>
              <w:t>Bruce D. Given</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10/26/2011</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30,000</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5.20</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10/26/2021</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2/16/2012</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110,000</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5.19</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2/16/2022</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9/21/2013</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40,000</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4.75</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9/21/2023</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2/6/2014</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50,000</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14.54</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2/6/2024</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3/6/2015</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60,000</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7.75</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3/6/2025</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1/1/2016</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55,000</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5,000</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6.15</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1/1/2026</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1/1/2018</w:t>
            </w:r>
          </w:p>
        </w:tc>
        <w:tc>
          <w:tcPr>
            <w:tcW w:w="14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131,250</w:t>
            </w: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3,698,625</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1640" w:type="dxa"/>
            <w:vAlign w:val="bottom"/>
            <w:tcBorders>
              <w:bottom w:val="single" w:sz="8" w:color="E5E5E5"/>
            </w:tcBorders>
            <w:shd w:val="clear" w:color="auto" w:fill="E5E5E5"/>
          </w:tcPr>
          <w:p>
            <w:pPr>
              <w:spacing w:after="0"/>
              <w:rPr>
                <w:sz w:val="21"/>
                <w:szCs w:val="21"/>
                <w:color w:val="auto"/>
              </w:rPr>
            </w:pPr>
          </w:p>
        </w:tc>
        <w:tc>
          <w:tcPr>
            <w:tcW w:w="8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1/1/2019</w:t>
            </w:r>
          </w:p>
        </w:tc>
        <w:tc>
          <w:tcPr>
            <w:tcW w:w="1440" w:type="dxa"/>
            <w:vAlign w:val="bottom"/>
            <w:tcBorders>
              <w:bottom w:val="single" w:sz="8" w:color="E5E5E5"/>
            </w:tcBorders>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E5E5E5"/>
            </w:tcBorders>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5E5E5"/>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5E5E5"/>
            </w:tcBorders>
            <w:shd w:val="clear" w:color="auto" w:fill="E5E5E5"/>
          </w:tcPr>
          <w:p>
            <w:pPr>
              <w:jc w:val="right"/>
              <w:ind w:right="168"/>
              <w:spacing w:after="0"/>
              <w:rPr>
                <w:sz w:val="20"/>
                <w:szCs w:val="20"/>
                <w:color w:val="auto"/>
              </w:rPr>
            </w:pPr>
            <w:r>
              <w:rPr>
                <w:rFonts w:ascii="Arial" w:cs="Arial" w:eastAsia="Arial" w:hAnsi="Arial"/>
                <w:sz w:val="14"/>
                <w:szCs w:val="14"/>
                <w:color w:val="auto"/>
              </w:rPr>
              <w:t>210,000</w:t>
            </w:r>
          </w:p>
        </w:tc>
        <w:tc>
          <w:tcPr>
            <w:tcW w:w="9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5,917,800</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1640" w:type="dxa"/>
            <w:vAlign w:val="bottom"/>
          </w:tcPr>
          <w:p>
            <w:pPr>
              <w:ind w:left="140"/>
              <w:spacing w:after="0"/>
              <w:rPr>
                <w:sz w:val="20"/>
                <w:szCs w:val="20"/>
                <w:color w:val="auto"/>
              </w:rPr>
            </w:pPr>
            <w:r>
              <w:rPr>
                <w:rFonts w:ascii="Arial" w:cs="Arial" w:eastAsia="Arial" w:hAnsi="Arial"/>
                <w:sz w:val="14"/>
                <w:szCs w:val="14"/>
                <w:b w:val="1"/>
                <w:bCs w:val="1"/>
                <w:color w:val="0071CE"/>
              </w:rPr>
              <w:t>Patrick O’Brien</w:t>
            </w:r>
          </w:p>
        </w:tc>
        <w:tc>
          <w:tcPr>
            <w:tcW w:w="880" w:type="dxa"/>
            <w:vAlign w:val="bottom"/>
          </w:tcPr>
          <w:p>
            <w:pPr>
              <w:jc w:val="right"/>
              <w:spacing w:after="0"/>
              <w:rPr>
                <w:sz w:val="20"/>
                <w:szCs w:val="20"/>
                <w:color w:val="auto"/>
              </w:rPr>
            </w:pPr>
            <w:r>
              <w:rPr>
                <w:rFonts w:ascii="Arial" w:cs="Arial" w:eastAsia="Arial" w:hAnsi="Arial"/>
                <w:sz w:val="14"/>
                <w:szCs w:val="14"/>
                <w:color w:val="auto"/>
              </w:rPr>
              <w:t>12/2/2014</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90,000</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5.22</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12/2/2024</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1/1/2016</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55,000</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5,000</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6.15</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1/1/2026</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1/1/2018</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45,000</w:t>
            </w:r>
          </w:p>
        </w:tc>
        <w:tc>
          <w:tcPr>
            <w:tcW w:w="900" w:type="dxa"/>
            <w:vAlign w:val="bottom"/>
          </w:tcPr>
          <w:p>
            <w:pPr>
              <w:jc w:val="right"/>
              <w:spacing w:after="0"/>
              <w:rPr>
                <w:sz w:val="20"/>
                <w:szCs w:val="20"/>
                <w:color w:val="auto"/>
              </w:rPr>
            </w:pPr>
            <w:r>
              <w:rPr>
                <w:rFonts w:ascii="Arial" w:cs="Arial" w:eastAsia="Arial" w:hAnsi="Arial"/>
                <w:sz w:val="14"/>
                <w:szCs w:val="14"/>
                <w:color w:val="auto"/>
              </w:rPr>
              <w:t>1,268,100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1/1/2019</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70,000</w:t>
            </w:r>
          </w:p>
        </w:tc>
        <w:tc>
          <w:tcPr>
            <w:tcW w:w="900" w:type="dxa"/>
            <w:vAlign w:val="bottom"/>
          </w:tcPr>
          <w:p>
            <w:pPr>
              <w:jc w:val="right"/>
              <w:spacing w:after="0"/>
              <w:rPr>
                <w:sz w:val="20"/>
                <w:szCs w:val="20"/>
                <w:color w:val="auto"/>
              </w:rPr>
            </w:pPr>
            <w:r>
              <w:rPr>
                <w:rFonts w:ascii="Arial" w:cs="Arial" w:eastAsia="Arial" w:hAnsi="Arial"/>
                <w:sz w:val="14"/>
                <w:szCs w:val="14"/>
                <w:color w:val="auto"/>
              </w:rPr>
              <w:t>1,972,600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164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4"/>
                <w:szCs w:val="14"/>
                <w:b w:val="1"/>
                <w:bCs w:val="1"/>
                <w:color w:val="0071CE"/>
              </w:rPr>
              <w:t>Zhen Li (5)</w:t>
            </w:r>
          </w:p>
        </w:tc>
        <w:tc>
          <w:tcPr>
            <w:tcW w:w="8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E5E5E5"/>
            </w:tcBorders>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E5E5E5"/>
            </w:tcBorders>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5E5E5"/>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5E5E5"/>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640" w:type="dxa"/>
            <w:vAlign w:val="bottom"/>
            <w:shd w:val="clear" w:color="auto" w:fill="0071CE"/>
          </w:tcPr>
          <w:p>
            <w:pPr>
              <w:spacing w:after="0" w:line="20" w:lineRule="exact"/>
              <w:rPr>
                <w:sz w:val="1"/>
                <w:szCs w:val="1"/>
                <w:color w:val="auto"/>
              </w:rPr>
            </w:pPr>
          </w:p>
        </w:tc>
        <w:tc>
          <w:tcPr>
            <w:tcW w:w="880" w:type="dxa"/>
            <w:vAlign w:val="bottom"/>
            <w:shd w:val="clear" w:color="auto" w:fill="0071CE"/>
          </w:tcPr>
          <w:p>
            <w:pPr>
              <w:spacing w:after="0" w:line="20" w:lineRule="exact"/>
              <w:rPr>
                <w:sz w:val="1"/>
                <w:szCs w:val="1"/>
                <w:color w:val="auto"/>
              </w:rPr>
            </w:pPr>
          </w:p>
        </w:tc>
        <w:tc>
          <w:tcPr>
            <w:tcW w:w="1440" w:type="dxa"/>
            <w:vAlign w:val="bottom"/>
            <w:shd w:val="clear" w:color="auto" w:fill="0071CE"/>
          </w:tcPr>
          <w:p>
            <w:pPr>
              <w:spacing w:after="0" w:line="20" w:lineRule="exact"/>
              <w:rPr>
                <w:sz w:val="1"/>
                <w:szCs w:val="1"/>
                <w:color w:val="auto"/>
              </w:rPr>
            </w:pPr>
          </w:p>
        </w:tc>
        <w:tc>
          <w:tcPr>
            <w:tcW w:w="1580" w:type="dxa"/>
            <w:vAlign w:val="bottom"/>
            <w:shd w:val="clear" w:color="auto" w:fill="0071CE"/>
          </w:tcPr>
          <w:p>
            <w:pPr>
              <w:spacing w:after="0" w:line="20" w:lineRule="exact"/>
              <w:rPr>
                <w:sz w:val="1"/>
                <w:szCs w:val="1"/>
                <w:color w:val="auto"/>
              </w:rPr>
            </w:pPr>
          </w:p>
        </w:tc>
        <w:tc>
          <w:tcPr>
            <w:tcW w:w="880" w:type="dxa"/>
            <w:vAlign w:val="bottom"/>
            <w:shd w:val="clear" w:color="auto" w:fill="0071CE"/>
          </w:tcPr>
          <w:p>
            <w:pPr>
              <w:spacing w:after="0" w:line="20" w:lineRule="exact"/>
              <w:rPr>
                <w:sz w:val="1"/>
                <w:szCs w:val="1"/>
                <w:color w:val="auto"/>
              </w:rPr>
            </w:pPr>
          </w:p>
        </w:tc>
        <w:tc>
          <w:tcPr>
            <w:tcW w:w="1060" w:type="dxa"/>
            <w:vAlign w:val="bottom"/>
            <w:shd w:val="clear" w:color="auto" w:fill="0071CE"/>
          </w:tcPr>
          <w:p>
            <w:pPr>
              <w:spacing w:after="0" w:line="20" w:lineRule="exact"/>
              <w:rPr>
                <w:sz w:val="1"/>
                <w:szCs w:val="1"/>
                <w:color w:val="auto"/>
              </w:rPr>
            </w:pPr>
          </w:p>
        </w:tc>
        <w:tc>
          <w:tcPr>
            <w:tcW w:w="1040" w:type="dxa"/>
            <w:vAlign w:val="bottom"/>
            <w:shd w:val="clear" w:color="auto" w:fill="0071CE"/>
          </w:tcPr>
          <w:p>
            <w:pPr>
              <w:spacing w:after="0" w:line="20" w:lineRule="exact"/>
              <w:rPr>
                <w:sz w:val="1"/>
                <w:szCs w:val="1"/>
                <w:color w:val="auto"/>
              </w:rPr>
            </w:pPr>
          </w:p>
        </w:tc>
        <w:tc>
          <w:tcPr>
            <w:tcW w:w="900" w:type="dxa"/>
            <w:vAlign w:val="bottom"/>
            <w:shd w:val="clear" w:color="auto" w:fill="0071CE"/>
          </w:tcPr>
          <w:p>
            <w:pPr>
              <w:spacing w:after="0" w:line="20" w:lineRule="exact"/>
              <w:rPr>
                <w:sz w:val="1"/>
                <w:szCs w:val="1"/>
                <w:color w:val="auto"/>
              </w:rPr>
            </w:pPr>
          </w:p>
        </w:tc>
        <w:tc>
          <w:tcPr>
            <w:tcW w:w="800" w:type="dxa"/>
            <w:vAlign w:val="bottom"/>
            <w:shd w:val="clear" w:color="auto" w:fill="0071CE"/>
          </w:tcPr>
          <w:p>
            <w:pPr>
              <w:spacing w:after="0" w:line="20" w:lineRule="exact"/>
              <w:rPr>
                <w:sz w:val="1"/>
                <w:szCs w:val="1"/>
                <w:color w:val="auto"/>
              </w:rPr>
            </w:pPr>
          </w:p>
        </w:tc>
        <w:tc>
          <w:tcPr>
            <w:tcW w:w="880" w:type="dxa"/>
            <w:vAlign w:val="bottom"/>
            <w:shd w:val="clear" w:color="auto" w:fill="0071C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-6492240</wp:posOffset>
            </wp:positionV>
            <wp:extent cx="54476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47665" cy="17145"/>
                    </a:xfrm>
                    <a:prstGeom prst="rect">
                      <a:avLst/>
                    </a:prstGeom>
                    <a:noFill/>
                  </pic:spPr>
                </pic:pic>
              </a:graphicData>
            </a:graphic>
          </wp:anchor>
        </w:drawing>
      </w:r>
    </w:p>
    <w:p>
      <w:pPr>
        <w:spacing w:after="0" w:line="66" w:lineRule="exact"/>
        <w:rPr>
          <w:sz w:val="20"/>
          <w:szCs w:val="20"/>
          <w:color w:val="auto"/>
        </w:rPr>
      </w:pPr>
    </w:p>
    <w:p>
      <w:pPr>
        <w:ind w:left="640" w:right="340" w:hanging="430"/>
        <w:spacing w:after="0" w:line="257"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Options are priced at the market closing price on the date of grant. Options have various vesting parameters, but generally vest within 48 months after the award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78105</wp:posOffset>
            </wp:positionV>
            <wp:extent cx="98488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4"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35</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48" w:lineRule="exact"/>
        <w:rPr>
          <w:sz w:val="20"/>
          <w:szCs w:val="20"/>
          <w:color w:val="auto"/>
        </w:rPr>
      </w:pPr>
    </w:p>
    <w:p>
      <w:pPr>
        <w:ind w:left="640" w:right="40" w:hanging="430"/>
        <w:spacing w:after="0" w:line="257" w:lineRule="auto"/>
        <w:tabs>
          <w:tab w:leader="none" w:pos="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this column reflect the January 2018 and January 2019 awards that contain performance-based vesting conditions. These awards and their vesting conditions are described above in the “Compensation Discussion and Analysis” under the heading “Equity Compensation”.</w:t>
      </w:r>
    </w:p>
    <w:p>
      <w:pPr>
        <w:spacing w:after="0" w:line="59" w:lineRule="exact"/>
        <w:rPr>
          <w:rFonts w:ascii="Arial" w:cs="Arial" w:eastAsia="Arial" w:hAnsi="Arial"/>
          <w:sz w:val="14"/>
          <w:szCs w:val="14"/>
          <w:color w:val="auto"/>
        </w:rPr>
      </w:pPr>
    </w:p>
    <w:p>
      <w:pPr>
        <w:ind w:left="640" w:hanging="430"/>
        <w:spacing w:after="0"/>
        <w:tabs>
          <w:tab w:leader="none" w:pos="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Restricted stock units have various vesting parameters but generally vest in four equal annual installments beginning 1 year from the grant date.</w:t>
      </w:r>
    </w:p>
    <w:p>
      <w:pPr>
        <w:spacing w:after="0" w:line="81" w:lineRule="exact"/>
        <w:rPr>
          <w:rFonts w:ascii="Arial" w:cs="Arial" w:eastAsia="Arial" w:hAnsi="Arial"/>
          <w:sz w:val="14"/>
          <w:szCs w:val="14"/>
          <w:color w:val="auto"/>
        </w:rPr>
      </w:pPr>
    </w:p>
    <w:p>
      <w:pPr>
        <w:ind w:left="640" w:hanging="430"/>
        <w:spacing w:after="0"/>
        <w:tabs>
          <w:tab w:leader="none" w:pos="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Value is based on the Company’s Common Stock closing price of $28.18 on September 30, 2019.</w:t>
      </w:r>
    </w:p>
    <w:p>
      <w:pPr>
        <w:spacing w:after="0" w:line="81" w:lineRule="exact"/>
        <w:rPr>
          <w:rFonts w:ascii="Arial" w:cs="Arial" w:eastAsia="Arial" w:hAnsi="Arial"/>
          <w:sz w:val="14"/>
          <w:szCs w:val="14"/>
          <w:color w:val="auto"/>
        </w:rPr>
      </w:pPr>
    </w:p>
    <w:p>
      <w:pPr>
        <w:ind w:left="640" w:hanging="430"/>
        <w:spacing w:after="0"/>
        <w:tabs>
          <w:tab w:leader="none" w:pos="6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Dr. Li’s employment with the Company terminated in February 2019.</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Options Exercised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6" w:lineRule="exact"/>
        <w:rPr>
          <w:sz w:val="20"/>
          <w:szCs w:val="20"/>
          <w:color w:val="auto"/>
        </w:rPr>
      </w:pPr>
    </w:p>
    <w:p>
      <w:pPr>
        <w:ind w:left="220" w:right="220"/>
        <w:spacing w:after="0" w:line="260" w:lineRule="auto"/>
        <w:rPr>
          <w:sz w:val="20"/>
          <w:szCs w:val="20"/>
          <w:color w:val="auto"/>
        </w:rPr>
      </w:pPr>
      <w:r>
        <w:rPr>
          <w:rFonts w:ascii="Arial" w:cs="Arial" w:eastAsia="Arial" w:hAnsi="Arial"/>
          <w:sz w:val="16"/>
          <w:szCs w:val="16"/>
          <w:color w:val="auto"/>
        </w:rPr>
        <w:t>The following table provides information, with respect to the Named Executive Officers, concerning options exercised or RSUs or PRSUs vested during fiscal 2019.</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100" w:type="dxa"/>
            <w:vAlign w:val="bottom"/>
            <w:shd w:val="clear" w:color="auto" w:fill="0071CE"/>
          </w:tcPr>
          <w:p>
            <w:pPr>
              <w:spacing w:after="0"/>
              <w:rPr>
                <w:sz w:val="14"/>
                <w:szCs w:val="14"/>
                <w:color w:val="auto"/>
              </w:rPr>
            </w:pPr>
          </w:p>
        </w:tc>
        <w:tc>
          <w:tcPr>
            <w:tcW w:w="1800" w:type="dxa"/>
            <w:vAlign w:val="bottom"/>
            <w:shd w:val="clear" w:color="auto" w:fill="0071CE"/>
          </w:tcPr>
          <w:p>
            <w:pPr>
              <w:spacing w:after="0"/>
              <w:rPr>
                <w:sz w:val="14"/>
                <w:szCs w:val="14"/>
                <w:color w:val="auto"/>
              </w:rPr>
            </w:pPr>
          </w:p>
        </w:tc>
        <w:tc>
          <w:tcPr>
            <w:tcW w:w="2680" w:type="dxa"/>
            <w:vAlign w:val="bottom"/>
            <w:shd w:val="clear" w:color="auto" w:fill="0071CE"/>
          </w:tcPr>
          <w:p>
            <w:pPr>
              <w:jc w:val="right"/>
              <w:ind w:right="1582"/>
              <w:spacing w:after="0"/>
              <w:rPr>
                <w:sz w:val="20"/>
                <w:szCs w:val="20"/>
                <w:color w:val="auto"/>
              </w:rPr>
            </w:pPr>
            <w:r>
              <w:rPr>
                <w:rFonts w:ascii="Arial" w:cs="Arial" w:eastAsia="Arial" w:hAnsi="Arial"/>
                <w:sz w:val="14"/>
                <w:szCs w:val="14"/>
                <w:b w:val="1"/>
                <w:bCs w:val="1"/>
                <w:color w:val="FFFFFF"/>
              </w:rPr>
              <w:t>Option Awards</w:t>
            </w:r>
          </w:p>
        </w:tc>
        <w:tc>
          <w:tcPr>
            <w:tcW w:w="1780" w:type="dxa"/>
            <w:vAlign w:val="bottom"/>
            <w:shd w:val="clear" w:color="auto" w:fill="0071CE"/>
          </w:tcPr>
          <w:p>
            <w:pPr>
              <w:spacing w:after="0"/>
              <w:rPr>
                <w:sz w:val="14"/>
                <w:szCs w:val="14"/>
                <w:color w:val="auto"/>
              </w:rPr>
            </w:pPr>
          </w:p>
        </w:tc>
        <w:tc>
          <w:tcPr>
            <w:tcW w:w="2640" w:type="dxa"/>
            <w:vAlign w:val="bottom"/>
            <w:shd w:val="clear" w:color="auto" w:fill="0071CE"/>
          </w:tcPr>
          <w:p>
            <w:pPr>
              <w:ind w:left="40"/>
              <w:spacing w:after="0"/>
              <w:rPr>
                <w:sz w:val="20"/>
                <w:szCs w:val="20"/>
                <w:color w:val="auto"/>
              </w:rPr>
            </w:pPr>
            <w:r>
              <w:rPr>
                <w:rFonts w:ascii="Arial" w:cs="Arial" w:eastAsia="Arial" w:hAnsi="Arial"/>
                <w:sz w:val="14"/>
                <w:szCs w:val="14"/>
                <w:b w:val="1"/>
                <w:bCs w:val="1"/>
                <w:color w:val="FFFFFF"/>
              </w:rPr>
              <w:t>Stock Awards</w:t>
            </w:r>
          </w:p>
        </w:tc>
      </w:tr>
      <w:tr>
        <w:trPr>
          <w:trHeight w:val="243"/>
        </w:trPr>
        <w:tc>
          <w:tcPr>
            <w:tcW w:w="2100" w:type="dxa"/>
            <w:vAlign w:val="bottom"/>
            <w:shd w:val="clear" w:color="auto" w:fill="0071CE"/>
          </w:tcPr>
          <w:p>
            <w:pPr>
              <w:spacing w:after="0"/>
              <w:rPr>
                <w:sz w:val="21"/>
                <w:szCs w:val="21"/>
                <w:color w:val="auto"/>
              </w:rPr>
            </w:pPr>
          </w:p>
        </w:tc>
        <w:tc>
          <w:tcPr>
            <w:tcW w:w="1800" w:type="dxa"/>
            <w:vAlign w:val="bottom"/>
            <w:shd w:val="clear" w:color="auto" w:fill="0071CE"/>
          </w:tcPr>
          <w:p>
            <w:pPr>
              <w:jc w:val="center"/>
              <w:ind w:left="482"/>
              <w:spacing w:after="0"/>
              <w:rPr>
                <w:sz w:val="20"/>
                <w:szCs w:val="20"/>
                <w:color w:val="auto"/>
              </w:rPr>
            </w:pPr>
            <w:r>
              <w:rPr>
                <w:rFonts w:ascii="Arial" w:cs="Arial" w:eastAsia="Arial" w:hAnsi="Arial"/>
                <w:sz w:val="14"/>
                <w:szCs w:val="14"/>
                <w:b w:val="1"/>
                <w:bCs w:val="1"/>
                <w:color w:val="FFFFFF"/>
              </w:rPr>
              <w:t>Number of Shares</w:t>
            </w:r>
          </w:p>
        </w:tc>
        <w:tc>
          <w:tcPr>
            <w:tcW w:w="2680" w:type="dxa"/>
            <w:vAlign w:val="bottom"/>
            <w:shd w:val="clear" w:color="auto" w:fill="0071CE"/>
          </w:tcPr>
          <w:p>
            <w:pPr>
              <w:spacing w:after="0"/>
              <w:rPr>
                <w:sz w:val="21"/>
                <w:szCs w:val="21"/>
                <w:color w:val="auto"/>
              </w:rPr>
            </w:pPr>
          </w:p>
        </w:tc>
        <w:tc>
          <w:tcPr>
            <w:tcW w:w="1780" w:type="dxa"/>
            <w:vAlign w:val="bottom"/>
            <w:shd w:val="clear" w:color="auto" w:fill="0071CE"/>
          </w:tcPr>
          <w:p>
            <w:pPr>
              <w:ind w:left="480"/>
              <w:spacing w:after="0"/>
              <w:rPr>
                <w:sz w:val="20"/>
                <w:szCs w:val="20"/>
                <w:color w:val="auto"/>
              </w:rPr>
            </w:pPr>
            <w:r>
              <w:rPr>
                <w:rFonts w:ascii="Arial" w:cs="Arial" w:eastAsia="Arial" w:hAnsi="Arial"/>
                <w:sz w:val="14"/>
                <w:szCs w:val="14"/>
                <w:b w:val="1"/>
                <w:bCs w:val="1"/>
                <w:color w:val="FFFFFF"/>
              </w:rPr>
              <w:t>Number of Shares</w:t>
            </w:r>
          </w:p>
        </w:tc>
        <w:tc>
          <w:tcPr>
            <w:tcW w:w="2640" w:type="dxa"/>
            <w:vAlign w:val="bottom"/>
            <w:shd w:val="clear" w:color="auto" w:fill="0071CE"/>
          </w:tcPr>
          <w:p>
            <w:pPr>
              <w:spacing w:after="0"/>
              <w:rPr>
                <w:sz w:val="21"/>
                <w:szCs w:val="21"/>
                <w:color w:val="auto"/>
              </w:rPr>
            </w:pPr>
          </w:p>
        </w:tc>
      </w:tr>
      <w:tr>
        <w:trPr>
          <w:trHeight w:val="162"/>
        </w:trPr>
        <w:tc>
          <w:tcPr>
            <w:tcW w:w="2100" w:type="dxa"/>
            <w:vAlign w:val="bottom"/>
            <w:shd w:val="clear" w:color="auto" w:fill="0071CE"/>
          </w:tcPr>
          <w:p>
            <w:pPr>
              <w:spacing w:after="0"/>
              <w:rPr>
                <w:sz w:val="14"/>
                <w:szCs w:val="14"/>
                <w:color w:val="auto"/>
              </w:rPr>
            </w:pPr>
          </w:p>
        </w:tc>
        <w:tc>
          <w:tcPr>
            <w:tcW w:w="1800" w:type="dxa"/>
            <w:vAlign w:val="bottom"/>
            <w:shd w:val="clear" w:color="auto" w:fill="0071CE"/>
          </w:tcPr>
          <w:p>
            <w:pPr>
              <w:jc w:val="center"/>
              <w:ind w:left="482"/>
              <w:spacing w:after="0"/>
              <w:rPr>
                <w:sz w:val="20"/>
                <w:szCs w:val="20"/>
                <w:color w:val="auto"/>
              </w:rPr>
            </w:pPr>
            <w:r>
              <w:rPr>
                <w:rFonts w:ascii="Arial" w:cs="Arial" w:eastAsia="Arial" w:hAnsi="Arial"/>
                <w:sz w:val="14"/>
                <w:szCs w:val="14"/>
                <w:b w:val="1"/>
                <w:bCs w:val="1"/>
                <w:color w:val="FFFFFF"/>
              </w:rPr>
              <w:t>Acquired on</w:t>
            </w:r>
          </w:p>
        </w:tc>
        <w:tc>
          <w:tcPr>
            <w:tcW w:w="2680" w:type="dxa"/>
            <w:vAlign w:val="bottom"/>
            <w:shd w:val="clear" w:color="auto" w:fill="0071CE"/>
          </w:tcPr>
          <w:p>
            <w:pPr>
              <w:jc w:val="right"/>
              <w:ind w:right="422"/>
              <w:spacing w:after="0"/>
              <w:rPr>
                <w:sz w:val="20"/>
                <w:szCs w:val="20"/>
                <w:color w:val="auto"/>
              </w:rPr>
            </w:pPr>
            <w:r>
              <w:rPr>
                <w:rFonts w:ascii="Arial" w:cs="Arial" w:eastAsia="Arial" w:hAnsi="Arial"/>
                <w:sz w:val="14"/>
                <w:szCs w:val="14"/>
                <w:b w:val="1"/>
                <w:bCs w:val="1"/>
                <w:color w:val="FFFFFF"/>
              </w:rPr>
              <w:t>Value Realized on</w:t>
            </w:r>
          </w:p>
        </w:tc>
        <w:tc>
          <w:tcPr>
            <w:tcW w:w="1780" w:type="dxa"/>
            <w:vAlign w:val="bottom"/>
            <w:shd w:val="clear" w:color="auto" w:fill="0071CE"/>
          </w:tcPr>
          <w:p>
            <w:pPr>
              <w:ind w:left="680"/>
              <w:spacing w:after="0"/>
              <w:rPr>
                <w:sz w:val="20"/>
                <w:szCs w:val="20"/>
                <w:color w:val="auto"/>
              </w:rPr>
            </w:pPr>
            <w:r>
              <w:rPr>
                <w:rFonts w:ascii="Arial" w:cs="Arial" w:eastAsia="Arial" w:hAnsi="Arial"/>
                <w:sz w:val="14"/>
                <w:szCs w:val="14"/>
                <w:b w:val="1"/>
                <w:bCs w:val="1"/>
                <w:color w:val="FFFFFF"/>
              </w:rPr>
              <w:t>Acquired on</w:t>
            </w:r>
          </w:p>
        </w:tc>
        <w:tc>
          <w:tcPr>
            <w:tcW w:w="2640" w:type="dxa"/>
            <w:vAlign w:val="bottom"/>
            <w:shd w:val="clear" w:color="auto" w:fill="0071CE"/>
          </w:tcPr>
          <w:p>
            <w:pPr>
              <w:ind w:left="940"/>
              <w:spacing w:after="0"/>
              <w:rPr>
                <w:sz w:val="20"/>
                <w:szCs w:val="20"/>
                <w:color w:val="auto"/>
              </w:rPr>
            </w:pPr>
            <w:r>
              <w:rPr>
                <w:rFonts w:ascii="Arial" w:cs="Arial" w:eastAsia="Arial" w:hAnsi="Arial"/>
                <w:sz w:val="14"/>
                <w:szCs w:val="14"/>
                <w:b w:val="1"/>
                <w:bCs w:val="1"/>
                <w:color w:val="FFFFFF"/>
              </w:rPr>
              <w:t>Value Realized on</w:t>
            </w:r>
          </w:p>
        </w:tc>
      </w:tr>
      <w:tr>
        <w:trPr>
          <w:trHeight w:val="189"/>
        </w:trPr>
        <w:tc>
          <w:tcPr>
            <w:tcW w:w="210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Name</w:t>
            </w:r>
          </w:p>
        </w:tc>
        <w:tc>
          <w:tcPr>
            <w:tcW w:w="1800" w:type="dxa"/>
            <w:vAlign w:val="bottom"/>
            <w:shd w:val="clear" w:color="auto" w:fill="0071CE"/>
          </w:tcPr>
          <w:p>
            <w:pPr>
              <w:jc w:val="center"/>
              <w:ind w:left="482"/>
              <w:spacing w:after="0"/>
              <w:rPr>
                <w:sz w:val="20"/>
                <w:szCs w:val="20"/>
                <w:color w:val="auto"/>
              </w:rPr>
            </w:pPr>
            <w:r>
              <w:rPr>
                <w:rFonts w:ascii="Arial" w:cs="Arial" w:eastAsia="Arial" w:hAnsi="Arial"/>
                <w:sz w:val="14"/>
                <w:szCs w:val="14"/>
                <w:b w:val="1"/>
                <w:bCs w:val="1"/>
                <w:color w:val="FFFFFF"/>
              </w:rPr>
              <w:t>Exercise</w:t>
            </w:r>
          </w:p>
        </w:tc>
        <w:tc>
          <w:tcPr>
            <w:tcW w:w="2680" w:type="dxa"/>
            <w:vAlign w:val="bottom"/>
            <w:shd w:val="clear" w:color="auto" w:fill="0071CE"/>
          </w:tcPr>
          <w:p>
            <w:pPr>
              <w:jc w:val="right"/>
              <w:ind w:right="622"/>
              <w:spacing w:after="0"/>
              <w:rPr>
                <w:sz w:val="20"/>
                <w:szCs w:val="20"/>
                <w:color w:val="auto"/>
              </w:rPr>
            </w:pPr>
            <w:r>
              <w:rPr>
                <w:rFonts w:ascii="Arial" w:cs="Arial" w:eastAsia="Arial" w:hAnsi="Arial"/>
                <w:sz w:val="14"/>
                <w:szCs w:val="14"/>
                <w:b w:val="1"/>
                <w:bCs w:val="1"/>
                <w:color w:val="FFFFFF"/>
              </w:rPr>
              <w:t>Exercise (1)</w:t>
            </w:r>
          </w:p>
        </w:tc>
        <w:tc>
          <w:tcPr>
            <w:tcW w:w="1780" w:type="dxa"/>
            <w:vAlign w:val="bottom"/>
            <w:shd w:val="clear" w:color="auto" w:fill="0071CE"/>
          </w:tcPr>
          <w:p>
            <w:pPr>
              <w:ind w:left="840"/>
              <w:spacing w:after="0"/>
              <w:rPr>
                <w:sz w:val="20"/>
                <w:szCs w:val="20"/>
                <w:color w:val="auto"/>
              </w:rPr>
            </w:pPr>
            <w:r>
              <w:rPr>
                <w:rFonts w:ascii="Arial" w:cs="Arial" w:eastAsia="Arial" w:hAnsi="Arial"/>
                <w:sz w:val="14"/>
                <w:szCs w:val="14"/>
                <w:b w:val="1"/>
                <w:bCs w:val="1"/>
                <w:color w:val="FFFFFF"/>
              </w:rPr>
              <w:t>Vesting</w:t>
            </w:r>
          </w:p>
        </w:tc>
        <w:tc>
          <w:tcPr>
            <w:tcW w:w="2640" w:type="dxa"/>
            <w:vAlign w:val="bottom"/>
            <w:shd w:val="clear" w:color="auto" w:fill="0071CE"/>
          </w:tcPr>
          <w:p>
            <w:pPr>
              <w:jc w:val="center"/>
              <w:ind w:left="442"/>
              <w:spacing w:after="0"/>
              <w:rPr>
                <w:sz w:val="20"/>
                <w:szCs w:val="20"/>
                <w:color w:val="auto"/>
              </w:rPr>
            </w:pPr>
            <w:r>
              <w:rPr>
                <w:rFonts w:ascii="Arial" w:cs="Arial" w:eastAsia="Arial" w:hAnsi="Arial"/>
                <w:sz w:val="14"/>
                <w:szCs w:val="14"/>
                <w:b w:val="1"/>
                <w:bCs w:val="1"/>
                <w:color w:val="FFFFFF"/>
              </w:rPr>
              <w:t>Vesting (2)</w:t>
            </w:r>
          </w:p>
        </w:tc>
      </w:tr>
      <w:tr>
        <w:trPr>
          <w:trHeight w:val="331"/>
        </w:trPr>
        <w:tc>
          <w:tcPr>
            <w:tcW w:w="210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8"/>
                <w:szCs w:val="18"/>
                <w:color w:val="auto"/>
              </w:rPr>
              <w:t>Christopher Anzalone</w:t>
            </w:r>
          </w:p>
        </w:tc>
        <w:tc>
          <w:tcPr>
            <w:tcW w:w="1800" w:type="dxa"/>
            <w:vAlign w:val="bottom"/>
            <w:tcBorders>
              <w:bottom w:val="single" w:sz="8" w:color="E5E5E5"/>
            </w:tcBorders>
            <w:shd w:val="clear" w:color="auto" w:fill="E5E5E5"/>
          </w:tcPr>
          <w:p>
            <w:pPr>
              <w:jc w:val="right"/>
              <w:ind w:right="222"/>
              <w:spacing w:after="0"/>
              <w:rPr>
                <w:sz w:val="20"/>
                <w:szCs w:val="20"/>
                <w:color w:val="auto"/>
              </w:rPr>
            </w:pPr>
            <w:r>
              <w:rPr>
                <w:rFonts w:ascii="Arial" w:cs="Arial" w:eastAsia="Arial" w:hAnsi="Arial"/>
                <w:sz w:val="16"/>
                <w:szCs w:val="16"/>
                <w:color w:val="auto"/>
              </w:rPr>
              <w:t>162,098</w:t>
            </w:r>
          </w:p>
        </w:tc>
        <w:tc>
          <w:tcPr>
            <w:tcW w:w="2680" w:type="dxa"/>
            <w:vAlign w:val="bottom"/>
            <w:tcBorders>
              <w:bottom w:val="single" w:sz="8" w:color="E5E5E5"/>
            </w:tcBorders>
            <w:shd w:val="clear" w:color="auto" w:fill="E5E5E5"/>
          </w:tcPr>
          <w:p>
            <w:pPr>
              <w:jc w:val="right"/>
              <w:ind w:right="622"/>
              <w:spacing w:after="0"/>
              <w:rPr>
                <w:sz w:val="20"/>
                <w:szCs w:val="20"/>
                <w:color w:val="auto"/>
              </w:rPr>
            </w:pPr>
            <w:r>
              <w:rPr>
                <w:rFonts w:ascii="Arial" w:cs="Arial" w:eastAsia="Arial" w:hAnsi="Arial"/>
                <w:sz w:val="16"/>
                <w:szCs w:val="16"/>
                <w:color w:val="auto"/>
              </w:rPr>
              <w:t>3,723,993</w:t>
            </w:r>
          </w:p>
        </w:tc>
        <w:tc>
          <w:tcPr>
            <w:tcW w:w="178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6"/>
                <w:szCs w:val="16"/>
                <w:color w:val="auto"/>
              </w:rPr>
              <w:t>523,000</w:t>
            </w:r>
          </w:p>
        </w:tc>
        <w:tc>
          <w:tcPr>
            <w:tcW w:w="2640" w:type="dxa"/>
            <w:vAlign w:val="bottom"/>
            <w:tcBorders>
              <w:bottom w:val="single" w:sz="8" w:color="E5E5E5"/>
            </w:tcBorders>
            <w:shd w:val="clear" w:color="auto" w:fill="E5E5E5"/>
          </w:tcPr>
          <w:p>
            <w:pPr>
              <w:jc w:val="center"/>
              <w:ind w:left="442"/>
              <w:spacing w:after="0"/>
              <w:rPr>
                <w:sz w:val="20"/>
                <w:szCs w:val="20"/>
                <w:color w:val="auto"/>
              </w:rPr>
            </w:pPr>
            <w:r>
              <w:rPr>
                <w:rFonts w:ascii="Arial" w:cs="Arial" w:eastAsia="Arial" w:hAnsi="Arial"/>
                <w:sz w:val="16"/>
                <w:szCs w:val="16"/>
                <w:color w:val="auto"/>
              </w:rPr>
              <w:t>$7,425,050</w:t>
            </w:r>
          </w:p>
        </w:tc>
      </w:tr>
      <w:tr>
        <w:trPr>
          <w:trHeight w:val="297"/>
        </w:trPr>
        <w:tc>
          <w:tcPr>
            <w:tcW w:w="2100" w:type="dxa"/>
            <w:vAlign w:val="bottom"/>
          </w:tcPr>
          <w:p>
            <w:pPr>
              <w:ind w:left="120"/>
              <w:spacing w:after="0"/>
              <w:rPr>
                <w:sz w:val="20"/>
                <w:szCs w:val="20"/>
                <w:color w:val="auto"/>
              </w:rPr>
            </w:pPr>
            <w:r>
              <w:rPr>
                <w:rFonts w:ascii="Arial" w:cs="Arial" w:eastAsia="Arial" w:hAnsi="Arial"/>
                <w:sz w:val="18"/>
                <w:szCs w:val="18"/>
                <w:color w:val="auto"/>
              </w:rPr>
              <w:t>Kenneth Myszkowski</w:t>
            </w:r>
          </w:p>
        </w:tc>
        <w:tc>
          <w:tcPr>
            <w:tcW w:w="1800" w:type="dxa"/>
            <w:vAlign w:val="bottom"/>
          </w:tcPr>
          <w:p>
            <w:pPr>
              <w:jc w:val="right"/>
              <w:ind w:right="222"/>
              <w:spacing w:after="0"/>
              <w:rPr>
                <w:sz w:val="20"/>
                <w:szCs w:val="20"/>
                <w:color w:val="auto"/>
              </w:rPr>
            </w:pPr>
            <w:r>
              <w:rPr>
                <w:rFonts w:ascii="Arial" w:cs="Arial" w:eastAsia="Arial" w:hAnsi="Arial"/>
                <w:sz w:val="16"/>
                <w:szCs w:val="16"/>
                <w:color w:val="auto"/>
              </w:rPr>
              <w:t>43,000</w:t>
            </w:r>
          </w:p>
        </w:tc>
        <w:tc>
          <w:tcPr>
            <w:tcW w:w="2680" w:type="dxa"/>
            <w:vAlign w:val="bottom"/>
          </w:tcPr>
          <w:p>
            <w:pPr>
              <w:jc w:val="right"/>
              <w:ind w:right="622"/>
              <w:spacing w:after="0"/>
              <w:rPr>
                <w:sz w:val="20"/>
                <w:szCs w:val="20"/>
                <w:color w:val="auto"/>
              </w:rPr>
            </w:pPr>
            <w:r>
              <w:rPr>
                <w:rFonts w:ascii="Arial" w:cs="Arial" w:eastAsia="Arial" w:hAnsi="Arial"/>
                <w:sz w:val="16"/>
                <w:szCs w:val="16"/>
                <w:color w:val="auto"/>
              </w:rPr>
              <w:t>759,456</w:t>
            </w:r>
          </w:p>
        </w:tc>
        <w:tc>
          <w:tcPr>
            <w:tcW w:w="1780" w:type="dxa"/>
            <w:vAlign w:val="bottom"/>
          </w:tcPr>
          <w:p>
            <w:pPr>
              <w:ind w:left="840"/>
              <w:spacing w:after="0"/>
              <w:rPr>
                <w:sz w:val="20"/>
                <w:szCs w:val="20"/>
                <w:color w:val="auto"/>
              </w:rPr>
            </w:pPr>
            <w:r>
              <w:rPr>
                <w:rFonts w:ascii="Arial" w:cs="Arial" w:eastAsia="Arial" w:hAnsi="Arial"/>
                <w:sz w:val="16"/>
                <w:szCs w:val="16"/>
                <w:color w:val="auto"/>
              </w:rPr>
              <w:t>180,417</w:t>
            </w:r>
          </w:p>
        </w:tc>
        <w:tc>
          <w:tcPr>
            <w:tcW w:w="2640" w:type="dxa"/>
            <w:vAlign w:val="bottom"/>
          </w:tcPr>
          <w:p>
            <w:pPr>
              <w:jc w:val="center"/>
              <w:ind w:left="442"/>
              <w:spacing w:after="0"/>
              <w:rPr>
                <w:sz w:val="20"/>
                <w:szCs w:val="20"/>
                <w:color w:val="auto"/>
              </w:rPr>
            </w:pPr>
            <w:r>
              <w:rPr>
                <w:rFonts w:ascii="Arial" w:cs="Arial" w:eastAsia="Arial" w:hAnsi="Arial"/>
                <w:sz w:val="16"/>
                <w:szCs w:val="16"/>
                <w:color w:val="auto"/>
              </w:rPr>
              <w:t>$2,602,667</w:t>
            </w:r>
          </w:p>
        </w:tc>
      </w:tr>
      <w:tr>
        <w:trPr>
          <w:trHeight w:val="54"/>
        </w:trPr>
        <w:tc>
          <w:tcPr>
            <w:tcW w:w="2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40" w:type="dxa"/>
            <w:vAlign w:val="bottom"/>
          </w:tcPr>
          <w:p>
            <w:pPr>
              <w:spacing w:after="0"/>
              <w:rPr>
                <w:sz w:val="4"/>
                <w:szCs w:val="4"/>
                <w:color w:val="auto"/>
              </w:rPr>
            </w:pPr>
          </w:p>
        </w:tc>
      </w:tr>
      <w:tr>
        <w:trPr>
          <w:trHeight w:val="331"/>
        </w:trPr>
        <w:tc>
          <w:tcPr>
            <w:tcW w:w="210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8"/>
                <w:szCs w:val="18"/>
                <w:color w:val="auto"/>
              </w:rPr>
              <w:t>Bruce D. Given</w:t>
            </w:r>
          </w:p>
        </w:tc>
        <w:tc>
          <w:tcPr>
            <w:tcW w:w="1800" w:type="dxa"/>
            <w:vAlign w:val="bottom"/>
            <w:tcBorders>
              <w:bottom w:val="single" w:sz="8" w:color="E5E5E5"/>
            </w:tcBorders>
            <w:shd w:val="clear" w:color="auto" w:fill="E5E5E5"/>
          </w:tcPr>
          <w:p>
            <w:pPr>
              <w:jc w:val="right"/>
              <w:ind w:right="222"/>
              <w:spacing w:after="0"/>
              <w:rPr>
                <w:sz w:val="20"/>
                <w:szCs w:val="20"/>
                <w:color w:val="auto"/>
              </w:rPr>
            </w:pPr>
            <w:r>
              <w:rPr>
                <w:rFonts w:ascii="Arial" w:cs="Arial" w:eastAsia="Arial" w:hAnsi="Arial"/>
                <w:sz w:val="16"/>
                <w:szCs w:val="16"/>
                <w:color w:val="auto"/>
              </w:rPr>
              <w:t>206,000</w:t>
            </w:r>
          </w:p>
        </w:tc>
        <w:tc>
          <w:tcPr>
            <w:tcW w:w="2680" w:type="dxa"/>
            <w:vAlign w:val="bottom"/>
            <w:tcBorders>
              <w:bottom w:val="single" w:sz="8" w:color="E5E5E5"/>
            </w:tcBorders>
            <w:shd w:val="clear" w:color="auto" w:fill="E5E5E5"/>
          </w:tcPr>
          <w:p>
            <w:pPr>
              <w:jc w:val="right"/>
              <w:ind w:right="622"/>
              <w:spacing w:after="0"/>
              <w:rPr>
                <w:sz w:val="20"/>
                <w:szCs w:val="20"/>
                <w:color w:val="auto"/>
              </w:rPr>
            </w:pPr>
            <w:r>
              <w:rPr>
                <w:rFonts w:ascii="Arial" w:cs="Arial" w:eastAsia="Arial" w:hAnsi="Arial"/>
                <w:sz w:val="16"/>
                <w:szCs w:val="16"/>
                <w:color w:val="auto"/>
              </w:rPr>
              <w:t>3,528,708</w:t>
            </w:r>
          </w:p>
        </w:tc>
        <w:tc>
          <w:tcPr>
            <w:tcW w:w="178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6"/>
                <w:szCs w:val="16"/>
                <w:color w:val="auto"/>
              </w:rPr>
              <w:t>473,750</w:t>
            </w:r>
          </w:p>
        </w:tc>
        <w:tc>
          <w:tcPr>
            <w:tcW w:w="2640" w:type="dxa"/>
            <w:vAlign w:val="bottom"/>
            <w:tcBorders>
              <w:bottom w:val="single" w:sz="8" w:color="E5E5E5"/>
            </w:tcBorders>
            <w:shd w:val="clear" w:color="auto" w:fill="E5E5E5"/>
          </w:tcPr>
          <w:p>
            <w:pPr>
              <w:jc w:val="center"/>
              <w:ind w:left="442"/>
              <w:spacing w:after="0"/>
              <w:rPr>
                <w:sz w:val="20"/>
                <w:szCs w:val="20"/>
                <w:color w:val="auto"/>
              </w:rPr>
            </w:pPr>
            <w:r>
              <w:rPr>
                <w:rFonts w:ascii="Arial" w:cs="Arial" w:eastAsia="Arial" w:hAnsi="Arial"/>
                <w:sz w:val="16"/>
                <w:szCs w:val="16"/>
                <w:color w:val="auto"/>
              </w:rPr>
              <w:t>$6,429,238</w:t>
            </w:r>
          </w:p>
        </w:tc>
      </w:tr>
      <w:tr>
        <w:trPr>
          <w:trHeight w:val="297"/>
        </w:trPr>
        <w:tc>
          <w:tcPr>
            <w:tcW w:w="2100" w:type="dxa"/>
            <w:vAlign w:val="bottom"/>
          </w:tcPr>
          <w:p>
            <w:pPr>
              <w:ind w:left="120"/>
              <w:spacing w:after="0"/>
              <w:rPr>
                <w:sz w:val="20"/>
                <w:szCs w:val="20"/>
                <w:color w:val="auto"/>
              </w:rPr>
            </w:pPr>
            <w:r>
              <w:rPr>
                <w:rFonts w:ascii="Arial" w:cs="Arial" w:eastAsia="Arial" w:hAnsi="Arial"/>
                <w:sz w:val="18"/>
                <w:szCs w:val="18"/>
                <w:color w:val="auto"/>
              </w:rPr>
              <w:t>Patrick O’Brien</w:t>
            </w:r>
          </w:p>
        </w:tc>
        <w:tc>
          <w:tcPr>
            <w:tcW w:w="180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268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1780" w:type="dxa"/>
            <w:vAlign w:val="bottom"/>
          </w:tcPr>
          <w:p>
            <w:pPr>
              <w:ind w:left="840"/>
              <w:spacing w:after="0"/>
              <w:rPr>
                <w:sz w:val="20"/>
                <w:szCs w:val="20"/>
                <w:color w:val="auto"/>
              </w:rPr>
            </w:pPr>
            <w:r>
              <w:rPr>
                <w:rFonts w:ascii="Arial" w:cs="Arial" w:eastAsia="Arial" w:hAnsi="Arial"/>
                <w:sz w:val="16"/>
                <w:szCs w:val="16"/>
                <w:color w:val="auto"/>
              </w:rPr>
              <w:t>160,000</w:t>
            </w:r>
          </w:p>
        </w:tc>
        <w:tc>
          <w:tcPr>
            <w:tcW w:w="2640" w:type="dxa"/>
            <w:vAlign w:val="bottom"/>
          </w:tcPr>
          <w:p>
            <w:pPr>
              <w:jc w:val="center"/>
              <w:ind w:left="442"/>
              <w:spacing w:after="0"/>
              <w:rPr>
                <w:sz w:val="20"/>
                <w:szCs w:val="20"/>
                <w:color w:val="auto"/>
              </w:rPr>
            </w:pPr>
            <w:r>
              <w:rPr>
                <w:rFonts w:ascii="Arial" w:cs="Arial" w:eastAsia="Arial" w:hAnsi="Arial"/>
                <w:sz w:val="16"/>
                <w:szCs w:val="16"/>
                <w:color w:val="auto"/>
              </w:rPr>
              <w:t>$2,323,200</w:t>
            </w:r>
          </w:p>
        </w:tc>
      </w:tr>
      <w:tr>
        <w:trPr>
          <w:trHeight w:val="54"/>
        </w:trPr>
        <w:tc>
          <w:tcPr>
            <w:tcW w:w="2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40" w:type="dxa"/>
            <w:vAlign w:val="bottom"/>
          </w:tcPr>
          <w:p>
            <w:pPr>
              <w:spacing w:after="0"/>
              <w:rPr>
                <w:sz w:val="4"/>
                <w:szCs w:val="4"/>
                <w:color w:val="auto"/>
              </w:rPr>
            </w:pPr>
          </w:p>
        </w:tc>
      </w:tr>
      <w:tr>
        <w:trPr>
          <w:trHeight w:val="331"/>
        </w:trPr>
        <w:tc>
          <w:tcPr>
            <w:tcW w:w="210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8"/>
                <w:szCs w:val="18"/>
                <w:color w:val="auto"/>
              </w:rPr>
              <w:t>Zhen Li</w:t>
            </w:r>
          </w:p>
        </w:tc>
        <w:tc>
          <w:tcPr>
            <w:tcW w:w="1800" w:type="dxa"/>
            <w:vAlign w:val="bottom"/>
            <w:tcBorders>
              <w:bottom w:val="single" w:sz="8" w:color="E5E5E5"/>
            </w:tcBorders>
            <w:shd w:val="clear" w:color="auto" w:fill="E5E5E5"/>
          </w:tcPr>
          <w:p>
            <w:pPr>
              <w:jc w:val="right"/>
              <w:ind w:right="222"/>
              <w:spacing w:after="0"/>
              <w:rPr>
                <w:sz w:val="20"/>
                <w:szCs w:val="20"/>
                <w:color w:val="auto"/>
              </w:rPr>
            </w:pPr>
            <w:r>
              <w:rPr>
                <w:rFonts w:ascii="Arial" w:cs="Arial" w:eastAsia="Arial" w:hAnsi="Arial"/>
                <w:sz w:val="16"/>
                <w:szCs w:val="16"/>
                <w:color w:val="auto"/>
              </w:rPr>
              <w:t>146,041</w:t>
            </w:r>
          </w:p>
        </w:tc>
        <w:tc>
          <w:tcPr>
            <w:tcW w:w="2680" w:type="dxa"/>
            <w:vAlign w:val="bottom"/>
            <w:tcBorders>
              <w:bottom w:val="single" w:sz="8" w:color="E5E5E5"/>
            </w:tcBorders>
            <w:shd w:val="clear" w:color="auto" w:fill="E5E5E5"/>
          </w:tcPr>
          <w:p>
            <w:pPr>
              <w:jc w:val="right"/>
              <w:ind w:right="622"/>
              <w:spacing w:after="0"/>
              <w:rPr>
                <w:sz w:val="20"/>
                <w:szCs w:val="20"/>
                <w:color w:val="auto"/>
              </w:rPr>
            </w:pPr>
            <w:r>
              <w:rPr>
                <w:rFonts w:ascii="Arial" w:cs="Arial" w:eastAsia="Arial" w:hAnsi="Arial"/>
                <w:sz w:val="16"/>
                <w:szCs w:val="16"/>
                <w:color w:val="auto"/>
              </w:rPr>
              <w:t>1,331,278</w:t>
            </w:r>
          </w:p>
        </w:tc>
        <w:tc>
          <w:tcPr>
            <w:tcW w:w="178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6"/>
                <w:szCs w:val="16"/>
                <w:color w:val="auto"/>
              </w:rPr>
              <w:t>101,250</w:t>
            </w:r>
          </w:p>
        </w:tc>
        <w:tc>
          <w:tcPr>
            <w:tcW w:w="2640" w:type="dxa"/>
            <w:vAlign w:val="bottom"/>
            <w:tcBorders>
              <w:bottom w:val="single" w:sz="8" w:color="E5E5E5"/>
            </w:tcBorders>
            <w:shd w:val="clear" w:color="auto" w:fill="E5E5E5"/>
          </w:tcPr>
          <w:p>
            <w:pPr>
              <w:jc w:val="center"/>
              <w:ind w:left="442"/>
              <w:spacing w:after="0"/>
              <w:rPr>
                <w:sz w:val="20"/>
                <w:szCs w:val="20"/>
                <w:color w:val="auto"/>
              </w:rPr>
            </w:pPr>
            <w:r>
              <w:rPr>
                <w:rFonts w:ascii="Arial" w:cs="Arial" w:eastAsia="Arial" w:hAnsi="Arial"/>
                <w:sz w:val="16"/>
                <w:szCs w:val="16"/>
                <w:color w:val="auto"/>
              </w:rPr>
              <w:t>$1,439,775</w:t>
            </w:r>
          </w:p>
        </w:tc>
      </w:tr>
      <w:tr>
        <w:trPr>
          <w:trHeight w:val="20"/>
        </w:trPr>
        <w:tc>
          <w:tcPr>
            <w:tcW w:w="2100" w:type="dxa"/>
            <w:vAlign w:val="bottom"/>
            <w:shd w:val="clear" w:color="auto" w:fill="0071CE"/>
          </w:tcPr>
          <w:p>
            <w:pPr>
              <w:spacing w:after="0" w:line="20" w:lineRule="exact"/>
              <w:rPr>
                <w:sz w:val="1"/>
                <w:szCs w:val="1"/>
                <w:color w:val="auto"/>
              </w:rPr>
            </w:pPr>
          </w:p>
        </w:tc>
        <w:tc>
          <w:tcPr>
            <w:tcW w:w="1800" w:type="dxa"/>
            <w:vAlign w:val="bottom"/>
            <w:shd w:val="clear" w:color="auto" w:fill="0071CE"/>
          </w:tcPr>
          <w:p>
            <w:pPr>
              <w:spacing w:after="0" w:line="20" w:lineRule="exact"/>
              <w:rPr>
                <w:sz w:val="1"/>
                <w:szCs w:val="1"/>
                <w:color w:val="auto"/>
              </w:rPr>
            </w:pPr>
          </w:p>
        </w:tc>
        <w:tc>
          <w:tcPr>
            <w:tcW w:w="2680" w:type="dxa"/>
            <w:vAlign w:val="bottom"/>
            <w:shd w:val="clear" w:color="auto" w:fill="0071CE"/>
          </w:tcPr>
          <w:p>
            <w:pPr>
              <w:spacing w:after="0" w:line="20" w:lineRule="exact"/>
              <w:rPr>
                <w:sz w:val="1"/>
                <w:szCs w:val="1"/>
                <w:color w:val="auto"/>
              </w:rPr>
            </w:pPr>
          </w:p>
        </w:tc>
        <w:tc>
          <w:tcPr>
            <w:tcW w:w="1780" w:type="dxa"/>
            <w:vAlign w:val="bottom"/>
            <w:shd w:val="clear" w:color="auto" w:fill="0071CE"/>
          </w:tcPr>
          <w:p>
            <w:pPr>
              <w:spacing w:after="0" w:line="20" w:lineRule="exact"/>
              <w:rPr>
                <w:sz w:val="1"/>
                <w:szCs w:val="1"/>
                <w:color w:val="auto"/>
              </w:rPr>
            </w:pPr>
          </w:p>
        </w:tc>
        <w:tc>
          <w:tcPr>
            <w:tcW w:w="2640" w:type="dxa"/>
            <w:vAlign w:val="bottom"/>
            <w:shd w:val="clear" w:color="auto" w:fill="0071C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-1498600</wp:posOffset>
            </wp:positionV>
            <wp:extent cx="54908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90845" cy="8255"/>
                    </a:xfrm>
                    <a:prstGeom prst="rect">
                      <a:avLst/>
                    </a:prstGeom>
                    <a:noFill/>
                  </pic:spPr>
                </pic:pic>
              </a:graphicData>
            </a:graphic>
          </wp:anchor>
        </w:drawing>
      </w:r>
    </w:p>
    <w:p>
      <w:pPr>
        <w:spacing w:after="0" w:line="66" w:lineRule="exact"/>
        <w:rPr>
          <w:sz w:val="20"/>
          <w:szCs w:val="20"/>
          <w:color w:val="auto"/>
        </w:rPr>
      </w:pPr>
    </w:p>
    <w:p>
      <w:pPr>
        <w:ind w:left="640" w:hanging="430"/>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Value is calculated as the price of the Company’s Common Stock upon exercise, less the exercise price, multiplied by the number of shares exercised.</w:t>
      </w:r>
    </w:p>
    <w:p>
      <w:pPr>
        <w:spacing w:after="0" w:line="81" w:lineRule="exact"/>
        <w:rPr>
          <w:rFonts w:ascii="Arial" w:cs="Arial" w:eastAsia="Arial" w:hAnsi="Arial"/>
          <w:sz w:val="14"/>
          <w:szCs w:val="14"/>
          <w:color w:val="auto"/>
        </w:rPr>
      </w:pPr>
    </w:p>
    <w:p>
      <w:pPr>
        <w:ind w:left="640" w:hanging="430"/>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Value is calculated as the price of the Company’s Common Stock upon vesting, multiplied by the number of shares vested.</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Termination Benefits — Potential Payments Upon Termination or Change in Control</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the following severance or change of control arrangements with its Named Executive Officers: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Dr. Anzalone’s employment agreement with the Company provides that, if the Company terminates Dr. Anzalone’s employment without Cause or if</w:t>
      </w:r>
    </w:p>
    <w:p>
      <w:pPr>
        <w:spacing w:after="0" w:line="5" w:lineRule="exact"/>
        <w:rPr>
          <w:sz w:val="20"/>
          <w:szCs w:val="20"/>
          <w:color w:val="auto"/>
        </w:rPr>
      </w:pPr>
    </w:p>
    <w:p>
      <w:pPr>
        <w:ind w:left="220" w:right="100"/>
        <w:spacing w:after="0" w:line="253" w:lineRule="auto"/>
        <w:rPr>
          <w:sz w:val="20"/>
          <w:szCs w:val="20"/>
          <w:color w:val="auto"/>
        </w:rPr>
      </w:pPr>
      <w:r>
        <w:rPr>
          <w:rFonts w:ascii="Arial" w:cs="Arial" w:eastAsia="Arial" w:hAnsi="Arial"/>
          <w:sz w:val="16"/>
          <w:szCs w:val="16"/>
          <w:color w:val="auto"/>
        </w:rPr>
        <w:t>Dr. Anzalone terminates his employment for Good Reason, on his date of termination, Dr. Anzalone will receive a one-time lump sum payment equal to the sum of: (i) one month of base salary and (ii) premiums for 30 days of medical and dental benefits. To receive such payments Dr. Anzalone is required to execute a general release in favor of the Company.</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 purposes of Dr. Anzalone’s employment agreement:</w:t>
      </w:r>
    </w:p>
    <w:p>
      <w:pPr>
        <w:spacing w:after="0" w:line="93" w:lineRule="exact"/>
        <w:rPr>
          <w:sz w:val="20"/>
          <w:szCs w:val="20"/>
          <w:color w:val="auto"/>
        </w:rPr>
      </w:pPr>
    </w:p>
    <w:p>
      <w:pPr>
        <w:ind w:left="220" w:right="8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(i) the conviction (by trial or upon a plea of nolo contendere) of a felony or other crime involving moral turpitude or the commission of any other material act or omission involving dishonesty, disloyalty or fraud with respect to the Company or any of its subsidiaries or any of their customers or suppliers, (ii) reporting to work under the influence of alcohol or illegal drugs, the use of illegal drugs (whether or not at the workplace) or other repeated conduct causing the Company or any of its subsidiaries substantial public disgrace or disrepute or economic harm, (iii) the engaging of gross misconduct and the failure to cease such conduct and rectify any harm to the Company resulting therefrom within 30 days after written demand therefor by the Company identifying with reasonable particularity such conduct and harm, or (iv) any other material breach of the employment agreement by Executive and the failure to cease such breach and rectify any harm to the Company within 30 days after written demand by the Company identifying with reasonable particularity such breach and harm; and</w:t>
      </w:r>
    </w:p>
    <w:p>
      <w:pPr>
        <w:spacing w:after="0" w:line="181" w:lineRule="exact"/>
        <w:rPr>
          <w:sz w:val="20"/>
          <w:szCs w:val="20"/>
          <w:color w:val="auto"/>
        </w:rPr>
      </w:pPr>
    </w:p>
    <w:p>
      <w:pPr>
        <w:ind w:left="220" w:right="4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(i) Executive’s duties, responsibilities, titles or offices are diminished as compared to those described in the employment agreement without Executive’s written consent, and the Company fails to reinstate such duties, responsibilities, titles or offices within 30 days after written demand by Executive identifying with reasonable particularity the diminishment, (ii) the relocation of Executive’s base office to an office that is more than thirty (30) highway miles from Pasadena, CA, (iii) the failure of the Company to obtain a satisfactory agreement from any successor to assume and agree to perform the obligations under the employment agreement and (iv) any other material breach of this employment agreement by the Company and the failure to cease such breach and rectify any harm to Executive resulting within 30 days after written demand by Executive identifying with reasonable particularity the breach and harm.</w:t>
      </w:r>
    </w:p>
    <w:p>
      <w:pPr>
        <w:spacing w:after="0" w:line="206" w:lineRule="exact"/>
        <w:rPr>
          <w:sz w:val="20"/>
          <w:szCs w:val="20"/>
          <w:color w:val="auto"/>
        </w:rPr>
      </w:pPr>
    </w:p>
    <w:p>
      <w:pPr>
        <w:ind w:left="220" w:right="340"/>
        <w:spacing w:after="0" w:line="260" w:lineRule="auto"/>
        <w:rPr>
          <w:sz w:val="20"/>
          <w:szCs w:val="20"/>
          <w:color w:val="auto"/>
        </w:rPr>
      </w:pPr>
      <w:r>
        <w:rPr>
          <w:rFonts w:ascii="Arial" w:cs="Arial" w:eastAsia="Arial" w:hAnsi="Arial"/>
          <w:sz w:val="16"/>
          <w:szCs w:val="16"/>
          <w:color w:val="auto"/>
        </w:rPr>
        <w:t>Pursuant to his offer of employment by the Company, Mr. Myszkowski is entitled to severance pay equal to three months’ base salary plus an amount equal to the premiums on his medical and dental benefits for the same period upon termination of his employment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80010</wp:posOffset>
            </wp:positionV>
            <wp:extent cx="984885"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36</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4" w:lineRule="exact"/>
        <w:rPr>
          <w:sz w:val="20"/>
          <w:szCs w:val="20"/>
          <w:color w:val="auto"/>
        </w:rPr>
      </w:pPr>
    </w:p>
    <w:p>
      <w:pPr>
        <w:ind w:left="220" w:right="740"/>
        <w:spacing w:after="0" w:line="260" w:lineRule="auto"/>
        <w:rPr>
          <w:sz w:val="20"/>
          <w:szCs w:val="20"/>
          <w:color w:val="auto"/>
        </w:rPr>
      </w:pPr>
      <w:r>
        <w:rPr>
          <w:rFonts w:ascii="Arial" w:cs="Arial" w:eastAsia="Arial" w:hAnsi="Arial"/>
          <w:sz w:val="16"/>
          <w:szCs w:val="16"/>
          <w:color w:val="auto"/>
        </w:rPr>
        <w:t>Pursuant to his offer of employment by the Company, Mr. O’Brien is entitled to severance pay equal to six months’ base salary upon a qualifying termination of his employment without cause only upon change of control as defined in the Company’s 2013 Incentive Plan.</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not entered into a severance arrangement with Dr. Given.</w:t>
      </w:r>
    </w:p>
    <w:p>
      <w:pPr>
        <w:spacing w:after="0" w:line="221" w:lineRule="exact"/>
        <w:rPr>
          <w:sz w:val="20"/>
          <w:szCs w:val="20"/>
          <w:color w:val="auto"/>
        </w:rPr>
      </w:pPr>
    </w:p>
    <w:p>
      <w:pPr>
        <w:ind w:left="220" w:right="60"/>
        <w:spacing w:after="0" w:line="252" w:lineRule="auto"/>
        <w:rPr>
          <w:sz w:val="20"/>
          <w:szCs w:val="20"/>
          <w:color w:val="auto"/>
        </w:rPr>
      </w:pPr>
      <w:r>
        <w:rPr>
          <w:rFonts w:ascii="Arial" w:cs="Arial" w:eastAsia="Arial" w:hAnsi="Arial"/>
          <w:sz w:val="16"/>
          <w:szCs w:val="16"/>
          <w:color w:val="auto"/>
        </w:rPr>
        <w:t>Additionally, pursuant to the 2004 Equity Incentive Plan and the 2013 Incentive Plan, any unvested awards held by plan participants, including the Named Executive Officers, become fully vested upon a change of control, except as otherwise determined by the Board and except with respect to the outstanding awards held by the CEO whose awards will only become fully vested upon a qualifying termination of employment following a change of control.</w:t>
      </w:r>
    </w:p>
    <w:p>
      <w:pPr>
        <w:spacing w:after="0" w:line="392" w:lineRule="exact"/>
        <w:rPr>
          <w:sz w:val="20"/>
          <w:szCs w:val="20"/>
          <w:color w:val="auto"/>
        </w:rPr>
      </w:pPr>
    </w:p>
    <w:p>
      <w:pPr>
        <w:ind w:left="220" w:right="660"/>
        <w:spacing w:after="0" w:line="260" w:lineRule="auto"/>
        <w:rPr>
          <w:sz w:val="20"/>
          <w:szCs w:val="20"/>
          <w:color w:val="auto"/>
        </w:rPr>
      </w:pPr>
      <w:r>
        <w:rPr>
          <w:rFonts w:ascii="Arial" w:cs="Arial" w:eastAsia="Arial" w:hAnsi="Arial"/>
          <w:sz w:val="16"/>
          <w:szCs w:val="16"/>
          <w:color w:val="auto"/>
        </w:rPr>
        <w:t>The following tables set forth information regarding potential termination and change of control arrangements with our executive officers had their employment been terminated or a change in control of the Company taken place on September 30, 2019:</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67"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6520" w:type="dxa"/>
            <w:vAlign w:val="bottom"/>
            <w:shd w:val="clear" w:color="auto" w:fill="0071CE"/>
          </w:tcPr>
          <w:p>
            <w:pPr>
              <w:spacing w:after="0"/>
              <w:rPr>
                <w:sz w:val="15"/>
                <w:szCs w:val="15"/>
                <w:color w:val="auto"/>
              </w:rPr>
            </w:pPr>
          </w:p>
        </w:tc>
        <w:tc>
          <w:tcPr>
            <w:tcW w:w="840" w:type="dxa"/>
            <w:vAlign w:val="bottom"/>
            <w:shd w:val="clear" w:color="auto" w:fill="0071CE"/>
          </w:tcPr>
          <w:p>
            <w:pPr>
              <w:spacing w:after="0"/>
              <w:rPr>
                <w:sz w:val="15"/>
                <w:szCs w:val="15"/>
                <w:color w:val="auto"/>
              </w:rPr>
            </w:pPr>
          </w:p>
        </w:tc>
        <w:tc>
          <w:tcPr>
            <w:tcW w:w="780" w:type="dxa"/>
            <w:vAlign w:val="bottom"/>
            <w:shd w:val="clear" w:color="auto" w:fill="0071CE"/>
          </w:tcPr>
          <w:p>
            <w:pPr>
              <w:spacing w:after="0"/>
              <w:rPr>
                <w:sz w:val="15"/>
                <w:szCs w:val="15"/>
                <w:color w:val="auto"/>
              </w:rPr>
            </w:pPr>
          </w:p>
        </w:tc>
        <w:tc>
          <w:tcPr>
            <w:tcW w:w="10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Stock</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Option</w:t>
            </w:r>
          </w:p>
        </w:tc>
        <w:tc>
          <w:tcPr>
            <w:tcW w:w="1020" w:type="dxa"/>
            <w:vAlign w:val="bottom"/>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r>
      <w:tr>
        <w:trPr>
          <w:trHeight w:val="162"/>
        </w:trPr>
        <w:tc>
          <w:tcPr>
            <w:tcW w:w="6520" w:type="dxa"/>
            <w:vAlign w:val="bottom"/>
            <w:shd w:val="clear" w:color="auto" w:fill="0071CE"/>
          </w:tcPr>
          <w:p>
            <w:pPr>
              <w:spacing w:after="0"/>
              <w:rPr>
                <w:sz w:val="14"/>
                <w:szCs w:val="14"/>
                <w:color w:val="auto"/>
              </w:rPr>
            </w:pPr>
          </w:p>
        </w:tc>
        <w:tc>
          <w:tcPr>
            <w:tcW w:w="840" w:type="dxa"/>
            <w:vAlign w:val="bottom"/>
            <w:shd w:val="clear" w:color="auto" w:fill="0071CE"/>
          </w:tcPr>
          <w:p>
            <w:pPr>
              <w:jc w:val="right"/>
              <w:ind w:right="120"/>
              <w:spacing w:after="0"/>
              <w:rPr>
                <w:sz w:val="20"/>
                <w:szCs w:val="20"/>
                <w:color w:val="auto"/>
              </w:rPr>
            </w:pPr>
            <w:r>
              <w:rPr>
                <w:rFonts w:ascii="Arial" w:cs="Arial" w:eastAsia="Arial" w:hAnsi="Arial"/>
                <w:sz w:val="14"/>
                <w:szCs w:val="14"/>
                <w:b w:val="1"/>
                <w:bCs w:val="1"/>
                <w:color w:val="FFFFFF"/>
              </w:rPr>
              <w:t>Salary</w:t>
            </w:r>
          </w:p>
        </w:tc>
        <w:tc>
          <w:tcPr>
            <w:tcW w:w="780" w:type="dxa"/>
            <w:vAlign w:val="bottom"/>
            <w:shd w:val="clear" w:color="auto" w:fill="0071CE"/>
          </w:tcPr>
          <w:p>
            <w:pPr>
              <w:jc w:val="right"/>
              <w:ind w:right="40"/>
              <w:spacing w:after="0"/>
              <w:rPr>
                <w:sz w:val="20"/>
                <w:szCs w:val="20"/>
                <w:color w:val="auto"/>
              </w:rPr>
            </w:pPr>
            <w:r>
              <w:rPr>
                <w:rFonts w:ascii="Arial" w:cs="Arial" w:eastAsia="Arial" w:hAnsi="Arial"/>
                <w:sz w:val="14"/>
                <w:szCs w:val="14"/>
                <w:b w:val="1"/>
                <w:bCs w:val="1"/>
                <w:color w:val="FFFFFF"/>
              </w:rPr>
              <w:t>Benefits</w:t>
            </w:r>
          </w:p>
        </w:tc>
        <w:tc>
          <w:tcPr>
            <w:tcW w:w="10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102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182"/>
        </w:trPr>
        <w:tc>
          <w:tcPr>
            <w:tcW w:w="6520" w:type="dxa"/>
            <w:vAlign w:val="bottom"/>
            <w:tcBorders>
              <w:bottom w:val="single" w:sz="8" w:color="0071CE"/>
            </w:tcBorders>
            <w:shd w:val="clear" w:color="auto" w:fill="0071CE"/>
          </w:tcPr>
          <w:p>
            <w:pPr>
              <w:ind w:left="140"/>
              <w:spacing w:after="0"/>
              <w:rPr>
                <w:sz w:val="20"/>
                <w:szCs w:val="20"/>
                <w:color w:val="auto"/>
              </w:rPr>
            </w:pPr>
            <w:r>
              <w:rPr>
                <w:rFonts w:ascii="Arial" w:cs="Arial" w:eastAsia="Arial" w:hAnsi="Arial"/>
                <w:sz w:val="14"/>
                <w:szCs w:val="14"/>
                <w:b w:val="1"/>
                <w:bCs w:val="1"/>
                <w:color w:val="FFFFFF"/>
              </w:rPr>
              <w:t>Triggering Event</w:t>
            </w:r>
          </w:p>
        </w:tc>
        <w:tc>
          <w:tcPr>
            <w:tcW w:w="840" w:type="dxa"/>
            <w:vAlign w:val="bottom"/>
            <w:tcBorders>
              <w:bottom w:val="single" w:sz="8" w:color="0071CE"/>
            </w:tcBorders>
            <w:shd w:val="clear" w:color="auto" w:fill="0071CE"/>
          </w:tcPr>
          <w:p>
            <w:pPr>
              <w:jc w:val="right"/>
              <w:ind w:right="24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0071CE"/>
            </w:tcBorders>
            <w:shd w:val="clear" w:color="auto" w:fill="0071CE"/>
          </w:tcPr>
          <w:p>
            <w:pPr>
              <w:jc w:val="right"/>
              <w:ind w:right="240"/>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(1)($)</w:t>
            </w:r>
          </w:p>
        </w:tc>
        <w:tc>
          <w:tcPr>
            <w:tcW w:w="8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(1)($)</w:t>
            </w:r>
          </w:p>
        </w:tc>
        <w:tc>
          <w:tcPr>
            <w:tcW w:w="1020" w:type="dxa"/>
            <w:vAlign w:val="bottom"/>
            <w:tcBorders>
              <w:bottom w:val="single" w:sz="8" w:color="0071CE"/>
            </w:tcBorders>
            <w:shd w:val="clear" w:color="auto" w:fill="0071CE"/>
          </w:tcPr>
          <w:p>
            <w:pPr>
              <w:jc w:val="right"/>
              <w:ind w:right="300"/>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0071CE"/>
            </w:tcBorders>
            <w:shd w:val="clear" w:color="auto" w:fill="0071CE"/>
          </w:tcPr>
          <w:p>
            <w:pPr>
              <w:spacing w:after="0"/>
              <w:rPr>
                <w:sz w:val="15"/>
                <w:szCs w:val="15"/>
                <w:color w:val="auto"/>
              </w:rPr>
            </w:pPr>
          </w:p>
        </w:tc>
      </w:tr>
      <w:tr>
        <w:trPr>
          <w:trHeight w:val="277"/>
        </w:trPr>
        <w:tc>
          <w:tcPr>
            <w:tcW w:w="652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6"/>
                <w:szCs w:val="16"/>
                <w:color w:val="auto"/>
              </w:rPr>
              <w:t>Termination by Employer without Cause</w:t>
            </w:r>
          </w:p>
        </w:tc>
        <w:tc>
          <w:tcPr>
            <w:tcW w:w="840" w:type="dxa"/>
            <w:vAlign w:val="bottom"/>
            <w:tcBorders>
              <w:bottom w:val="single" w:sz="8" w:color="E5E5E5"/>
            </w:tcBorders>
            <w:shd w:val="clear" w:color="auto" w:fill="E5E5E5"/>
          </w:tcPr>
          <w:p>
            <w:pPr>
              <w:spacing w:after="0"/>
              <w:rPr>
                <w:sz w:val="24"/>
                <w:szCs w:val="24"/>
                <w:color w:val="auto"/>
              </w:rPr>
            </w:pPr>
          </w:p>
        </w:tc>
        <w:tc>
          <w:tcPr>
            <w:tcW w:w="780" w:type="dxa"/>
            <w:vAlign w:val="bottom"/>
            <w:tcBorders>
              <w:bottom w:val="single" w:sz="8" w:color="E5E5E5"/>
            </w:tcBorders>
            <w:shd w:val="clear" w:color="auto" w:fill="E5E5E5"/>
          </w:tcPr>
          <w:p>
            <w:pPr>
              <w:spacing w:after="0"/>
              <w:rPr>
                <w:sz w:val="24"/>
                <w:szCs w:val="24"/>
                <w:color w:val="auto"/>
              </w:rPr>
            </w:pPr>
          </w:p>
        </w:tc>
        <w:tc>
          <w:tcPr>
            <w:tcW w:w="1020" w:type="dxa"/>
            <w:vAlign w:val="bottom"/>
            <w:tcBorders>
              <w:bottom w:val="single" w:sz="8" w:color="E5E5E5"/>
            </w:tcBorders>
            <w:shd w:val="clear" w:color="auto" w:fill="E5E5E5"/>
          </w:tcPr>
          <w:p>
            <w:pPr>
              <w:spacing w:after="0"/>
              <w:rPr>
                <w:sz w:val="24"/>
                <w:szCs w:val="24"/>
                <w:color w:val="auto"/>
              </w:rPr>
            </w:pPr>
          </w:p>
        </w:tc>
        <w:tc>
          <w:tcPr>
            <w:tcW w:w="820" w:type="dxa"/>
            <w:vAlign w:val="bottom"/>
            <w:tcBorders>
              <w:bottom w:val="single" w:sz="8" w:color="E5E5E5"/>
            </w:tcBorders>
            <w:shd w:val="clear" w:color="auto" w:fill="E5E5E5"/>
          </w:tcPr>
          <w:p>
            <w:pPr>
              <w:spacing w:after="0"/>
              <w:rPr>
                <w:sz w:val="24"/>
                <w:szCs w:val="24"/>
                <w:color w:val="auto"/>
              </w:rPr>
            </w:pPr>
          </w:p>
        </w:tc>
        <w:tc>
          <w:tcPr>
            <w:tcW w:w="1020" w:type="dxa"/>
            <w:vAlign w:val="bottom"/>
            <w:tcBorders>
              <w:bottom w:val="single" w:sz="8" w:color="E5E5E5"/>
            </w:tcBorders>
            <w:shd w:val="clear" w:color="auto" w:fill="E5E5E5"/>
          </w:tcPr>
          <w:p>
            <w:pPr>
              <w:spacing w:after="0"/>
              <w:rPr>
                <w:sz w:val="24"/>
                <w:szCs w:val="24"/>
                <w:color w:val="auto"/>
              </w:rPr>
            </w:pPr>
          </w:p>
        </w:tc>
        <w:tc>
          <w:tcPr>
            <w:tcW w:w="20" w:type="dxa"/>
            <w:vAlign w:val="bottom"/>
          </w:tcPr>
          <w:p>
            <w:pPr>
              <w:spacing w:after="0"/>
              <w:rPr>
                <w:sz w:val="24"/>
                <w:szCs w:val="24"/>
                <w:color w:val="auto"/>
              </w:rPr>
            </w:pPr>
          </w:p>
        </w:tc>
      </w:tr>
      <w:tr>
        <w:trPr>
          <w:trHeight w:val="233"/>
        </w:trPr>
        <w:tc>
          <w:tcPr>
            <w:tcW w:w="6520" w:type="dxa"/>
            <w:vAlign w:val="bottom"/>
          </w:tcPr>
          <w:p>
            <w:pPr>
              <w:ind w:left="480"/>
              <w:spacing w:after="0"/>
              <w:rPr>
                <w:sz w:val="20"/>
                <w:szCs w:val="20"/>
                <w:color w:val="auto"/>
              </w:rPr>
            </w:pPr>
            <w:r>
              <w:rPr>
                <w:rFonts w:ascii="Arial" w:cs="Arial" w:eastAsia="Arial" w:hAnsi="Arial"/>
                <w:sz w:val="16"/>
                <w:szCs w:val="16"/>
                <w:color w:val="auto"/>
              </w:rPr>
              <w:t>Christopher Anzalone (2)</w:t>
            </w:r>
          </w:p>
        </w:tc>
        <w:tc>
          <w:tcPr>
            <w:tcW w:w="840" w:type="dxa"/>
            <w:vAlign w:val="bottom"/>
          </w:tcPr>
          <w:p>
            <w:pPr>
              <w:jc w:val="right"/>
              <w:spacing w:after="0"/>
              <w:rPr>
                <w:sz w:val="20"/>
                <w:szCs w:val="20"/>
                <w:color w:val="auto"/>
              </w:rPr>
            </w:pPr>
            <w:r>
              <w:rPr>
                <w:rFonts w:ascii="Arial" w:cs="Arial" w:eastAsia="Arial" w:hAnsi="Arial"/>
                <w:sz w:val="16"/>
                <w:szCs w:val="16"/>
                <w:color w:val="auto"/>
              </w:rPr>
              <w:t>56,875</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1,888</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58,673</w:t>
            </w:r>
          </w:p>
        </w:tc>
        <w:tc>
          <w:tcPr>
            <w:tcW w:w="20" w:type="dxa"/>
            <w:vAlign w:val="bottom"/>
          </w:tcPr>
          <w:p>
            <w:pPr>
              <w:spacing w:after="0"/>
              <w:rPr>
                <w:sz w:val="20"/>
                <w:szCs w:val="20"/>
                <w:color w:val="auto"/>
              </w:rPr>
            </w:pPr>
          </w:p>
        </w:tc>
      </w:tr>
      <w:tr>
        <w:trPr>
          <w:trHeight w:val="253"/>
        </w:trPr>
        <w:tc>
          <w:tcPr>
            <w:tcW w:w="65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Kenneth Myszkowski</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107,500</w:t>
            </w:r>
          </w:p>
        </w:tc>
        <w:tc>
          <w:tcPr>
            <w:tcW w:w="7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8,619</w:t>
            </w:r>
          </w:p>
        </w:tc>
        <w:tc>
          <w:tcPr>
            <w:tcW w:w="102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116,119</w:t>
            </w:r>
          </w:p>
        </w:tc>
        <w:tc>
          <w:tcPr>
            <w:tcW w:w="20" w:type="dxa"/>
            <w:vAlign w:val="bottom"/>
          </w:tcPr>
          <w:p>
            <w:pPr>
              <w:spacing w:after="0"/>
              <w:rPr>
                <w:sz w:val="21"/>
                <w:szCs w:val="21"/>
                <w:color w:val="auto"/>
              </w:rPr>
            </w:pPr>
          </w:p>
        </w:tc>
      </w:tr>
      <w:tr>
        <w:trPr>
          <w:trHeight w:val="233"/>
        </w:trPr>
        <w:tc>
          <w:tcPr>
            <w:tcW w:w="6520" w:type="dxa"/>
            <w:vAlign w:val="bottom"/>
          </w:tcPr>
          <w:p>
            <w:pPr>
              <w:ind w:left="480"/>
              <w:spacing w:after="0"/>
              <w:rPr>
                <w:sz w:val="20"/>
                <w:szCs w:val="20"/>
                <w:color w:val="auto"/>
              </w:rPr>
            </w:pPr>
            <w:r>
              <w:rPr>
                <w:rFonts w:ascii="Arial" w:cs="Arial" w:eastAsia="Arial" w:hAnsi="Arial"/>
                <w:sz w:val="16"/>
                <w:szCs w:val="16"/>
                <w:color w:val="auto"/>
              </w:rPr>
              <w:t>Bruce D. Given</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53"/>
        </w:trPr>
        <w:tc>
          <w:tcPr>
            <w:tcW w:w="65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Patrick O’Brien</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33"/>
        </w:trPr>
        <w:tc>
          <w:tcPr>
            <w:tcW w:w="6520" w:type="dxa"/>
            <w:vAlign w:val="bottom"/>
          </w:tcPr>
          <w:p>
            <w:pPr>
              <w:ind w:left="480"/>
              <w:spacing w:after="0"/>
              <w:rPr>
                <w:sz w:val="20"/>
                <w:szCs w:val="20"/>
                <w:color w:val="auto"/>
              </w:rPr>
            </w:pPr>
            <w:r>
              <w:rPr>
                <w:rFonts w:ascii="Arial" w:cs="Arial" w:eastAsia="Arial" w:hAnsi="Arial"/>
                <w:sz w:val="16"/>
                <w:szCs w:val="16"/>
                <w:color w:val="auto"/>
              </w:rPr>
              <w:t>Zhen Li (3)</w:t>
            </w:r>
          </w:p>
        </w:tc>
        <w:tc>
          <w:tcPr>
            <w:tcW w:w="840" w:type="dxa"/>
            <w:vAlign w:val="bottom"/>
          </w:tcPr>
          <w:p>
            <w:pPr>
              <w:jc w:val="right"/>
              <w:spacing w:after="0"/>
              <w:rPr>
                <w:sz w:val="20"/>
                <w:szCs w:val="20"/>
                <w:color w:val="auto"/>
              </w:rPr>
            </w:pPr>
            <w:r>
              <w:rPr>
                <w:rFonts w:ascii="Arial" w:cs="Arial" w:eastAsia="Arial" w:hAnsi="Arial"/>
                <w:sz w:val="16"/>
                <w:szCs w:val="16"/>
                <w:color w:val="auto"/>
              </w:rPr>
              <w:t>N/A</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N/A</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0"/>
                <w:szCs w:val="20"/>
                <w:color w:val="auto"/>
              </w:rPr>
            </w:pPr>
          </w:p>
        </w:tc>
      </w:tr>
      <w:tr>
        <w:trPr>
          <w:trHeight w:val="253"/>
        </w:trPr>
        <w:tc>
          <w:tcPr>
            <w:tcW w:w="65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Change in Control</w:t>
            </w:r>
          </w:p>
        </w:tc>
        <w:tc>
          <w:tcPr>
            <w:tcW w:w="840" w:type="dxa"/>
            <w:vAlign w:val="bottom"/>
            <w:shd w:val="clear" w:color="auto" w:fill="E5E5E5"/>
          </w:tcPr>
          <w:p>
            <w:pPr>
              <w:spacing w:after="0"/>
              <w:rPr>
                <w:sz w:val="21"/>
                <w:szCs w:val="21"/>
                <w:color w:val="auto"/>
              </w:rPr>
            </w:pPr>
          </w:p>
        </w:tc>
        <w:tc>
          <w:tcPr>
            <w:tcW w:w="780" w:type="dxa"/>
            <w:vAlign w:val="bottom"/>
            <w:shd w:val="clear" w:color="auto" w:fill="E5E5E5"/>
          </w:tcPr>
          <w:p>
            <w:pPr>
              <w:spacing w:after="0"/>
              <w:rPr>
                <w:sz w:val="21"/>
                <w:szCs w:val="21"/>
                <w:color w:val="auto"/>
              </w:rPr>
            </w:pPr>
          </w:p>
        </w:tc>
        <w:tc>
          <w:tcPr>
            <w:tcW w:w="1020" w:type="dxa"/>
            <w:vAlign w:val="bottom"/>
            <w:shd w:val="clear" w:color="auto" w:fill="E5E5E5"/>
          </w:tcPr>
          <w:p>
            <w:pPr>
              <w:spacing w:after="0"/>
              <w:rPr>
                <w:sz w:val="21"/>
                <w:szCs w:val="21"/>
                <w:color w:val="auto"/>
              </w:rPr>
            </w:pPr>
          </w:p>
        </w:tc>
        <w:tc>
          <w:tcPr>
            <w:tcW w:w="820" w:type="dxa"/>
            <w:vAlign w:val="bottom"/>
            <w:shd w:val="clear" w:color="auto" w:fill="E5E5E5"/>
          </w:tcPr>
          <w:p>
            <w:pPr>
              <w:spacing w:after="0"/>
              <w:rPr>
                <w:sz w:val="21"/>
                <w:szCs w:val="21"/>
                <w:color w:val="auto"/>
              </w:rPr>
            </w:pPr>
          </w:p>
        </w:tc>
        <w:tc>
          <w:tcPr>
            <w:tcW w:w="102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6520" w:type="dxa"/>
            <w:vAlign w:val="bottom"/>
          </w:tcPr>
          <w:p>
            <w:pPr>
              <w:ind w:left="480"/>
              <w:spacing w:after="0"/>
              <w:rPr>
                <w:sz w:val="20"/>
                <w:szCs w:val="20"/>
                <w:color w:val="auto"/>
              </w:rPr>
            </w:pPr>
            <w:r>
              <w:rPr>
                <w:rFonts w:ascii="Arial" w:cs="Arial" w:eastAsia="Arial" w:hAnsi="Arial"/>
                <w:sz w:val="16"/>
                <w:szCs w:val="16"/>
                <w:color w:val="auto"/>
              </w:rPr>
              <w:t>Christopher Anzalone</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53"/>
        </w:trPr>
        <w:tc>
          <w:tcPr>
            <w:tcW w:w="65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Kenneth Myszkowski</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107,500</w:t>
            </w:r>
          </w:p>
        </w:tc>
        <w:tc>
          <w:tcPr>
            <w:tcW w:w="7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8,619</w:t>
            </w:r>
          </w:p>
        </w:tc>
        <w:tc>
          <w:tcPr>
            <w:tcW w:w="102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3,980,425</w:t>
            </w:r>
          </w:p>
        </w:tc>
        <w:tc>
          <w:tcPr>
            <w:tcW w:w="82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73,448</w:t>
            </w:r>
          </w:p>
        </w:tc>
        <w:tc>
          <w:tcPr>
            <w:tcW w:w="10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4,169,992</w:t>
            </w:r>
          </w:p>
        </w:tc>
        <w:tc>
          <w:tcPr>
            <w:tcW w:w="20" w:type="dxa"/>
            <w:vAlign w:val="bottom"/>
          </w:tcPr>
          <w:p>
            <w:pPr>
              <w:spacing w:after="0"/>
              <w:rPr>
                <w:sz w:val="21"/>
                <w:szCs w:val="21"/>
                <w:color w:val="auto"/>
              </w:rPr>
            </w:pPr>
          </w:p>
        </w:tc>
      </w:tr>
      <w:tr>
        <w:trPr>
          <w:trHeight w:val="233"/>
        </w:trPr>
        <w:tc>
          <w:tcPr>
            <w:tcW w:w="6520" w:type="dxa"/>
            <w:vAlign w:val="bottom"/>
          </w:tcPr>
          <w:p>
            <w:pPr>
              <w:ind w:left="480"/>
              <w:spacing w:after="0"/>
              <w:rPr>
                <w:sz w:val="20"/>
                <w:szCs w:val="20"/>
                <w:color w:val="auto"/>
              </w:rPr>
            </w:pPr>
            <w:r>
              <w:rPr>
                <w:rFonts w:ascii="Arial" w:cs="Arial" w:eastAsia="Arial" w:hAnsi="Arial"/>
                <w:sz w:val="16"/>
                <w:szCs w:val="16"/>
                <w:color w:val="auto"/>
              </w:rPr>
              <w:t>Bruce D. Given</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9,616,425</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110,150</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9,726,575</w:t>
            </w:r>
          </w:p>
        </w:tc>
        <w:tc>
          <w:tcPr>
            <w:tcW w:w="20" w:type="dxa"/>
            <w:vAlign w:val="bottom"/>
          </w:tcPr>
          <w:p>
            <w:pPr>
              <w:spacing w:after="0"/>
              <w:rPr>
                <w:sz w:val="20"/>
                <w:szCs w:val="20"/>
                <w:color w:val="auto"/>
              </w:rPr>
            </w:pPr>
          </w:p>
        </w:tc>
      </w:tr>
      <w:tr>
        <w:trPr>
          <w:trHeight w:val="253"/>
        </w:trPr>
        <w:tc>
          <w:tcPr>
            <w:tcW w:w="65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Patrick O’Brien</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3,240,700</w:t>
            </w:r>
          </w:p>
        </w:tc>
        <w:tc>
          <w:tcPr>
            <w:tcW w:w="82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110,150</w:t>
            </w:r>
          </w:p>
        </w:tc>
        <w:tc>
          <w:tcPr>
            <w:tcW w:w="102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3,350,850</w:t>
            </w:r>
          </w:p>
        </w:tc>
        <w:tc>
          <w:tcPr>
            <w:tcW w:w="20" w:type="dxa"/>
            <w:vAlign w:val="bottom"/>
          </w:tcPr>
          <w:p>
            <w:pPr>
              <w:spacing w:after="0"/>
              <w:rPr>
                <w:sz w:val="21"/>
                <w:szCs w:val="21"/>
                <w:color w:val="auto"/>
              </w:rPr>
            </w:pPr>
          </w:p>
        </w:tc>
      </w:tr>
      <w:tr>
        <w:trPr>
          <w:trHeight w:val="233"/>
        </w:trPr>
        <w:tc>
          <w:tcPr>
            <w:tcW w:w="6520" w:type="dxa"/>
            <w:vAlign w:val="bottom"/>
          </w:tcPr>
          <w:p>
            <w:pPr>
              <w:ind w:left="480"/>
              <w:spacing w:after="0"/>
              <w:rPr>
                <w:sz w:val="20"/>
                <w:szCs w:val="20"/>
                <w:color w:val="auto"/>
              </w:rPr>
            </w:pPr>
            <w:r>
              <w:rPr>
                <w:rFonts w:ascii="Arial" w:cs="Arial" w:eastAsia="Arial" w:hAnsi="Arial"/>
                <w:sz w:val="16"/>
                <w:szCs w:val="16"/>
                <w:color w:val="auto"/>
              </w:rPr>
              <w:t>Zhen Li (3)</w:t>
            </w:r>
          </w:p>
        </w:tc>
        <w:tc>
          <w:tcPr>
            <w:tcW w:w="840" w:type="dxa"/>
            <w:vAlign w:val="bottom"/>
          </w:tcPr>
          <w:p>
            <w:pPr>
              <w:jc w:val="right"/>
              <w:spacing w:after="0"/>
              <w:rPr>
                <w:sz w:val="20"/>
                <w:szCs w:val="20"/>
                <w:color w:val="auto"/>
              </w:rPr>
            </w:pPr>
            <w:r>
              <w:rPr>
                <w:rFonts w:ascii="Arial" w:cs="Arial" w:eastAsia="Arial" w:hAnsi="Arial"/>
                <w:sz w:val="16"/>
                <w:szCs w:val="16"/>
                <w:color w:val="auto"/>
              </w:rPr>
              <w:t>N/A</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N/A</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0"/>
                <w:szCs w:val="20"/>
                <w:color w:val="auto"/>
              </w:rPr>
            </w:pPr>
          </w:p>
        </w:tc>
      </w:tr>
      <w:tr>
        <w:trPr>
          <w:trHeight w:val="253"/>
        </w:trPr>
        <w:tc>
          <w:tcPr>
            <w:tcW w:w="6520" w:type="dxa"/>
            <w:vAlign w:val="bottom"/>
            <w:shd w:val="clear" w:color="auto" w:fill="E5E5E5"/>
          </w:tcPr>
          <w:p>
            <w:pPr>
              <w:ind w:left="120"/>
              <w:spacing w:after="0"/>
              <w:rPr>
                <w:sz w:val="20"/>
                <w:szCs w:val="20"/>
                <w:color w:val="auto"/>
              </w:rPr>
            </w:pPr>
            <w:r>
              <w:rPr>
                <w:rFonts w:ascii="Arial" w:cs="Arial" w:eastAsia="Arial" w:hAnsi="Arial"/>
                <w:sz w:val="16"/>
                <w:szCs w:val="16"/>
                <w:color w:val="auto"/>
              </w:rPr>
              <w:t>Involuntary Termination Following a Change in Control</w:t>
            </w:r>
          </w:p>
        </w:tc>
        <w:tc>
          <w:tcPr>
            <w:tcW w:w="840" w:type="dxa"/>
            <w:vAlign w:val="bottom"/>
            <w:shd w:val="clear" w:color="auto" w:fill="E5E5E5"/>
          </w:tcPr>
          <w:p>
            <w:pPr>
              <w:spacing w:after="0"/>
              <w:rPr>
                <w:sz w:val="21"/>
                <w:szCs w:val="21"/>
                <w:color w:val="auto"/>
              </w:rPr>
            </w:pPr>
          </w:p>
        </w:tc>
        <w:tc>
          <w:tcPr>
            <w:tcW w:w="780" w:type="dxa"/>
            <w:vAlign w:val="bottom"/>
            <w:shd w:val="clear" w:color="auto" w:fill="E5E5E5"/>
          </w:tcPr>
          <w:p>
            <w:pPr>
              <w:spacing w:after="0"/>
              <w:rPr>
                <w:sz w:val="21"/>
                <w:szCs w:val="21"/>
                <w:color w:val="auto"/>
              </w:rPr>
            </w:pPr>
          </w:p>
        </w:tc>
        <w:tc>
          <w:tcPr>
            <w:tcW w:w="1020" w:type="dxa"/>
            <w:vAlign w:val="bottom"/>
            <w:shd w:val="clear" w:color="auto" w:fill="E5E5E5"/>
          </w:tcPr>
          <w:p>
            <w:pPr>
              <w:spacing w:after="0"/>
              <w:rPr>
                <w:sz w:val="21"/>
                <w:szCs w:val="21"/>
                <w:color w:val="auto"/>
              </w:rPr>
            </w:pPr>
          </w:p>
        </w:tc>
        <w:tc>
          <w:tcPr>
            <w:tcW w:w="820" w:type="dxa"/>
            <w:vAlign w:val="bottom"/>
            <w:shd w:val="clear" w:color="auto" w:fill="E5E5E5"/>
          </w:tcPr>
          <w:p>
            <w:pPr>
              <w:spacing w:after="0"/>
              <w:rPr>
                <w:sz w:val="21"/>
                <w:szCs w:val="21"/>
                <w:color w:val="auto"/>
              </w:rPr>
            </w:pPr>
          </w:p>
        </w:tc>
        <w:tc>
          <w:tcPr>
            <w:tcW w:w="102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6520" w:type="dxa"/>
            <w:vAlign w:val="bottom"/>
          </w:tcPr>
          <w:p>
            <w:pPr>
              <w:ind w:left="480"/>
              <w:spacing w:after="0"/>
              <w:rPr>
                <w:sz w:val="20"/>
                <w:szCs w:val="20"/>
                <w:color w:val="auto"/>
              </w:rPr>
            </w:pPr>
            <w:r>
              <w:rPr>
                <w:rFonts w:ascii="Arial" w:cs="Arial" w:eastAsia="Arial" w:hAnsi="Arial"/>
                <w:sz w:val="16"/>
                <w:szCs w:val="16"/>
                <w:color w:val="auto"/>
              </w:rPr>
              <w:t>Christopher Anzalone</w:t>
            </w:r>
          </w:p>
        </w:tc>
        <w:tc>
          <w:tcPr>
            <w:tcW w:w="840" w:type="dxa"/>
            <w:vAlign w:val="bottom"/>
          </w:tcPr>
          <w:p>
            <w:pPr>
              <w:jc w:val="right"/>
              <w:spacing w:after="0"/>
              <w:rPr>
                <w:sz w:val="20"/>
                <w:szCs w:val="20"/>
                <w:color w:val="auto"/>
              </w:rPr>
            </w:pPr>
            <w:r>
              <w:rPr>
                <w:rFonts w:ascii="Arial" w:cs="Arial" w:eastAsia="Arial" w:hAnsi="Arial"/>
                <w:sz w:val="16"/>
                <w:szCs w:val="16"/>
                <w:color w:val="auto"/>
              </w:rPr>
              <w:t>56,875</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1,888</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26,301,324</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146,874</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26,506,961</w:t>
            </w:r>
          </w:p>
        </w:tc>
        <w:tc>
          <w:tcPr>
            <w:tcW w:w="20" w:type="dxa"/>
            <w:vAlign w:val="bottom"/>
          </w:tcPr>
          <w:p>
            <w:pPr>
              <w:spacing w:after="0"/>
              <w:rPr>
                <w:sz w:val="20"/>
                <w:szCs w:val="20"/>
                <w:color w:val="auto"/>
              </w:rPr>
            </w:pPr>
          </w:p>
        </w:tc>
      </w:tr>
      <w:tr>
        <w:trPr>
          <w:trHeight w:val="246"/>
        </w:trPr>
        <w:tc>
          <w:tcPr>
            <w:tcW w:w="6520" w:type="dxa"/>
            <w:vAlign w:val="bottom"/>
            <w:tcBorders>
              <w:bottom w:val="single" w:sz="8" w:color="0071CE"/>
            </w:tcBorders>
            <w:shd w:val="clear" w:color="auto" w:fill="E5E5E5"/>
          </w:tcPr>
          <w:p>
            <w:pPr>
              <w:ind w:left="480"/>
              <w:spacing w:after="0"/>
              <w:rPr>
                <w:sz w:val="20"/>
                <w:szCs w:val="20"/>
                <w:color w:val="auto"/>
              </w:rPr>
            </w:pPr>
            <w:r>
              <w:rPr>
                <w:rFonts w:ascii="Arial" w:cs="Arial" w:eastAsia="Arial" w:hAnsi="Arial"/>
                <w:sz w:val="16"/>
                <w:szCs w:val="16"/>
                <w:color w:val="auto"/>
              </w:rPr>
              <w:t>Patrick O’Brien</w:t>
            </w:r>
          </w:p>
        </w:tc>
        <w:tc>
          <w:tcPr>
            <w:tcW w:w="84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6"/>
                <w:szCs w:val="16"/>
                <w:color w:val="auto"/>
              </w:rPr>
              <w:t>213,200</w:t>
            </w:r>
          </w:p>
        </w:tc>
        <w:tc>
          <w:tcPr>
            <w:tcW w:w="780" w:type="dxa"/>
            <w:vAlign w:val="bottom"/>
            <w:tcBorders>
              <w:bottom w:val="single" w:sz="8" w:color="0071CE"/>
            </w:tcBorders>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71CE"/>
            </w:tcBorders>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0071CE"/>
            </w:tcBorders>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71CE"/>
            </w:tcBorders>
            <w:shd w:val="clear" w:color="auto" w:fill="E5E5E5"/>
          </w:tcPr>
          <w:p>
            <w:pPr>
              <w:jc w:val="right"/>
              <w:ind w:right="40"/>
              <w:spacing w:after="0"/>
              <w:rPr>
                <w:sz w:val="20"/>
                <w:szCs w:val="20"/>
                <w:color w:val="auto"/>
              </w:rPr>
            </w:pPr>
            <w:r>
              <w:rPr>
                <w:rFonts w:ascii="Arial" w:cs="Arial" w:eastAsia="Arial" w:hAnsi="Arial"/>
                <w:sz w:val="16"/>
                <w:szCs w:val="16"/>
                <w:color w:val="auto"/>
              </w:rPr>
              <w:t>213,200</w:t>
            </w:r>
          </w:p>
        </w:tc>
        <w:tc>
          <w:tcPr>
            <w:tcW w:w="20" w:type="dxa"/>
            <w:vAlign w:val="bottom"/>
          </w:tcPr>
          <w:p>
            <w:pPr>
              <w:spacing w:after="0"/>
              <w:rPr>
                <w:sz w:val="21"/>
                <w:szCs w:val="21"/>
                <w:color w:val="auto"/>
              </w:rPr>
            </w:pPr>
          </w:p>
        </w:tc>
      </w:tr>
    </w:tbl>
    <w:p>
      <w:pPr>
        <w:spacing w:after="0" w:line="86" w:lineRule="exact"/>
        <w:rPr>
          <w:sz w:val="20"/>
          <w:szCs w:val="20"/>
          <w:color w:val="auto"/>
        </w:rPr>
      </w:pPr>
    </w:p>
    <w:p>
      <w:pPr>
        <w:ind w:left="640" w:right="60" w:hanging="430"/>
        <w:spacing w:after="0" w:line="249"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stock awards the value is calculated as the number of unvested shares multiplied by the Company’s closing stock price at September 30, 2019 of $28.18. For option awards the value is calculated as the number of shares issuable upon unvested options multiplied by the difference between the Company’s closing stock price at September 30, 2019 of $28.18 less the applicable exercise price.</w:t>
      </w:r>
    </w:p>
    <w:p>
      <w:pPr>
        <w:spacing w:after="0" w:line="65" w:lineRule="exact"/>
        <w:rPr>
          <w:rFonts w:ascii="Arial" w:cs="Arial" w:eastAsia="Arial" w:hAnsi="Arial"/>
          <w:sz w:val="14"/>
          <w:szCs w:val="14"/>
          <w:color w:val="auto"/>
        </w:rPr>
      </w:pPr>
    </w:p>
    <w:p>
      <w:pPr>
        <w:ind w:left="640" w:right="400" w:hanging="430"/>
        <w:spacing w:after="0" w:line="257"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Dr. Anzalone’s employment contract also provides for payment of the values set forth above upon his resignation for “good reason” as defined in his employment agreement.</w:t>
      </w:r>
    </w:p>
    <w:p>
      <w:pPr>
        <w:spacing w:after="0" w:line="59" w:lineRule="exact"/>
        <w:rPr>
          <w:rFonts w:ascii="Arial" w:cs="Arial" w:eastAsia="Arial" w:hAnsi="Arial"/>
          <w:sz w:val="14"/>
          <w:szCs w:val="14"/>
          <w:color w:val="auto"/>
        </w:rPr>
      </w:pPr>
    </w:p>
    <w:p>
      <w:pPr>
        <w:ind w:left="640" w:hanging="430"/>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Dr. Li’s employment with the Company terminated in February 2019.</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3" w:lineRule="exact"/>
        <w:rPr>
          <w:sz w:val="20"/>
          <w:szCs w:val="20"/>
          <w:color w:val="auto"/>
        </w:rPr>
      </w:pPr>
    </w:p>
    <w:p>
      <w:pPr>
        <w:ind w:left="220" w:right="100"/>
        <w:spacing w:after="0" w:line="260" w:lineRule="auto"/>
        <w:rPr>
          <w:sz w:val="20"/>
          <w:szCs w:val="20"/>
          <w:color w:val="auto"/>
        </w:rPr>
      </w:pPr>
      <w:r>
        <w:rPr>
          <w:rFonts w:ascii="Arial" w:cs="Arial" w:eastAsia="Arial" w:hAnsi="Arial"/>
          <w:sz w:val="16"/>
          <w:szCs w:val="16"/>
          <w:color w:val="auto"/>
        </w:rPr>
        <w:t>Pursuant to Item 402(u) of Regulation S-K, we are required to calculate and disclose the median annual compensation of all of our employees (excluding our CEO, Dr. Anzalone), the annual compensation of Dr. Anzalone, and the ratio of these two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233680</wp:posOffset>
            </wp:positionV>
            <wp:extent cx="984885"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379"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37</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64"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auto"/>
        </w:rPr>
        <w:t>Our median employee was identified using the entire population of our employees as of September 30, 2019 based on a consistently applied compensation measure (“</w:t>
      </w:r>
      <w:r>
        <w:rPr>
          <w:rFonts w:ascii="Arial" w:cs="Arial" w:eastAsia="Arial" w:hAnsi="Arial"/>
          <w:sz w:val="16"/>
          <w:szCs w:val="16"/>
          <w:b w:val="1"/>
          <w:bCs w:val="1"/>
          <w:color w:val="auto"/>
        </w:rPr>
        <w:t>CACM</w:t>
      </w:r>
      <w:r>
        <w:rPr>
          <w:rFonts w:ascii="Arial" w:cs="Arial" w:eastAsia="Arial" w:hAnsi="Arial"/>
          <w:sz w:val="16"/>
          <w:szCs w:val="16"/>
          <w:color w:val="auto"/>
        </w:rPr>
        <w:t>”), that reasonably reflects the annual compensation of employees. The CACM selected by us for our disclosure included annual base salary, overtime for the year-to-date period ended September 30, 2019, the cash bonus amount for fiscal 2019, the grant-date fair value for stock-based awards (calculated in accordance with requirements for the Summary Compensation Table), and welfare and health benefits for fiscal 2019.</w:t>
      </w:r>
    </w:p>
    <w:p>
      <w:pPr>
        <w:spacing w:after="0" w:line="205"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Based on the CACM methodology described above, we identified the median employee and calculated the 2019 compensation for this selected employee in the same manner we determine the annual total compensation of our Named Executive Officers for purposes of the Summary Compensation Table. The median employee total compensation is $179,403. Dr. Anzalone’s 2019 compensation as disclosed in the Summary Compensation Table is $2,216,264. As a result, our CEO to median employee pay ratio for 2018 is 12:1.</w:t>
      </w:r>
    </w:p>
    <w:p>
      <w:pPr>
        <w:spacing w:after="0" w:line="205"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auto"/>
        </w:rPr>
        <w:t>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compensation committee for compensation-related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85725</wp:posOffset>
            </wp:positionV>
            <wp:extent cx="984885"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38</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tabs>
          <w:tab w:leader="none" w:pos="64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Proposal Four — Ratification of Appointment of Independent Auditors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Proposal Four — Ratification of Appointment of Independent Auditors</w:t>
      </w:r>
    </w:p>
    <w:p>
      <w:pPr>
        <w:spacing w:after="0" w:line="352" w:lineRule="exact"/>
        <w:rPr>
          <w:sz w:val="20"/>
          <w:szCs w:val="20"/>
          <w:color w:val="auto"/>
        </w:rPr>
      </w:pPr>
    </w:p>
    <w:p>
      <w:pPr>
        <w:ind w:left="220" w:right="700"/>
        <w:spacing w:after="0" w:line="286"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LLP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2020, and that selection is now being submitted to the stockholders.</w:t>
      </w:r>
    </w:p>
    <w:p>
      <w:pPr>
        <w:spacing w:after="0" w:line="175" w:lineRule="exact"/>
        <w:rPr>
          <w:sz w:val="20"/>
          <w:szCs w:val="20"/>
          <w:color w:val="auto"/>
        </w:rPr>
      </w:pPr>
    </w:p>
    <w:p>
      <w:pPr>
        <w:ind w:left="220" w:right="160"/>
        <w:spacing w:after="0" w:line="260" w:lineRule="auto"/>
        <w:rPr>
          <w:sz w:val="20"/>
          <w:szCs w:val="20"/>
          <w:color w:val="auto"/>
        </w:rPr>
      </w:pPr>
      <w:r>
        <w:rPr>
          <w:rFonts w:ascii="Arial" w:cs="Arial" w:eastAsia="Arial" w:hAnsi="Arial"/>
          <w:sz w:val="16"/>
          <w:szCs w:val="16"/>
          <w:color w:val="auto"/>
        </w:rPr>
        <w:t>A representative of RS&amp;J will be available at the Annual Meeting to respond to appropriate questions or make any other statements such representative deems appropriate.</w:t>
      </w:r>
    </w:p>
    <w:p>
      <w:pPr>
        <w:spacing w:after="0" w:line="195" w:lineRule="exact"/>
        <w:rPr>
          <w:sz w:val="20"/>
          <w:szCs w:val="20"/>
          <w:color w:val="auto"/>
        </w:rPr>
      </w:pPr>
    </w:p>
    <w:p>
      <w:pPr>
        <w:ind w:left="220" w:right="200"/>
        <w:spacing w:after="0" w:line="250" w:lineRule="auto"/>
        <w:rPr>
          <w:sz w:val="20"/>
          <w:szCs w:val="20"/>
          <w:color w:val="auto"/>
        </w:rPr>
      </w:pPr>
      <w:r>
        <w:rPr>
          <w:rFonts w:ascii="Arial" w:cs="Arial" w:eastAsia="Arial" w:hAnsi="Arial"/>
          <w:sz w:val="16"/>
          <w:szCs w:val="16"/>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36" w:lineRule="exact"/>
        <w:rPr>
          <w:sz w:val="20"/>
          <w:szCs w:val="20"/>
          <w:color w:val="auto"/>
        </w:rPr>
      </w:pPr>
    </w:p>
    <w:p>
      <w:pPr>
        <w:ind w:left="220" w:right="140"/>
        <w:spacing w:after="0" w:line="260" w:lineRule="auto"/>
        <w:rPr>
          <w:sz w:val="20"/>
          <w:szCs w:val="20"/>
          <w:color w:val="auto"/>
        </w:rPr>
      </w:pPr>
      <w:r>
        <w:rPr>
          <w:rFonts w:ascii="Arial" w:cs="Arial" w:eastAsia="Arial" w:hAnsi="Arial"/>
          <w:sz w:val="16"/>
          <w:szCs w:val="16"/>
          <w:color w:val="auto"/>
        </w:rPr>
        <w:t>In order to be ratified, Proposal Four must be approved by a majority of Required Vote, assuming a quorum is present. For this purpose, abstentions will be counted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139700</wp:posOffset>
            </wp:positionV>
            <wp:extent cx="3503295" cy="5397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03295" cy="539750"/>
                    </a:xfrm>
                    <a:prstGeom prst="rect">
                      <a:avLst/>
                    </a:prstGeom>
                    <a:noFill/>
                  </pic:spPr>
                </pic:pic>
              </a:graphicData>
            </a:graphic>
          </wp:anchor>
        </w:drawing>
      </w:r>
    </w:p>
    <w:p>
      <w:pPr>
        <w:spacing w:after="0" w:line="276" w:lineRule="exact"/>
        <w:rPr>
          <w:sz w:val="20"/>
          <w:szCs w:val="20"/>
          <w:color w:val="auto"/>
        </w:rPr>
      </w:pPr>
    </w:p>
    <w:p>
      <w:pPr>
        <w:ind w:left="4060" w:right="3080"/>
        <w:spacing w:after="0" w:line="274"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276860</wp:posOffset>
            </wp:positionV>
            <wp:extent cx="984885"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Audit Fees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Audit Fees</w:t>
      </w:r>
    </w:p>
    <w:p>
      <w:pPr>
        <w:spacing w:after="0" w:line="372" w:lineRule="exact"/>
        <w:rPr>
          <w:sz w:val="20"/>
          <w:szCs w:val="20"/>
          <w:color w:val="auto"/>
        </w:rPr>
      </w:pPr>
    </w:p>
    <w:p>
      <w:pPr>
        <w:ind w:left="220" w:right="120"/>
        <w:spacing w:after="0" w:line="249"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RS&amp;J,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2019 and 2018 were pre-approved by the audit committee.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2019 and September 30, 2018:</w:t>
      </w: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8440" w:type="dxa"/>
            <w:vAlign w:val="bottom"/>
            <w:shd w:val="clear" w:color="auto" w:fill="0071CE"/>
          </w:tcPr>
          <w:p>
            <w:pPr>
              <w:spacing w:after="0"/>
              <w:rPr>
                <w:sz w:val="16"/>
                <w:szCs w:val="16"/>
                <w:color w:val="auto"/>
              </w:rPr>
            </w:pPr>
          </w:p>
        </w:tc>
        <w:tc>
          <w:tcPr>
            <w:tcW w:w="2560" w:type="dxa"/>
            <w:vAlign w:val="bottom"/>
            <w:gridSpan w:val="2"/>
            <w:shd w:val="clear" w:color="auto" w:fill="0071CE"/>
          </w:tcPr>
          <w:p>
            <w:pPr>
              <w:jc w:val="right"/>
              <w:ind w:right="193"/>
              <w:spacing w:after="0"/>
              <w:rPr>
                <w:sz w:val="20"/>
                <w:szCs w:val="20"/>
                <w:color w:val="auto"/>
              </w:rPr>
            </w:pPr>
            <w:r>
              <w:rPr>
                <w:rFonts w:ascii="Arial" w:cs="Arial" w:eastAsia="Arial" w:hAnsi="Arial"/>
                <w:sz w:val="14"/>
                <w:szCs w:val="14"/>
                <w:b w:val="1"/>
                <w:bCs w:val="1"/>
                <w:color w:val="FFFFFF"/>
              </w:rPr>
              <w:t>Year Ended September 30,</w:t>
            </w:r>
          </w:p>
        </w:tc>
        <w:tc>
          <w:tcPr>
            <w:tcW w:w="20" w:type="dxa"/>
            <w:vAlign w:val="bottom"/>
            <w:shd w:val="clear" w:color="auto" w:fill="0071CE"/>
          </w:tcPr>
          <w:p>
            <w:pPr>
              <w:spacing w:after="0"/>
              <w:rPr>
                <w:sz w:val="16"/>
                <w:szCs w:val="16"/>
                <w:color w:val="auto"/>
              </w:rPr>
            </w:pPr>
          </w:p>
        </w:tc>
      </w:tr>
      <w:tr>
        <w:trPr>
          <w:trHeight w:val="204"/>
        </w:trPr>
        <w:tc>
          <w:tcPr>
            <w:tcW w:w="8440" w:type="dxa"/>
            <w:vAlign w:val="bottom"/>
            <w:shd w:val="clear" w:color="auto" w:fill="0071CE"/>
          </w:tcPr>
          <w:p>
            <w:pPr>
              <w:spacing w:after="0"/>
              <w:rPr>
                <w:sz w:val="17"/>
                <w:szCs w:val="17"/>
                <w:color w:val="auto"/>
              </w:rPr>
            </w:pPr>
          </w:p>
        </w:tc>
        <w:tc>
          <w:tcPr>
            <w:tcW w:w="1380" w:type="dxa"/>
            <w:vAlign w:val="bottom"/>
            <w:shd w:val="clear" w:color="auto" w:fill="0071CE"/>
          </w:tcPr>
          <w:p>
            <w:pPr>
              <w:jc w:val="right"/>
              <w:ind w:right="215"/>
              <w:spacing w:after="0"/>
              <w:rPr>
                <w:sz w:val="20"/>
                <w:szCs w:val="20"/>
                <w:color w:val="auto"/>
              </w:rPr>
            </w:pPr>
            <w:r>
              <w:rPr>
                <w:rFonts w:ascii="Arial" w:cs="Arial" w:eastAsia="Arial" w:hAnsi="Arial"/>
                <w:sz w:val="14"/>
                <w:szCs w:val="14"/>
                <w:b w:val="1"/>
                <w:bCs w:val="1"/>
                <w:color w:val="FFFFFF"/>
              </w:rPr>
              <w:t>2019</w:t>
            </w:r>
          </w:p>
        </w:tc>
        <w:tc>
          <w:tcPr>
            <w:tcW w:w="1180" w:type="dxa"/>
            <w:vAlign w:val="bottom"/>
            <w:shd w:val="clear" w:color="auto" w:fill="0071CE"/>
          </w:tcPr>
          <w:p>
            <w:pPr>
              <w:jc w:val="right"/>
              <w:ind w:right="293"/>
              <w:spacing w:after="0"/>
              <w:rPr>
                <w:sz w:val="20"/>
                <w:szCs w:val="20"/>
                <w:color w:val="auto"/>
              </w:rPr>
            </w:pPr>
            <w:r>
              <w:rPr>
                <w:rFonts w:ascii="Arial" w:cs="Arial" w:eastAsia="Arial" w:hAnsi="Arial"/>
                <w:sz w:val="14"/>
                <w:szCs w:val="14"/>
                <w:b w:val="1"/>
                <w:bCs w:val="1"/>
                <w:color w:val="FFFFFF"/>
              </w:rPr>
              <w:t>2018</w:t>
            </w:r>
          </w:p>
        </w:tc>
        <w:tc>
          <w:tcPr>
            <w:tcW w:w="20" w:type="dxa"/>
            <w:vAlign w:val="bottom"/>
            <w:shd w:val="clear" w:color="auto" w:fill="0071CE"/>
          </w:tcPr>
          <w:p>
            <w:pPr>
              <w:spacing w:after="0"/>
              <w:rPr>
                <w:sz w:val="17"/>
                <w:szCs w:val="17"/>
                <w:color w:val="auto"/>
              </w:rPr>
            </w:pPr>
          </w:p>
        </w:tc>
      </w:tr>
      <w:tr>
        <w:trPr>
          <w:trHeight w:val="174"/>
        </w:trPr>
        <w:tc>
          <w:tcPr>
            <w:tcW w:w="8440" w:type="dxa"/>
            <w:vAlign w:val="bottom"/>
            <w:shd w:val="clear" w:color="auto" w:fill="0071CE"/>
          </w:tcPr>
          <w:p>
            <w:pPr>
              <w:spacing w:after="0"/>
              <w:rPr>
                <w:sz w:val="15"/>
                <w:szCs w:val="15"/>
                <w:color w:val="auto"/>
              </w:rPr>
            </w:pPr>
          </w:p>
        </w:tc>
        <w:tc>
          <w:tcPr>
            <w:tcW w:w="1380" w:type="dxa"/>
            <w:vAlign w:val="bottom"/>
            <w:shd w:val="clear" w:color="auto" w:fill="0071CE"/>
          </w:tcPr>
          <w:p>
            <w:pPr>
              <w:spacing w:after="0"/>
              <w:rPr>
                <w:sz w:val="15"/>
                <w:szCs w:val="15"/>
                <w:color w:val="auto"/>
              </w:rPr>
            </w:pPr>
          </w:p>
        </w:tc>
        <w:tc>
          <w:tcPr>
            <w:tcW w:w="1180" w:type="dxa"/>
            <w:vAlign w:val="bottom"/>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r>
      <w:tr>
        <w:trPr>
          <w:trHeight w:val="304"/>
        </w:trPr>
        <w:tc>
          <w:tcPr>
            <w:tcW w:w="84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Audit fees (1)</w:t>
            </w:r>
          </w:p>
        </w:tc>
        <w:tc>
          <w:tcPr>
            <w:tcW w:w="13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8"/>
                <w:szCs w:val="18"/>
                <w:color w:val="auto"/>
              </w:rPr>
              <w:t>$ 231,325</w:t>
            </w:r>
          </w:p>
        </w:tc>
        <w:tc>
          <w:tcPr>
            <w:tcW w:w="1180" w:type="dxa"/>
            <w:vAlign w:val="bottom"/>
            <w:tcBorders>
              <w:bottom w:val="single" w:sz="8" w:color="E5E5E5"/>
            </w:tcBorders>
            <w:shd w:val="clear" w:color="auto" w:fill="E5E5E5"/>
          </w:tcPr>
          <w:p>
            <w:pPr>
              <w:jc w:val="right"/>
              <w:ind w:right="133"/>
              <w:spacing w:after="0"/>
              <w:rPr>
                <w:sz w:val="20"/>
                <w:szCs w:val="20"/>
                <w:color w:val="auto"/>
              </w:rPr>
            </w:pPr>
            <w:r>
              <w:rPr>
                <w:rFonts w:ascii="Arial" w:cs="Arial" w:eastAsia="Arial" w:hAnsi="Arial"/>
                <w:sz w:val="18"/>
                <w:szCs w:val="18"/>
                <w:color w:val="auto"/>
              </w:rPr>
              <w:t>$ 194,000</w:t>
            </w:r>
          </w:p>
        </w:tc>
        <w:tc>
          <w:tcPr>
            <w:tcW w:w="20" w:type="dxa"/>
            <w:vAlign w:val="bottom"/>
          </w:tcPr>
          <w:p>
            <w:pPr>
              <w:spacing w:after="0"/>
              <w:rPr>
                <w:sz w:val="24"/>
                <w:szCs w:val="24"/>
                <w:color w:val="auto"/>
              </w:rPr>
            </w:pPr>
          </w:p>
        </w:tc>
      </w:tr>
      <w:tr>
        <w:trPr>
          <w:trHeight w:val="270"/>
        </w:trPr>
        <w:tc>
          <w:tcPr>
            <w:tcW w:w="8440" w:type="dxa"/>
            <w:vAlign w:val="bottom"/>
          </w:tcPr>
          <w:p>
            <w:pPr>
              <w:ind w:left="60"/>
              <w:spacing w:after="0"/>
              <w:rPr>
                <w:sz w:val="20"/>
                <w:szCs w:val="20"/>
                <w:color w:val="auto"/>
              </w:rPr>
            </w:pPr>
            <w:r>
              <w:rPr>
                <w:rFonts w:ascii="Arial" w:cs="Arial" w:eastAsia="Arial" w:hAnsi="Arial"/>
                <w:sz w:val="18"/>
                <w:szCs w:val="18"/>
                <w:color w:val="auto"/>
              </w:rPr>
              <w:t>Audit-related fees (2)</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17,000</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59,500</w:t>
            </w:r>
          </w:p>
        </w:tc>
        <w:tc>
          <w:tcPr>
            <w:tcW w:w="20" w:type="dxa"/>
            <w:vAlign w:val="bottom"/>
          </w:tcPr>
          <w:p>
            <w:pPr>
              <w:spacing w:after="0"/>
              <w:rPr>
                <w:sz w:val="23"/>
                <w:szCs w:val="23"/>
                <w:color w:val="auto"/>
              </w:rPr>
            </w:pPr>
          </w:p>
        </w:tc>
      </w:tr>
      <w:tr>
        <w:trPr>
          <w:trHeight w:val="54"/>
        </w:trPr>
        <w:tc>
          <w:tcPr>
            <w:tcW w:w="8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4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Tax Fees</w:t>
            </w:r>
          </w:p>
        </w:tc>
        <w:tc>
          <w:tcPr>
            <w:tcW w:w="13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5E5E5"/>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70"/>
        </w:trPr>
        <w:tc>
          <w:tcPr>
            <w:tcW w:w="8440" w:type="dxa"/>
            <w:vAlign w:val="bottom"/>
          </w:tcPr>
          <w:p>
            <w:pPr>
              <w:ind w:left="60"/>
              <w:spacing w:after="0"/>
              <w:rPr>
                <w:sz w:val="20"/>
                <w:szCs w:val="20"/>
                <w:color w:val="auto"/>
              </w:rPr>
            </w:pPr>
            <w:r>
              <w:rPr>
                <w:rFonts w:ascii="Arial" w:cs="Arial" w:eastAsia="Arial" w:hAnsi="Arial"/>
                <w:sz w:val="18"/>
                <w:szCs w:val="18"/>
                <w:color w:val="auto"/>
              </w:rPr>
              <w:t>All other fees</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54"/>
        </w:trPr>
        <w:tc>
          <w:tcPr>
            <w:tcW w:w="8440" w:type="dxa"/>
            <w:vAlign w:val="bottom"/>
            <w:tcBorders>
              <w:bottom w:val="single" w:sz="8" w:color="E5E5E5"/>
            </w:tcBorders>
          </w:tcPr>
          <w:p>
            <w:pPr>
              <w:spacing w:after="0"/>
              <w:rPr>
                <w:sz w:val="4"/>
                <w:szCs w:val="4"/>
                <w:color w:val="auto"/>
              </w:rPr>
            </w:pPr>
          </w:p>
        </w:tc>
        <w:tc>
          <w:tcPr>
            <w:tcW w:w="1380" w:type="dxa"/>
            <w:vAlign w:val="bottom"/>
            <w:tcBorders>
              <w:bottom w:val="single" w:sz="8" w:color="0071CE"/>
            </w:tcBorders>
          </w:tcPr>
          <w:p>
            <w:pPr>
              <w:spacing w:after="0"/>
              <w:rPr>
                <w:sz w:val="4"/>
                <w:szCs w:val="4"/>
                <w:color w:val="auto"/>
              </w:rPr>
            </w:pPr>
          </w:p>
        </w:tc>
        <w:tc>
          <w:tcPr>
            <w:tcW w:w="1180" w:type="dxa"/>
            <w:vAlign w:val="bottom"/>
            <w:tcBorders>
              <w:bottom w:val="single" w:sz="8" w:color="0071CE"/>
            </w:tcBorders>
          </w:tcPr>
          <w:p>
            <w:pPr>
              <w:spacing w:after="0"/>
              <w:rPr>
                <w:sz w:val="4"/>
                <w:szCs w:val="4"/>
                <w:color w:val="auto"/>
              </w:rPr>
            </w:pPr>
          </w:p>
        </w:tc>
        <w:tc>
          <w:tcPr>
            <w:tcW w:w="20" w:type="dxa"/>
            <w:vAlign w:val="bottom"/>
          </w:tcPr>
          <w:p>
            <w:pPr>
              <w:spacing w:after="0"/>
              <w:rPr>
                <w:sz w:val="4"/>
                <w:szCs w:val="4"/>
                <w:color w:val="auto"/>
              </w:rPr>
            </w:pPr>
          </w:p>
        </w:tc>
      </w:tr>
      <w:tr>
        <w:trPr>
          <w:trHeight w:val="236"/>
        </w:trPr>
        <w:tc>
          <w:tcPr>
            <w:tcW w:w="8440" w:type="dxa"/>
            <w:vAlign w:val="bottom"/>
            <w:tcBorders>
              <w:bottom w:val="single" w:sz="8" w:color="0071CE"/>
            </w:tcBorders>
            <w:shd w:val="clear" w:color="auto" w:fill="E5E5E5"/>
          </w:tcPr>
          <w:p>
            <w:pPr>
              <w:ind w:left="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0071CE"/>
            </w:tcBorders>
            <w:shd w:val="clear" w:color="auto" w:fill="E5E5E5"/>
          </w:tcPr>
          <w:p>
            <w:pPr>
              <w:jc w:val="right"/>
              <w:ind w:right="55"/>
              <w:spacing w:after="0"/>
              <w:rPr>
                <w:sz w:val="20"/>
                <w:szCs w:val="20"/>
                <w:color w:val="auto"/>
              </w:rPr>
            </w:pPr>
            <w:r>
              <w:rPr>
                <w:rFonts w:ascii="Arial" w:cs="Arial" w:eastAsia="Arial" w:hAnsi="Arial"/>
                <w:sz w:val="18"/>
                <w:szCs w:val="18"/>
                <w:color w:val="auto"/>
              </w:rPr>
              <w:t>$ 248,325</w:t>
            </w:r>
          </w:p>
        </w:tc>
        <w:tc>
          <w:tcPr>
            <w:tcW w:w="1180" w:type="dxa"/>
            <w:vAlign w:val="bottom"/>
            <w:tcBorders>
              <w:bottom w:val="single" w:sz="8" w:color="0071CE"/>
            </w:tcBorders>
            <w:shd w:val="clear" w:color="auto" w:fill="E5E5E5"/>
          </w:tcPr>
          <w:p>
            <w:pPr>
              <w:jc w:val="right"/>
              <w:ind w:right="133"/>
              <w:spacing w:after="0"/>
              <w:rPr>
                <w:sz w:val="20"/>
                <w:szCs w:val="20"/>
                <w:color w:val="auto"/>
              </w:rPr>
            </w:pPr>
            <w:r>
              <w:rPr>
                <w:rFonts w:ascii="Arial" w:cs="Arial" w:eastAsia="Arial" w:hAnsi="Arial"/>
                <w:sz w:val="18"/>
                <w:szCs w:val="18"/>
                <w:color w:val="auto"/>
              </w:rPr>
              <w:t>$ 253,500</w:t>
            </w:r>
          </w:p>
        </w:tc>
        <w:tc>
          <w:tcPr>
            <w:tcW w:w="20" w:type="dxa"/>
            <w:vAlign w:val="bottom"/>
          </w:tcPr>
          <w:p>
            <w:pPr>
              <w:spacing w:after="0"/>
              <w:rPr>
                <w:sz w:val="20"/>
                <w:szCs w:val="20"/>
                <w:color w:val="auto"/>
              </w:rPr>
            </w:pPr>
          </w:p>
        </w:tc>
      </w:tr>
    </w:tbl>
    <w:p>
      <w:pPr>
        <w:spacing w:after="0" w:line="86" w:lineRule="exact"/>
        <w:rPr>
          <w:sz w:val="20"/>
          <w:szCs w:val="20"/>
          <w:color w:val="auto"/>
        </w:rPr>
      </w:pPr>
    </w:p>
    <w:p>
      <w:pPr>
        <w:ind w:left="640" w:hanging="430"/>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Fees invoiced by RS&amp;J include year-end audit and periodic reviews of Forms 10-Q and 10-K.</w:t>
      </w:r>
    </w:p>
    <w:p>
      <w:pPr>
        <w:spacing w:after="0" w:line="81" w:lineRule="exact"/>
        <w:rPr>
          <w:rFonts w:ascii="Arial" w:cs="Arial" w:eastAsia="Arial" w:hAnsi="Arial"/>
          <w:sz w:val="14"/>
          <w:szCs w:val="14"/>
          <w:color w:val="auto"/>
        </w:rPr>
      </w:pPr>
    </w:p>
    <w:p>
      <w:pPr>
        <w:ind w:left="640" w:hanging="430"/>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Fees invoiced by RS&amp;J related to Comfort Letters and Consents for financings and registration statements, and other agreed-upon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91440</wp:posOffset>
            </wp:positionV>
            <wp:extent cx="984885"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40</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tabs>
          <w:tab w:leader="none" w:pos="206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Report of the Audit Committee</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Report of the Audit Committee</w:t>
      </w:r>
    </w:p>
    <w:p>
      <w:pPr>
        <w:spacing w:after="0" w:line="372" w:lineRule="exact"/>
        <w:rPr>
          <w:sz w:val="20"/>
          <w:szCs w:val="20"/>
          <w:color w:val="auto"/>
        </w:rPr>
      </w:pPr>
    </w:p>
    <w:p>
      <w:pPr>
        <w:ind w:left="220" w:right="60"/>
        <w:spacing w:after="0" w:line="253" w:lineRule="auto"/>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fiscal 2019, which include the consolidated balance sheets of the Company as of September 30, 2019 and September 30, 2018, and the related consolidated statements of operations, stockholders’ equity and cash flows for the fiscal years ended September 30, 2019, September 30, 2018 and September 30, 2017, and the notes thereto.</w:t>
      </w:r>
    </w:p>
    <w:p>
      <w:pPr>
        <w:spacing w:after="0" w:line="181" w:lineRule="exact"/>
        <w:rPr>
          <w:sz w:val="20"/>
          <w:szCs w:val="20"/>
          <w:color w:val="auto"/>
        </w:rPr>
      </w:pPr>
    </w:p>
    <w:p>
      <w:pPr>
        <w:jc w:val="both"/>
        <w:ind w:left="220" w:right="60"/>
        <w:spacing w:after="0" w:line="266"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At September 30, 2019, The Audit Committee of the Board was comprised of three directors and operates under a written charter adopted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Board. The members of the Audit Committee were William Waddill, Mauro Ferrari and Michael S. Perry. All members of the Audit Committee were “independent,” as defined in Rule 10A-3 under the Exchange Act and Rule 5605(c) of the Nasdaq Marketplace Rules, and are financially literate.</w:t>
      </w:r>
    </w:p>
    <w:p>
      <w:pPr>
        <w:spacing w:after="0" w:line="171" w:lineRule="exact"/>
        <w:rPr>
          <w:sz w:val="20"/>
          <w:szCs w:val="20"/>
          <w:color w:val="auto"/>
        </w:rPr>
      </w:pPr>
    </w:p>
    <w:p>
      <w:pPr>
        <w:ind w:left="220" w:right="140"/>
        <w:spacing w:after="0" w:line="259"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77" w:lineRule="exact"/>
        <w:rPr>
          <w:sz w:val="20"/>
          <w:szCs w:val="20"/>
          <w:color w:val="auto"/>
        </w:rPr>
      </w:pPr>
    </w:p>
    <w:p>
      <w:pPr>
        <w:ind w:left="220" w:right="60"/>
        <w:spacing w:after="0" w:line="252" w:lineRule="auto"/>
        <w:rPr>
          <w:sz w:val="20"/>
          <w:szCs w:val="20"/>
          <w:color w:val="auto"/>
        </w:rPr>
      </w:pPr>
      <w:r>
        <w:rPr>
          <w:rFonts w:ascii="Arial" w:cs="Arial" w:eastAsia="Arial" w:hAnsi="Arial"/>
          <w:sz w:val="16"/>
          <w:szCs w:val="16"/>
          <w:b w:val="1"/>
          <w:bCs w:val="1"/>
          <w:color w:val="auto"/>
        </w:rPr>
        <w:t xml:space="preserve">Review with Management and independent registered public accounting firm. </w:t>
      </w:r>
      <w:r>
        <w:rPr>
          <w:rFonts w:ascii="Arial" w:cs="Arial" w:eastAsia="Arial" w:hAnsi="Arial"/>
          <w:sz w:val="16"/>
          <w:szCs w:val="16"/>
          <w:color w:val="auto"/>
        </w:rPr>
        <w:t>On November 18, 2019, the Audit Committee consisted of William</w:t>
      </w:r>
      <w:r>
        <w:rPr>
          <w:rFonts w:ascii="Arial" w:cs="Arial" w:eastAsia="Arial" w:hAnsi="Arial"/>
          <w:sz w:val="16"/>
          <w:szCs w:val="16"/>
          <w:b w:val="1"/>
          <w:bCs w:val="1"/>
          <w:color w:val="auto"/>
        </w:rPr>
        <w:t xml:space="preserve"> </w:t>
      </w:r>
      <w:r>
        <w:rPr>
          <w:rFonts w:ascii="Arial" w:cs="Arial" w:eastAsia="Arial" w:hAnsi="Arial"/>
          <w:sz w:val="16"/>
          <w:szCs w:val="16"/>
          <w:color w:val="auto"/>
        </w:rPr>
        <w:t>Waddill, Mauro Ferrari and Michael S. Perry. On that date, the Audit Committee met separately to review the Company’s consolidated audited financial statements and held discussions with management and RS&amp;J. Management represented to the Audit Committee that the Company’s consolidated financial statements were prepared in accordance with generally accepted accounting principles. The members of the Audit Committee discussed with RS&amp;J matters required to be discussed under the applicable standards of the Public Company Accounting Oversight Board. 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81" w:lineRule="exact"/>
        <w:rPr>
          <w:sz w:val="20"/>
          <w:szCs w:val="20"/>
          <w:color w:val="auto"/>
        </w:rPr>
      </w:pPr>
    </w:p>
    <w:p>
      <w:pPr>
        <w:jc w:val="both"/>
        <w:ind w:left="220" w:right="120"/>
        <w:spacing w:after="0" w:line="259" w:lineRule="auto"/>
        <w:rPr>
          <w:sz w:val="20"/>
          <w:szCs w:val="20"/>
          <w:color w:val="auto"/>
        </w:rPr>
      </w:pPr>
      <w:r>
        <w:rPr>
          <w:rFonts w:ascii="Arial" w:cs="Arial" w:eastAsia="Arial" w:hAnsi="Arial"/>
          <w:sz w:val="16"/>
          <w:szCs w:val="16"/>
          <w:b w:val="1"/>
          <w:bCs w:val="1"/>
          <w:color w:val="auto"/>
        </w:rPr>
        <w:t xml:space="preserve">Conclusion. </w:t>
      </w:r>
      <w:r>
        <w:rPr>
          <w:rFonts w:ascii="Arial" w:cs="Arial" w:eastAsia="Arial" w:hAnsi="Arial"/>
          <w:sz w:val="16"/>
          <w:szCs w:val="16"/>
          <w:color w:val="auto"/>
        </w:rPr>
        <w:t>Based upon the Audit Committee’s review of the financial statements and discussions with management and RS&amp;J, the Audit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2019, as filed with the SEC.</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report is submitted by the Audit Committee of the Board.</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William Waddill, Chairman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Mauro Ferrari</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Michael S.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95885</wp:posOffset>
            </wp:positionV>
            <wp:extent cx="984885"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62"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41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Voting Securities of Principal Stockholders and Management</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Voting Securities of Principal Stockholders and Management</w:t>
      </w:r>
    </w:p>
    <w:p>
      <w:pPr>
        <w:spacing w:after="0" w:line="200" w:lineRule="exact"/>
        <w:rPr>
          <w:sz w:val="20"/>
          <w:szCs w:val="20"/>
          <w:color w:val="auto"/>
        </w:rPr>
      </w:pPr>
    </w:p>
    <w:p>
      <w:pPr>
        <w:spacing w:after="0" w:line="212"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The following table sets forth the beneficial ownership of the Company’s Common Stock as of January 14, 2020, by (i) each of the named executive officers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Pharmaceuticals, Inc., 177 E. Colorado Blvd, Suite 700, Pasadena, CA, 91105 unless otherwise indicated.</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60" w:type="dxa"/>
            <w:vAlign w:val="bottom"/>
            <w:shd w:val="clear" w:color="auto" w:fill="0071CE"/>
          </w:tcPr>
          <w:p>
            <w:pPr>
              <w:spacing w:after="0"/>
              <w:rPr>
                <w:sz w:val="16"/>
                <w:szCs w:val="16"/>
                <w:color w:val="auto"/>
              </w:rPr>
            </w:pPr>
          </w:p>
        </w:tc>
        <w:tc>
          <w:tcPr>
            <w:tcW w:w="1680" w:type="dxa"/>
            <w:vAlign w:val="bottom"/>
            <w:shd w:val="clear" w:color="auto" w:fill="0071CE"/>
          </w:tcPr>
          <w:p>
            <w:pPr>
              <w:spacing w:after="0"/>
              <w:rPr>
                <w:sz w:val="16"/>
                <w:szCs w:val="16"/>
                <w:color w:val="auto"/>
              </w:rPr>
            </w:pPr>
          </w:p>
        </w:tc>
        <w:tc>
          <w:tcPr>
            <w:tcW w:w="820" w:type="dxa"/>
            <w:vAlign w:val="bottom"/>
            <w:shd w:val="clear" w:color="auto" w:fill="0071CE"/>
          </w:tcPr>
          <w:p>
            <w:pPr>
              <w:spacing w:after="0"/>
              <w:rPr>
                <w:sz w:val="16"/>
                <w:szCs w:val="16"/>
                <w:color w:val="auto"/>
              </w:rPr>
            </w:pPr>
          </w:p>
        </w:tc>
        <w:tc>
          <w:tcPr>
            <w:tcW w:w="3900" w:type="dxa"/>
            <w:vAlign w:val="bottom"/>
            <w:shd w:val="clear" w:color="auto" w:fill="0071CE"/>
          </w:tcPr>
          <w:p>
            <w:pPr>
              <w:spacing w:after="0"/>
              <w:rPr>
                <w:sz w:val="16"/>
                <w:szCs w:val="16"/>
                <w:color w:val="auto"/>
              </w:rPr>
            </w:pPr>
          </w:p>
        </w:tc>
        <w:tc>
          <w:tcPr>
            <w:tcW w:w="4540" w:type="dxa"/>
            <w:vAlign w:val="bottom"/>
            <w:gridSpan w:val="2"/>
            <w:shd w:val="clear" w:color="auto" w:fill="0071CE"/>
          </w:tcPr>
          <w:p>
            <w:pPr>
              <w:jc w:val="right"/>
              <w:ind w:right="720"/>
              <w:spacing w:after="0"/>
              <w:rPr>
                <w:sz w:val="20"/>
                <w:szCs w:val="20"/>
                <w:color w:val="auto"/>
              </w:rPr>
            </w:pPr>
            <w:r>
              <w:rPr>
                <w:rFonts w:ascii="Arial" w:cs="Arial" w:eastAsia="Arial" w:hAnsi="Arial"/>
                <w:sz w:val="14"/>
                <w:szCs w:val="14"/>
                <w:b w:val="1"/>
                <w:bCs w:val="1"/>
                <w:color w:val="FFFFFF"/>
              </w:rPr>
              <w:t>Number and Percentage of Shares</w:t>
            </w:r>
          </w:p>
        </w:tc>
        <w:tc>
          <w:tcPr>
            <w:tcW w:w="0" w:type="dxa"/>
            <w:vAlign w:val="bottom"/>
          </w:tcPr>
          <w:p>
            <w:pPr>
              <w:spacing w:after="0"/>
              <w:rPr>
                <w:sz w:val="1"/>
                <w:szCs w:val="1"/>
                <w:color w:val="auto"/>
              </w:rPr>
            </w:pPr>
          </w:p>
        </w:tc>
      </w:tr>
      <w:tr>
        <w:trPr>
          <w:trHeight w:val="190"/>
        </w:trPr>
        <w:tc>
          <w:tcPr>
            <w:tcW w:w="60" w:type="dxa"/>
            <w:vAlign w:val="bottom"/>
            <w:shd w:val="clear" w:color="auto" w:fill="0071CE"/>
          </w:tcPr>
          <w:p>
            <w:pPr>
              <w:spacing w:after="0"/>
              <w:rPr>
                <w:sz w:val="16"/>
                <w:szCs w:val="16"/>
                <w:color w:val="auto"/>
              </w:rPr>
            </w:pPr>
          </w:p>
        </w:tc>
        <w:tc>
          <w:tcPr>
            <w:tcW w:w="1680" w:type="dxa"/>
            <w:vAlign w:val="bottom"/>
            <w:shd w:val="clear" w:color="auto" w:fill="0071CE"/>
          </w:tcPr>
          <w:p>
            <w:pPr>
              <w:spacing w:after="0"/>
              <w:rPr>
                <w:sz w:val="16"/>
                <w:szCs w:val="16"/>
                <w:color w:val="auto"/>
              </w:rPr>
            </w:pPr>
          </w:p>
        </w:tc>
        <w:tc>
          <w:tcPr>
            <w:tcW w:w="820" w:type="dxa"/>
            <w:vAlign w:val="bottom"/>
            <w:shd w:val="clear" w:color="auto" w:fill="0071CE"/>
          </w:tcPr>
          <w:p>
            <w:pPr>
              <w:spacing w:after="0"/>
              <w:rPr>
                <w:sz w:val="16"/>
                <w:szCs w:val="16"/>
                <w:color w:val="auto"/>
              </w:rPr>
            </w:pPr>
          </w:p>
        </w:tc>
        <w:tc>
          <w:tcPr>
            <w:tcW w:w="3900" w:type="dxa"/>
            <w:vAlign w:val="bottom"/>
            <w:shd w:val="clear" w:color="auto" w:fill="0071CE"/>
          </w:tcPr>
          <w:p>
            <w:pPr>
              <w:spacing w:after="0"/>
              <w:rPr>
                <w:sz w:val="16"/>
                <w:szCs w:val="16"/>
                <w:color w:val="auto"/>
              </w:rPr>
            </w:pPr>
          </w:p>
        </w:tc>
        <w:tc>
          <w:tcPr>
            <w:tcW w:w="3360" w:type="dxa"/>
            <w:vAlign w:val="bottom"/>
            <w:shd w:val="clear" w:color="auto" w:fill="0071CE"/>
          </w:tcPr>
          <w:p>
            <w:pPr>
              <w:jc w:val="right"/>
              <w:spacing w:after="0"/>
              <w:rPr>
                <w:sz w:val="20"/>
                <w:szCs w:val="20"/>
                <w:color w:val="auto"/>
              </w:rPr>
            </w:pPr>
            <w:r>
              <w:rPr>
                <w:rFonts w:ascii="Arial" w:cs="Arial" w:eastAsia="Arial" w:hAnsi="Arial"/>
                <w:sz w:val="14"/>
                <w:szCs w:val="14"/>
                <w:b w:val="1"/>
                <w:bCs w:val="1"/>
                <w:color w:val="FFFFFF"/>
              </w:rPr>
              <w:t>Beneficially Owned (1)</w:t>
            </w:r>
          </w:p>
        </w:tc>
        <w:tc>
          <w:tcPr>
            <w:tcW w:w="1180" w:type="dxa"/>
            <w:vAlign w:val="bottom"/>
            <w:shd w:val="clear" w:color="auto" w:fill="0071C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 w:type="dxa"/>
            <w:vAlign w:val="bottom"/>
            <w:shd w:val="clear" w:color="auto" w:fill="0071CE"/>
          </w:tcPr>
          <w:p>
            <w:pPr>
              <w:spacing w:after="0"/>
              <w:rPr>
                <w:sz w:val="19"/>
                <w:szCs w:val="19"/>
                <w:color w:val="auto"/>
              </w:rPr>
            </w:pPr>
          </w:p>
        </w:tc>
        <w:tc>
          <w:tcPr>
            <w:tcW w:w="1680" w:type="dxa"/>
            <w:vAlign w:val="bottom"/>
            <w:shd w:val="clear" w:color="auto" w:fill="0071CE"/>
          </w:tcPr>
          <w:p>
            <w:pPr>
              <w:spacing w:after="0"/>
              <w:rPr>
                <w:sz w:val="19"/>
                <w:szCs w:val="19"/>
                <w:color w:val="auto"/>
              </w:rPr>
            </w:pPr>
          </w:p>
        </w:tc>
        <w:tc>
          <w:tcPr>
            <w:tcW w:w="820" w:type="dxa"/>
            <w:vAlign w:val="bottom"/>
            <w:shd w:val="clear" w:color="auto" w:fill="0071CE"/>
          </w:tcPr>
          <w:p>
            <w:pPr>
              <w:spacing w:after="0"/>
              <w:rPr>
                <w:sz w:val="19"/>
                <w:szCs w:val="19"/>
                <w:color w:val="auto"/>
              </w:rPr>
            </w:pPr>
          </w:p>
        </w:tc>
        <w:tc>
          <w:tcPr>
            <w:tcW w:w="3900" w:type="dxa"/>
            <w:vAlign w:val="bottom"/>
            <w:shd w:val="clear" w:color="auto" w:fill="0071CE"/>
          </w:tcPr>
          <w:p>
            <w:pPr>
              <w:spacing w:after="0"/>
              <w:rPr>
                <w:sz w:val="19"/>
                <w:szCs w:val="19"/>
                <w:color w:val="auto"/>
              </w:rPr>
            </w:pPr>
          </w:p>
        </w:tc>
        <w:tc>
          <w:tcPr>
            <w:tcW w:w="3360" w:type="dxa"/>
            <w:vAlign w:val="bottom"/>
            <w:shd w:val="clear" w:color="auto" w:fill="0071CE"/>
          </w:tcPr>
          <w:p>
            <w:pPr>
              <w:jc w:val="right"/>
              <w:ind w:right="1561"/>
              <w:spacing w:after="0"/>
              <w:rPr>
                <w:sz w:val="20"/>
                <w:szCs w:val="20"/>
                <w:color w:val="auto"/>
              </w:rPr>
            </w:pPr>
            <w:r>
              <w:rPr>
                <w:rFonts w:ascii="Arial" w:cs="Arial" w:eastAsia="Arial" w:hAnsi="Arial"/>
                <w:sz w:val="14"/>
                <w:szCs w:val="14"/>
                <w:b w:val="1"/>
                <w:bCs w:val="1"/>
                <w:color w:val="FFFFFF"/>
              </w:rPr>
              <w:t>Shares</w:t>
            </w:r>
          </w:p>
        </w:tc>
        <w:tc>
          <w:tcPr>
            <w:tcW w:w="1180" w:type="dxa"/>
            <w:vAlign w:val="bottom"/>
            <w:shd w:val="clear" w:color="auto" w:fill="0071CE"/>
          </w:tcPr>
          <w:p>
            <w:pPr>
              <w:jc w:val="right"/>
              <w:ind w:right="320"/>
              <w:spacing w:after="0"/>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236"/>
        </w:trPr>
        <w:tc>
          <w:tcPr>
            <w:tcW w:w="60" w:type="dxa"/>
            <w:vAlign w:val="bottom"/>
            <w:shd w:val="clear" w:color="auto" w:fill="E5E5E5"/>
          </w:tcPr>
          <w:p>
            <w:pPr>
              <w:spacing w:after="0"/>
              <w:rPr>
                <w:sz w:val="20"/>
                <w:szCs w:val="20"/>
                <w:color w:val="auto"/>
              </w:rPr>
            </w:pPr>
          </w:p>
        </w:tc>
        <w:tc>
          <w:tcPr>
            <w:tcW w:w="6400" w:type="dxa"/>
            <w:vAlign w:val="bottom"/>
            <w:gridSpan w:val="3"/>
            <w:shd w:val="clear" w:color="auto" w:fill="E5E5E5"/>
          </w:tcPr>
          <w:p>
            <w:pPr>
              <w:spacing w:after="0"/>
              <w:rPr>
                <w:sz w:val="20"/>
                <w:szCs w:val="20"/>
                <w:color w:val="auto"/>
              </w:rPr>
            </w:pPr>
            <w:r>
              <w:rPr>
                <w:rFonts w:ascii="Arial" w:cs="Arial" w:eastAsia="Arial" w:hAnsi="Arial"/>
                <w:sz w:val="16"/>
                <w:szCs w:val="16"/>
                <w:b w:val="1"/>
                <w:bCs w:val="1"/>
                <w:color w:val="auto"/>
              </w:rPr>
              <w:t>5% Beneficial Owners</w:t>
            </w:r>
          </w:p>
        </w:tc>
        <w:tc>
          <w:tcPr>
            <w:tcW w:w="3360" w:type="dxa"/>
            <w:vAlign w:val="bottom"/>
            <w:shd w:val="clear" w:color="auto" w:fill="E5E5E5"/>
          </w:tcPr>
          <w:p>
            <w:pPr>
              <w:spacing w:after="0"/>
              <w:rPr>
                <w:sz w:val="20"/>
                <w:szCs w:val="20"/>
                <w:color w:val="auto"/>
              </w:rPr>
            </w:pPr>
          </w:p>
        </w:tc>
        <w:tc>
          <w:tcPr>
            <w:tcW w:w="11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0" w:type="dxa"/>
            <w:vAlign w:val="bottom"/>
            <w:tcBorders>
              <w:top w:val="single" w:sz="8" w:color="E5E5E5"/>
            </w:tcBorders>
          </w:tcPr>
          <w:p>
            <w:pPr>
              <w:spacing w:after="0"/>
              <w:rPr>
                <w:sz w:val="20"/>
                <w:szCs w:val="20"/>
                <w:color w:val="auto"/>
              </w:rPr>
            </w:pPr>
          </w:p>
        </w:tc>
        <w:tc>
          <w:tcPr>
            <w:tcW w:w="16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BlackRock Inc (2)</w:t>
            </w:r>
          </w:p>
        </w:tc>
        <w:tc>
          <w:tcPr>
            <w:tcW w:w="4720" w:type="dxa"/>
            <w:vAlign w:val="bottom"/>
            <w:tcBorders>
              <w:top w:val="single" w:sz="8" w:color="E5E5E5"/>
            </w:tcBorders>
            <w:gridSpan w:val="2"/>
          </w:tcPr>
          <w:p>
            <w:pPr>
              <w:spacing w:after="0"/>
              <w:rPr>
                <w:sz w:val="20"/>
                <w:szCs w:val="20"/>
                <w:color w:val="auto"/>
              </w:rPr>
            </w:pPr>
          </w:p>
        </w:tc>
        <w:tc>
          <w:tcPr>
            <w:tcW w:w="3360" w:type="dxa"/>
            <w:vAlign w:val="bottom"/>
            <w:tcBorders>
              <w:top w:val="single" w:sz="8" w:color="E5E5E5"/>
            </w:tcBorders>
            <w:vMerge w:val="restart"/>
          </w:tcPr>
          <w:p>
            <w:pPr>
              <w:jc w:val="right"/>
              <w:ind w:right="1361"/>
              <w:spacing w:after="0"/>
              <w:rPr>
                <w:sz w:val="20"/>
                <w:szCs w:val="20"/>
                <w:color w:val="auto"/>
              </w:rPr>
            </w:pPr>
            <w:r>
              <w:rPr>
                <w:rFonts w:ascii="Arial" w:cs="Arial" w:eastAsia="Arial" w:hAnsi="Arial"/>
                <w:sz w:val="16"/>
                <w:szCs w:val="16"/>
                <w:color w:val="auto"/>
              </w:rPr>
              <w:t>14,869,280</w:t>
            </w:r>
          </w:p>
        </w:tc>
        <w:tc>
          <w:tcPr>
            <w:tcW w:w="1180" w:type="dxa"/>
            <w:vAlign w:val="bottom"/>
            <w:tcBorders>
              <w:top w:val="single" w:sz="8" w:color="E5E5E5"/>
            </w:tcBorders>
            <w:vMerge w:val="restart"/>
          </w:tcPr>
          <w:p>
            <w:pPr>
              <w:jc w:val="right"/>
              <w:ind w:right="38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73"/>
        </w:trPr>
        <w:tc>
          <w:tcPr>
            <w:tcW w:w="6460" w:type="dxa"/>
            <w:vAlign w:val="bottom"/>
            <w:gridSpan w:val="4"/>
            <w:vMerge w:val="restart"/>
          </w:tcPr>
          <w:p>
            <w:pPr>
              <w:ind w:left="60"/>
              <w:spacing w:after="0"/>
              <w:rPr>
                <w:sz w:val="20"/>
                <w:szCs w:val="20"/>
                <w:color w:val="auto"/>
              </w:rPr>
            </w:pPr>
            <w:r>
              <w:rPr>
                <w:rFonts w:ascii="Arial" w:cs="Arial" w:eastAsia="Arial" w:hAnsi="Arial"/>
                <w:sz w:val="16"/>
                <w:szCs w:val="16"/>
                <w:color w:val="auto"/>
              </w:rPr>
              <w:t>55 East 52nd Street, New York, NY 10055</w:t>
            </w:r>
          </w:p>
        </w:tc>
        <w:tc>
          <w:tcPr>
            <w:tcW w:w="33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6460" w:type="dxa"/>
            <w:vAlign w:val="bottom"/>
            <w:gridSpan w:val="4"/>
            <w:vMerge w:val="continue"/>
          </w:tcPr>
          <w:p>
            <w:pPr>
              <w:spacing w:after="0"/>
              <w:rPr>
                <w:sz w:val="11"/>
                <w:szCs w:val="11"/>
                <w:color w:val="auto"/>
              </w:rPr>
            </w:pPr>
          </w:p>
        </w:tc>
        <w:tc>
          <w:tcPr>
            <w:tcW w:w="3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60" w:type="dxa"/>
            <w:vAlign w:val="bottom"/>
            <w:shd w:val="clear" w:color="auto" w:fill="E5E5E5"/>
          </w:tcPr>
          <w:p>
            <w:pPr>
              <w:spacing w:after="0"/>
              <w:rPr>
                <w:sz w:val="20"/>
                <w:szCs w:val="20"/>
                <w:color w:val="auto"/>
              </w:rPr>
            </w:pPr>
          </w:p>
        </w:tc>
        <w:tc>
          <w:tcPr>
            <w:tcW w:w="6400" w:type="dxa"/>
            <w:vAlign w:val="bottom"/>
            <w:gridSpan w:val="3"/>
            <w:shd w:val="clear" w:color="auto" w:fill="E5E5E5"/>
          </w:tcPr>
          <w:p>
            <w:pPr>
              <w:ind w:left="20"/>
              <w:spacing w:after="0"/>
              <w:rPr>
                <w:sz w:val="20"/>
                <w:szCs w:val="20"/>
                <w:color w:val="auto"/>
              </w:rPr>
            </w:pPr>
            <w:r>
              <w:rPr>
                <w:rFonts w:ascii="Arial" w:cs="Arial" w:eastAsia="Arial" w:hAnsi="Arial"/>
                <w:sz w:val="16"/>
                <w:szCs w:val="16"/>
                <w:color w:val="auto"/>
              </w:rPr>
              <w:t>The Vanguard Group (3)</w:t>
            </w:r>
          </w:p>
        </w:tc>
        <w:tc>
          <w:tcPr>
            <w:tcW w:w="3360" w:type="dxa"/>
            <w:vAlign w:val="bottom"/>
            <w:vMerge w:val="restart"/>
            <w:shd w:val="clear" w:color="auto" w:fill="E5E5E5"/>
          </w:tcPr>
          <w:p>
            <w:pPr>
              <w:jc w:val="right"/>
              <w:ind w:right="1361"/>
              <w:spacing w:after="0"/>
              <w:rPr>
                <w:sz w:val="20"/>
                <w:szCs w:val="20"/>
                <w:color w:val="auto"/>
              </w:rPr>
            </w:pPr>
            <w:r>
              <w:rPr>
                <w:rFonts w:ascii="Arial" w:cs="Arial" w:eastAsia="Arial" w:hAnsi="Arial"/>
                <w:sz w:val="16"/>
                <w:szCs w:val="16"/>
                <w:color w:val="auto"/>
              </w:rPr>
              <w:t>10,844,571</w:t>
            </w:r>
          </w:p>
        </w:tc>
        <w:tc>
          <w:tcPr>
            <w:tcW w:w="1180" w:type="dxa"/>
            <w:vAlign w:val="bottom"/>
            <w:vMerge w:val="restart"/>
            <w:shd w:val="clear" w:color="auto" w:fill="E5E5E5"/>
          </w:tcPr>
          <w:p>
            <w:pPr>
              <w:jc w:val="right"/>
              <w:ind w:right="38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73"/>
        </w:trPr>
        <w:tc>
          <w:tcPr>
            <w:tcW w:w="6460" w:type="dxa"/>
            <w:vAlign w:val="bottom"/>
            <w:gridSpan w:val="4"/>
            <w:vMerge w:val="restart"/>
            <w:shd w:val="clear" w:color="auto" w:fill="E5E5E5"/>
          </w:tcPr>
          <w:p>
            <w:pPr>
              <w:ind w:left="60"/>
              <w:spacing w:after="0"/>
              <w:rPr>
                <w:sz w:val="20"/>
                <w:szCs w:val="20"/>
                <w:color w:val="auto"/>
              </w:rPr>
            </w:pPr>
            <w:r>
              <w:rPr>
                <w:rFonts w:ascii="Arial" w:cs="Arial" w:eastAsia="Arial" w:hAnsi="Arial"/>
                <w:sz w:val="16"/>
                <w:szCs w:val="16"/>
                <w:color w:val="auto"/>
              </w:rPr>
              <w:t>100 Vanguard Blvd., Malvern, PA 19355</w:t>
            </w:r>
          </w:p>
        </w:tc>
        <w:tc>
          <w:tcPr>
            <w:tcW w:w="3360" w:type="dxa"/>
            <w:vAlign w:val="bottom"/>
            <w:vMerge w:val="continue"/>
            <w:shd w:val="clear" w:color="auto" w:fill="E5E5E5"/>
          </w:tcPr>
          <w:p>
            <w:pPr>
              <w:spacing w:after="0"/>
              <w:rPr>
                <w:sz w:val="6"/>
                <w:szCs w:val="6"/>
                <w:color w:val="auto"/>
              </w:rPr>
            </w:pPr>
          </w:p>
        </w:tc>
        <w:tc>
          <w:tcPr>
            <w:tcW w:w="118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6460" w:type="dxa"/>
            <w:vAlign w:val="bottom"/>
            <w:gridSpan w:val="4"/>
            <w:vMerge w:val="continue"/>
            <w:shd w:val="clear" w:color="auto" w:fill="E5E5E5"/>
          </w:tcPr>
          <w:p>
            <w:pPr>
              <w:spacing w:after="0"/>
              <w:rPr>
                <w:sz w:val="12"/>
                <w:szCs w:val="12"/>
                <w:color w:val="auto"/>
              </w:rPr>
            </w:pPr>
          </w:p>
        </w:tc>
        <w:tc>
          <w:tcPr>
            <w:tcW w:w="3360" w:type="dxa"/>
            <w:vAlign w:val="bottom"/>
            <w:shd w:val="clear" w:color="auto" w:fill="E5E5E5"/>
          </w:tcPr>
          <w:p>
            <w:pPr>
              <w:spacing w:after="0"/>
              <w:rPr>
                <w:sz w:val="12"/>
                <w:szCs w:val="12"/>
                <w:color w:val="auto"/>
              </w:rPr>
            </w:pPr>
          </w:p>
        </w:tc>
        <w:tc>
          <w:tcPr>
            <w:tcW w:w="11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460" w:type="dxa"/>
            <w:vAlign w:val="bottom"/>
            <w:gridSpan w:val="4"/>
          </w:tcPr>
          <w:p>
            <w:pPr>
              <w:ind w:left="60"/>
              <w:spacing w:after="0"/>
              <w:rPr>
                <w:sz w:val="20"/>
                <w:szCs w:val="20"/>
                <w:color w:val="auto"/>
              </w:rPr>
            </w:pPr>
            <w:r>
              <w:rPr>
                <w:rFonts w:ascii="Arial" w:cs="Arial" w:eastAsia="Arial" w:hAnsi="Arial"/>
                <w:sz w:val="16"/>
                <w:szCs w:val="16"/>
                <w:b w:val="1"/>
                <w:bCs w:val="1"/>
                <w:color w:val="auto"/>
              </w:rPr>
              <w:t>Executive Officers and Directors</w:t>
            </w:r>
          </w:p>
        </w:tc>
        <w:tc>
          <w:tcPr>
            <w:tcW w:w="3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0" w:type="dxa"/>
            <w:vAlign w:val="bottom"/>
            <w:shd w:val="clear" w:color="auto" w:fill="E5E5E5"/>
          </w:tcPr>
          <w:p>
            <w:pPr>
              <w:spacing w:after="0"/>
              <w:rPr>
                <w:sz w:val="22"/>
                <w:szCs w:val="22"/>
                <w:color w:val="auto"/>
              </w:rPr>
            </w:pPr>
          </w:p>
        </w:tc>
        <w:tc>
          <w:tcPr>
            <w:tcW w:w="640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Christopher Anzalone (4)</w:t>
            </w:r>
          </w:p>
        </w:tc>
        <w:tc>
          <w:tcPr>
            <w:tcW w:w="3360" w:type="dxa"/>
            <w:vAlign w:val="bottom"/>
            <w:shd w:val="clear" w:color="auto" w:fill="E5E5E5"/>
          </w:tcPr>
          <w:p>
            <w:pPr>
              <w:jc w:val="right"/>
              <w:ind w:right="1361"/>
              <w:spacing w:after="0"/>
              <w:rPr>
                <w:sz w:val="20"/>
                <w:szCs w:val="20"/>
                <w:color w:val="auto"/>
              </w:rPr>
            </w:pPr>
            <w:r>
              <w:rPr>
                <w:rFonts w:ascii="Arial" w:cs="Arial" w:eastAsia="Arial" w:hAnsi="Arial"/>
                <w:sz w:val="16"/>
                <w:szCs w:val="16"/>
                <w:color w:val="auto"/>
              </w:rPr>
              <w:t>2,350,780</w:t>
            </w:r>
          </w:p>
        </w:tc>
        <w:tc>
          <w:tcPr>
            <w:tcW w:w="1180" w:type="dxa"/>
            <w:vAlign w:val="bottom"/>
            <w:shd w:val="clear" w:color="auto" w:fill="E5E5E5"/>
          </w:tcPr>
          <w:p>
            <w:pPr>
              <w:jc w:val="right"/>
              <w:ind w:right="3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6400" w:type="dxa"/>
            <w:vAlign w:val="bottom"/>
            <w:gridSpan w:val="3"/>
          </w:tcPr>
          <w:p>
            <w:pPr>
              <w:ind w:left="420"/>
              <w:spacing w:after="0"/>
              <w:rPr>
                <w:sz w:val="20"/>
                <w:szCs w:val="20"/>
                <w:color w:val="auto"/>
              </w:rPr>
            </w:pPr>
            <w:r>
              <w:rPr>
                <w:rFonts w:ascii="Arial" w:cs="Arial" w:eastAsia="Arial" w:hAnsi="Arial"/>
                <w:sz w:val="16"/>
                <w:szCs w:val="16"/>
                <w:color w:val="auto"/>
              </w:rPr>
              <w:t>Kenneth Myszkowski (5)</w:t>
            </w:r>
          </w:p>
        </w:tc>
        <w:tc>
          <w:tcPr>
            <w:tcW w:w="3360" w:type="dxa"/>
            <w:vAlign w:val="bottom"/>
          </w:tcPr>
          <w:p>
            <w:pPr>
              <w:jc w:val="right"/>
              <w:ind w:right="1361"/>
              <w:spacing w:after="0"/>
              <w:rPr>
                <w:sz w:val="20"/>
                <w:szCs w:val="20"/>
                <w:color w:val="auto"/>
              </w:rPr>
            </w:pPr>
            <w:r>
              <w:rPr>
                <w:rFonts w:ascii="Arial" w:cs="Arial" w:eastAsia="Arial" w:hAnsi="Arial"/>
                <w:sz w:val="16"/>
                <w:szCs w:val="16"/>
                <w:color w:val="auto"/>
              </w:rPr>
              <w:t>354,402</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60" w:type="dxa"/>
            <w:vAlign w:val="bottom"/>
            <w:shd w:val="clear" w:color="auto" w:fill="E5E5E5"/>
          </w:tcPr>
          <w:p>
            <w:pPr>
              <w:spacing w:after="0"/>
              <w:rPr>
                <w:sz w:val="23"/>
                <w:szCs w:val="23"/>
                <w:color w:val="auto"/>
              </w:rPr>
            </w:pPr>
          </w:p>
        </w:tc>
        <w:tc>
          <w:tcPr>
            <w:tcW w:w="640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Bruce D. Given (6)</w:t>
            </w:r>
          </w:p>
        </w:tc>
        <w:tc>
          <w:tcPr>
            <w:tcW w:w="3360" w:type="dxa"/>
            <w:vAlign w:val="bottom"/>
            <w:shd w:val="clear" w:color="auto" w:fill="E5E5E5"/>
          </w:tcPr>
          <w:p>
            <w:pPr>
              <w:jc w:val="right"/>
              <w:ind w:right="1361"/>
              <w:spacing w:after="0"/>
              <w:rPr>
                <w:sz w:val="20"/>
                <w:szCs w:val="20"/>
                <w:color w:val="auto"/>
              </w:rPr>
            </w:pPr>
            <w:r>
              <w:rPr>
                <w:rFonts w:ascii="Arial" w:cs="Arial" w:eastAsia="Arial" w:hAnsi="Arial"/>
                <w:sz w:val="16"/>
                <w:szCs w:val="16"/>
                <w:color w:val="auto"/>
              </w:rPr>
              <w:t>713,993</w:t>
            </w:r>
          </w:p>
        </w:tc>
        <w:tc>
          <w:tcPr>
            <w:tcW w:w="1180" w:type="dxa"/>
            <w:vAlign w:val="bottom"/>
            <w:shd w:val="clear" w:color="auto" w:fill="E5E5E5"/>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6400" w:type="dxa"/>
            <w:vAlign w:val="bottom"/>
            <w:gridSpan w:val="3"/>
          </w:tcPr>
          <w:p>
            <w:pPr>
              <w:ind w:left="420"/>
              <w:spacing w:after="0"/>
              <w:rPr>
                <w:sz w:val="20"/>
                <w:szCs w:val="20"/>
                <w:color w:val="auto"/>
              </w:rPr>
            </w:pPr>
            <w:r>
              <w:rPr>
                <w:rFonts w:ascii="Arial" w:cs="Arial" w:eastAsia="Arial" w:hAnsi="Arial"/>
                <w:sz w:val="16"/>
                <w:szCs w:val="16"/>
                <w:color w:val="auto"/>
              </w:rPr>
              <w:t>Patrick O’Brien (7)</w:t>
            </w:r>
          </w:p>
        </w:tc>
        <w:tc>
          <w:tcPr>
            <w:tcW w:w="3360" w:type="dxa"/>
            <w:vAlign w:val="bottom"/>
          </w:tcPr>
          <w:p>
            <w:pPr>
              <w:jc w:val="right"/>
              <w:ind w:right="1361"/>
              <w:spacing w:after="0"/>
              <w:rPr>
                <w:sz w:val="20"/>
                <w:szCs w:val="20"/>
                <w:color w:val="auto"/>
              </w:rPr>
            </w:pPr>
            <w:r>
              <w:rPr>
                <w:rFonts w:ascii="Arial" w:cs="Arial" w:eastAsia="Arial" w:hAnsi="Arial"/>
                <w:sz w:val="16"/>
                <w:szCs w:val="16"/>
                <w:color w:val="auto"/>
              </w:rPr>
              <w:t>255,875</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60" w:type="dxa"/>
            <w:vAlign w:val="bottom"/>
            <w:shd w:val="clear" w:color="auto" w:fill="E5E5E5"/>
          </w:tcPr>
          <w:p>
            <w:pPr>
              <w:spacing w:after="0"/>
              <w:rPr>
                <w:sz w:val="23"/>
                <w:szCs w:val="23"/>
                <w:color w:val="auto"/>
              </w:rPr>
            </w:pPr>
          </w:p>
        </w:tc>
        <w:tc>
          <w:tcPr>
            <w:tcW w:w="640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Douglass Given</w:t>
            </w:r>
          </w:p>
        </w:tc>
        <w:tc>
          <w:tcPr>
            <w:tcW w:w="3360" w:type="dxa"/>
            <w:vAlign w:val="bottom"/>
            <w:shd w:val="clear" w:color="auto" w:fill="E5E5E5"/>
          </w:tcPr>
          <w:p>
            <w:pPr>
              <w:jc w:val="right"/>
              <w:ind w:right="1361"/>
              <w:spacing w:after="0"/>
              <w:rPr>
                <w:sz w:val="20"/>
                <w:szCs w:val="20"/>
                <w:color w:val="auto"/>
              </w:rPr>
            </w:pPr>
            <w:r>
              <w:rPr>
                <w:rFonts w:ascii="Arial" w:cs="Arial" w:eastAsia="Arial" w:hAnsi="Arial"/>
                <w:sz w:val="16"/>
                <w:szCs w:val="16"/>
                <w:color w:val="auto"/>
              </w:rPr>
              <w:t>172,925</w:t>
            </w:r>
          </w:p>
        </w:tc>
        <w:tc>
          <w:tcPr>
            <w:tcW w:w="1180" w:type="dxa"/>
            <w:vAlign w:val="bottom"/>
            <w:shd w:val="clear" w:color="auto" w:fill="E5E5E5"/>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6400" w:type="dxa"/>
            <w:vAlign w:val="bottom"/>
            <w:gridSpan w:val="3"/>
          </w:tcPr>
          <w:p>
            <w:pPr>
              <w:ind w:left="420"/>
              <w:spacing w:after="0"/>
              <w:rPr>
                <w:sz w:val="20"/>
                <w:szCs w:val="20"/>
                <w:color w:val="auto"/>
              </w:rPr>
            </w:pPr>
            <w:r>
              <w:rPr>
                <w:rFonts w:ascii="Arial" w:cs="Arial" w:eastAsia="Arial" w:hAnsi="Arial"/>
                <w:sz w:val="16"/>
                <w:szCs w:val="16"/>
                <w:color w:val="auto"/>
              </w:rPr>
              <w:t>Michael S. Perry (8)</w:t>
            </w:r>
          </w:p>
        </w:tc>
        <w:tc>
          <w:tcPr>
            <w:tcW w:w="3360" w:type="dxa"/>
            <w:vAlign w:val="bottom"/>
          </w:tcPr>
          <w:p>
            <w:pPr>
              <w:jc w:val="right"/>
              <w:ind w:right="1361"/>
              <w:spacing w:after="0"/>
              <w:rPr>
                <w:sz w:val="20"/>
                <w:szCs w:val="20"/>
                <w:color w:val="auto"/>
              </w:rPr>
            </w:pPr>
            <w:r>
              <w:rPr>
                <w:rFonts w:ascii="Arial" w:cs="Arial" w:eastAsia="Arial" w:hAnsi="Arial"/>
                <w:sz w:val="16"/>
                <w:szCs w:val="16"/>
                <w:color w:val="auto"/>
              </w:rPr>
              <w:t>113,000</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60" w:type="dxa"/>
            <w:vAlign w:val="bottom"/>
            <w:shd w:val="clear" w:color="auto" w:fill="E5E5E5"/>
          </w:tcPr>
          <w:p>
            <w:pPr>
              <w:spacing w:after="0"/>
              <w:rPr>
                <w:sz w:val="23"/>
                <w:szCs w:val="23"/>
                <w:color w:val="auto"/>
              </w:rPr>
            </w:pPr>
          </w:p>
        </w:tc>
        <w:tc>
          <w:tcPr>
            <w:tcW w:w="640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Mauro Ferrari (9)</w:t>
            </w:r>
          </w:p>
        </w:tc>
        <w:tc>
          <w:tcPr>
            <w:tcW w:w="3360" w:type="dxa"/>
            <w:vAlign w:val="bottom"/>
            <w:shd w:val="clear" w:color="auto" w:fill="E5E5E5"/>
          </w:tcPr>
          <w:p>
            <w:pPr>
              <w:jc w:val="right"/>
              <w:ind w:right="1361"/>
              <w:spacing w:after="0"/>
              <w:rPr>
                <w:sz w:val="20"/>
                <w:szCs w:val="20"/>
                <w:color w:val="auto"/>
              </w:rPr>
            </w:pPr>
            <w:r>
              <w:rPr>
                <w:rFonts w:ascii="Arial" w:cs="Arial" w:eastAsia="Arial" w:hAnsi="Arial"/>
                <w:sz w:val="16"/>
                <w:szCs w:val="16"/>
                <w:color w:val="auto"/>
              </w:rPr>
              <w:t>26,900</w:t>
            </w:r>
          </w:p>
        </w:tc>
        <w:tc>
          <w:tcPr>
            <w:tcW w:w="1180" w:type="dxa"/>
            <w:vAlign w:val="bottom"/>
            <w:shd w:val="clear" w:color="auto" w:fill="E5E5E5"/>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400" w:type="dxa"/>
            <w:vAlign w:val="bottom"/>
            <w:gridSpan w:val="3"/>
          </w:tcPr>
          <w:p>
            <w:pPr>
              <w:ind w:left="420"/>
              <w:spacing w:after="0"/>
              <w:rPr>
                <w:sz w:val="20"/>
                <w:szCs w:val="20"/>
                <w:color w:val="auto"/>
              </w:rPr>
            </w:pPr>
            <w:r>
              <w:rPr>
                <w:rFonts w:ascii="Arial" w:cs="Arial" w:eastAsia="Arial" w:hAnsi="Arial"/>
                <w:sz w:val="16"/>
                <w:szCs w:val="16"/>
                <w:color w:val="auto"/>
              </w:rPr>
              <w:t>William Waddill</w:t>
            </w:r>
          </w:p>
        </w:tc>
        <w:tc>
          <w:tcPr>
            <w:tcW w:w="3360" w:type="dxa"/>
            <w:vAlign w:val="bottom"/>
          </w:tcPr>
          <w:p>
            <w:pPr>
              <w:jc w:val="right"/>
              <w:ind w:right="1361"/>
              <w:spacing w:after="0"/>
              <w:rPr>
                <w:sz w:val="20"/>
                <w:szCs w:val="20"/>
                <w:color w:val="auto"/>
              </w:rPr>
            </w:pPr>
            <w:r>
              <w:rPr>
                <w:rFonts w:ascii="Arial" w:cs="Arial" w:eastAsia="Arial" w:hAnsi="Arial"/>
                <w:sz w:val="16"/>
                <w:szCs w:val="16"/>
                <w:color w:val="auto"/>
              </w:rPr>
              <w:t>46,500</w:t>
            </w: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0" w:type="dxa"/>
            <w:vAlign w:val="bottom"/>
            <w:shd w:val="clear" w:color="auto" w:fill="E5E5E5"/>
          </w:tcPr>
          <w:p>
            <w:pPr>
              <w:spacing w:after="0"/>
              <w:rPr>
                <w:sz w:val="22"/>
                <w:szCs w:val="22"/>
                <w:color w:val="auto"/>
              </w:rPr>
            </w:pPr>
          </w:p>
        </w:tc>
        <w:tc>
          <w:tcPr>
            <w:tcW w:w="640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Marianne De Backer</w:t>
            </w:r>
          </w:p>
        </w:tc>
        <w:tc>
          <w:tcPr>
            <w:tcW w:w="3360" w:type="dxa"/>
            <w:vAlign w:val="bottom"/>
            <w:shd w:val="clear" w:color="auto" w:fill="E5E5E5"/>
          </w:tcPr>
          <w:p>
            <w:pPr>
              <w:jc w:val="right"/>
              <w:ind w:right="1361"/>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0" w:type="dxa"/>
            <w:vAlign w:val="bottom"/>
            <w:tcBorders>
              <w:bottom w:val="single" w:sz="8" w:color="0071CE"/>
            </w:tcBorders>
          </w:tcPr>
          <w:p>
            <w:pPr>
              <w:spacing w:after="0"/>
              <w:rPr>
                <w:sz w:val="21"/>
                <w:szCs w:val="21"/>
                <w:color w:val="auto"/>
              </w:rPr>
            </w:pPr>
          </w:p>
        </w:tc>
        <w:tc>
          <w:tcPr>
            <w:tcW w:w="6400" w:type="dxa"/>
            <w:vAlign w:val="bottom"/>
            <w:tcBorders>
              <w:bottom w:val="single" w:sz="8" w:color="0071CE"/>
            </w:tcBorders>
            <w:gridSpan w:val="3"/>
          </w:tcPr>
          <w:p>
            <w:pPr>
              <w:ind w:left="420"/>
              <w:spacing w:after="0"/>
              <w:rPr>
                <w:sz w:val="20"/>
                <w:szCs w:val="20"/>
                <w:color w:val="auto"/>
              </w:rPr>
            </w:pPr>
            <w:r>
              <w:rPr>
                <w:rFonts w:ascii="Arial" w:cs="Arial" w:eastAsia="Arial" w:hAnsi="Arial"/>
                <w:sz w:val="16"/>
                <w:szCs w:val="16"/>
                <w:color w:val="auto"/>
              </w:rPr>
              <w:t>All Executive Officers and Directors as a group (9 persons) (10)</w:t>
            </w:r>
          </w:p>
        </w:tc>
        <w:tc>
          <w:tcPr>
            <w:tcW w:w="3360" w:type="dxa"/>
            <w:vAlign w:val="bottom"/>
            <w:tcBorders>
              <w:bottom w:val="single" w:sz="8" w:color="0071CE"/>
            </w:tcBorders>
          </w:tcPr>
          <w:p>
            <w:pPr>
              <w:jc w:val="right"/>
              <w:ind w:right="1361"/>
              <w:spacing w:after="0"/>
              <w:rPr>
                <w:sz w:val="20"/>
                <w:szCs w:val="20"/>
                <w:color w:val="auto"/>
              </w:rPr>
            </w:pPr>
            <w:r>
              <w:rPr>
                <w:rFonts w:ascii="Arial" w:cs="Arial" w:eastAsia="Arial" w:hAnsi="Arial"/>
                <w:sz w:val="16"/>
                <w:szCs w:val="16"/>
                <w:color w:val="auto"/>
              </w:rPr>
              <w:t>4,034,375</w:t>
            </w:r>
          </w:p>
        </w:tc>
        <w:tc>
          <w:tcPr>
            <w:tcW w:w="1180" w:type="dxa"/>
            <w:vAlign w:val="bottom"/>
            <w:tcBorders>
              <w:bottom w:val="single" w:sz="8" w:color="0071CE"/>
            </w:tcBorders>
          </w:tcPr>
          <w:p>
            <w:pPr>
              <w:jc w:val="right"/>
              <w:ind w:right="38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4622165</wp:posOffset>
            </wp:positionH>
            <wp:positionV relativeFrom="paragraph">
              <wp:posOffset>-2723515</wp:posOffset>
            </wp:positionV>
            <wp:extent cx="25012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01265" cy="8255"/>
                    </a:xfrm>
                    <a:prstGeom prst="rect">
                      <a:avLst/>
                    </a:prstGeom>
                    <a:noFill/>
                  </pic:spPr>
                </pic:pic>
              </a:graphicData>
            </a:graphic>
          </wp:anchor>
        </w:drawing>
      </w:r>
    </w:p>
    <w:p>
      <w:pPr>
        <w:spacing w:after="0" w:line="66" w:lineRule="exact"/>
        <w:rPr>
          <w:sz w:val="20"/>
          <w:szCs w:val="20"/>
          <w:color w:val="auto"/>
        </w:rPr>
      </w:pPr>
    </w:p>
    <w:p>
      <w:pPr>
        <w:ind w:left="640" w:hanging="430"/>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640" w:hanging="430"/>
        <w:spacing w:after="0" w:line="249" w:lineRule="auto"/>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101,529,466 shares of Common Stock issued and outstanding as of January 14, 2020. Shares not outstanding but deemed beneficially owned by virtue of the right of a person to acquire them as of January 14, 2020, or within sixty days of such date are treated as outstanding only when determining the percentage owned by such individual and when determining the percentage owned by a group.</w:t>
      </w:r>
    </w:p>
    <w:p>
      <w:pPr>
        <w:spacing w:after="0" w:line="65" w:lineRule="exact"/>
        <w:rPr>
          <w:rFonts w:ascii="Arial" w:cs="Arial" w:eastAsia="Arial" w:hAnsi="Arial"/>
          <w:sz w:val="14"/>
          <w:szCs w:val="14"/>
          <w:color w:val="auto"/>
        </w:rPr>
      </w:pPr>
    </w:p>
    <w:p>
      <w:pPr>
        <w:ind w:left="640" w:right="400" w:hanging="430"/>
        <w:spacing w:after="0" w:line="249" w:lineRule="auto"/>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a Schedule 13G filed October 10, 2019 by The Vanguard Group. According to the Form 13G, The Vanguard Group has sole voting power and sole dispositive power over 198,567 shares and 10,639,170 shares, respectively, and has shared voting power and shared dispositive power over 16,160 shares and 205,041 shares, respectively.</w:t>
      </w:r>
    </w:p>
    <w:p>
      <w:pPr>
        <w:spacing w:after="0" w:line="65" w:lineRule="exact"/>
        <w:rPr>
          <w:rFonts w:ascii="Arial" w:cs="Arial" w:eastAsia="Arial" w:hAnsi="Arial"/>
          <w:sz w:val="14"/>
          <w:szCs w:val="14"/>
          <w:color w:val="auto"/>
        </w:rPr>
      </w:pPr>
    </w:p>
    <w:p>
      <w:pPr>
        <w:ind w:left="640" w:right="200" w:hanging="430"/>
        <w:spacing w:after="0" w:line="257" w:lineRule="auto"/>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Amendment No. 1 to Schedule 13G filed on June 7, 2019 by BlackRock Inc. According to the Amendment No. 1, BlackRock Inc. has sole voting power of 14,646,012 shares and sole dispositive power with respect to all of the Arrowhead shares it beneficially holds.</w:t>
      </w:r>
    </w:p>
    <w:p>
      <w:pPr>
        <w:spacing w:after="0" w:line="59" w:lineRule="exact"/>
        <w:rPr>
          <w:rFonts w:ascii="Arial" w:cs="Arial" w:eastAsia="Arial" w:hAnsi="Arial"/>
          <w:sz w:val="14"/>
          <w:szCs w:val="14"/>
          <w:color w:val="auto"/>
        </w:rPr>
      </w:pPr>
    </w:p>
    <w:p>
      <w:pPr>
        <w:ind w:left="640" w:hanging="430"/>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945,543 shares issuable upon the exercise of stock options that are exercisable within 60 days of January 14, 2020.</w:t>
      </w:r>
    </w:p>
    <w:p>
      <w:pPr>
        <w:spacing w:after="0" w:line="81" w:lineRule="exact"/>
        <w:rPr>
          <w:rFonts w:ascii="Arial" w:cs="Arial" w:eastAsia="Arial" w:hAnsi="Arial"/>
          <w:sz w:val="14"/>
          <w:szCs w:val="14"/>
          <w:color w:val="auto"/>
        </w:rPr>
      </w:pPr>
    </w:p>
    <w:p>
      <w:pPr>
        <w:ind w:left="640" w:hanging="430"/>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149,467 shares issuable upon the exercise of stock options that are exercisable within 60 days of January 14, 2020.</w:t>
      </w:r>
    </w:p>
    <w:p>
      <w:pPr>
        <w:spacing w:after="0" w:line="81" w:lineRule="exact"/>
        <w:rPr>
          <w:rFonts w:ascii="Arial" w:cs="Arial" w:eastAsia="Arial" w:hAnsi="Arial"/>
          <w:sz w:val="14"/>
          <w:szCs w:val="14"/>
          <w:color w:val="auto"/>
        </w:rPr>
      </w:pPr>
    </w:p>
    <w:p>
      <w:pPr>
        <w:ind w:left="640" w:hanging="430"/>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350,000 shares issuable upon the exercise of stock options that are exercisable within 60 days of January 14, 2020.</w:t>
      </w:r>
    </w:p>
    <w:p>
      <w:pPr>
        <w:spacing w:after="0" w:line="81" w:lineRule="exact"/>
        <w:rPr>
          <w:rFonts w:ascii="Arial" w:cs="Arial" w:eastAsia="Arial" w:hAnsi="Arial"/>
          <w:sz w:val="14"/>
          <w:szCs w:val="14"/>
          <w:color w:val="auto"/>
        </w:rPr>
      </w:pPr>
    </w:p>
    <w:p>
      <w:pPr>
        <w:ind w:left="640" w:hanging="430"/>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150,000 shares issuable upon the exercise of stock options that are exercisable within 60 days of January 14, 2020.</w:t>
      </w:r>
    </w:p>
    <w:p>
      <w:pPr>
        <w:spacing w:after="0" w:line="81" w:lineRule="exact"/>
        <w:rPr>
          <w:rFonts w:ascii="Arial" w:cs="Arial" w:eastAsia="Arial" w:hAnsi="Arial"/>
          <w:sz w:val="14"/>
          <w:szCs w:val="14"/>
          <w:color w:val="auto"/>
        </w:rPr>
      </w:pPr>
    </w:p>
    <w:p>
      <w:pPr>
        <w:ind w:left="640" w:hanging="430"/>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77,000 shares issuable upon the exercise of stock options that are exercisable within 60 days of January 14, 2020.</w:t>
      </w:r>
    </w:p>
    <w:p>
      <w:pPr>
        <w:spacing w:after="0" w:line="81" w:lineRule="exact"/>
        <w:rPr>
          <w:rFonts w:ascii="Arial" w:cs="Arial" w:eastAsia="Arial" w:hAnsi="Arial"/>
          <w:sz w:val="14"/>
          <w:szCs w:val="14"/>
          <w:color w:val="auto"/>
        </w:rPr>
      </w:pPr>
    </w:p>
    <w:p>
      <w:pPr>
        <w:ind w:left="640" w:hanging="430"/>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20,000 shares issuable upon the exercise of stock options that are exercisable within 60 days of January 14, 2020.</w:t>
      </w:r>
    </w:p>
    <w:p>
      <w:pPr>
        <w:spacing w:after="0" w:line="81" w:lineRule="exact"/>
        <w:rPr>
          <w:rFonts w:ascii="Arial" w:cs="Arial" w:eastAsia="Arial" w:hAnsi="Arial"/>
          <w:sz w:val="14"/>
          <w:szCs w:val="14"/>
          <w:color w:val="auto"/>
        </w:rPr>
      </w:pPr>
    </w:p>
    <w:p>
      <w:pPr>
        <w:ind w:left="640" w:hanging="430"/>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1,692,010 shares issuable upon the exercise of stock options that are exercisable within 60 days of January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91440</wp:posOffset>
            </wp:positionV>
            <wp:extent cx="984885"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42</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0"/>
        <w:spacing w:after="0"/>
        <w:tabs>
          <w:tab w:leader="none" w:pos="266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Equity Compensation Plan Information</w:t>
      </w:r>
    </w:p>
    <w:p>
      <w:pPr>
        <w:spacing w:after="0" w:line="372" w:lineRule="exact"/>
        <w:rPr>
          <w:sz w:val="20"/>
          <w:szCs w:val="20"/>
          <w:color w:val="auto"/>
        </w:rPr>
      </w:pPr>
    </w:p>
    <w:p>
      <w:pPr>
        <w:ind w:left="220" w:right="420"/>
        <w:spacing w:after="0" w:line="260" w:lineRule="auto"/>
        <w:rPr>
          <w:sz w:val="20"/>
          <w:szCs w:val="20"/>
          <w:color w:val="auto"/>
        </w:rPr>
      </w:pPr>
      <w:r>
        <w:rPr>
          <w:rFonts w:ascii="Arial" w:cs="Arial" w:eastAsia="Arial" w:hAnsi="Arial"/>
          <w:sz w:val="16"/>
          <w:szCs w:val="16"/>
          <w:color w:val="auto"/>
        </w:rPr>
        <w:t>The following table provides information as of September 30, 2019 with respect to shares of our Common Stock that may be issued under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139700</wp:posOffset>
            </wp:positionV>
            <wp:extent cx="6989445" cy="13620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89445" cy="1362075"/>
                    </a:xfrm>
                    <a:prstGeom prst="rect">
                      <a:avLst/>
                    </a:prstGeom>
                    <a:noFill/>
                  </pic:spPr>
                </pic:pic>
              </a:graphicData>
            </a:graphic>
          </wp:anchor>
        </w:drawing>
      </w:r>
    </w:p>
    <w:p>
      <w:pPr>
        <w:spacing w:after="0" w:line="227"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FFFFFF"/>
        </w:rPr>
        <w:t>Equity Compensation Plan Information</w:t>
      </w:r>
    </w:p>
    <w:p>
      <w:pPr>
        <w:spacing w:after="0" w:line="68"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5380" w:type="dxa"/>
            <w:vAlign w:val="bottom"/>
            <w:tcBorders>
              <w:left w:val="single" w:sz="8" w:color="0071CE"/>
            </w:tcBorders>
          </w:tcPr>
          <w:p>
            <w:pPr>
              <w:spacing w:after="0"/>
              <w:rPr>
                <w:sz w:val="17"/>
                <w:szCs w:val="17"/>
                <w:color w:val="auto"/>
              </w:rPr>
            </w:pPr>
          </w:p>
        </w:tc>
        <w:tc>
          <w:tcPr>
            <w:tcW w:w="1680" w:type="dxa"/>
            <w:vAlign w:val="bottom"/>
            <w:shd w:val="clear" w:color="auto" w:fill="0071CE"/>
          </w:tcPr>
          <w:p>
            <w:pPr>
              <w:spacing w:after="0"/>
              <w:rPr>
                <w:sz w:val="17"/>
                <w:szCs w:val="17"/>
                <w:color w:val="auto"/>
              </w:rPr>
            </w:pPr>
          </w:p>
        </w:tc>
        <w:tc>
          <w:tcPr>
            <w:tcW w:w="680" w:type="dxa"/>
            <w:vAlign w:val="bottom"/>
            <w:shd w:val="clear" w:color="auto" w:fill="0071CE"/>
          </w:tcPr>
          <w:p>
            <w:pPr>
              <w:spacing w:after="0"/>
              <w:rPr>
                <w:sz w:val="17"/>
                <w:szCs w:val="17"/>
                <w:color w:val="auto"/>
              </w:rPr>
            </w:pPr>
          </w:p>
        </w:tc>
        <w:tc>
          <w:tcPr>
            <w:tcW w:w="1180" w:type="dxa"/>
            <w:vAlign w:val="bottom"/>
            <w:shd w:val="clear" w:color="auto" w:fill="0071CE"/>
          </w:tcPr>
          <w:p>
            <w:pPr>
              <w:spacing w:after="0"/>
              <w:rPr>
                <w:sz w:val="17"/>
                <w:szCs w:val="17"/>
                <w:color w:val="auto"/>
              </w:rPr>
            </w:pPr>
          </w:p>
        </w:tc>
        <w:tc>
          <w:tcPr>
            <w:tcW w:w="20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5380" w:type="dxa"/>
            <w:vAlign w:val="bottom"/>
            <w:tcBorders>
              <w:left w:val="single" w:sz="8" w:color="0071CE"/>
            </w:tcBorders>
          </w:tcPr>
          <w:p>
            <w:pPr>
              <w:spacing w:after="0"/>
              <w:rPr>
                <w:sz w:val="14"/>
                <w:szCs w:val="14"/>
                <w:color w:val="auto"/>
              </w:rPr>
            </w:pPr>
          </w:p>
        </w:tc>
        <w:tc>
          <w:tcPr>
            <w:tcW w:w="1680" w:type="dxa"/>
            <w:vAlign w:val="bottom"/>
            <w:shd w:val="clear" w:color="auto" w:fill="0071CE"/>
          </w:tcPr>
          <w:p>
            <w:pPr>
              <w:spacing w:after="0"/>
              <w:rPr>
                <w:sz w:val="14"/>
                <w:szCs w:val="14"/>
                <w:color w:val="auto"/>
              </w:rPr>
            </w:pPr>
          </w:p>
        </w:tc>
        <w:tc>
          <w:tcPr>
            <w:tcW w:w="680" w:type="dxa"/>
            <w:vAlign w:val="bottom"/>
            <w:shd w:val="clear" w:color="auto" w:fill="0071CE"/>
          </w:tcPr>
          <w:p>
            <w:pPr>
              <w:spacing w:after="0"/>
              <w:rPr>
                <w:sz w:val="14"/>
                <w:szCs w:val="14"/>
                <w:color w:val="auto"/>
              </w:rPr>
            </w:pPr>
          </w:p>
        </w:tc>
        <w:tc>
          <w:tcPr>
            <w:tcW w:w="1180" w:type="dxa"/>
            <w:vAlign w:val="bottom"/>
            <w:shd w:val="clear" w:color="auto" w:fill="0071CE"/>
          </w:tcPr>
          <w:p>
            <w:pPr>
              <w:spacing w:after="0"/>
              <w:rPr>
                <w:sz w:val="14"/>
                <w:szCs w:val="14"/>
                <w:color w:val="auto"/>
              </w:rPr>
            </w:pPr>
          </w:p>
        </w:tc>
        <w:tc>
          <w:tcPr>
            <w:tcW w:w="2080" w:type="dxa"/>
            <w:vAlign w:val="bottom"/>
            <w:shd w:val="clear" w:color="auto" w:fill="0071CE"/>
          </w:tcPr>
          <w:p>
            <w:pPr>
              <w:jc w:val="center"/>
              <w:ind w:left="24"/>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5380" w:type="dxa"/>
            <w:vAlign w:val="bottom"/>
            <w:tcBorders>
              <w:left w:val="single" w:sz="8" w:color="0071CE"/>
            </w:tcBorders>
          </w:tcPr>
          <w:p>
            <w:pPr>
              <w:spacing w:after="0"/>
              <w:rPr>
                <w:sz w:val="14"/>
                <w:szCs w:val="14"/>
                <w:color w:val="auto"/>
              </w:rPr>
            </w:pPr>
          </w:p>
        </w:tc>
        <w:tc>
          <w:tcPr>
            <w:tcW w:w="16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Number of</w:t>
            </w:r>
          </w:p>
        </w:tc>
        <w:tc>
          <w:tcPr>
            <w:tcW w:w="680" w:type="dxa"/>
            <w:vAlign w:val="bottom"/>
            <w:shd w:val="clear" w:color="auto" w:fill="0071CE"/>
          </w:tcPr>
          <w:p>
            <w:pPr>
              <w:spacing w:after="0"/>
              <w:rPr>
                <w:sz w:val="14"/>
                <w:szCs w:val="14"/>
                <w:color w:val="auto"/>
              </w:rPr>
            </w:pPr>
          </w:p>
        </w:tc>
        <w:tc>
          <w:tcPr>
            <w:tcW w:w="1180" w:type="dxa"/>
            <w:vAlign w:val="bottom"/>
            <w:shd w:val="clear" w:color="auto" w:fill="0071CE"/>
          </w:tcPr>
          <w:p>
            <w:pPr>
              <w:spacing w:after="0"/>
              <w:rPr>
                <w:sz w:val="14"/>
                <w:szCs w:val="14"/>
                <w:color w:val="auto"/>
              </w:rPr>
            </w:pPr>
          </w:p>
        </w:tc>
        <w:tc>
          <w:tcPr>
            <w:tcW w:w="2080" w:type="dxa"/>
            <w:vAlign w:val="bottom"/>
            <w:shd w:val="clear" w:color="auto" w:fill="0071CE"/>
          </w:tcPr>
          <w:p>
            <w:pPr>
              <w:jc w:val="center"/>
              <w:ind w:left="24"/>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5380" w:type="dxa"/>
            <w:vAlign w:val="bottom"/>
            <w:tcBorders>
              <w:left w:val="single" w:sz="8" w:color="0071CE"/>
            </w:tcBorders>
          </w:tcPr>
          <w:p>
            <w:pPr>
              <w:spacing w:after="0"/>
              <w:rPr>
                <w:sz w:val="14"/>
                <w:szCs w:val="14"/>
                <w:color w:val="auto"/>
              </w:rPr>
            </w:pPr>
          </w:p>
        </w:tc>
        <w:tc>
          <w:tcPr>
            <w:tcW w:w="16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to</w:t>
            </w:r>
          </w:p>
        </w:tc>
        <w:tc>
          <w:tcPr>
            <w:tcW w:w="680" w:type="dxa"/>
            <w:vAlign w:val="bottom"/>
            <w:shd w:val="clear" w:color="auto" w:fill="0071CE"/>
          </w:tcPr>
          <w:p>
            <w:pPr>
              <w:spacing w:after="0"/>
              <w:rPr>
                <w:sz w:val="14"/>
                <w:szCs w:val="14"/>
                <w:color w:val="auto"/>
              </w:rPr>
            </w:pPr>
          </w:p>
        </w:tc>
        <w:tc>
          <w:tcPr>
            <w:tcW w:w="1180" w:type="dxa"/>
            <w:vAlign w:val="bottom"/>
            <w:shd w:val="clear" w:color="auto" w:fill="0071CE"/>
          </w:tcPr>
          <w:p>
            <w:pPr>
              <w:spacing w:after="0"/>
              <w:rPr>
                <w:sz w:val="14"/>
                <w:szCs w:val="14"/>
                <w:color w:val="auto"/>
              </w:rPr>
            </w:pPr>
          </w:p>
        </w:tc>
        <w:tc>
          <w:tcPr>
            <w:tcW w:w="2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available for</w:t>
            </w:r>
          </w:p>
        </w:tc>
      </w:tr>
      <w:tr>
        <w:trPr>
          <w:trHeight w:val="162"/>
        </w:trPr>
        <w:tc>
          <w:tcPr>
            <w:tcW w:w="5380" w:type="dxa"/>
            <w:vAlign w:val="bottom"/>
            <w:tcBorders>
              <w:left w:val="single" w:sz="8" w:color="0071CE"/>
            </w:tcBorders>
          </w:tcPr>
          <w:p>
            <w:pPr>
              <w:spacing w:after="0"/>
              <w:rPr>
                <w:sz w:val="14"/>
                <w:szCs w:val="14"/>
                <w:color w:val="auto"/>
              </w:rPr>
            </w:pPr>
          </w:p>
        </w:tc>
        <w:tc>
          <w:tcPr>
            <w:tcW w:w="16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be Issued</w:t>
            </w:r>
          </w:p>
        </w:tc>
        <w:tc>
          <w:tcPr>
            <w:tcW w:w="1860" w:type="dxa"/>
            <w:vAlign w:val="bottom"/>
            <w:gridSpan w:val="2"/>
            <w:shd w:val="clear" w:color="auto" w:fill="0071CE"/>
          </w:tcPr>
          <w:p>
            <w:pPr>
              <w:jc w:val="center"/>
              <w:ind w:right="70"/>
              <w:spacing w:after="0"/>
              <w:rPr>
                <w:sz w:val="20"/>
                <w:szCs w:val="20"/>
                <w:color w:val="auto"/>
              </w:rPr>
            </w:pPr>
            <w:r>
              <w:rPr>
                <w:rFonts w:ascii="Arial" w:cs="Arial" w:eastAsia="Arial" w:hAnsi="Arial"/>
                <w:sz w:val="14"/>
                <w:szCs w:val="14"/>
                <w:b w:val="1"/>
                <w:bCs w:val="1"/>
                <w:color w:val="FFFFFF"/>
              </w:rPr>
              <w:t>Weighted</w:t>
            </w:r>
          </w:p>
        </w:tc>
        <w:tc>
          <w:tcPr>
            <w:tcW w:w="2080" w:type="dxa"/>
            <w:vAlign w:val="bottom"/>
            <w:shd w:val="clear" w:color="auto" w:fill="0071CE"/>
          </w:tcPr>
          <w:p>
            <w:pPr>
              <w:jc w:val="center"/>
              <w:ind w:left="24"/>
              <w:spacing w:after="0"/>
              <w:rPr>
                <w:sz w:val="20"/>
                <w:szCs w:val="20"/>
                <w:color w:val="auto"/>
              </w:rPr>
            </w:pPr>
            <w:r>
              <w:rPr>
                <w:rFonts w:ascii="Arial" w:cs="Arial" w:eastAsia="Arial" w:hAnsi="Arial"/>
                <w:sz w:val="14"/>
                <w:szCs w:val="14"/>
                <w:b w:val="1"/>
                <w:bCs w:val="1"/>
                <w:color w:val="FFFFFF"/>
              </w:rPr>
              <w:t>future issuance</w:t>
            </w:r>
          </w:p>
        </w:tc>
      </w:tr>
      <w:tr>
        <w:trPr>
          <w:trHeight w:val="162"/>
        </w:trPr>
        <w:tc>
          <w:tcPr>
            <w:tcW w:w="5380" w:type="dxa"/>
            <w:vAlign w:val="bottom"/>
            <w:tcBorders>
              <w:left w:val="single" w:sz="8" w:color="0071CE"/>
            </w:tcBorders>
          </w:tcPr>
          <w:p>
            <w:pPr>
              <w:spacing w:after="0"/>
              <w:rPr>
                <w:sz w:val="14"/>
                <w:szCs w:val="14"/>
                <w:color w:val="auto"/>
              </w:rPr>
            </w:pPr>
          </w:p>
        </w:tc>
        <w:tc>
          <w:tcPr>
            <w:tcW w:w="16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upon</w:t>
            </w:r>
          </w:p>
        </w:tc>
        <w:tc>
          <w:tcPr>
            <w:tcW w:w="1860" w:type="dxa"/>
            <w:vAlign w:val="bottom"/>
            <w:gridSpan w:val="2"/>
            <w:shd w:val="clear" w:color="auto" w:fill="0071CE"/>
          </w:tcPr>
          <w:p>
            <w:pPr>
              <w:jc w:val="center"/>
              <w:ind w:right="70"/>
              <w:spacing w:after="0"/>
              <w:rPr>
                <w:sz w:val="20"/>
                <w:szCs w:val="20"/>
                <w:color w:val="auto"/>
              </w:rPr>
            </w:pPr>
            <w:r>
              <w:rPr>
                <w:rFonts w:ascii="Arial" w:cs="Arial" w:eastAsia="Arial" w:hAnsi="Arial"/>
                <w:sz w:val="14"/>
                <w:szCs w:val="14"/>
                <w:b w:val="1"/>
                <w:bCs w:val="1"/>
                <w:color w:val="FFFFFF"/>
              </w:rPr>
              <w:t>average</w:t>
            </w:r>
          </w:p>
        </w:tc>
        <w:tc>
          <w:tcPr>
            <w:tcW w:w="2080" w:type="dxa"/>
            <w:vAlign w:val="bottom"/>
            <w:shd w:val="clear" w:color="auto" w:fill="0071CE"/>
          </w:tcPr>
          <w:p>
            <w:pPr>
              <w:jc w:val="center"/>
              <w:ind w:left="24"/>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5380" w:type="dxa"/>
            <w:vAlign w:val="bottom"/>
            <w:tcBorders>
              <w:left w:val="single" w:sz="8" w:color="0071CE"/>
            </w:tcBorders>
          </w:tcPr>
          <w:p>
            <w:pPr>
              <w:spacing w:after="0"/>
              <w:rPr>
                <w:sz w:val="14"/>
                <w:szCs w:val="14"/>
                <w:color w:val="auto"/>
              </w:rPr>
            </w:pPr>
          </w:p>
        </w:tc>
        <w:tc>
          <w:tcPr>
            <w:tcW w:w="16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exercise of</w:t>
            </w:r>
          </w:p>
        </w:tc>
        <w:tc>
          <w:tcPr>
            <w:tcW w:w="1860" w:type="dxa"/>
            <w:vAlign w:val="bottom"/>
            <w:gridSpan w:val="2"/>
            <w:shd w:val="clear" w:color="auto" w:fill="0071CE"/>
          </w:tcPr>
          <w:p>
            <w:pPr>
              <w:jc w:val="center"/>
              <w:ind w:right="90"/>
              <w:spacing w:after="0"/>
              <w:rPr>
                <w:sz w:val="20"/>
                <w:szCs w:val="20"/>
                <w:color w:val="auto"/>
              </w:rPr>
            </w:pPr>
            <w:r>
              <w:rPr>
                <w:rFonts w:ascii="Arial" w:cs="Arial" w:eastAsia="Arial" w:hAnsi="Arial"/>
                <w:sz w:val="14"/>
                <w:szCs w:val="14"/>
                <w:b w:val="1"/>
                <w:bCs w:val="1"/>
                <w:color w:val="FFFFFF"/>
              </w:rPr>
              <w:t>exercise price</w:t>
            </w:r>
          </w:p>
        </w:tc>
        <w:tc>
          <w:tcPr>
            <w:tcW w:w="2080" w:type="dxa"/>
            <w:vAlign w:val="bottom"/>
            <w:shd w:val="clear" w:color="auto" w:fill="0071CE"/>
          </w:tcPr>
          <w:p>
            <w:pPr>
              <w:jc w:val="center"/>
              <w:ind w:left="24"/>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5380" w:type="dxa"/>
            <w:vAlign w:val="bottom"/>
            <w:tcBorders>
              <w:left w:val="single" w:sz="8" w:color="0071CE"/>
            </w:tcBorders>
          </w:tcPr>
          <w:p>
            <w:pPr>
              <w:spacing w:after="0"/>
              <w:rPr>
                <w:sz w:val="14"/>
                <w:szCs w:val="14"/>
                <w:color w:val="auto"/>
              </w:rPr>
            </w:pPr>
          </w:p>
        </w:tc>
        <w:tc>
          <w:tcPr>
            <w:tcW w:w="16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outstanding</w:t>
            </w:r>
          </w:p>
        </w:tc>
        <w:tc>
          <w:tcPr>
            <w:tcW w:w="1860" w:type="dxa"/>
            <w:vAlign w:val="bottom"/>
            <w:gridSpan w:val="2"/>
            <w:shd w:val="clear" w:color="auto" w:fill="0071CE"/>
          </w:tcPr>
          <w:p>
            <w:pPr>
              <w:jc w:val="center"/>
              <w:ind w:right="90"/>
              <w:spacing w:after="0"/>
              <w:rPr>
                <w:sz w:val="20"/>
                <w:szCs w:val="20"/>
                <w:color w:val="auto"/>
              </w:rPr>
            </w:pPr>
            <w:r>
              <w:rPr>
                <w:rFonts w:ascii="Arial" w:cs="Arial" w:eastAsia="Arial" w:hAnsi="Arial"/>
                <w:sz w:val="14"/>
                <w:szCs w:val="14"/>
                <w:b w:val="1"/>
                <w:bCs w:val="1"/>
                <w:color w:val="FFFFFF"/>
              </w:rPr>
              <w:t>of outstanding</w:t>
            </w:r>
          </w:p>
        </w:tc>
        <w:tc>
          <w:tcPr>
            <w:tcW w:w="2080" w:type="dxa"/>
            <w:vAlign w:val="bottom"/>
            <w:shd w:val="clear" w:color="auto" w:fill="0071CE"/>
          </w:tcPr>
          <w:p>
            <w:pPr>
              <w:jc w:val="center"/>
              <w:ind w:left="24"/>
              <w:spacing w:after="0"/>
              <w:rPr>
                <w:sz w:val="20"/>
                <w:szCs w:val="20"/>
                <w:color w:val="auto"/>
              </w:rPr>
            </w:pPr>
            <w:r>
              <w:rPr>
                <w:rFonts w:ascii="Arial" w:cs="Arial" w:eastAsia="Arial" w:hAnsi="Arial"/>
                <w:sz w:val="14"/>
                <w:szCs w:val="14"/>
                <w:b w:val="1"/>
                <w:bCs w:val="1"/>
                <w:color w:val="FFFFFF"/>
              </w:rPr>
              <w:t>plans (excluding</w:t>
            </w:r>
          </w:p>
        </w:tc>
      </w:tr>
      <w:tr>
        <w:trPr>
          <w:trHeight w:val="162"/>
        </w:trPr>
        <w:tc>
          <w:tcPr>
            <w:tcW w:w="5380" w:type="dxa"/>
            <w:vAlign w:val="bottom"/>
            <w:tcBorders>
              <w:left w:val="single" w:sz="8" w:color="0071CE"/>
            </w:tcBorders>
          </w:tcPr>
          <w:p>
            <w:pPr>
              <w:spacing w:after="0"/>
              <w:rPr>
                <w:sz w:val="14"/>
                <w:szCs w:val="14"/>
                <w:color w:val="auto"/>
              </w:rPr>
            </w:pPr>
          </w:p>
        </w:tc>
        <w:tc>
          <w:tcPr>
            <w:tcW w:w="16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options,</w:t>
            </w:r>
          </w:p>
        </w:tc>
        <w:tc>
          <w:tcPr>
            <w:tcW w:w="1860" w:type="dxa"/>
            <w:vAlign w:val="bottom"/>
            <w:gridSpan w:val="2"/>
            <w:shd w:val="clear" w:color="auto" w:fill="0071CE"/>
          </w:tcPr>
          <w:p>
            <w:pPr>
              <w:jc w:val="center"/>
              <w:ind w:right="90"/>
              <w:spacing w:after="0"/>
              <w:rPr>
                <w:sz w:val="20"/>
                <w:szCs w:val="20"/>
                <w:color w:val="auto"/>
              </w:rPr>
            </w:pPr>
            <w:r>
              <w:rPr>
                <w:rFonts w:ascii="Arial" w:cs="Arial" w:eastAsia="Arial" w:hAnsi="Arial"/>
                <w:sz w:val="14"/>
                <w:szCs w:val="14"/>
                <w:b w:val="1"/>
                <w:bCs w:val="1"/>
                <w:color w:val="FFFFFF"/>
              </w:rPr>
              <w:t>options,</w:t>
            </w:r>
          </w:p>
        </w:tc>
        <w:tc>
          <w:tcPr>
            <w:tcW w:w="2080" w:type="dxa"/>
            <w:vAlign w:val="bottom"/>
            <w:shd w:val="clear" w:color="auto" w:fill="0071CE"/>
          </w:tcPr>
          <w:p>
            <w:pPr>
              <w:jc w:val="center"/>
              <w:ind w:left="24"/>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5380" w:type="dxa"/>
            <w:vAlign w:val="bottom"/>
            <w:tcBorders>
              <w:left w:val="single" w:sz="8" w:color="0071CE"/>
            </w:tcBorders>
          </w:tcPr>
          <w:p>
            <w:pPr>
              <w:spacing w:after="0"/>
              <w:rPr>
                <w:sz w:val="14"/>
                <w:szCs w:val="14"/>
                <w:color w:val="auto"/>
              </w:rPr>
            </w:pPr>
          </w:p>
        </w:tc>
        <w:tc>
          <w:tcPr>
            <w:tcW w:w="1680" w:type="dxa"/>
            <w:vAlign w:val="bottom"/>
            <w:shd w:val="clear" w:color="auto" w:fill="0071CE"/>
          </w:tcPr>
          <w:p>
            <w:pPr>
              <w:jc w:val="center"/>
              <w:ind w:left="4"/>
              <w:spacing w:after="0"/>
              <w:rPr>
                <w:sz w:val="20"/>
                <w:szCs w:val="20"/>
                <w:color w:val="auto"/>
              </w:rPr>
            </w:pPr>
            <w:r>
              <w:rPr>
                <w:rFonts w:ascii="Arial" w:cs="Arial" w:eastAsia="Arial" w:hAnsi="Arial"/>
                <w:sz w:val="14"/>
                <w:szCs w:val="14"/>
                <w:b w:val="1"/>
                <w:bCs w:val="1"/>
                <w:color w:val="FFFFFF"/>
              </w:rPr>
              <w:t>warrants</w:t>
            </w:r>
          </w:p>
        </w:tc>
        <w:tc>
          <w:tcPr>
            <w:tcW w:w="1860" w:type="dxa"/>
            <w:vAlign w:val="bottom"/>
            <w:gridSpan w:val="2"/>
            <w:shd w:val="clear" w:color="auto" w:fill="0071CE"/>
          </w:tcPr>
          <w:p>
            <w:pPr>
              <w:jc w:val="center"/>
              <w:ind w:right="70"/>
              <w:spacing w:after="0"/>
              <w:rPr>
                <w:sz w:val="20"/>
                <w:szCs w:val="20"/>
                <w:color w:val="auto"/>
              </w:rPr>
            </w:pPr>
            <w:r>
              <w:rPr>
                <w:rFonts w:ascii="Arial" w:cs="Arial" w:eastAsia="Arial" w:hAnsi="Arial"/>
                <w:sz w:val="14"/>
                <w:szCs w:val="14"/>
                <w:b w:val="1"/>
                <w:bCs w:val="1"/>
                <w:color w:val="FFFFFF"/>
              </w:rPr>
              <w:t>warrants and</w:t>
            </w:r>
          </w:p>
        </w:tc>
        <w:tc>
          <w:tcPr>
            <w:tcW w:w="2080" w:type="dxa"/>
            <w:vAlign w:val="bottom"/>
            <w:shd w:val="clear" w:color="auto" w:fill="0071CE"/>
          </w:tcPr>
          <w:p>
            <w:pPr>
              <w:jc w:val="center"/>
              <w:ind w:left="24"/>
              <w:spacing w:after="0"/>
              <w:rPr>
                <w:sz w:val="20"/>
                <w:szCs w:val="20"/>
                <w:color w:val="auto"/>
              </w:rPr>
            </w:pPr>
            <w:r>
              <w:rPr>
                <w:rFonts w:ascii="Arial" w:cs="Arial" w:eastAsia="Arial" w:hAnsi="Arial"/>
                <w:sz w:val="14"/>
                <w:szCs w:val="14"/>
                <w:b w:val="1"/>
                <w:bCs w:val="1"/>
                <w:color w:val="FFFFFF"/>
              </w:rPr>
              <w:t>reflected in</w:t>
            </w:r>
          </w:p>
        </w:tc>
      </w:tr>
      <w:tr>
        <w:trPr>
          <w:trHeight w:val="209"/>
        </w:trPr>
        <w:tc>
          <w:tcPr>
            <w:tcW w:w="5380" w:type="dxa"/>
            <w:vAlign w:val="bottom"/>
            <w:tcBorders>
              <w:left w:val="single" w:sz="8" w:color="0071CE"/>
            </w:tcBorders>
          </w:tcPr>
          <w:p>
            <w:pPr>
              <w:spacing w:after="0"/>
              <w:rPr>
                <w:sz w:val="18"/>
                <w:szCs w:val="18"/>
                <w:color w:val="auto"/>
              </w:rPr>
            </w:pPr>
          </w:p>
        </w:tc>
        <w:tc>
          <w:tcPr>
            <w:tcW w:w="16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and rights</w:t>
            </w:r>
          </w:p>
        </w:tc>
        <w:tc>
          <w:tcPr>
            <w:tcW w:w="1860" w:type="dxa"/>
            <w:vAlign w:val="bottom"/>
            <w:tcBorders>
              <w:bottom w:val="single" w:sz="8" w:color="0071CE"/>
            </w:tcBorders>
            <w:gridSpan w:val="2"/>
            <w:shd w:val="clear" w:color="auto" w:fill="0071CE"/>
          </w:tcPr>
          <w:p>
            <w:pPr>
              <w:jc w:val="center"/>
              <w:ind w:right="90"/>
              <w:spacing w:after="0"/>
              <w:rPr>
                <w:sz w:val="20"/>
                <w:szCs w:val="20"/>
                <w:color w:val="auto"/>
              </w:rPr>
            </w:pPr>
            <w:r>
              <w:rPr>
                <w:rFonts w:ascii="Arial" w:cs="Arial" w:eastAsia="Arial" w:hAnsi="Arial"/>
                <w:sz w:val="14"/>
                <w:szCs w:val="14"/>
                <w:b w:val="1"/>
                <w:bCs w:val="1"/>
                <w:color w:val="FFFFFF"/>
              </w:rPr>
              <w:t>rights</w:t>
            </w:r>
          </w:p>
        </w:tc>
        <w:tc>
          <w:tcPr>
            <w:tcW w:w="2080" w:type="dxa"/>
            <w:vAlign w:val="bottom"/>
            <w:tcBorders>
              <w:bottom w:val="single" w:sz="8" w:color="0071CE"/>
            </w:tcBorders>
            <w:shd w:val="clear" w:color="auto" w:fill="0071CE"/>
          </w:tcPr>
          <w:p>
            <w:pPr>
              <w:jc w:val="center"/>
              <w:ind w:left="24"/>
              <w:spacing w:after="0"/>
              <w:rPr>
                <w:sz w:val="20"/>
                <w:szCs w:val="20"/>
                <w:color w:val="auto"/>
              </w:rPr>
            </w:pPr>
            <w:r>
              <w:rPr>
                <w:rFonts w:ascii="Arial" w:cs="Arial" w:eastAsia="Arial" w:hAnsi="Arial"/>
                <w:sz w:val="14"/>
                <w:szCs w:val="14"/>
                <w:b w:val="1"/>
                <w:bCs w:val="1"/>
                <w:color w:val="FFFFFF"/>
              </w:rPr>
              <w:t>column (a))</w:t>
            </w:r>
          </w:p>
        </w:tc>
      </w:tr>
      <w:tr>
        <w:trPr>
          <w:trHeight w:val="277"/>
        </w:trPr>
        <w:tc>
          <w:tcPr>
            <w:tcW w:w="5380" w:type="dxa"/>
            <w:vAlign w:val="bottom"/>
            <w:tcBorders>
              <w:left w:val="single" w:sz="8" w:color="E5E5E5"/>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Equity compensation plans approved by security holders (1)</w:t>
            </w:r>
          </w:p>
        </w:tc>
        <w:tc>
          <w:tcPr>
            <w:tcW w:w="1680" w:type="dxa"/>
            <w:vAlign w:val="bottom"/>
            <w:tcBorders>
              <w:bottom w:val="single" w:sz="8" w:color="E5E5E5"/>
            </w:tcBorders>
            <w:shd w:val="clear" w:color="auto" w:fill="E5E5E5"/>
          </w:tcPr>
          <w:p>
            <w:pPr>
              <w:jc w:val="right"/>
              <w:ind w:right="284"/>
              <w:spacing w:after="0"/>
              <w:rPr>
                <w:sz w:val="20"/>
                <w:szCs w:val="20"/>
                <w:color w:val="auto"/>
              </w:rPr>
            </w:pPr>
            <w:r>
              <w:rPr>
                <w:rFonts w:ascii="Arial" w:cs="Arial" w:eastAsia="Arial" w:hAnsi="Arial"/>
                <w:sz w:val="18"/>
                <w:szCs w:val="18"/>
                <w:color w:val="auto"/>
              </w:rPr>
              <w:t>5,984,992</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5E5E5"/>
            </w:tcBorders>
            <w:shd w:val="clear" w:color="auto" w:fill="E5E5E5"/>
          </w:tcPr>
          <w:p>
            <w:pPr>
              <w:jc w:val="right"/>
              <w:ind w:right="630"/>
              <w:spacing w:after="0"/>
              <w:rPr>
                <w:sz w:val="20"/>
                <w:szCs w:val="20"/>
                <w:color w:val="auto"/>
              </w:rPr>
            </w:pPr>
            <w:r>
              <w:rPr>
                <w:rFonts w:ascii="Arial" w:cs="Arial" w:eastAsia="Arial" w:hAnsi="Arial"/>
                <w:sz w:val="18"/>
                <w:szCs w:val="18"/>
                <w:color w:val="auto"/>
              </w:rPr>
              <w:t>7.00</w:t>
            </w:r>
          </w:p>
        </w:tc>
        <w:tc>
          <w:tcPr>
            <w:tcW w:w="2080" w:type="dxa"/>
            <w:vAlign w:val="bottom"/>
            <w:tcBorders>
              <w:bottom w:val="single" w:sz="8" w:color="E5E5E5"/>
            </w:tcBorders>
            <w:shd w:val="clear" w:color="auto" w:fill="E5E5E5"/>
          </w:tcPr>
          <w:p>
            <w:pPr>
              <w:jc w:val="right"/>
              <w:ind w:right="524"/>
              <w:spacing w:after="0"/>
              <w:rPr>
                <w:sz w:val="20"/>
                <w:szCs w:val="20"/>
                <w:color w:val="auto"/>
              </w:rPr>
            </w:pPr>
            <w:r>
              <w:rPr>
                <w:rFonts w:ascii="Arial" w:cs="Arial" w:eastAsia="Arial" w:hAnsi="Arial"/>
                <w:sz w:val="18"/>
                <w:szCs w:val="18"/>
                <w:color w:val="auto"/>
              </w:rPr>
              <w:t>341,294</w:t>
            </w:r>
          </w:p>
        </w:tc>
      </w:tr>
      <w:tr>
        <w:trPr>
          <w:trHeight w:val="256"/>
        </w:trPr>
        <w:tc>
          <w:tcPr>
            <w:tcW w:w="5380" w:type="dxa"/>
            <w:vAlign w:val="bottom"/>
          </w:tcPr>
          <w:p>
            <w:pPr>
              <w:ind w:left="60"/>
              <w:spacing w:after="0"/>
              <w:rPr>
                <w:sz w:val="20"/>
                <w:szCs w:val="20"/>
                <w:color w:val="auto"/>
              </w:rPr>
            </w:pPr>
            <w:r>
              <w:rPr>
                <w:rFonts w:ascii="Arial" w:cs="Arial" w:eastAsia="Arial" w:hAnsi="Arial"/>
                <w:sz w:val="18"/>
                <w:szCs w:val="18"/>
                <w:color w:val="auto"/>
              </w:rPr>
              <w:t>Equity compensation plans not approved by security holders (2)</w:t>
            </w:r>
          </w:p>
        </w:tc>
        <w:tc>
          <w:tcPr>
            <w:tcW w:w="1680" w:type="dxa"/>
            <w:vAlign w:val="bottom"/>
          </w:tcPr>
          <w:p>
            <w:pPr>
              <w:jc w:val="right"/>
              <w:ind w:right="284"/>
              <w:spacing w:after="0"/>
              <w:rPr>
                <w:sz w:val="20"/>
                <w:szCs w:val="20"/>
                <w:color w:val="auto"/>
              </w:rPr>
            </w:pPr>
            <w:r>
              <w:rPr>
                <w:rFonts w:ascii="Arial" w:cs="Arial" w:eastAsia="Arial" w:hAnsi="Arial"/>
                <w:sz w:val="18"/>
                <w:szCs w:val="18"/>
                <w:color w:val="auto"/>
              </w:rPr>
              <w:t>851,511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30"/>
              <w:spacing w:after="0"/>
              <w:rPr>
                <w:sz w:val="20"/>
                <w:szCs w:val="20"/>
                <w:color w:val="auto"/>
              </w:rPr>
            </w:pPr>
            <w:r>
              <w:rPr>
                <w:rFonts w:ascii="Arial" w:cs="Arial" w:eastAsia="Arial" w:hAnsi="Arial"/>
                <w:sz w:val="18"/>
                <w:szCs w:val="18"/>
                <w:color w:val="auto"/>
                <w:w w:val="97"/>
              </w:rPr>
              <w:t>13.57</w:t>
            </w:r>
          </w:p>
        </w:tc>
        <w:tc>
          <w:tcPr>
            <w:tcW w:w="2080" w:type="dxa"/>
            <w:vAlign w:val="bottom"/>
          </w:tcPr>
          <w:p>
            <w:pPr>
              <w:jc w:val="right"/>
              <w:ind w:right="624"/>
              <w:spacing w:after="0"/>
              <w:rPr>
                <w:sz w:val="20"/>
                <w:szCs w:val="20"/>
                <w:color w:val="auto"/>
              </w:rPr>
            </w:pPr>
            <w:r>
              <w:rPr>
                <w:rFonts w:ascii="Arial" w:cs="Arial" w:eastAsia="Arial" w:hAnsi="Arial"/>
                <w:sz w:val="18"/>
                <w:szCs w:val="18"/>
                <w:color w:val="auto"/>
              </w:rPr>
              <w:t>—</w:t>
            </w:r>
          </w:p>
        </w:tc>
      </w:tr>
      <w:tr>
        <w:trPr>
          <w:trHeight w:val="40"/>
        </w:trPr>
        <w:tc>
          <w:tcPr>
            <w:tcW w:w="5380" w:type="dxa"/>
            <w:vAlign w:val="bottom"/>
            <w:tcBorders>
              <w:bottom w:val="single" w:sz="8" w:color="E5E5E5"/>
            </w:tcBorders>
          </w:tcPr>
          <w:p>
            <w:pPr>
              <w:spacing w:after="0"/>
              <w:rPr>
                <w:sz w:val="3"/>
                <w:szCs w:val="3"/>
                <w:color w:val="auto"/>
              </w:rPr>
            </w:pPr>
          </w:p>
        </w:tc>
        <w:tc>
          <w:tcPr>
            <w:tcW w:w="1680" w:type="dxa"/>
            <w:vAlign w:val="bottom"/>
            <w:tcBorders>
              <w:bottom w:val="single" w:sz="8" w:color="0071CE"/>
            </w:tcBorders>
          </w:tcPr>
          <w:p>
            <w:pPr>
              <w:spacing w:after="0"/>
              <w:rPr>
                <w:sz w:val="3"/>
                <w:szCs w:val="3"/>
                <w:color w:val="auto"/>
              </w:rPr>
            </w:pPr>
          </w:p>
        </w:tc>
        <w:tc>
          <w:tcPr>
            <w:tcW w:w="680" w:type="dxa"/>
            <w:vAlign w:val="bottom"/>
            <w:tcBorders>
              <w:bottom w:val="single" w:sz="8" w:color="0071CE"/>
            </w:tcBorders>
          </w:tcPr>
          <w:p>
            <w:pPr>
              <w:spacing w:after="0"/>
              <w:rPr>
                <w:sz w:val="3"/>
                <w:szCs w:val="3"/>
                <w:color w:val="auto"/>
              </w:rPr>
            </w:pPr>
          </w:p>
        </w:tc>
        <w:tc>
          <w:tcPr>
            <w:tcW w:w="1180" w:type="dxa"/>
            <w:vAlign w:val="bottom"/>
            <w:tcBorders>
              <w:bottom w:val="single" w:sz="8" w:color="0071CE"/>
            </w:tcBorders>
          </w:tcPr>
          <w:p>
            <w:pPr>
              <w:spacing w:after="0"/>
              <w:rPr>
                <w:sz w:val="3"/>
                <w:szCs w:val="3"/>
                <w:color w:val="auto"/>
              </w:rPr>
            </w:pPr>
          </w:p>
        </w:tc>
        <w:tc>
          <w:tcPr>
            <w:tcW w:w="2080" w:type="dxa"/>
            <w:vAlign w:val="bottom"/>
            <w:tcBorders>
              <w:bottom w:val="single" w:sz="8" w:color="0071CE"/>
            </w:tcBorders>
          </w:tcPr>
          <w:p>
            <w:pPr>
              <w:spacing w:after="0"/>
              <w:rPr>
                <w:sz w:val="3"/>
                <w:szCs w:val="3"/>
                <w:color w:val="auto"/>
              </w:rPr>
            </w:pPr>
          </w:p>
        </w:tc>
      </w:tr>
      <w:tr>
        <w:trPr>
          <w:trHeight w:val="270"/>
        </w:trPr>
        <w:tc>
          <w:tcPr>
            <w:tcW w:w="5380" w:type="dxa"/>
            <w:vAlign w:val="bottom"/>
            <w:tcBorders>
              <w:left w:val="single" w:sz="8" w:color="E5E5E5"/>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E5E5E5"/>
            </w:tcBorders>
            <w:shd w:val="clear" w:color="auto" w:fill="E5E5E5"/>
          </w:tcPr>
          <w:p>
            <w:pPr>
              <w:jc w:val="right"/>
              <w:ind w:right="284"/>
              <w:spacing w:after="0"/>
              <w:rPr>
                <w:sz w:val="20"/>
                <w:szCs w:val="20"/>
                <w:color w:val="auto"/>
              </w:rPr>
            </w:pPr>
            <w:r>
              <w:rPr>
                <w:rFonts w:ascii="Arial" w:cs="Arial" w:eastAsia="Arial" w:hAnsi="Arial"/>
                <w:sz w:val="18"/>
                <w:szCs w:val="18"/>
                <w:color w:val="auto"/>
              </w:rPr>
              <w:t>6,836,503</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5E5E5"/>
            </w:tcBorders>
            <w:shd w:val="clear" w:color="auto" w:fill="E5E5E5"/>
          </w:tcPr>
          <w:p>
            <w:pPr>
              <w:jc w:val="right"/>
              <w:ind w:right="630"/>
              <w:spacing w:after="0"/>
              <w:rPr>
                <w:sz w:val="20"/>
                <w:szCs w:val="20"/>
                <w:color w:val="auto"/>
              </w:rPr>
            </w:pPr>
            <w:r>
              <w:rPr>
                <w:rFonts w:ascii="Arial" w:cs="Arial" w:eastAsia="Arial" w:hAnsi="Arial"/>
                <w:sz w:val="18"/>
                <w:szCs w:val="18"/>
                <w:color w:val="auto"/>
              </w:rPr>
              <w:t>8.16</w:t>
            </w:r>
          </w:p>
        </w:tc>
        <w:tc>
          <w:tcPr>
            <w:tcW w:w="2080" w:type="dxa"/>
            <w:vAlign w:val="bottom"/>
            <w:tcBorders>
              <w:bottom w:val="single" w:sz="8" w:color="E5E5E5"/>
            </w:tcBorders>
            <w:shd w:val="clear" w:color="auto" w:fill="E5E5E5"/>
          </w:tcPr>
          <w:p>
            <w:pPr>
              <w:jc w:val="right"/>
              <w:ind w:right="524"/>
              <w:spacing w:after="0"/>
              <w:rPr>
                <w:sz w:val="20"/>
                <w:szCs w:val="20"/>
                <w:color w:val="auto"/>
              </w:rPr>
            </w:pPr>
            <w:r>
              <w:rPr>
                <w:rFonts w:ascii="Arial" w:cs="Arial" w:eastAsia="Arial" w:hAnsi="Arial"/>
                <w:sz w:val="18"/>
                <w:szCs w:val="18"/>
                <w:color w:val="auto"/>
              </w:rPr>
              <w:t>341,294</w:t>
            </w:r>
          </w:p>
        </w:tc>
      </w:tr>
      <w:tr>
        <w:trPr>
          <w:trHeight w:val="20"/>
        </w:trPr>
        <w:tc>
          <w:tcPr>
            <w:tcW w:w="5380" w:type="dxa"/>
            <w:vAlign w:val="bottom"/>
            <w:tcBorders>
              <w:left w:val="single" w:sz="8" w:color="0071CE"/>
            </w:tcBorders>
            <w:shd w:val="clear" w:color="auto" w:fill="0071CE"/>
          </w:tcPr>
          <w:p>
            <w:pPr>
              <w:spacing w:after="0" w:line="20" w:lineRule="exact"/>
              <w:rPr>
                <w:sz w:val="1"/>
                <w:szCs w:val="1"/>
                <w:color w:val="auto"/>
              </w:rPr>
            </w:pPr>
          </w:p>
        </w:tc>
        <w:tc>
          <w:tcPr>
            <w:tcW w:w="1680" w:type="dxa"/>
            <w:vAlign w:val="bottom"/>
            <w:shd w:val="clear" w:color="auto" w:fill="0071CE"/>
          </w:tcPr>
          <w:p>
            <w:pPr>
              <w:spacing w:after="0" w:line="20" w:lineRule="exact"/>
              <w:rPr>
                <w:sz w:val="1"/>
                <w:szCs w:val="1"/>
                <w:color w:val="auto"/>
              </w:rPr>
            </w:pPr>
          </w:p>
        </w:tc>
        <w:tc>
          <w:tcPr>
            <w:tcW w:w="680" w:type="dxa"/>
            <w:vAlign w:val="bottom"/>
            <w:shd w:val="clear" w:color="auto" w:fill="0071CE"/>
          </w:tcPr>
          <w:p>
            <w:pPr>
              <w:spacing w:after="0" w:line="20" w:lineRule="exact"/>
              <w:rPr>
                <w:sz w:val="1"/>
                <w:szCs w:val="1"/>
                <w:color w:val="auto"/>
              </w:rPr>
            </w:pPr>
          </w:p>
        </w:tc>
        <w:tc>
          <w:tcPr>
            <w:tcW w:w="1180" w:type="dxa"/>
            <w:vAlign w:val="bottom"/>
            <w:shd w:val="clear" w:color="auto" w:fill="0071CE"/>
          </w:tcPr>
          <w:p>
            <w:pPr>
              <w:spacing w:after="0" w:line="20" w:lineRule="exact"/>
              <w:rPr>
                <w:sz w:val="1"/>
                <w:szCs w:val="1"/>
                <w:color w:val="auto"/>
              </w:rPr>
            </w:pPr>
          </w:p>
        </w:tc>
        <w:tc>
          <w:tcPr>
            <w:tcW w:w="2080" w:type="dxa"/>
            <w:vAlign w:val="bottom"/>
            <w:shd w:val="clear" w:color="auto" w:fill="0071CE"/>
          </w:tcPr>
          <w:p>
            <w:pPr>
              <w:spacing w:after="0" w:line="20" w:lineRule="exact"/>
              <w:rPr>
                <w:sz w:val="1"/>
                <w:szCs w:val="1"/>
                <w:color w:val="auto"/>
              </w:rPr>
            </w:pPr>
          </w:p>
        </w:tc>
      </w:tr>
    </w:tbl>
    <w:p>
      <w:pPr>
        <w:spacing w:after="0" w:line="86" w:lineRule="exact"/>
        <w:rPr>
          <w:sz w:val="20"/>
          <w:szCs w:val="20"/>
          <w:color w:val="auto"/>
        </w:rPr>
      </w:pPr>
    </w:p>
    <w:p>
      <w:pPr>
        <w:ind w:left="640" w:right="400" w:hanging="430"/>
        <w:spacing w:after="0" w:line="257"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options outstanding representing 1,099,337 and 2,831,322 shares of Common Stock under the 2004 Equity Incentive Plan and the 2013 Incentive Plan, respectively. Also includes 2,054,333 restricted stock units subject to the 2013 Incentive Plan.</w:t>
      </w:r>
    </w:p>
    <w:p>
      <w:pPr>
        <w:spacing w:after="0" w:line="59" w:lineRule="exact"/>
        <w:rPr>
          <w:rFonts w:ascii="Arial" w:cs="Arial" w:eastAsia="Arial" w:hAnsi="Arial"/>
          <w:sz w:val="14"/>
          <w:szCs w:val="14"/>
          <w:color w:val="auto"/>
        </w:rPr>
      </w:pPr>
    </w:p>
    <w:p>
      <w:pPr>
        <w:ind w:left="640" w:hanging="430"/>
        <w:spacing w:after="0"/>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843,011 inducement option grants and 8,500 inducement restricted stock unit grants issued to newly hired employees.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Current Executive Officers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6" w:lineRule="exact"/>
        <w:rPr>
          <w:sz w:val="20"/>
          <w:szCs w:val="20"/>
          <w:color w:val="auto"/>
        </w:rPr>
      </w:pPr>
    </w:p>
    <w:p>
      <w:pPr>
        <w:ind w:left="220" w:right="260"/>
        <w:spacing w:after="0" w:line="260" w:lineRule="auto"/>
        <w:rPr>
          <w:sz w:val="20"/>
          <w:szCs w:val="20"/>
          <w:color w:val="auto"/>
        </w:rPr>
      </w:pPr>
      <w:r>
        <w:rPr>
          <w:rFonts w:ascii="Arial" w:cs="Arial" w:eastAsia="Arial" w:hAnsi="Arial"/>
          <w:sz w:val="16"/>
          <w:szCs w:val="16"/>
          <w:color w:val="auto"/>
        </w:rPr>
        <w:t>The names, ages and positions of our current executive officers serving as of January 14, 2020 are provided below. Biographical information regarding these officers is set forth under the following table, except for Dr. Anzalone, whose biography is set forth above with our other directors.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98"/>
        </w:trPr>
        <w:tc>
          <w:tcPr>
            <w:tcW w:w="306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w:t>
            </w:r>
          </w:p>
        </w:tc>
        <w:tc>
          <w:tcPr>
            <w:tcW w:w="7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Age</w:t>
            </w:r>
          </w:p>
        </w:tc>
        <w:tc>
          <w:tcPr>
            <w:tcW w:w="7180" w:type="dxa"/>
            <w:vAlign w:val="bottom"/>
            <w:shd w:val="clear" w:color="auto" w:fill="0071CE"/>
          </w:tcPr>
          <w:p>
            <w:pPr>
              <w:ind w:left="2800"/>
              <w:spacing w:after="0"/>
              <w:rPr>
                <w:sz w:val="20"/>
                <w:szCs w:val="20"/>
                <w:color w:val="auto"/>
              </w:rPr>
            </w:pPr>
            <w:r>
              <w:rPr>
                <w:rFonts w:ascii="Arial" w:cs="Arial" w:eastAsia="Arial" w:hAnsi="Arial"/>
                <w:sz w:val="14"/>
                <w:szCs w:val="14"/>
                <w:b w:val="1"/>
                <w:bCs w:val="1"/>
                <w:color w:val="FFFFFF"/>
              </w:rPr>
              <w:t>Position with Arrowhead</w:t>
            </w:r>
          </w:p>
        </w:tc>
        <w:tc>
          <w:tcPr>
            <w:tcW w:w="20" w:type="dxa"/>
            <w:vAlign w:val="bottom"/>
            <w:shd w:val="clear" w:color="auto" w:fill="0071CE"/>
          </w:tcPr>
          <w:p>
            <w:pPr>
              <w:spacing w:after="0"/>
              <w:rPr>
                <w:sz w:val="24"/>
                <w:szCs w:val="24"/>
                <w:color w:val="auto"/>
              </w:rPr>
            </w:pPr>
          </w:p>
        </w:tc>
      </w:tr>
      <w:tr>
        <w:trPr>
          <w:trHeight w:val="66"/>
        </w:trPr>
        <w:tc>
          <w:tcPr>
            <w:tcW w:w="3060" w:type="dxa"/>
            <w:vAlign w:val="bottom"/>
            <w:shd w:val="clear" w:color="auto" w:fill="0071CE"/>
          </w:tcPr>
          <w:p>
            <w:pPr>
              <w:spacing w:after="0"/>
              <w:rPr>
                <w:sz w:val="5"/>
                <w:szCs w:val="5"/>
                <w:color w:val="auto"/>
              </w:rPr>
            </w:pPr>
          </w:p>
        </w:tc>
        <w:tc>
          <w:tcPr>
            <w:tcW w:w="760" w:type="dxa"/>
            <w:vAlign w:val="bottom"/>
            <w:shd w:val="clear" w:color="auto" w:fill="0071CE"/>
          </w:tcPr>
          <w:p>
            <w:pPr>
              <w:spacing w:after="0"/>
              <w:rPr>
                <w:sz w:val="5"/>
                <w:szCs w:val="5"/>
                <w:color w:val="auto"/>
              </w:rPr>
            </w:pPr>
          </w:p>
        </w:tc>
        <w:tc>
          <w:tcPr>
            <w:tcW w:w="7180" w:type="dxa"/>
            <w:vAlign w:val="bottom"/>
            <w:shd w:val="clear" w:color="auto" w:fill="0071CE"/>
          </w:tcPr>
          <w:p>
            <w:pPr>
              <w:spacing w:after="0"/>
              <w:rPr>
                <w:sz w:val="5"/>
                <w:szCs w:val="5"/>
                <w:color w:val="auto"/>
              </w:rPr>
            </w:pPr>
          </w:p>
        </w:tc>
        <w:tc>
          <w:tcPr>
            <w:tcW w:w="20" w:type="dxa"/>
            <w:vAlign w:val="bottom"/>
            <w:shd w:val="clear" w:color="auto" w:fill="0071CE"/>
          </w:tcPr>
          <w:p>
            <w:pPr>
              <w:spacing w:after="0"/>
              <w:rPr>
                <w:sz w:val="5"/>
                <w:szCs w:val="5"/>
                <w:color w:val="auto"/>
              </w:rPr>
            </w:pPr>
          </w:p>
        </w:tc>
      </w:tr>
      <w:tr>
        <w:trPr>
          <w:trHeight w:val="277"/>
        </w:trPr>
        <w:tc>
          <w:tcPr>
            <w:tcW w:w="3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Christopher Anzalone</w:t>
            </w:r>
          </w:p>
        </w:tc>
        <w:tc>
          <w:tcPr>
            <w:tcW w:w="7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9"/>
              </w:rPr>
              <w:t>50</w:t>
            </w:r>
          </w:p>
        </w:tc>
        <w:tc>
          <w:tcPr>
            <w:tcW w:w="71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Chief Executive Officer &amp; President and Director</w:t>
            </w:r>
          </w:p>
        </w:tc>
        <w:tc>
          <w:tcPr>
            <w:tcW w:w="20" w:type="dxa"/>
            <w:vAlign w:val="bottom"/>
          </w:tcPr>
          <w:p>
            <w:pPr>
              <w:spacing w:after="0"/>
              <w:rPr>
                <w:sz w:val="24"/>
                <w:szCs w:val="24"/>
                <w:color w:val="auto"/>
              </w:rPr>
            </w:pPr>
          </w:p>
        </w:tc>
      </w:tr>
      <w:tr>
        <w:trPr>
          <w:trHeight w:val="256"/>
        </w:trPr>
        <w:tc>
          <w:tcPr>
            <w:tcW w:w="3060" w:type="dxa"/>
            <w:vAlign w:val="bottom"/>
          </w:tcPr>
          <w:p>
            <w:pPr>
              <w:ind w:left="60"/>
              <w:spacing w:after="0"/>
              <w:rPr>
                <w:sz w:val="20"/>
                <w:szCs w:val="20"/>
                <w:color w:val="auto"/>
              </w:rPr>
            </w:pPr>
            <w:r>
              <w:rPr>
                <w:rFonts w:ascii="Arial" w:cs="Arial" w:eastAsia="Arial" w:hAnsi="Arial"/>
                <w:sz w:val="18"/>
                <w:szCs w:val="18"/>
                <w:color w:val="auto"/>
              </w:rPr>
              <w:t>Kenneth A. Myszkowski</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71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2"/>
                <w:szCs w:val="22"/>
                <w:color w:val="auto"/>
              </w:rPr>
            </w:pPr>
          </w:p>
        </w:tc>
      </w:tr>
      <w:tr>
        <w:trPr>
          <w:trHeight w:val="40"/>
        </w:trPr>
        <w:tc>
          <w:tcPr>
            <w:tcW w:w="3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1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3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8"/>
                <w:szCs w:val="18"/>
                <w:color w:val="auto"/>
              </w:rPr>
              <w:t>Bruce Given</w:t>
            </w:r>
          </w:p>
        </w:tc>
        <w:tc>
          <w:tcPr>
            <w:tcW w:w="7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8"/>
                <w:szCs w:val="18"/>
                <w:color w:val="auto"/>
                <w:w w:val="99"/>
              </w:rPr>
              <w:t>65</w:t>
            </w:r>
          </w:p>
        </w:tc>
        <w:tc>
          <w:tcPr>
            <w:tcW w:w="71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Chief Operating Officer</w:t>
            </w:r>
          </w:p>
        </w:tc>
        <w:tc>
          <w:tcPr>
            <w:tcW w:w="20" w:type="dxa"/>
            <w:vAlign w:val="bottom"/>
          </w:tcPr>
          <w:p>
            <w:pPr>
              <w:spacing w:after="0"/>
              <w:rPr>
                <w:sz w:val="24"/>
                <w:szCs w:val="24"/>
                <w:color w:val="auto"/>
              </w:rPr>
            </w:pPr>
          </w:p>
        </w:tc>
      </w:tr>
      <w:tr>
        <w:trPr>
          <w:trHeight w:val="256"/>
        </w:trPr>
        <w:tc>
          <w:tcPr>
            <w:tcW w:w="3060" w:type="dxa"/>
            <w:vAlign w:val="bottom"/>
          </w:tcPr>
          <w:p>
            <w:pPr>
              <w:ind w:left="60"/>
              <w:spacing w:after="0"/>
              <w:rPr>
                <w:sz w:val="20"/>
                <w:szCs w:val="20"/>
                <w:color w:val="auto"/>
              </w:rPr>
            </w:pPr>
            <w:r>
              <w:rPr>
                <w:rFonts w:ascii="Arial" w:cs="Arial" w:eastAsia="Arial" w:hAnsi="Arial"/>
                <w:sz w:val="18"/>
                <w:szCs w:val="18"/>
                <w:color w:val="auto"/>
              </w:rPr>
              <w:t>Patrick O’Brien</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7180" w:type="dxa"/>
            <w:vAlign w:val="bottom"/>
          </w:tcPr>
          <w:p>
            <w:pPr>
              <w:ind w:left="200"/>
              <w:spacing w:after="0"/>
              <w:rPr>
                <w:sz w:val="20"/>
                <w:szCs w:val="20"/>
                <w:color w:val="auto"/>
              </w:rPr>
            </w:pPr>
            <w:r>
              <w:rPr>
                <w:rFonts w:ascii="Arial" w:cs="Arial" w:eastAsia="Arial" w:hAnsi="Arial"/>
                <w:sz w:val="18"/>
                <w:szCs w:val="18"/>
                <w:color w:val="auto"/>
              </w:rPr>
              <w:t>General Counsel</w:t>
            </w:r>
          </w:p>
        </w:tc>
        <w:tc>
          <w:tcPr>
            <w:tcW w:w="20" w:type="dxa"/>
            <w:vAlign w:val="bottom"/>
          </w:tcPr>
          <w:p>
            <w:pPr>
              <w:spacing w:after="0"/>
              <w:rPr>
                <w:sz w:val="22"/>
                <w:szCs w:val="22"/>
                <w:color w:val="auto"/>
              </w:rPr>
            </w:pPr>
          </w:p>
        </w:tc>
      </w:tr>
      <w:tr>
        <w:trPr>
          <w:trHeight w:val="40"/>
        </w:trPr>
        <w:tc>
          <w:tcPr>
            <w:tcW w:w="3060" w:type="dxa"/>
            <w:vAlign w:val="bottom"/>
            <w:tcBorders>
              <w:bottom w:val="single" w:sz="8" w:color="0071CE"/>
            </w:tcBorders>
          </w:tcPr>
          <w:p>
            <w:pPr>
              <w:spacing w:after="0"/>
              <w:rPr>
                <w:sz w:val="3"/>
                <w:szCs w:val="3"/>
                <w:color w:val="auto"/>
              </w:rPr>
            </w:pPr>
          </w:p>
        </w:tc>
        <w:tc>
          <w:tcPr>
            <w:tcW w:w="760" w:type="dxa"/>
            <w:vAlign w:val="bottom"/>
            <w:tcBorders>
              <w:bottom w:val="single" w:sz="8" w:color="0071CE"/>
            </w:tcBorders>
          </w:tcPr>
          <w:p>
            <w:pPr>
              <w:spacing w:after="0"/>
              <w:rPr>
                <w:sz w:val="3"/>
                <w:szCs w:val="3"/>
                <w:color w:val="auto"/>
              </w:rPr>
            </w:pPr>
          </w:p>
        </w:tc>
        <w:tc>
          <w:tcPr>
            <w:tcW w:w="7180" w:type="dxa"/>
            <w:vAlign w:val="bottom"/>
            <w:tcBorders>
              <w:bottom w:val="single" w:sz="8" w:color="0071CE"/>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198" w:lineRule="exact"/>
        <w:rPr>
          <w:sz w:val="20"/>
          <w:szCs w:val="20"/>
          <w:color w:val="auto"/>
        </w:rPr>
      </w:pPr>
    </w:p>
    <w:p>
      <w:pPr>
        <w:ind w:left="220" w:right="240"/>
        <w:spacing w:after="0" w:line="255"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the Company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ind w:left="220" w:right="140"/>
        <w:spacing w:after="0" w:line="249" w:lineRule="auto"/>
        <w:rPr>
          <w:sz w:val="20"/>
          <w:szCs w:val="20"/>
          <w:color w:val="auto"/>
        </w:rPr>
      </w:pPr>
      <w:r>
        <w:rPr>
          <w:rFonts w:ascii="Arial" w:cs="Arial" w:eastAsia="Arial" w:hAnsi="Arial"/>
          <w:sz w:val="16"/>
          <w:szCs w:val="16"/>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86360</wp:posOffset>
            </wp:positionV>
            <wp:extent cx="98488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7"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43</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144"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b w:val="1"/>
          <w:bCs w:val="1"/>
          <w:color w:val="auto"/>
        </w:rPr>
        <w:t>Dr. Bruce Given</w:t>
      </w:r>
      <w:r>
        <w:rPr>
          <w:rFonts w:ascii="Arial" w:cs="Arial" w:eastAsia="Arial" w:hAnsi="Arial"/>
          <w:sz w:val="16"/>
          <w:szCs w:val="16"/>
          <w:color w:val="auto"/>
        </w:rPr>
        <w:t>, Chief Operating Officer, joined the Company in 2011. Dr. Given was a member of the board of directors for ICON, plc. from 2004 until</w:t>
      </w:r>
      <w:r>
        <w:rPr>
          <w:rFonts w:ascii="Arial" w:cs="Arial" w:eastAsia="Arial" w:hAnsi="Arial"/>
          <w:sz w:val="16"/>
          <w:szCs w:val="16"/>
          <w:b w:val="1"/>
          <w:bCs w:val="1"/>
          <w:color w:val="auto"/>
        </w:rPr>
        <w:t xml:space="preserve"> </w:t>
      </w:r>
      <w:r>
        <w:rPr>
          <w:rFonts w:ascii="Arial" w:cs="Arial" w:eastAsia="Arial" w:hAnsi="Arial"/>
          <w:sz w:val="16"/>
          <w:szCs w:val="16"/>
          <w:color w:val="auto"/>
        </w:rPr>
        <w:t>his retirement in 2013 and Chairman of its Board of Directors from 2010 to 2013. Dr. Given served as the President and Chief Executive Officer, and as a member of the board of directors of Encysive Pharmaceuticals, an R&amp;D-based commercial pharmaceutical company, roles he held from 2002 through 2007. Subsequent to his tenure at Encysive until 2011, Dr. Given was President of Bruce Given Consulting, a firm that provides consulting services to biotech companies. Since October 1, 2009, Dr. Given has been a director of Calando Pharmaceuticals, Inc., and from February 2010 until its dissolution in October 2014, Dr. Given was the Chief Executive Officer of Leonardo Biosystems, Inc., in which Arrowhead held a minority equity interest. Prior to his tenure at Encysive, Dr. Given held several senior executive roles at Johnson &amp; Johnson, Sandoz Pharmaceuticals and Schering-Plough. Dr. Given obtained his bachelor of sciences degree from Colorado State University, graduating Phi Beta Kappa. He received his M.D. degree with honors from the University of Chicago, Pritzker School of Medicine and completed his medical training at the University of Chicago and at Brigham and Women’s Hospital in Boston, where he was a Clinical Fellow at Harvard Medical School. He is board certified in internal medicine and endocrinology and metabolism and has authored 33 scientific publications. Dr. Bruce Given is a brother of Dr. Douglass Given, a director of the company.</w:t>
      </w:r>
    </w:p>
    <w:p>
      <w:pPr>
        <w:spacing w:after="0" w:line="185"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b w:val="1"/>
          <w:bCs w:val="1"/>
          <w:color w:val="auto"/>
        </w:rPr>
        <w:t>Patrick C. O’Brien</w:t>
      </w:r>
      <w:r>
        <w:rPr>
          <w:rFonts w:ascii="Arial" w:cs="Arial" w:eastAsia="Arial" w:hAnsi="Arial"/>
          <w:sz w:val="16"/>
          <w:szCs w:val="16"/>
          <w:color w:val="auto"/>
        </w:rPr>
        <w:t>, General Counsel, joined the Company in December 2014. Mr. O’Brien has practiced in the healthcare legal field for over 25 years.</w:t>
      </w:r>
      <w:r>
        <w:rPr>
          <w:rFonts w:ascii="Arial" w:cs="Arial" w:eastAsia="Arial" w:hAnsi="Arial"/>
          <w:sz w:val="16"/>
          <w:szCs w:val="16"/>
          <w:b w:val="1"/>
          <w:bCs w:val="1"/>
          <w:color w:val="auto"/>
        </w:rPr>
        <w:t xml:space="preserve"> </w:t>
      </w:r>
      <w:r>
        <w:rPr>
          <w:rFonts w:ascii="Arial" w:cs="Arial" w:eastAsia="Arial" w:hAnsi="Arial"/>
          <w:sz w:val="16"/>
          <w:szCs w:val="16"/>
          <w:color w:val="auto"/>
        </w:rPr>
        <w:t>Before joining the Company, from 2012 to 2014, Mr. O’Brien was with Shire, as global pharmaceutical company, where he was Group Vice President, Law. Immediately prior to working with Shire he was a partner with the international law firm of Holland &amp; Knight LLP in its Washington, DC office. In 2010, Mr. O’Brien co-founded the law firm O’Brien Gould PLLC which joined Holland &amp; Knight in 2011. From 2009 to 2010, Mr. O’Brien was a partner in Burke O’Neil LLC. From 2001 to 2009 Mr. O’Brien served in several legal roles with Johnson &amp; Johnson, including serving as Vice President of Law for J&amp;J’s Centocor Ortho-Biotech unit. Mr. O’Brien previously served as Regulatory Counsel with the United States Food &amp; Drug Administration. Mr. O’Brien was awarded a BS in Pharmacy and a PharmD from the University of Arizona before completing a residency in Clinical Pharmacy with the University of Illinois at Chicago Hospital. He was also awarded his JD from the University of Arizona.</w:t>
      </w:r>
    </w:p>
    <w:p>
      <w:pPr>
        <w:spacing w:after="0" w:line="181" w:lineRule="exact"/>
        <w:rPr>
          <w:sz w:val="20"/>
          <w:szCs w:val="20"/>
          <w:color w:val="auto"/>
        </w:rPr>
      </w:pPr>
    </w:p>
    <w:p>
      <w:pPr>
        <w:ind w:left="220" w:right="160"/>
        <w:spacing w:after="0" w:line="252" w:lineRule="auto"/>
        <w:rPr>
          <w:sz w:val="20"/>
          <w:szCs w:val="20"/>
          <w:color w:val="auto"/>
        </w:rPr>
      </w:pPr>
      <w:r>
        <w:rPr>
          <w:rFonts w:ascii="Arial" w:cs="Arial" w:eastAsia="Arial" w:hAnsi="Arial"/>
          <w:sz w:val="16"/>
          <w:szCs w:val="16"/>
          <w:b w:val="1"/>
          <w:bCs w:val="1"/>
          <w:color w:val="auto"/>
        </w:rPr>
        <w:t xml:space="preserve">Dr. Curt Bradshaw, </w:t>
      </w:r>
      <w:r>
        <w:rPr>
          <w:rFonts w:ascii="Arial" w:cs="Arial" w:eastAsia="Arial" w:hAnsi="Arial"/>
          <w:sz w:val="16"/>
          <w:szCs w:val="16"/>
          <w:color w:val="auto"/>
        </w:rPr>
        <w:t>Chief Scientific Officer, joined the Company in November 2019. From 2018 to November 2019 Dr. Bradshaw was President, Chief</w:t>
      </w:r>
      <w:r>
        <w:rPr>
          <w:rFonts w:ascii="Arial" w:cs="Arial" w:eastAsia="Arial" w:hAnsi="Arial"/>
          <w:sz w:val="16"/>
          <w:szCs w:val="16"/>
          <w:b w:val="1"/>
          <w:bCs w:val="1"/>
          <w:color w:val="auto"/>
        </w:rPr>
        <w:t xml:space="preserve"> </w:t>
      </w:r>
      <w:r>
        <w:rPr>
          <w:rFonts w:ascii="Arial" w:cs="Arial" w:eastAsia="Arial" w:hAnsi="Arial"/>
          <w:sz w:val="16"/>
          <w:szCs w:val="16"/>
          <w:color w:val="auto"/>
        </w:rPr>
        <w:t>Scientific Officer, and a member of the board of directors for Tollnine, a company he co-founded to develop novel antibody conjugates for immuno-oncology. From 2012 — 2019 he served as Chief Scientific Officer and a member of the board of directors of Solstice Biologics, where he managed and oversaw all company operations and research exploring novel siRNA technologies for the development of human therapeutics. Before Solstice,</w:t>
      </w:r>
    </w:p>
    <w:p>
      <w:pPr>
        <w:spacing w:after="0" w:line="3" w:lineRule="exact"/>
        <w:rPr>
          <w:sz w:val="20"/>
          <w:szCs w:val="20"/>
          <w:color w:val="auto"/>
        </w:rPr>
      </w:pPr>
    </w:p>
    <w:p>
      <w:pPr>
        <w:ind w:left="220" w:right="120"/>
        <w:spacing w:after="0" w:line="249" w:lineRule="auto"/>
        <w:rPr>
          <w:sz w:val="20"/>
          <w:szCs w:val="20"/>
          <w:color w:val="auto"/>
        </w:rPr>
      </w:pPr>
      <w:r>
        <w:rPr>
          <w:rFonts w:ascii="Arial" w:cs="Arial" w:eastAsia="Arial" w:hAnsi="Arial"/>
          <w:sz w:val="16"/>
          <w:szCs w:val="16"/>
          <w:color w:val="auto"/>
        </w:rPr>
        <w:t>Dr. Bradshaw was Vice President of Research and Development and Chief Scientific Officer at Traversa Therapeutics. At Traversa, he had primary R&amp;D oversight and was a key strategic contributor to internal technology development, business strategy, and oversaw research alliances with multiple major pharmaceutical collaborators. Prior to Traversa, Dr. Bradshaw spent 7 years at CovX Research, a cornerstone of the Pfizer, Inc. Bioinnovation and Biotherapeutics Center. Prior to CovX, he spent 4 years at Ligand Pharmaceuticals and was responsible for the chemical development of clinical-phase active pharmaceutical ingredients. Dr. Bradshaw started his career at Abbott Laboratories, where he spent 6 years as a Research Chemist, Senior Research Chemist, and Project Leader. He received a PhD. in Organic Chemistry from Texas A&amp;M University.</w:t>
      </w:r>
    </w:p>
    <w:p>
      <w:pPr>
        <w:spacing w:after="0" w:line="184" w:lineRule="exact"/>
        <w:rPr>
          <w:sz w:val="20"/>
          <w:szCs w:val="20"/>
          <w:color w:val="auto"/>
        </w:rPr>
      </w:pPr>
    </w:p>
    <w:p>
      <w:pPr>
        <w:ind w:left="220" w:right="60"/>
        <w:spacing w:after="0" w:line="249" w:lineRule="auto"/>
        <w:rPr>
          <w:sz w:val="20"/>
          <w:szCs w:val="20"/>
          <w:color w:val="auto"/>
        </w:rPr>
      </w:pPr>
      <w:r>
        <w:rPr>
          <w:rFonts w:ascii="Arial" w:cs="Arial" w:eastAsia="Arial" w:hAnsi="Arial"/>
          <w:sz w:val="16"/>
          <w:szCs w:val="16"/>
          <w:b w:val="1"/>
          <w:bCs w:val="1"/>
          <w:color w:val="auto"/>
        </w:rPr>
        <w:t xml:space="preserve">Javier San Martin, </w:t>
      </w:r>
      <w:r>
        <w:rPr>
          <w:rFonts w:ascii="Arial" w:cs="Arial" w:eastAsia="Arial" w:hAnsi="Arial"/>
          <w:sz w:val="16"/>
          <w:szCs w:val="16"/>
          <w:color w:val="auto"/>
        </w:rPr>
        <w:t>Chief Medical Officer, joined the Company in November 2019. Dr. San Martin previously served as Senior Vice President and Head</w:t>
      </w:r>
      <w:r>
        <w:rPr>
          <w:rFonts w:ascii="Arial" w:cs="Arial" w:eastAsia="Arial" w:hAnsi="Arial"/>
          <w:sz w:val="16"/>
          <w:szCs w:val="16"/>
          <w:b w:val="1"/>
          <w:bCs w:val="1"/>
          <w:color w:val="auto"/>
        </w:rPr>
        <w:t xml:space="preserve"> </w:t>
      </w:r>
      <w:r>
        <w:rPr>
          <w:rFonts w:ascii="Arial" w:cs="Arial" w:eastAsia="Arial" w:hAnsi="Arial"/>
          <w:sz w:val="16"/>
          <w:szCs w:val="16"/>
          <w:color w:val="auto"/>
        </w:rPr>
        <w:t>of Global Clinical Development at Ultragenyx from 2013 until November 2019. At Ultragenyx he led the development of burosumab, a novel drug for the treatment of X-Linked Hypophosphatemia approved across major regions including the United States, the European Union, and Canada. Before his tenure at Ultragenyx, he served as Senior Vice President of Clinical Development at Alder Biopharmaceuticals, where he was responsible for managing the medical, regulatory, and clinical operations group focused on early clinical programs. From 2006 to 2011, Dr. San Martin was a Global Development Leader at Amgen, Inc., where he was responsible for two major development programs. He directed the romosozumab clinical program through the end of phase II, and before that, was responsible for the development and approval of denosumab, the largest branded anti-osteoporosis treatment for postmenopausal osteoporosis and the first monoclonal antibody to address a very prevalent disease treated by primary care physicians. Prior to his time at Amgen, he spent seven years at Eli Lilly and Company, supporting late stage clinical development as well as medical affairs activities, including the successful launch of Evista and Forteo. He received his medical degree from the University of Buenos Aires Medical School and completed his residence in internal medicine at CEMIC University Hospital in Buenos Aires, Argentina, serving as Chief Resident, and, thereafter, as Attending Physician responsible for the internal medicine ward.</w:t>
      </w:r>
    </w:p>
    <w:p>
      <w:pPr>
        <w:spacing w:after="0" w:line="191" w:lineRule="exact"/>
        <w:rPr>
          <w:sz w:val="20"/>
          <w:szCs w:val="20"/>
          <w:color w:val="auto"/>
        </w:rPr>
      </w:pPr>
    </w:p>
    <w:p>
      <w:pPr>
        <w:ind w:left="220" w:right="120"/>
        <w:spacing w:after="0" w:line="259" w:lineRule="auto"/>
        <w:rPr>
          <w:sz w:val="20"/>
          <w:szCs w:val="20"/>
          <w:color w:val="auto"/>
        </w:rPr>
      </w:pPr>
      <w:r>
        <w:rPr>
          <w:rFonts w:ascii="Arial" w:cs="Arial" w:eastAsia="Arial" w:hAnsi="Arial"/>
          <w:sz w:val="16"/>
          <w:szCs w:val="16"/>
          <w:b w:val="1"/>
          <w:bCs w:val="1"/>
          <w:color w:val="auto"/>
        </w:rPr>
        <w:t xml:space="preserve">James Hassard, </w:t>
      </w:r>
      <w:r>
        <w:rPr>
          <w:rFonts w:ascii="Arial" w:cs="Arial" w:eastAsia="Arial" w:hAnsi="Arial"/>
          <w:sz w:val="16"/>
          <w:szCs w:val="16"/>
          <w:color w:val="auto"/>
        </w:rPr>
        <w:t>Chief Commercial Officer, joined the Company in January 2020. Mr. Hassard served as Senior Vice President of Marketing and Market</w:t>
      </w:r>
      <w:r>
        <w:rPr>
          <w:rFonts w:ascii="Arial" w:cs="Arial" w:eastAsia="Arial" w:hAnsi="Arial"/>
          <w:sz w:val="16"/>
          <w:szCs w:val="16"/>
          <w:b w:val="1"/>
          <w:bCs w:val="1"/>
          <w:color w:val="auto"/>
        </w:rPr>
        <w:t xml:space="preserve"> </w:t>
      </w:r>
      <w:r>
        <w:rPr>
          <w:rFonts w:ascii="Arial" w:cs="Arial" w:eastAsia="Arial" w:hAnsi="Arial"/>
          <w:sz w:val="16"/>
          <w:szCs w:val="16"/>
          <w:color w:val="auto"/>
        </w:rPr>
        <w:t>Access at Coherus BioSciences since 2016, where he was instrumental in building the commercial organization and commercial capabilities. He co-led the launch of Coherus’ first product, a biosimilar, pegfilgrastim; one of the most successful pharmaceutical launches of 2019. Prior to his tenure at Coherus, Mr. Hassard served as Vice President of Marketing at Medivation, prior to and through its acquisition by Pfizer Pharmaceuticals. From 1999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81280</wp:posOffset>
            </wp:positionV>
            <wp:extent cx="984885" cy="205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40"/>
        <w:spacing w:after="0"/>
        <w:tabs>
          <w:tab w:leader="none" w:pos="854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164" w:lineRule="exact"/>
        <w:rPr>
          <w:sz w:val="20"/>
          <w:szCs w:val="20"/>
          <w:color w:val="auto"/>
        </w:rPr>
      </w:pPr>
    </w:p>
    <w:p>
      <w:pPr>
        <w:ind w:left="220" w:right="520"/>
        <w:spacing w:after="0" w:line="249" w:lineRule="auto"/>
        <w:rPr>
          <w:sz w:val="20"/>
          <w:szCs w:val="20"/>
          <w:color w:val="auto"/>
        </w:rPr>
      </w:pPr>
      <w:r>
        <w:rPr>
          <w:rFonts w:ascii="Arial" w:cs="Arial" w:eastAsia="Arial" w:hAnsi="Arial"/>
          <w:sz w:val="16"/>
          <w:szCs w:val="16"/>
          <w:color w:val="auto"/>
        </w:rPr>
        <w:t>2016, he held multiple increasingly senior commercial roles at Amgen, Inc., across sales and marketing, domestic and international, including an assignment as General Manager of Amgen Portugal. He was responsible for the launch, growth, and subsequent life-cycle management of several oncology and nephrology products, including darbepoetin alfa and cinacalcet. Prior to Amgen, Mr. Hassard spent several years at Schering-Plough Canada, in sales and marketing roles, in the therapeutic areas of oncology, cardiovascular and hepatitis. He received his Bachelor of Science in pharmacology from the University of Toronto and a master’s in business administration from Nova Southeastern University,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86360</wp:posOffset>
            </wp:positionV>
            <wp:extent cx="984885"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7"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45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Review and Approval of Related-Party Transactions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Review and Approval of Related-Party Transactions</w:t>
      </w:r>
    </w:p>
    <w:p>
      <w:pPr>
        <w:spacing w:after="0" w:line="372"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Our Board has adopted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205"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officers, directors and employees must disclose related-party transactions to our Board.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206" w:lineRule="exact"/>
        <w:rPr>
          <w:sz w:val="20"/>
          <w:szCs w:val="20"/>
          <w:color w:val="auto"/>
        </w:rPr>
      </w:pPr>
    </w:p>
    <w:p>
      <w:pPr>
        <w:ind w:left="220" w:right="120"/>
        <w:spacing w:after="0" w:line="248" w:lineRule="auto"/>
        <w:rPr>
          <w:sz w:val="20"/>
          <w:szCs w:val="20"/>
          <w:color w:val="auto"/>
        </w:rPr>
      </w:pPr>
      <w:r>
        <w:rPr>
          <w:rFonts w:ascii="Arial" w:cs="Arial" w:eastAsia="Arial" w:hAnsi="Arial"/>
          <w:sz w:val="16"/>
          <w:szCs w:val="16"/>
          <w:color w:val="auto"/>
        </w:rPr>
        <w:t>In determining whether to approve or ratify a related-party transaction, the Board and/or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Audit Committee’s guidelines and that the related-party transaction remains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85725</wp:posOffset>
            </wp:positionV>
            <wp:extent cx="984885"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46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00"/>
        <w:spacing w:after="0"/>
        <w:tabs>
          <w:tab w:leader="none" w:pos="600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Certain Relationships and Related Transactions, and Director Independence</w:t>
      </w:r>
    </w:p>
    <w:p>
      <w:pPr>
        <w:spacing w:after="0" w:line="126" w:lineRule="exact"/>
        <w:rPr>
          <w:sz w:val="20"/>
          <w:szCs w:val="20"/>
          <w:color w:val="auto"/>
        </w:rPr>
      </w:pPr>
    </w:p>
    <w:p>
      <w:pPr>
        <w:ind w:left="220" w:right="1580"/>
        <w:spacing w:after="0" w:line="286" w:lineRule="auto"/>
        <w:rPr>
          <w:sz w:val="20"/>
          <w:szCs w:val="20"/>
          <w:color w:val="auto"/>
        </w:rPr>
      </w:pPr>
      <w:r>
        <w:rPr>
          <w:rFonts w:ascii="Arial" w:cs="Arial" w:eastAsia="Arial" w:hAnsi="Arial"/>
          <w:sz w:val="32"/>
          <w:szCs w:val="32"/>
          <w:b w:val="1"/>
          <w:bCs w:val="1"/>
          <w:color w:val="0071CE"/>
        </w:rPr>
        <w:t>Certain Relationships and Related Transactions, and Director Independence</w:t>
      </w:r>
    </w:p>
    <w:p>
      <w:pPr>
        <w:spacing w:after="0" w:line="240" w:lineRule="exact"/>
        <w:rPr>
          <w:sz w:val="20"/>
          <w:szCs w:val="20"/>
          <w:color w:val="auto"/>
        </w:rPr>
      </w:pPr>
    </w:p>
    <w:p>
      <w:pPr>
        <w:ind w:left="220" w:right="200"/>
        <w:spacing w:after="0" w:line="250" w:lineRule="auto"/>
        <w:rPr>
          <w:sz w:val="20"/>
          <w:szCs w:val="20"/>
          <w:color w:val="auto"/>
        </w:rPr>
      </w:pPr>
      <w:r>
        <w:rPr>
          <w:rFonts w:ascii="Arial" w:cs="Arial" w:eastAsia="Arial" w:hAnsi="Arial"/>
          <w:sz w:val="16"/>
          <w:szCs w:val="16"/>
          <w:color w:val="auto"/>
        </w:rPr>
        <w:t>As of September 30, 2019, a majority of the members of the Board are independent directors, as defined by the Nasdaq Marketplace Rules. The Board has determined that all of the Company’s directors are independent, except Dr. Anzalone, the Company’s Chief Executive Officer, and Dr. Douglass Given, the brother of the Company’s Chief Operating Officer. Non-employee directors do not receive consulting, legal or other fees from the Company, other than Board compensation.</w:t>
      </w:r>
    </w:p>
    <w:p>
      <w:pPr>
        <w:spacing w:after="0" w:line="205"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Vincent Anzalone is the Company’s Vice President, Investor Relations and the brother of Christopher Anzalone, the Company’s CEO. Vincent Anzalone earned base salary and bonus of $273,560 during fiscal year 2019. His current base salary is $244,860. In January 2019, Mr. Anzalone was awarded 40,000 restricted stock units, and this award vests in four annual tranches from the grant date. The grant date fair value of this award is $496,800.</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66"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The Company will mail, without charge to any stockholder upon written request, a copy of the Company’s Annual Report on Form 10-K for the year ended September 30, 2019 including the financial statements, schedules and a list of exhibits. Requests should be sent to Arrowhead Pharmaceuticals, Inc., 177 E. Colorado Blvd., Suite 700, Pasadena, CA 91105, Attn: Corporate Secretary, Phone (626) 304-3400.</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Stockholders Sharing the Same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3" w:lineRule="exact"/>
        <w:rPr>
          <w:sz w:val="20"/>
          <w:szCs w:val="20"/>
          <w:color w:val="auto"/>
        </w:rPr>
      </w:pPr>
    </w:p>
    <w:p>
      <w:pPr>
        <w:ind w:left="220" w:right="60"/>
        <w:spacing w:after="0" w:line="247"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Arrowhead Pharmaceuticals, Inc.</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177 E. Colorado Blvd., Suite 700</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Pasadena CA 91105</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Attn: Corporate Secretary</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Phone (626) 304-3400</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57150</wp:posOffset>
            </wp:positionV>
            <wp:extent cx="69894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3" w:lineRule="exact"/>
        <w:rPr>
          <w:sz w:val="20"/>
          <w:szCs w:val="20"/>
          <w:color w:val="auto"/>
        </w:rPr>
      </w:pPr>
    </w:p>
    <w:p>
      <w:pPr>
        <w:ind w:left="220" w:right="100"/>
        <w:spacing w:after="0" w:line="260"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ORDER OF THE BOARD OF DIRECTORS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 Patrick O’Brien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Patrick O’Brien,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Secretary</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Pasadena, California</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January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95885</wp:posOffset>
            </wp:positionV>
            <wp:extent cx="984885" cy="205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62"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47</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tabs>
          <w:tab w:leader="none" w:pos="60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306"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Amended and Restated</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Bylaws of</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Arrowhead Pharmaceuticals, Inc.</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ARTICLE I</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40640</wp:posOffset>
            </wp:positionV>
            <wp:extent cx="69894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Annual Meeting</w:t>
      </w:r>
      <w:r>
        <w:rPr>
          <w:rFonts w:ascii="Arial" w:cs="Arial" w:eastAsia="Arial" w:hAnsi="Arial"/>
          <w:sz w:val="16"/>
          <w:szCs w:val="16"/>
          <w:color w:val="auto"/>
        </w:rPr>
        <w:t>.</w:t>
      </w:r>
    </w:p>
    <w:p>
      <w:pPr>
        <w:spacing w:after="0" w:line="221" w:lineRule="exact"/>
        <w:rPr>
          <w:sz w:val="20"/>
          <w:szCs w:val="20"/>
          <w:color w:val="auto"/>
        </w:rPr>
      </w:pPr>
    </w:p>
    <w:p>
      <w:pPr>
        <w:ind w:left="220" w:right="80" w:hanging="10"/>
        <w:spacing w:after="0" w:line="249" w:lineRule="auto"/>
        <w:tabs>
          <w:tab w:leader="none" w:pos="463"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annual meeting of stockholders shall be held at the hour, date and place within or without the State of Delaware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205" w:lineRule="exact"/>
        <w:rPr>
          <w:rFonts w:ascii="Arial" w:cs="Arial" w:eastAsia="Arial" w:hAnsi="Arial"/>
          <w:sz w:val="16"/>
          <w:szCs w:val="16"/>
          <w:color w:val="auto"/>
        </w:rPr>
      </w:pPr>
    </w:p>
    <w:p>
      <w:pPr>
        <w:ind w:left="460" w:hanging="250"/>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Notice of Stockholder Business and Nominations</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left="660" w:right="60" w:hanging="10"/>
        <w:spacing w:after="0" w:line="247" w:lineRule="auto"/>
        <w:tabs>
          <w:tab w:leader="none" w:pos="903"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such stockholder must comply with the notice and other procedures set forth in Article I, Section 1.1(b)(2)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102" w:lineRule="exact"/>
        <w:rPr>
          <w:rFonts w:ascii="Arial" w:cs="Arial" w:eastAsia="Arial" w:hAnsi="Arial"/>
          <w:sz w:val="16"/>
          <w:szCs w:val="16"/>
          <w:color w:val="auto"/>
        </w:rPr>
      </w:pPr>
    </w:p>
    <w:p>
      <w:pPr>
        <w:ind w:left="900" w:hanging="250"/>
        <w:spacing w:after="0"/>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(ii) of Article I,</w:t>
      </w:r>
    </w:p>
    <w:p>
      <w:pPr>
        <w:spacing w:after="0" w:line="5" w:lineRule="exact"/>
        <w:rPr>
          <w:sz w:val="20"/>
          <w:szCs w:val="20"/>
          <w:color w:val="auto"/>
        </w:rPr>
      </w:pPr>
    </w:p>
    <w:p>
      <w:pPr>
        <w:ind w:left="660" w:right="40"/>
        <w:spacing w:after="0" w:line="208" w:lineRule="auto"/>
        <w:rPr>
          <w:sz w:val="20"/>
          <w:szCs w:val="20"/>
          <w:color w:val="auto"/>
        </w:rPr>
      </w:pPr>
      <w:r>
        <w:rPr>
          <w:rFonts w:ascii="Arial" w:cs="Arial" w:eastAsia="Arial" w:hAnsi="Arial"/>
          <w:sz w:val="16"/>
          <w:szCs w:val="16"/>
          <w:color w:val="auto"/>
        </w:rPr>
        <w:t>Section 1.1(b)(1)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90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nor earlier than the close of business on the 120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prior to the one-year anniversary of the preceding year’s annual meeting; provided, however, that in the event the annual meeting is first convened more than 30 days before or more than 60 days after such anniversary date, or if no annual meeting were held in the preceding year, notice by the stockholder to be timely must be received by the Secretary of the corporation not later than the close of business on the later of the 90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prior to the scheduled date of such annual meeting or the 10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(such notice within such time periods shall be referred to as “</w:t>
      </w:r>
      <w:r>
        <w:rPr>
          <w:rFonts w:ascii="Arial" w:cs="Arial" w:eastAsia="Arial" w:hAnsi="Arial"/>
          <w:sz w:val="16"/>
          <w:szCs w:val="16"/>
          <w:u w:val="single" w:color="auto"/>
          <w:color w:val="auto"/>
        </w:rPr>
        <w:t>Timely Notice</w:t>
      </w:r>
      <w:r>
        <w:rPr>
          <w:rFonts w:ascii="Arial" w:cs="Arial" w:eastAsia="Arial" w:hAnsi="Arial"/>
          <w:sz w:val="16"/>
          <w:szCs w:val="16"/>
          <w:color w:val="auto"/>
        </w:rPr>
        <w:t>”). Such stockholder’s Timely Notice shall set forth:</w:t>
      </w:r>
    </w:p>
    <w:p>
      <w:pPr>
        <w:spacing w:after="0" w:line="102" w:lineRule="exact"/>
        <w:rPr>
          <w:sz w:val="20"/>
          <w:szCs w:val="20"/>
          <w:color w:val="auto"/>
        </w:rPr>
      </w:pPr>
    </w:p>
    <w:p>
      <w:pPr>
        <w:ind w:left="1100" w:right="360" w:hanging="9"/>
        <w:spacing w:after="0" w:line="250" w:lineRule="auto"/>
        <w:tabs>
          <w:tab w:leader="none" w:pos="1361"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96" w:lineRule="exact"/>
        <w:rPr>
          <w:rFonts w:ascii="Arial" w:cs="Arial" w:eastAsia="Arial" w:hAnsi="Arial"/>
          <w:sz w:val="16"/>
          <w:szCs w:val="16"/>
          <w:color w:val="auto"/>
        </w:rPr>
      </w:pPr>
    </w:p>
    <w:p>
      <w:pPr>
        <w:ind w:left="1100" w:right="360" w:hanging="9"/>
        <w:spacing w:after="0" w:line="253" w:lineRule="auto"/>
        <w:tabs>
          <w:tab w:leader="none" w:pos="1361"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92" w:lineRule="exact"/>
        <w:rPr>
          <w:rFonts w:ascii="Arial" w:cs="Arial" w:eastAsia="Arial" w:hAnsi="Arial"/>
          <w:sz w:val="16"/>
          <w:szCs w:val="16"/>
          <w:color w:val="auto"/>
        </w:rPr>
      </w:pPr>
    </w:p>
    <w:p>
      <w:pPr>
        <w:ind w:left="1100" w:right="160" w:hanging="9"/>
        <w:spacing w:after="0" w:line="260" w:lineRule="auto"/>
        <w:tabs>
          <w:tab w:leader="none" w:pos="137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w:t>
      </w:r>
    </w:p>
    <w:p>
      <w:pPr>
        <w:spacing w:after="0" w:line="103"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0071CE"/>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-64770</wp:posOffset>
            </wp:positionV>
            <wp:extent cx="984885"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8"/>
          <w:szCs w:val="18"/>
          <w:b w:val="1"/>
          <w:bCs w:val="1"/>
          <w:color w:val="0071CE"/>
        </w:rPr>
        <w:t>1</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64" w:lineRule="exact"/>
        <w:rPr>
          <w:sz w:val="20"/>
          <w:szCs w:val="20"/>
          <w:color w:val="auto"/>
        </w:rPr>
      </w:pPr>
    </w:p>
    <w:p>
      <w:pPr>
        <w:ind w:left="1100" w:right="40"/>
        <w:spacing w:after="0" w:line="246" w:lineRule="auto"/>
        <w:rPr>
          <w:sz w:val="20"/>
          <w:szCs w:val="20"/>
          <w:color w:val="auto"/>
        </w:rPr>
      </w:pPr>
      <w:r>
        <w:rPr>
          <w:rFonts w:ascii="Arial" w:cs="Arial" w:eastAsia="Arial" w:hAnsi="Arial"/>
          <w:sz w:val="16"/>
          <w:szCs w:val="16"/>
          <w:color w:val="auto"/>
        </w:rPr>
        <w:t>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w:t>
      </w:r>
    </w:p>
    <w:p>
      <w:pPr>
        <w:spacing w:after="0" w:line="3" w:lineRule="exact"/>
        <w:rPr>
          <w:sz w:val="20"/>
          <w:szCs w:val="20"/>
          <w:color w:val="auto"/>
        </w:rPr>
      </w:pPr>
    </w:p>
    <w:p>
      <w:pPr>
        <w:ind w:left="1100" w:right="180" w:hanging="9"/>
        <w:spacing w:after="0" w:line="246" w:lineRule="auto"/>
        <w:tabs>
          <w:tab w:leader="none" w:pos="1343"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Arial" w:cs="Arial" w:eastAsia="Arial" w:hAnsi="Arial"/>
          <w:sz w:val="16"/>
          <w:szCs w:val="16"/>
          <w:u w:val="single" w:color="auto"/>
          <w:color w:val="auto"/>
        </w:rPr>
        <w:t>Material Ownership Interests</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1100" w:right="180" w:hanging="9"/>
        <w:spacing w:after="0" w:line="253" w:lineRule="auto"/>
        <w:tabs>
          <w:tab w:leader="none" w:pos="1361"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93" w:lineRule="exact"/>
        <w:rPr>
          <w:sz w:val="20"/>
          <w:szCs w:val="20"/>
          <w:color w:val="auto"/>
        </w:rPr>
      </w:pPr>
    </w:p>
    <w:p>
      <w:pPr>
        <w:ind w:left="1100" w:right="180" w:hanging="9"/>
        <w:spacing w:after="0" w:line="248" w:lineRule="auto"/>
        <w:tabs>
          <w:tab w:leader="none" w:pos="137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99" w:lineRule="exact"/>
        <w:rPr>
          <w:rFonts w:ascii="Arial" w:cs="Arial" w:eastAsia="Arial" w:hAnsi="Arial"/>
          <w:sz w:val="16"/>
          <w:szCs w:val="16"/>
          <w:color w:val="auto"/>
        </w:rPr>
      </w:pPr>
    </w:p>
    <w:p>
      <w:pPr>
        <w:ind w:left="1100" w:right="40" w:hanging="9"/>
        <w:spacing w:after="0" w:line="249" w:lineRule="auto"/>
        <w:tabs>
          <w:tab w:leader="none" w:pos="1361"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Arial" w:cs="Arial" w:eastAsia="Arial" w:hAnsi="Arial"/>
          <w:sz w:val="16"/>
          <w:szCs w:val="16"/>
          <w:u w:val="single" w:color="auto"/>
          <w:color w:val="auto"/>
        </w:rPr>
        <w:t>Solicitation Statement</w:t>
      </w:r>
      <w:r>
        <w:rPr>
          <w:rFonts w:ascii="Arial" w:cs="Arial" w:eastAsia="Arial" w:hAnsi="Arial"/>
          <w:sz w:val="16"/>
          <w:szCs w:val="16"/>
          <w:color w:val="auto"/>
        </w:rPr>
        <w:t>”).</w:t>
      </w:r>
    </w:p>
    <w:p>
      <w:pPr>
        <w:spacing w:after="0" w:line="206" w:lineRule="exact"/>
        <w:rPr>
          <w:sz w:val="20"/>
          <w:szCs w:val="20"/>
          <w:color w:val="auto"/>
        </w:rPr>
      </w:pPr>
    </w:p>
    <w:p>
      <w:pPr>
        <w:ind w:left="220" w:right="40"/>
        <w:spacing w:after="0" w:line="246" w:lineRule="auto"/>
        <w:rPr>
          <w:sz w:val="20"/>
          <w:szCs w:val="20"/>
          <w:color w:val="auto"/>
        </w:rPr>
      </w:pPr>
      <w:r>
        <w:rPr>
          <w:rFonts w:ascii="Arial" w:cs="Arial" w:eastAsia="Arial" w:hAnsi="Arial"/>
          <w:sz w:val="16"/>
          <w:szCs w:val="16"/>
          <w:color w:val="auto"/>
        </w:rPr>
        <w:t>For purposes of this Article I of these bylaws, the term “</w:t>
      </w:r>
      <w:r>
        <w:rPr>
          <w:rFonts w:ascii="Arial" w:cs="Arial" w:eastAsia="Arial" w:hAnsi="Arial"/>
          <w:sz w:val="16"/>
          <w:szCs w:val="16"/>
          <w:u w:val="single" w:color="auto"/>
          <w:color w:val="auto"/>
        </w:rPr>
        <w:t>Proposing Person</w:t>
      </w:r>
      <w:r>
        <w:rPr>
          <w:rFonts w:ascii="Arial" w:cs="Arial" w:eastAsia="Arial" w:hAnsi="Arial"/>
          <w:sz w:val="16"/>
          <w:szCs w:val="16"/>
          <w:color w:val="auto"/>
        </w:rPr>
        <w:t>”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1.1 of Article I of these bylaws, the term “</w:t>
      </w:r>
      <w:r>
        <w:rPr>
          <w:rFonts w:ascii="Arial" w:cs="Arial" w:eastAsia="Arial" w:hAnsi="Arial"/>
          <w:sz w:val="16"/>
          <w:szCs w:val="16"/>
          <w:u w:val="single" w:color="auto"/>
          <w:color w:val="auto"/>
        </w:rPr>
        <w:t>Synthetic Equity Interest</w:t>
      </w:r>
      <w:r>
        <w:rPr>
          <w:rFonts w:ascii="Arial" w:cs="Arial" w:eastAsia="Arial" w:hAnsi="Arial"/>
          <w:sz w:val="16"/>
          <w:szCs w:val="16"/>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w:t>
      </w:r>
    </w:p>
    <w:p>
      <w:pPr>
        <w:spacing w:after="0" w:line="2" w:lineRule="exact"/>
        <w:rPr>
          <w:sz w:val="20"/>
          <w:szCs w:val="20"/>
          <w:color w:val="auto"/>
        </w:rPr>
      </w:pPr>
    </w:p>
    <w:p>
      <w:pPr>
        <w:ind w:left="220" w:right="280" w:hanging="10"/>
        <w:spacing w:after="0" w:line="250" w:lineRule="auto"/>
        <w:tabs>
          <w:tab w:leader="none" w:pos="463" w:val="left"/>
        </w:tabs>
        <w:numPr>
          <w:ilvl w:val="0"/>
          <w:numId w:val="68"/>
        </w:numPr>
        <w:rPr>
          <w:rFonts w:ascii="Arial" w:cs="Arial" w:eastAsia="Arial" w:hAnsi="Arial"/>
          <w:sz w:val="16"/>
          <w:szCs w:val="16"/>
          <w:color w:val="auto"/>
        </w:rPr>
      </w:pPr>
      <w:r>
        <w:rPr>
          <w:rFonts w:ascii="Arial" w:cs="Arial" w:eastAsia="Arial" w:hAnsi="Arial"/>
          <w:sz w:val="16"/>
          <w:szCs w:val="16"/>
          <w:color w:val="auto"/>
        </w:rPr>
        <w:t>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96" w:lineRule="exact"/>
        <w:rPr>
          <w:rFonts w:ascii="Arial" w:cs="Arial" w:eastAsia="Arial" w:hAnsi="Arial"/>
          <w:sz w:val="16"/>
          <w:szCs w:val="16"/>
          <w:color w:val="auto"/>
        </w:rPr>
      </w:pPr>
    </w:p>
    <w:p>
      <w:pPr>
        <w:ind w:left="660" w:hanging="10"/>
        <w:spacing w:after="0" w:line="250" w:lineRule="auto"/>
        <w:tabs>
          <w:tab w:leader="none" w:pos="903" w:val="left"/>
        </w:tabs>
        <w:numPr>
          <w:ilvl w:val="1"/>
          <w:numId w:val="68"/>
        </w:numPr>
        <w:rPr>
          <w:rFonts w:ascii="Arial" w:cs="Arial" w:eastAsia="Arial" w:hAnsi="Arial"/>
          <w:sz w:val="16"/>
          <w:szCs w:val="16"/>
          <w:color w:val="auto"/>
        </w:rPr>
      </w:pPr>
      <w:r>
        <w:rPr>
          <w:rFonts w:ascii="Arial" w:cs="Arial" w:eastAsia="Arial" w:hAnsi="Arial"/>
          <w:sz w:val="16"/>
          <w:szCs w:val="16"/>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business days prior to such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85725</wp:posOffset>
            </wp:positionV>
            <wp:extent cx="984885"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A-2</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80"/>
        <w:spacing w:after="0"/>
        <w:tabs>
          <w:tab w:leader="none" w:pos="1058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64" w:lineRule="exact"/>
        <w:rPr>
          <w:sz w:val="20"/>
          <w:szCs w:val="20"/>
          <w:color w:val="auto"/>
        </w:rPr>
      </w:pPr>
    </w:p>
    <w:p>
      <w:pPr>
        <w:ind w:left="660" w:right="40"/>
        <w:spacing w:after="0" w:line="250" w:lineRule="auto"/>
        <w:rPr>
          <w:sz w:val="20"/>
          <w:szCs w:val="20"/>
          <w:color w:val="auto"/>
        </w:rPr>
      </w:pPr>
      <w:r>
        <w:rPr>
          <w:rFonts w:ascii="Arial" w:cs="Arial" w:eastAsia="Arial" w:hAnsi="Arial"/>
          <w:sz w:val="16"/>
          <w:szCs w:val="16"/>
          <w:color w:val="auto"/>
        </w:rPr>
        <w:t>meeting, and such update and supplement shall be received by the Secretary at the principal executive offices of the corporation not later than the close of business on the fifth business day after the record date for the annual meeting (in the case of the update and supplement required to be made as of the record date), and not later than the close of business on the eighth business day prior to the date of the annual meeting (in the case of the update and supplement required to be made as of ten business days prior to the meeting).</w:t>
      </w:r>
    </w:p>
    <w:p>
      <w:pPr>
        <w:spacing w:after="0" w:line="97" w:lineRule="exact"/>
        <w:rPr>
          <w:sz w:val="20"/>
          <w:szCs w:val="20"/>
          <w:color w:val="auto"/>
        </w:rPr>
      </w:pPr>
    </w:p>
    <w:p>
      <w:pPr>
        <w:ind w:left="660" w:right="20" w:hanging="10"/>
        <w:spacing w:after="0" w:line="248" w:lineRule="auto"/>
        <w:tabs>
          <w:tab w:leader="none" w:pos="903"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Notwithstanding anything in the second sentence of Article I, Section 1.1(b)(2)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1.1(b)(2),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206" w:lineRule="exact"/>
        <w:rPr>
          <w:rFonts w:ascii="Arial" w:cs="Arial" w:eastAsia="Arial" w:hAnsi="Arial"/>
          <w:sz w:val="16"/>
          <w:szCs w:val="16"/>
          <w:color w:val="auto"/>
        </w:rPr>
      </w:pPr>
    </w:p>
    <w:p>
      <w:pPr>
        <w:ind w:left="440" w:hanging="230"/>
        <w:spacing w:after="0"/>
        <w:tabs>
          <w:tab w:leader="none" w:pos="44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left="660" w:right="20" w:hanging="10"/>
        <w:spacing w:after="0" w:line="248" w:lineRule="auto"/>
        <w:tabs>
          <w:tab w:leader="none" w:pos="903" w:val="left"/>
        </w:tabs>
        <w:numPr>
          <w:ilvl w:val="1"/>
          <w:numId w:val="70"/>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96" w:lineRule="exact"/>
        <w:rPr>
          <w:rFonts w:ascii="Arial" w:cs="Arial" w:eastAsia="Arial" w:hAnsi="Arial"/>
          <w:sz w:val="16"/>
          <w:szCs w:val="16"/>
          <w:color w:val="auto"/>
        </w:rPr>
      </w:pPr>
    </w:p>
    <w:p>
      <w:pPr>
        <w:ind w:left="660" w:right="40" w:hanging="10"/>
        <w:spacing w:after="0" w:line="253" w:lineRule="auto"/>
        <w:tabs>
          <w:tab w:leader="none" w:pos="903"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Except as otherwise required by law, nothing in this Article I, Section 1.1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92" w:lineRule="exact"/>
        <w:rPr>
          <w:rFonts w:ascii="Arial" w:cs="Arial" w:eastAsia="Arial" w:hAnsi="Arial"/>
          <w:sz w:val="16"/>
          <w:szCs w:val="16"/>
          <w:color w:val="auto"/>
        </w:rPr>
      </w:pPr>
    </w:p>
    <w:p>
      <w:pPr>
        <w:ind w:left="660" w:right="260" w:hanging="10"/>
        <w:spacing w:after="0" w:line="248" w:lineRule="auto"/>
        <w:tabs>
          <w:tab w:leader="none" w:pos="903" w:val="left"/>
        </w:tabs>
        <w:numPr>
          <w:ilvl w:val="1"/>
          <w:numId w:val="70"/>
        </w:numPr>
        <w:rPr>
          <w:rFonts w:ascii="Arial" w:cs="Arial" w:eastAsia="Arial" w:hAnsi="Arial"/>
          <w:sz w:val="16"/>
          <w:szCs w:val="16"/>
          <w:color w:val="auto"/>
        </w:rPr>
      </w:pPr>
      <w:r>
        <w:rPr>
          <w:rFonts w:ascii="Arial" w:cs="Arial" w:eastAsia="Arial" w:hAnsi="Arial"/>
          <w:sz w:val="16"/>
          <w:szCs w:val="16"/>
          <w:color w:val="auto"/>
        </w:rPr>
        <w:t>Notwithstanding the foregoing provisions of this Article I, Section 1.1, if the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1.1,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the stockholders.</w:t>
      </w:r>
    </w:p>
    <w:p>
      <w:pPr>
        <w:spacing w:after="0" w:line="99" w:lineRule="exact"/>
        <w:rPr>
          <w:rFonts w:ascii="Arial" w:cs="Arial" w:eastAsia="Arial" w:hAnsi="Arial"/>
          <w:sz w:val="16"/>
          <w:szCs w:val="16"/>
          <w:color w:val="auto"/>
        </w:rPr>
      </w:pPr>
    </w:p>
    <w:p>
      <w:pPr>
        <w:jc w:val="both"/>
        <w:ind w:left="660" w:right="700" w:hanging="10"/>
        <w:spacing w:after="0" w:line="253" w:lineRule="auto"/>
        <w:tabs>
          <w:tab w:leader="none" w:pos="903" w:val="left"/>
        </w:tabs>
        <w:numPr>
          <w:ilvl w:val="1"/>
          <w:numId w:val="70"/>
        </w:numPr>
        <w:rPr>
          <w:rFonts w:ascii="Arial" w:cs="Arial" w:eastAsia="Arial" w:hAnsi="Arial"/>
          <w:sz w:val="16"/>
          <w:szCs w:val="16"/>
          <w:color w:val="auto"/>
        </w:rPr>
      </w:pPr>
      <w:r>
        <w:rPr>
          <w:rFonts w:ascii="Arial" w:cs="Arial" w:eastAsia="Arial" w:hAnsi="Arial"/>
          <w:sz w:val="16"/>
          <w:szCs w:val="16"/>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92" w:lineRule="exact"/>
        <w:rPr>
          <w:rFonts w:ascii="Arial" w:cs="Arial" w:eastAsia="Arial" w:hAnsi="Arial"/>
          <w:sz w:val="16"/>
          <w:szCs w:val="16"/>
          <w:color w:val="auto"/>
        </w:rPr>
      </w:pPr>
    </w:p>
    <w:p>
      <w:pPr>
        <w:ind w:left="660" w:right="40" w:hanging="10"/>
        <w:spacing w:after="0" w:line="246" w:lineRule="auto"/>
        <w:tabs>
          <w:tab w:leader="none" w:pos="903" w:val="left"/>
        </w:tabs>
        <w:numPr>
          <w:ilvl w:val="1"/>
          <w:numId w:val="70"/>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w:t>
      </w:r>
    </w:p>
    <w:p>
      <w:pPr>
        <w:ind w:left="660" w:right="20"/>
        <w:spacing w:after="0" w:line="253" w:lineRule="auto"/>
        <w:rPr>
          <w:rFonts w:ascii="Arial" w:cs="Arial" w:eastAsia="Arial" w:hAnsi="Arial"/>
          <w:sz w:val="16"/>
          <w:szCs w:val="16"/>
          <w:color w:val="auto"/>
        </w:rPr>
      </w:pPr>
      <w:r>
        <w:rPr>
          <w:rFonts w:ascii="Arial" w:cs="Arial" w:eastAsia="Arial" w:hAnsi="Arial"/>
          <w:sz w:val="16"/>
          <w:szCs w:val="16"/>
          <w:color w:val="auto"/>
        </w:rPr>
        <w:t>(i) stockholders to have proposals included in the corporation’s proxy statement pursuant to Rule 14a-8 (or any successor rule) under the Exchange Act and, to the extent required by such rule, have such proposals considered and voted on at an annual meeting or (ii) the holders of any series of Preferred Stock to elect directors under specified circumstances.</w:t>
      </w:r>
    </w:p>
    <w:p>
      <w:pPr>
        <w:spacing w:after="0" w:line="201"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1.1(a) of these bylaws, in</w:t>
      </w:r>
    </w:p>
    <w:p>
      <w:pPr>
        <w:spacing w:after="0" w:line="115"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0071CE"/>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-64770</wp:posOffset>
            </wp:positionV>
            <wp:extent cx="984885"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8"/>
          <w:szCs w:val="18"/>
          <w:b w:val="1"/>
          <w:bCs w:val="1"/>
          <w:color w:val="0071CE"/>
        </w:rPr>
        <w:t>3</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64" w:lineRule="exact"/>
        <w:rPr>
          <w:sz w:val="20"/>
          <w:szCs w:val="20"/>
          <w:color w:val="auto"/>
        </w:rPr>
      </w:pPr>
    </w:p>
    <w:p>
      <w:pPr>
        <w:ind w:left="220" w:right="740"/>
        <w:spacing w:after="0" w:line="260" w:lineRule="auto"/>
        <w:rPr>
          <w:sz w:val="20"/>
          <w:szCs w:val="20"/>
          <w:color w:val="auto"/>
        </w:rPr>
      </w:pPr>
      <w:r>
        <w:rPr>
          <w:rFonts w:ascii="Arial" w:cs="Arial" w:eastAsia="Arial" w:hAnsi="Arial"/>
          <w:sz w:val="16"/>
          <w:szCs w:val="16"/>
          <w:color w:val="auto"/>
        </w:rPr>
        <w:t>which case such special meeting in lieu thereof shall be deemed an annual meeting for purposes of these bylaws and the provisions of Article I, Section 1.1(b) of these bylaws shall govern such special meeting.</w:t>
      </w:r>
    </w:p>
    <w:p>
      <w:pPr>
        <w:spacing w:after="0" w:line="195"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Notice of Meetings</w:t>
      </w:r>
      <w:r>
        <w:rPr>
          <w:rFonts w:ascii="Arial" w:cs="Arial" w:eastAsia="Arial" w:hAnsi="Arial"/>
          <w:sz w:val="16"/>
          <w:szCs w:val="16"/>
          <w:color w:val="auto"/>
        </w:rPr>
        <w:t>. Whenever stockholders are required or permitted to take any action at a meeting, a written notice of the meeting shall be given which shall state the place, date and hour of the meeting, and, in the case of a special meeting, the purpose or purposes for which the meeting is called. Unless otherwise provided by law, the written notice of any meeting shall be given not less than ten nor more than sixty days before the date of the meeting to each stockholder entitled to vote at such meeting. If mailed, such notice shall be deemed to be given when deposited in the mail, postage prepaid, directed to the stockholder at his/her address as it appears on the records of the corporation.</w:t>
      </w:r>
    </w:p>
    <w:p>
      <w:pPr>
        <w:spacing w:after="0" w:line="206" w:lineRule="exact"/>
        <w:rPr>
          <w:sz w:val="20"/>
          <w:szCs w:val="20"/>
          <w:color w:val="auto"/>
        </w:rPr>
      </w:pPr>
    </w:p>
    <w:p>
      <w:pPr>
        <w:ind w:left="220" w:right="80"/>
        <w:spacing w:after="0" w:line="249"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Adjournments</w:t>
      </w:r>
      <w:r>
        <w:rPr>
          <w:rFonts w:ascii="Arial" w:cs="Arial" w:eastAsia="Arial" w:hAnsi="Arial"/>
          <w:sz w:val="16"/>
          <w:szCs w:val="16"/>
          <w:color w:val="auto"/>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206"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Quorum</w:t>
      </w:r>
      <w:r>
        <w:rPr>
          <w:rFonts w:ascii="Arial" w:cs="Arial" w:eastAsia="Arial" w:hAnsi="Arial"/>
          <w:sz w:val="16"/>
          <w:szCs w:val="16"/>
          <w:color w:val="auto"/>
        </w:rPr>
        <w:t>. At each meeting of stockholders, except where otherwise provided by law or the certificate of incorporation or these bylaws, the holders of shares representing a majority of the votes entitled to be cast by the holders of the outstanding shares of stock entitled to vote at the meeting, present in person or by proxy, shall constitute a quorum. In the absence of a quorum, the stockholders so present may, by majority vote,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to vote stock, including but not limited to its own stock, held by it in a fiduciary capacity.</w:t>
      </w:r>
    </w:p>
    <w:p>
      <w:pPr>
        <w:spacing w:after="0" w:line="207"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Organization</w:t>
      </w:r>
      <w:r>
        <w:rPr>
          <w:rFonts w:ascii="Arial" w:cs="Arial" w:eastAsia="Arial" w:hAnsi="Arial"/>
          <w:sz w:val="16"/>
          <w:szCs w:val="16"/>
          <w:color w:val="auto"/>
        </w:rPr>
        <w:t>. Meetings of stockholders shall be presided over by the Chairman of the Board, if any, or in his/her absence by the Vice Chairman of the Board, if any, or in his/her absence by the President, or in his/her absence by a Vice President, or in the absence of the foregoing persons by a chairman designated by the Board of Directors, or in the absence of such designation by a chairman chosen at the meeting. The Secretary shall act as secretary of the meeting, but in his/her absence the chairman of the meeting may appoint any person to act as secretary of the meeting.</w:t>
      </w:r>
    </w:p>
    <w:p>
      <w:pPr>
        <w:spacing w:after="0" w:line="205" w:lineRule="exact"/>
        <w:rPr>
          <w:sz w:val="20"/>
          <w:szCs w:val="20"/>
          <w:color w:val="auto"/>
        </w:rPr>
      </w:pPr>
    </w:p>
    <w:p>
      <w:pPr>
        <w:ind w:left="220" w:right="40"/>
        <w:spacing w:after="0" w:line="247"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Voting; Proxies</w:t>
      </w:r>
      <w:r>
        <w:rPr>
          <w:rFonts w:ascii="Arial" w:cs="Arial" w:eastAsia="Arial" w:hAnsi="Arial"/>
          <w:sz w:val="16"/>
          <w:szCs w:val="16"/>
          <w:color w:val="auto"/>
        </w:rPr>
        <w:t xml:space="preserve">. Except as otherwise provided in the certificate of incorporation or any amendment thereto, each stockholder entitled to vote at any meeting of stockholders shall be entitled to one vote for each share of stock held by him which has voting power upon the matter in question. Each stockholder entitled to vote at a meeting of stockholders may authorize another person or persons to act for him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another duly executed proxy bearing a later date with the Secretary of the corporation. Voting at meetings of stockholders need not be by written ballot and need not be conducted by inspectors unless the holders of shares representing a majority of the votes entitled to be cast by the holders of the outstanding shares of all classes of stock entitled to vote thereon present in person or by proxy at such meeting shall so determine. At all meetings of stockholders </w:t>
      </w:r>
      <w:r>
        <w:rPr>
          <w:rFonts w:ascii="Arial" w:cs="Arial" w:eastAsia="Arial" w:hAnsi="Arial"/>
          <w:sz w:val="16"/>
          <w:szCs w:val="16"/>
          <w:color w:val="auto"/>
          <w:strike w:val="1"/>
        </w:rPr>
        <w:t>for the</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election of directors a plurality of the votes cast shall be sufficient to elect </w:t>
      </w:r>
      <w:r>
        <w:rPr>
          <w:rFonts w:ascii="Arial" w:cs="Arial" w:eastAsia="Arial" w:hAnsi="Arial"/>
          <w:sz w:val="16"/>
          <w:szCs w:val="16"/>
          <w:u w:val="single" w:color="auto"/>
          <w:color w:val="auto"/>
          <w:strike w:val="1"/>
        </w:rPr>
        <w:t>at which a quorum is present, all corporate actions to be taken by vote of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stockholders</w:t>
      </w:r>
      <w:r>
        <w:rPr>
          <w:rFonts w:ascii="Arial" w:cs="Arial" w:eastAsia="Arial" w:hAnsi="Arial"/>
          <w:sz w:val="16"/>
          <w:szCs w:val="16"/>
          <w:color w:val="auto"/>
          <w:strike w:val="1"/>
        </w:rPr>
        <w:t xml:space="preserve"> shall, unless otherwise provided </w:t>
      </w:r>
      <w:r>
        <w:rPr>
          <w:rFonts w:ascii="Arial" w:cs="Arial" w:eastAsia="Arial" w:hAnsi="Arial"/>
          <w:sz w:val="16"/>
          <w:szCs w:val="16"/>
          <w:u w:val="single" w:color="auto"/>
          <w:color w:val="auto"/>
          <w:strike w:val="1"/>
        </w:rPr>
        <w:t>required</w:t>
      </w:r>
      <w:r>
        <w:rPr>
          <w:rFonts w:ascii="Arial" w:cs="Arial" w:eastAsia="Arial" w:hAnsi="Arial"/>
          <w:sz w:val="16"/>
          <w:szCs w:val="16"/>
          <w:color w:val="auto"/>
          <w:strike w:val="1"/>
        </w:rPr>
        <w:t xml:space="preserve"> by law or by the certificate of incorporation or these bylaws, be decided by the vote of shares representing a majority of the votes entitled to be cast by the holders of the outstanding shares of stock entitled to vote thereon present in person or by proxy at the meeting.</w:t>
      </w:r>
    </w:p>
    <w:p>
      <w:pPr>
        <w:spacing w:after="0" w:line="209" w:lineRule="exact"/>
        <w:rPr>
          <w:sz w:val="20"/>
          <w:szCs w:val="20"/>
          <w:color w:val="auto"/>
        </w:rPr>
      </w:pPr>
    </w:p>
    <w:p>
      <w:pPr>
        <w:ind w:left="220" w:right="100"/>
        <w:spacing w:after="0" w:line="247"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Fixing Date for Determination of Stockholders of Record</w:t>
      </w:r>
      <w:r>
        <w:rPr>
          <w:rFonts w:ascii="Arial" w:cs="Arial" w:eastAsia="Arial" w:hAnsi="Arial"/>
          <w:sz w:val="16"/>
          <w:szCs w:val="16"/>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prior to any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89535</wp:posOffset>
            </wp:positionV>
            <wp:extent cx="984885"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A-4</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80"/>
        <w:spacing w:after="0"/>
        <w:tabs>
          <w:tab w:leader="none" w:pos="1058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64"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Upon the willful neglect or refusal of the directors to produce such a list at any meeting for the election of directors, they shall be ineligible for election to any office at such meeting. The stock ledger shall be the only evidence as to who are the stockholders entitled to examine the stock ledger, the list of stockholders or the books of the corporation, or to vote in person or by proxy at any meeting of stockholders.</w:t>
      </w:r>
    </w:p>
    <w:p>
      <w:pPr>
        <w:spacing w:after="0" w:line="204"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Action by Consent of Stockholders</w:t>
      </w:r>
      <w:r>
        <w:rPr>
          <w:rFonts w:ascii="Arial" w:cs="Arial" w:eastAsia="Arial" w:hAnsi="Arial"/>
          <w:sz w:val="16"/>
          <w:szCs w:val="16"/>
          <w:color w:val="auto"/>
        </w:rPr>
        <w:t>. Unless otherwise restricted by the Certificate of Incorporation, any action required or permitted to be taken at any annual or special meeting of the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ARTICLE II</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40640</wp:posOffset>
            </wp:positionV>
            <wp:extent cx="69894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0" w:lineRule="exact"/>
        <w:rPr>
          <w:sz w:val="20"/>
          <w:szCs w:val="20"/>
          <w:color w:val="auto"/>
        </w:rPr>
      </w:pPr>
    </w:p>
    <w:p>
      <w:pPr>
        <w:ind w:left="220" w:right="80"/>
        <w:spacing w:after="0" w:line="260"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Number; Qualifications</w:t>
      </w:r>
      <w:r>
        <w:rPr>
          <w:rFonts w:ascii="Arial" w:cs="Arial" w:eastAsia="Arial" w:hAnsi="Arial"/>
          <w:sz w:val="16"/>
          <w:szCs w:val="16"/>
          <w:color w:val="auto"/>
        </w:rPr>
        <w:t>. The Board of Directors shall consist of one or more members, the number thereof to be determined from time to time by resolution of the Board of Directors. Directors need not be stockholders.</w:t>
      </w:r>
    </w:p>
    <w:p>
      <w:pPr>
        <w:spacing w:after="0" w:line="195" w:lineRule="exact"/>
        <w:rPr>
          <w:sz w:val="20"/>
          <w:szCs w:val="20"/>
          <w:color w:val="auto"/>
        </w:rPr>
      </w:pPr>
    </w:p>
    <w:p>
      <w:pPr>
        <w:ind w:left="220" w:right="60"/>
        <w:spacing w:after="0" w:line="247"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Election; Resignation; Removal; Vacancies</w:t>
      </w:r>
      <w:r>
        <w:rPr>
          <w:rFonts w:ascii="Arial" w:cs="Arial" w:eastAsia="Arial" w:hAnsi="Arial"/>
          <w:sz w:val="16"/>
          <w:szCs w:val="16"/>
          <w:color w:val="auto"/>
        </w:rPr>
        <w:t xml:space="preserve">. </w:t>
      </w:r>
      <w:r>
        <w:rPr>
          <w:rFonts w:ascii="Arial" w:cs="Arial" w:eastAsia="Arial" w:hAnsi="Arial"/>
          <w:sz w:val="16"/>
          <w:szCs w:val="16"/>
          <w:color w:val="auto"/>
          <w:strike w:val="1"/>
        </w:rPr>
        <w:t>The Board of Directors shall initially consist of the persons named as Directors by the</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Incorporator, and each Director so elected shall hold office until the first annual meeting of stockholders or until his/her successor is elected and qualified. At the first annual meeting of stockholders and at each annual meeting thereafter, the stockholders shall elect Directors each of whom shall hold office for a term of one year or until his/her successor is elected and qualified. </w:t>
      </w:r>
      <w:r>
        <w:rPr>
          <w:rFonts w:ascii="Arial" w:cs="Arial" w:eastAsia="Arial" w:hAnsi="Arial"/>
          <w:sz w:val="16"/>
          <w:szCs w:val="16"/>
          <w:u w:val="single" w:color="auto"/>
          <w:color w:val="auto"/>
          <w:strike w:val="1"/>
        </w:rPr>
        <w:t>At any meeting of stockholders for the election of Directors at which a quorum is</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present, each Director shall be elected by a majority of the votes cast; provided that, if the election is contested, the Directors shall be elected by a plurality of the votes cast. An election shall be contested if the number of nominees for Director exceeds the number of Directors to be elected, as determined by the Board of Directors. For purposes of this Section 2.2, a majority of votes cast shall mean that the number of votes cast “for” a Director’s election exceeds the number of votes cast “against” that Director’s election (with abstentions and broker non-votes not counted as a vote cast either “for” or “against” such Director’s election).</w:t>
      </w:r>
      <w:r>
        <w:rPr>
          <w:rFonts w:ascii="Arial" w:cs="Arial" w:eastAsia="Arial" w:hAnsi="Arial"/>
          <w:sz w:val="16"/>
          <w:szCs w:val="16"/>
          <w:color w:val="auto"/>
          <w:strike w:val="1"/>
        </w:rPr>
        <w:t xml:space="preserve"> Any Director may resign at any time upon written notice </w:t>
      </w:r>
      <w:r>
        <w:rPr>
          <w:rFonts w:ascii="Arial" w:cs="Arial" w:eastAsia="Arial" w:hAnsi="Arial"/>
          <w:sz w:val="16"/>
          <w:szCs w:val="16"/>
          <w:u w:val="single" w:color="auto"/>
          <w:color w:val="auto"/>
          <w:strike w:val="1"/>
        </w:rPr>
        <w:t>(including by electronic transmission)</w:t>
      </w:r>
      <w:r>
        <w:rPr>
          <w:rFonts w:ascii="Arial" w:cs="Arial" w:eastAsia="Arial" w:hAnsi="Arial"/>
          <w:sz w:val="16"/>
          <w:szCs w:val="16"/>
          <w:color w:val="auto"/>
          <w:strike w:val="1"/>
        </w:rPr>
        <w:t xml:space="preserve"> to the corporation</w:t>
      </w:r>
      <w:r>
        <w:rPr>
          <w:rFonts w:ascii="Arial" w:cs="Arial" w:eastAsia="Arial" w:hAnsi="Arial"/>
          <w:sz w:val="16"/>
          <w:szCs w:val="16"/>
          <w:u w:val="single" w:color="auto"/>
          <w:color w:val="auto"/>
          <w:strike w:val="1"/>
        </w:rPr>
        <w: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such resignation shall take effect upon delivery, unless the resignation specifies a later effective date or time or an effective date or time determined upon the happening of an event or events</w:t>
      </w:r>
      <w:r>
        <w:rPr>
          <w:rFonts w:ascii="Arial" w:cs="Arial" w:eastAsia="Arial" w:hAnsi="Arial"/>
          <w:sz w:val="16"/>
          <w:szCs w:val="16"/>
          <w:color w:val="auto"/>
          <w:strike w:val="1"/>
        </w:rPr>
        <w:t xml:space="preserve">. Any vacancy occurring in the Board of Directors for any cause may be filled by a majority of the remaining members of the Board of Directors, although such majority is less than a quorum, or by a plurality </w:t>
      </w:r>
      <w:r>
        <w:rPr>
          <w:rFonts w:ascii="Arial" w:cs="Arial" w:eastAsia="Arial" w:hAnsi="Arial"/>
          <w:sz w:val="16"/>
          <w:szCs w:val="16"/>
          <w:u w:val="single" w:color="auto"/>
          <w:color w:val="auto"/>
          <w:strike w:val="1"/>
        </w:rPr>
        <w:t>majority</w:t>
      </w:r>
      <w:r>
        <w:rPr>
          <w:rFonts w:ascii="Arial" w:cs="Arial" w:eastAsia="Arial" w:hAnsi="Arial"/>
          <w:sz w:val="16"/>
          <w:szCs w:val="16"/>
          <w:color w:val="auto"/>
          <w:strike w:val="1"/>
        </w:rPr>
        <w:t xml:space="preserve"> of the votes cast at a meeting of stockholders, and each Director so elected shall hold office until the expiration of the term of office of the Director whom he has replaced or until his/her successor is elected and qualified.</w:t>
      </w:r>
    </w:p>
    <w:p>
      <w:pPr>
        <w:spacing w:after="0" w:line="209" w:lineRule="exact"/>
        <w:rPr>
          <w:sz w:val="20"/>
          <w:szCs w:val="20"/>
          <w:color w:val="auto"/>
        </w:rPr>
      </w:pPr>
    </w:p>
    <w:p>
      <w:pPr>
        <w:ind w:left="220" w:right="40"/>
        <w:spacing w:after="0" w:line="260"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Regular Meetings</w:t>
      </w:r>
      <w:r>
        <w:rPr>
          <w:rFonts w:ascii="Arial" w:cs="Arial" w:eastAsia="Arial" w:hAnsi="Arial"/>
          <w:sz w:val="16"/>
          <w:szCs w:val="16"/>
          <w:color w:val="auto"/>
        </w:rPr>
        <w:t>. Regular meetings of the Board of Directors may be held at such places within or without the State of Delaware and at such times as the Board of Directors may from time to time determine, and if so determined notices thereof need not be given.</w:t>
      </w:r>
    </w:p>
    <w:p>
      <w:pPr>
        <w:spacing w:after="0" w:line="195" w:lineRule="exact"/>
        <w:rPr>
          <w:sz w:val="20"/>
          <w:szCs w:val="20"/>
          <w:color w:val="auto"/>
        </w:rPr>
      </w:pPr>
    </w:p>
    <w:p>
      <w:pPr>
        <w:ind w:left="220" w:right="380"/>
        <w:spacing w:after="0" w:line="253"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held at any time or place within or without the State of Delaware whenever called by the President, any Vice President, the Secretary, or by any member of the Board of Directors. Reasonable notice thereof shall be given by the person or persons calling the meeting, not later than the second day before the date of the special meeting.</w:t>
      </w:r>
    </w:p>
    <w:p>
      <w:pPr>
        <w:spacing w:after="0" w:line="201" w:lineRule="exact"/>
        <w:rPr>
          <w:sz w:val="20"/>
          <w:szCs w:val="20"/>
          <w:color w:val="auto"/>
        </w:rPr>
      </w:pPr>
    </w:p>
    <w:p>
      <w:pPr>
        <w:jc w:val="both"/>
        <w:ind w:left="220" w:right="140"/>
        <w:spacing w:after="0" w:line="25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Telephonic Meetings Permitted</w:t>
      </w:r>
      <w:r>
        <w:rPr>
          <w:rFonts w:ascii="Arial" w:cs="Arial" w:eastAsia="Arial" w:hAnsi="Arial"/>
          <w:sz w:val="16"/>
          <w:szCs w:val="16"/>
          <w:color w:val="auto"/>
        </w:rPr>
        <w:t>. Members of the Board of Directors, or any committee designated by the Board, may participate in a meeting of such Board or committee by means of conference telephone or similar communications equipment by means of which all persons participating in the meeting can hear each other, and participation in a meeting pursuant to this bylaw shall constitute presence in person at such meeting.</w:t>
      </w:r>
    </w:p>
    <w:p>
      <w:pPr>
        <w:spacing w:after="0" w:line="201" w:lineRule="exact"/>
        <w:rPr>
          <w:sz w:val="20"/>
          <w:szCs w:val="20"/>
          <w:color w:val="auto"/>
        </w:rPr>
      </w:pPr>
    </w:p>
    <w:p>
      <w:pPr>
        <w:ind w:left="220" w:right="100"/>
        <w:spacing w:after="0" w:line="260"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Quorum; Vote Required for Action</w:t>
      </w:r>
      <w:r>
        <w:rPr>
          <w:rFonts w:ascii="Arial" w:cs="Arial" w:eastAsia="Arial" w:hAnsi="Arial"/>
          <w:sz w:val="16"/>
          <w:szCs w:val="16"/>
          <w:color w:val="auto"/>
        </w:rPr>
        <w:t>. At all meetings of the Board of Directors a majority of the directors then in office shall constitute a quorum for the transaction of business. Except in cases in which the certificate of incorporation or these</w:t>
      </w:r>
    </w:p>
    <w:p>
      <w:pPr>
        <w:spacing w:after="0" w:line="103"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0071CE"/>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-64770</wp:posOffset>
            </wp:positionV>
            <wp:extent cx="984885"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8"/>
          <w:szCs w:val="18"/>
          <w:b w:val="1"/>
          <w:bCs w:val="1"/>
          <w:color w:val="0071CE"/>
        </w:rPr>
        <w:t>5</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64" w:lineRule="exact"/>
        <w:rPr>
          <w:sz w:val="20"/>
          <w:szCs w:val="20"/>
          <w:color w:val="auto"/>
        </w:rPr>
      </w:pPr>
    </w:p>
    <w:p>
      <w:pPr>
        <w:ind w:left="220" w:right="620"/>
        <w:spacing w:after="0" w:line="260" w:lineRule="auto"/>
        <w:rPr>
          <w:sz w:val="20"/>
          <w:szCs w:val="20"/>
          <w:color w:val="auto"/>
        </w:rPr>
      </w:pPr>
      <w:r>
        <w:rPr>
          <w:rFonts w:ascii="Arial" w:cs="Arial" w:eastAsia="Arial" w:hAnsi="Arial"/>
          <w:sz w:val="16"/>
          <w:szCs w:val="16"/>
          <w:color w:val="auto"/>
        </w:rPr>
        <w:t>bylaws otherwise provide, the vote of a majority of the directors present at a meeting at which a quorum is present shall be the act of the Board of Directors.</w:t>
      </w:r>
    </w:p>
    <w:p>
      <w:pPr>
        <w:spacing w:after="0" w:line="195" w:lineRule="exact"/>
        <w:rPr>
          <w:sz w:val="20"/>
          <w:szCs w:val="20"/>
          <w:color w:val="auto"/>
        </w:rPr>
      </w:pPr>
    </w:p>
    <w:p>
      <w:pPr>
        <w:jc w:val="both"/>
        <w:ind w:left="220"/>
        <w:spacing w:after="0" w:line="253"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Organization</w:t>
      </w:r>
      <w:r>
        <w:rPr>
          <w:rFonts w:ascii="Arial" w:cs="Arial" w:eastAsia="Arial" w:hAnsi="Arial"/>
          <w:sz w:val="16"/>
          <w:szCs w:val="16"/>
          <w:color w:val="auto"/>
        </w:rPr>
        <w:t>. Meetings of the Board of Directors shall be presided over by the Chairman of the Board, if any, or in his/her absence by the Vice Chairman of the Board, if any, or in his/her absence by the President, or in their absence by a chairman chosen at the meeting. The Secretary shall act as secretary of the meeting, but in his/her absence the chairman of the meeting may appoint any person to act as secretary of the meeting.</w:t>
      </w:r>
    </w:p>
    <w:p>
      <w:pPr>
        <w:spacing w:after="0" w:line="201"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Informal Action by Directors</w:t>
      </w:r>
      <w:r>
        <w:rPr>
          <w:rFonts w:ascii="Arial" w:cs="Arial" w:eastAsia="Arial" w:hAnsi="Arial"/>
          <w:sz w:val="16"/>
          <w:szCs w:val="16"/>
          <w:color w:val="auto"/>
        </w:rPr>
        <w:t>. 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and the writing or writings are filed with the minutes of proceedings of the Board or committee.</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ARTICLE III</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40640</wp:posOffset>
            </wp:positionV>
            <wp:extent cx="69894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0"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or they constitute a quorum, may unanimously appoint another member of the Board of Directors to act at the meeting in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Amended and Restated Certificate of Incorporation, as it may be amended from time to time (the “Certificate of Incorporation”) (except that any such committee may, to the extent authorized in the resolution or resolutions providing for the issuance of shares of Preferred Stock adopted by the Board of Directors pursuant to Article Fourth of the Certificate of Incorporation, fix any of the preferences or rights of such shares relating to dividends, redemption, dissolution, any distribution of the assets of the corporation or the conversion into, or the exchange of such shares for, shares of any other class or classes or any other series of the same or any other class or classes of stock of the corporation), adopting an agreement of merger or consolidation under Sections 251 or 252 of the General Corporation Law of the State of Delaware, recommending to the stockholders the sale, lease or exchange of all or substantially all of the corporation’s property and assets, recommending to the stockholders a dissolution of the corporation or a revocation of a dissolution, or amending these Bylaws; and unless the resolution or the Certificate of Incorporation expressly so provides, no such committee shall have the power or authority to declare a dividend, to authorize the issuance of stock, or to adopt a certificate of ownership and merger pursuant to Section 253 of the General Corporation Law of the State of Delaware.</w:t>
      </w:r>
    </w:p>
    <w:p>
      <w:pPr>
        <w:spacing w:after="0" w:line="207" w:lineRule="exact"/>
        <w:rPr>
          <w:sz w:val="20"/>
          <w:szCs w:val="20"/>
          <w:color w:val="auto"/>
        </w:rPr>
      </w:pPr>
    </w:p>
    <w:p>
      <w:pPr>
        <w:ind w:left="220" w:right="280"/>
        <w:spacing w:after="0" w:line="25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Committee Rules</w:t>
      </w:r>
      <w:r>
        <w:rPr>
          <w:rFonts w:ascii="Arial" w:cs="Arial" w:eastAsia="Arial" w:hAnsi="Arial"/>
          <w:sz w:val="16"/>
          <w:szCs w:val="16"/>
          <w:color w:val="auto"/>
        </w:rPr>
        <w:t>. Unless the Board of Directors otherwise provides, each committee designated by the Board may make, alter and repeal rules for the conduct of its business. In the absence of such rules each committee shall conduct its business in the same manner as the Board of Directors conducts its business pursuant to Article II of these Bylaws.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ARTICLE IV</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40640</wp:posOffset>
            </wp:positionV>
            <wp:extent cx="69894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27"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Executive Officers; Election; Qualifications; Term of Office; Resignation; Removal; Vacancies</w:t>
      </w:r>
      <w:r>
        <w:rPr>
          <w:rFonts w:ascii="Arial" w:cs="Arial" w:eastAsia="Arial" w:hAnsi="Arial"/>
          <w:sz w:val="16"/>
          <w:szCs w:val="16"/>
          <w:color w:val="auto"/>
        </w:rPr>
        <w:t xml:space="preserve">. The Board of Directors shall choose a President and Secretary, and it may, if it so determines, choose a Chairman of the Board and a Vice Chairman of the Board from among its members. The Board of Directors may also choose one or more Vice Presidents, one or more Assistant Secretaries, a Treasurer and one or more Assistant Treasurers. Each such officer shall hold office until the first meeting of the Board of Directors after the annual meeting of stockholders next succeeding this election, and until his/her successor is elected and qualified or until his/her earlier resignation or removal. Any officer may resign at any time upon written notice </w:t>
      </w:r>
      <w:r>
        <w:rPr>
          <w:rFonts w:ascii="Arial" w:cs="Arial" w:eastAsia="Arial" w:hAnsi="Arial"/>
          <w:sz w:val="16"/>
          <w:szCs w:val="16"/>
          <w:u w:val="single" w:color="auto"/>
          <w:color w:val="auto"/>
        </w:rPr>
        <w:t>(including by electronic transmission)</w:t>
      </w:r>
      <w:r>
        <w:rPr>
          <w:rFonts w:ascii="Arial" w:cs="Arial" w:eastAsia="Arial" w:hAnsi="Arial"/>
          <w:sz w:val="16"/>
          <w:szCs w:val="16"/>
          <w:color w:val="auto"/>
        </w:rPr>
        <w:t xml:space="preserve"> to the corporation</w:t>
      </w:r>
      <w:r>
        <w:rPr>
          <w:rFonts w:ascii="Arial" w:cs="Arial" w:eastAsia="Arial" w:hAnsi="Arial"/>
          <w:sz w:val="16"/>
          <w:szCs w:val="16"/>
          <w:u w:val="single" w:color="auto"/>
          <w:color w:val="auto"/>
        </w:rPr>
        <w:t>; such resignation shall take effect upon delivery, unless the resignation specifies a later 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 or time or an effective date or time determined upon the happening of an event or events</w:t>
      </w:r>
      <w:r>
        <w:rPr>
          <w:rFonts w:ascii="Arial" w:cs="Arial" w:eastAsia="Arial" w:hAnsi="Arial"/>
          <w:sz w:val="16"/>
          <w:szCs w:val="16"/>
          <w:color w:val="auto"/>
        </w:rPr>
        <w:t>. The Board of Directors may remove any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by the Board of Directors at any regular or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90170</wp:posOffset>
            </wp:positionV>
            <wp:extent cx="984885" cy="205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A-6</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80"/>
        <w:spacing w:after="0"/>
        <w:tabs>
          <w:tab w:leader="none" w:pos="1058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64" w:lineRule="exact"/>
        <w:rPr>
          <w:sz w:val="20"/>
          <w:szCs w:val="20"/>
          <w:color w:val="auto"/>
        </w:rPr>
      </w:pPr>
    </w:p>
    <w:p>
      <w:pPr>
        <w:ind w:left="220" w:right="200"/>
        <w:spacing w:after="0" w:line="250"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Powers and Duties of Executive Officers</w:t>
      </w:r>
      <w:r>
        <w:rPr>
          <w:rFonts w:ascii="Arial" w:cs="Arial" w:eastAsia="Arial" w:hAnsi="Arial"/>
          <w:sz w:val="16"/>
          <w:szCs w:val="16"/>
          <w:color w:val="auto"/>
        </w:rPr>
        <w:t>. The officers of the corporation shall have such powers and duties in the management of the corporation as may be prescribed by the Board of Directors and, to the extent not so provided, as generally pertain to their respective offices, subject to the control of the Board of Directors. The Board of Directors may require any officer, agent or employee to give security for the faithful performance of his/her duties.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ARTICLE V</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40640</wp:posOffset>
            </wp:positionV>
            <wp:extent cx="69894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0" w:lineRule="exact"/>
        <w:rPr>
          <w:sz w:val="20"/>
          <w:szCs w:val="20"/>
          <w:color w:val="auto"/>
        </w:rPr>
      </w:pPr>
    </w:p>
    <w:p>
      <w:pPr>
        <w:ind w:left="220" w:right="20"/>
        <w:spacing w:after="0" w:line="24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Certificates</w:t>
      </w:r>
      <w:r>
        <w:rPr>
          <w:rFonts w:ascii="Arial" w:cs="Arial" w:eastAsia="Arial" w:hAnsi="Arial"/>
          <w:sz w:val="16"/>
          <w:szCs w:val="16"/>
          <w:color w:val="auto"/>
        </w:rPr>
        <w:t>. The Board may provide by resolution or resolutions that some or all of any or all classes or series of the stock of the Company shall be uncertificated shares. Certificates, if any, representing shares of stock of the Company will be in such form as is determined by the Board, subject to applicable legal requirements. Each such certificate shall be numbered and shall be signed by or in the name of the corporation by the Chairman or Vice Chairman of the Board of Directors, if any, or the President or a Vice President, and by the Treasurer or an Assistant Treasurer, or the Secretary or an Assistant Secretary, of the corporation, certifying the number of shares owned by him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 Records shall be kept of the amount of stock of the corporation issued and outstanding, the manner in which and the time when such stock was paid for, the respective names, alphabetically arranged, and the addresses, of the persons, firms or corporations owning of record the stock represented by certificates for stock of the corporation, the number, class and series of shares represented by such certificates, respectively, the time when each became an owner of record thereof, and the respective dates of such certificates, and in case of cancellation, the respective dates of cancellation.</w:t>
      </w:r>
    </w:p>
    <w:p>
      <w:pPr>
        <w:spacing w:after="0" w:line="210"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Lost, Stolen or Destroyed Stock Certificates; Issuance of New Certificates</w:t>
      </w:r>
      <w:r>
        <w:rPr>
          <w:rFonts w:ascii="Arial" w:cs="Arial" w:eastAsia="Arial" w:hAnsi="Arial"/>
          <w:sz w:val="16"/>
          <w:szCs w:val="16"/>
          <w:color w:val="auto"/>
        </w:rPr>
        <w:t xml:space="preserve"> . The corporation may issue a new certificate of stock in the place of any certificate theretofore issued by it, alleged to have been lost, stolen or destroyed, and the corporation may require the owner of the lost, stolen or destroyed certificate, or his/her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205"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Transfers of Stock</w:t>
      </w:r>
      <w:r>
        <w:rPr>
          <w:rFonts w:ascii="Arial" w:cs="Arial" w:eastAsia="Arial" w:hAnsi="Arial"/>
          <w:sz w:val="16"/>
          <w:szCs w:val="16"/>
          <w:color w:val="auto"/>
        </w:rPr>
        <w:t>. Transfers of shares shall be made upon the books of the Company (i) only by the holder of record thereof, or by a duly authorized agent, transferee or legal representative and (ii) in the case of certificated shares, upon the surrender to the Company of the certificate or certificates for such shares. No transfer shall be made that is inconsistent with the provisions of applicable law. The person in whose name shares of stock stand on the books of the corporation shall be deemed the owner thereof for all purposes as regards the corporation. Whenever any transfer of shares shall be made for collateral security and not absolutely, such fact shall be so expressed in the entry of transfer if, when the certificate of certificates shall be presented to the corporation for transfer, both the transferor and the transferee request the corporation to do so.</w:t>
      </w:r>
    </w:p>
    <w:p>
      <w:pPr>
        <w:spacing w:after="0" w:line="204" w:lineRule="exact"/>
        <w:rPr>
          <w:sz w:val="20"/>
          <w:szCs w:val="20"/>
          <w:color w:val="auto"/>
        </w:rPr>
      </w:pPr>
    </w:p>
    <w:p>
      <w:pPr>
        <w:ind w:left="220" w:right="80"/>
        <w:spacing w:after="0" w:line="250"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Regulations Concerning Transfer of Stock</w:t>
      </w:r>
      <w:r>
        <w:rPr>
          <w:rFonts w:ascii="Arial" w:cs="Arial" w:eastAsia="Arial" w:hAnsi="Arial"/>
          <w:sz w:val="16"/>
          <w:szCs w:val="16"/>
          <w:color w:val="auto"/>
        </w:rPr>
        <w:t>. The Board of Directors may make such rules and regulations as it may deem expedient, not inconsistent with these Bylaws, concerning the issue, transfer and registration of certificates for stock of the corporation. The Board of Directors may appoint, or authorize any officer or officers to appoint, one or more transfer agents and one or more registrars, and may require all certificates for stock to bear the signature or signatures of any of them.</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ARTICLE VI</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INDEMNIFICATION OF DIRECTORS,</w:t>
      </w:r>
    </w:p>
    <w:p>
      <w:pPr>
        <w:ind w:left="220"/>
        <w:spacing w:after="0"/>
        <w:rPr>
          <w:sz w:val="20"/>
          <w:szCs w:val="20"/>
          <w:color w:val="auto"/>
        </w:rPr>
      </w:pPr>
      <w:r>
        <w:rPr>
          <w:rFonts w:ascii="Arial" w:cs="Arial" w:eastAsia="Arial" w:hAnsi="Arial"/>
          <w:sz w:val="22"/>
          <w:szCs w:val="22"/>
          <w:b w:val="1"/>
          <w:bCs w:val="1"/>
          <w:color w:val="4C4C4C"/>
        </w:rPr>
        <w:t>OFFICERS, EMPLOYEES AND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40640</wp:posOffset>
            </wp:positionV>
            <wp:extent cx="69894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27"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The corporation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(a “proceeding”) by reason of the fact that he, or a person for whom he is the legal representative, is or was a director, officer,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The corporation shall indemnify a person in connection with a proceeding initiated by such person only if the proceeding was authorized by the Board of Directors of the corporation.</w:t>
      </w:r>
    </w:p>
    <w:p>
      <w:pPr>
        <w:spacing w:after="0" w:line="115"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0071CE"/>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-64770</wp:posOffset>
            </wp:positionV>
            <wp:extent cx="984885"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8"/>
          <w:szCs w:val="18"/>
          <w:b w:val="1"/>
          <w:bCs w:val="1"/>
          <w:color w:val="0071CE"/>
        </w:rPr>
        <w:t>7</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64" w:lineRule="exact"/>
        <w:rPr>
          <w:sz w:val="20"/>
          <w:szCs w:val="20"/>
          <w:color w:val="auto"/>
        </w:rPr>
      </w:pPr>
    </w:p>
    <w:p>
      <w:pPr>
        <w:ind w:left="220" w:right="140"/>
        <w:spacing w:after="0" w:line="249"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Prepayment of Expenses</w:t>
      </w:r>
      <w:r>
        <w:rPr>
          <w:rFonts w:ascii="Arial" w:cs="Arial" w:eastAsia="Arial" w:hAnsi="Arial"/>
          <w:sz w:val="16"/>
          <w:szCs w:val="16"/>
          <w:color w:val="auto"/>
        </w:rPr>
        <w:t>. The corporation shall pay the expenses incurred in defending any proceeding in advance of its final disposition, provided, however, that the payment of expenses incurred by a director or officer in his/her capacity as a director or officer (except with regard to service to an employee benefit plan or non-profit organization) in advance of the final disposition of the proceeding shall be made only upon receipt of an undertaking by the director or officer to repay all amounts advanced if it should be determined that the director or officer is not entitled to be indemnified under this Article VI or otherwise.</w:t>
      </w:r>
    </w:p>
    <w:p>
      <w:pPr>
        <w:spacing w:after="0" w:line="206"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Claims</w:t>
      </w:r>
      <w:r>
        <w:rPr>
          <w:rFonts w:ascii="Arial" w:cs="Arial" w:eastAsia="Arial" w:hAnsi="Arial"/>
          <w:sz w:val="16"/>
          <w:szCs w:val="16"/>
          <w:color w:val="auto"/>
        </w:rPr>
        <w:t>. If a claim for indemnification or payment of expenses under this Article VI is not paid in full within 90 days after a written claim therefor has been received by the corporation, the claimant may file suit to recover the unpaid amount of such claims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205" w:lineRule="exact"/>
        <w:rPr>
          <w:sz w:val="20"/>
          <w:szCs w:val="20"/>
          <w:color w:val="auto"/>
        </w:rPr>
      </w:pPr>
    </w:p>
    <w:p>
      <w:pPr>
        <w:ind w:left="220" w:right="80"/>
        <w:spacing w:after="0" w:line="253"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The rights conferred on any person by this Article shall not be exclusive of any other rights which such person may have or hereafter acquire under any statute, provision of the Certificate of Incorporation, these Bylaws, agreement, vote of stockholders or disinterested directors or otherwise.</w:t>
      </w:r>
    </w:p>
    <w:p>
      <w:pPr>
        <w:spacing w:after="0" w:line="201" w:lineRule="exact"/>
        <w:rPr>
          <w:sz w:val="20"/>
          <w:szCs w:val="20"/>
          <w:color w:val="auto"/>
        </w:rPr>
      </w:pPr>
    </w:p>
    <w:p>
      <w:pPr>
        <w:ind w:left="220" w:right="20"/>
        <w:spacing w:after="0" w:line="260"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repeal or modification of the foregoing provisions of this Article VI shall not adversely affect any right or protection of a director, officer or employee of the corporation in respect of any act or omission occurring prior to the time of such repeal or modification.</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ARTICLE VII</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40640</wp:posOffset>
            </wp:positionV>
            <wp:extent cx="69894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determined by resolution of the Board of Directors.</w:t>
      </w:r>
    </w:p>
    <w:p>
      <w:pPr>
        <w:spacing w:after="0" w:line="221" w:lineRule="exact"/>
        <w:rPr>
          <w:sz w:val="20"/>
          <w:szCs w:val="20"/>
          <w:color w:val="auto"/>
        </w:rPr>
      </w:pPr>
    </w:p>
    <w:p>
      <w:pPr>
        <w:ind w:left="220" w:right="80"/>
        <w:spacing w:after="0" w:line="260"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may, but need not, adopt a corporate seal. If adopted, the corporate seal shall have the name of the corporation inscribed thereon and shall be in such form as may be approved from time to time by the Board of Directors.</w:t>
      </w:r>
    </w:p>
    <w:p>
      <w:pPr>
        <w:spacing w:after="0" w:line="195" w:lineRule="exact"/>
        <w:rPr>
          <w:sz w:val="20"/>
          <w:szCs w:val="20"/>
          <w:color w:val="auto"/>
        </w:rPr>
      </w:pPr>
    </w:p>
    <w:p>
      <w:pPr>
        <w:ind w:left="220" w:right="40"/>
        <w:spacing w:after="0" w:line="249"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Waiver of Notice of Meetings of Stockholders, Directors and Committees</w:t>
      </w:r>
      <w:r>
        <w:rPr>
          <w:rFonts w:ascii="Arial" w:cs="Arial" w:eastAsia="Arial" w:hAnsi="Arial"/>
          <w:sz w:val="16"/>
          <w:szCs w:val="16"/>
          <w:color w:val="auto"/>
        </w:rPr>
        <w:t>. Any written waiver of notice,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w:t>
      </w:r>
    </w:p>
    <w:p>
      <w:pPr>
        <w:spacing w:after="0" w:line="206" w:lineRule="exact"/>
        <w:rPr>
          <w:sz w:val="20"/>
          <w:szCs w:val="20"/>
          <w:color w:val="auto"/>
        </w:rPr>
      </w:pPr>
    </w:p>
    <w:p>
      <w:pPr>
        <w:ind w:left="220" w:right="40"/>
        <w:spacing w:after="0" w:line="247"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Interested Directors; Quorum</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his/her or their votes are counted for such purpose, if: (1) the material facts as to his/her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 (2) the material facts as to his/her relationship or interest and as to the contract or transaction are disclosed or are known to the stockholders entitled to vote thereon, and the contract or transaction is specifically approved in good faith by vote of the stockholders; or (3)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210"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Form of Records</w:t>
      </w:r>
      <w:r>
        <w:rPr>
          <w:rFonts w:ascii="Arial" w:cs="Arial" w:eastAsia="Arial" w:hAnsi="Arial"/>
          <w:sz w:val="16"/>
          <w:szCs w:val="16"/>
          <w:color w:val="auto"/>
        </w:rPr>
        <w:t>. Any records maintained by the corporation in the regular course of its business, including its stock ledger, books of account, and minute books, may be kept on, or be in the form of, punch cards, magnetic tape, photographs, microphotographs, or any other information storage device, provided that the records so kept can be converted into clearly legible form within a reasonable time. The corporation shall so convert any records so kept upon the request of any person entitled to inspect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85725</wp:posOffset>
            </wp:positionV>
            <wp:extent cx="984885"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A-8</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80"/>
        <w:spacing w:after="0"/>
        <w:tabs>
          <w:tab w:leader="none" w:pos="10580" w:val="left"/>
        </w:tabs>
        <w:rPr>
          <w:sz w:val="20"/>
          <w:szCs w:val="20"/>
          <w:color w:val="auto"/>
        </w:rPr>
      </w:pPr>
      <w:r>
        <w:rPr>
          <w:rFonts w:ascii="Arial" w:cs="Arial" w:eastAsia="Arial" w:hAnsi="Arial"/>
          <w:sz w:val="14"/>
          <w:szCs w:val="14"/>
          <w:b w:val="1"/>
          <w:bCs w:val="1"/>
          <w:color w:val="0071CE"/>
        </w:rPr>
        <w:t>2020 PROXY STATEMENT</w:t>
      </w:r>
      <w:r>
        <w:rPr>
          <w:sz w:val="20"/>
          <w:szCs w:val="20"/>
          <w:color w:val="auto"/>
        </w:rPr>
        <w:tab/>
      </w:r>
      <w:r>
        <w:rPr>
          <w:rFonts w:ascii="Arial" w:cs="Arial" w:eastAsia="Arial" w:hAnsi="Arial"/>
          <w:sz w:val="14"/>
          <w:szCs w:val="14"/>
          <w:b w:val="1"/>
          <w:bCs w:val="1"/>
          <w:i w:val="1"/>
          <w:iCs w:val="1"/>
          <w:color w:val="3FAE2A"/>
        </w:rPr>
        <w:t>Exhibit A</w:t>
      </w:r>
    </w:p>
    <w:p>
      <w:pPr>
        <w:spacing w:after="0" w:line="164" w:lineRule="exact"/>
        <w:rPr>
          <w:sz w:val="20"/>
          <w:szCs w:val="20"/>
          <w:color w:val="auto"/>
        </w:rPr>
      </w:pPr>
    </w:p>
    <w:p>
      <w:pPr>
        <w:jc w:val="both"/>
        <w:ind w:left="220"/>
        <w:spacing w:after="0" w:line="260"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Amendment of Bylaws</w:t>
      </w:r>
      <w:r>
        <w:rPr>
          <w:rFonts w:ascii="Arial" w:cs="Arial" w:eastAsia="Arial" w:hAnsi="Arial"/>
          <w:sz w:val="16"/>
          <w:szCs w:val="16"/>
          <w:color w:val="auto"/>
        </w:rPr>
        <w:t>. These Bylaws may be altered or repealed, and new bylaws made, by the Board of Directors, but the stockholders may make additional bylaws and may alter and repeal any bylaws whether adopted by them or otherwise.</w:t>
      </w:r>
    </w:p>
    <w:p>
      <w:pPr>
        <w:spacing w:after="0" w:line="192" w:lineRule="exact"/>
        <w:rPr>
          <w:sz w:val="20"/>
          <w:szCs w:val="20"/>
          <w:color w:val="auto"/>
        </w:rPr>
      </w:pPr>
    </w:p>
    <w:p>
      <w:pPr>
        <w:ind w:left="5200"/>
        <w:spacing w:after="0"/>
        <w:tabs>
          <w:tab w:leader="none" w:pos="5660" w:val="left"/>
          <w:tab w:leader="none" w:pos="6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2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0071CE"/>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-64770</wp:posOffset>
            </wp:positionV>
            <wp:extent cx="98488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8"/>
          <w:szCs w:val="18"/>
          <w:b w:val="1"/>
          <w:bCs w:val="1"/>
          <w:color w:val="0071CE"/>
        </w:rPr>
        <w:t>9</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219710</wp:posOffset>
            </wp:positionV>
            <wp:extent cx="5559425" cy="71951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59425" cy="719518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219710</wp:posOffset>
            </wp:positionV>
            <wp:extent cx="5559425" cy="71951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59425" cy="719518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lvl w:ilvl="1">
      <w:lvlJc w:val="left"/>
      <w:lvlText w:val="(%2)"/>
      <w:numFmt w:val="decimal"/>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3"/>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decimal"/>
      <w:start w:val="1"/>
    </w:lvl>
    <w:lvl w:ilvl="1">
      <w:lvlJc w:val="left"/>
      <w:lvlText w:val="%2."/>
      <w:numFmt w:val="lowerLetter"/>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lvl w:ilvl="1">
      <w:lvlJc w:val="left"/>
      <w:lvlText w:val="•"/>
      <w:numFmt w:val="bullet"/>
      <w:start w:val="1"/>
    </w:lvl>
  </w:abstractNum>
  <w:abstractNum w:abstractNumId="26">
    <w:nsid w:val="32FFF902"/>
    <w:multiLevelType w:val="hybridMultilevel"/>
    <w:lvl w:ilvl="0">
      <w:lvlJc w:val="left"/>
      <w:lvlText w:val="•"/>
      <w:numFmt w:val="bullet"/>
      <w:start w:val="1"/>
    </w:lvl>
    <w:lvl w:ilvl="1">
      <w:lvlJc w:val="left"/>
      <w:lvlText w:val="•"/>
      <w:numFmt w:val="bullet"/>
      <w:start w:val="1"/>
    </w:lvl>
  </w:abstractNum>
  <w:abstractNum w:abstractNumId="27">
    <w:nsid w:val="684A481A"/>
    <w:multiLevelType w:val="hybridMultilevel"/>
    <w:lvl w:ilvl="0">
      <w:lvlJc w:val="left"/>
      <w:lvlText w:val="•"/>
      <w:numFmt w:val="bullet"/>
      <w:start w:val="1"/>
    </w:lvl>
    <w:lvl w:ilvl="1">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lvl w:ilvl="1">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6"/>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decimal"/>
      <w:start w:val="2"/>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lowerLetter"/>
      <w:start w:val="1"/>
    </w:lvl>
    <w:lvl w:ilvl="1">
      <w:lvlJc w:val="left"/>
      <w:lvlText w:val="(%2)"/>
      <w:numFmt w:val="decimal"/>
      <w:start w:val="1"/>
    </w:lvl>
  </w:abstractNum>
  <w:abstractNum w:abstractNumId="63">
    <w:nsid w:val="1F48EAA1"/>
    <w:multiLevelType w:val="hybridMultilevel"/>
    <w:lvl w:ilvl="0">
      <w:lvlJc w:val="left"/>
      <w:lvlText w:val="(%1)"/>
      <w:numFmt w:val="upperLetter"/>
      <w:start w:val="1"/>
    </w:lvl>
  </w:abstractNum>
  <w:abstractNum w:abstractNumId="64">
    <w:nsid w:val="1381823A"/>
    <w:multiLevelType w:val="hybridMultilevel"/>
    <w:lvl w:ilvl="0">
      <w:lvlJc w:val="left"/>
      <w:lvlText w:val="(%1)"/>
      <w:numFmt w:val="lowerLetter"/>
      <w:start w:val="4"/>
    </w:lvl>
  </w:abstractNum>
  <w:abstractNum w:abstractNumId="65">
    <w:nsid w:val="5DB70AE5"/>
    <w:multiLevelType w:val="hybridMultilevel"/>
    <w:lvl w:ilvl="0">
      <w:lvlJc w:val="left"/>
      <w:lvlText w:val="(%1)"/>
      <w:numFmt w:val="lowerLetter"/>
      <w:start w:val="61"/>
    </w:lvl>
  </w:abstractNum>
  <w:abstractNum w:abstractNumId="66">
    <w:nsid w:val="100F8FCA"/>
    <w:multiLevelType w:val="hybridMultilevel"/>
    <w:lvl w:ilvl="0">
      <w:lvlJc w:val="left"/>
      <w:lvlText w:val="(%1)"/>
      <w:numFmt w:val="upperLetter"/>
      <w:start w:val="4"/>
    </w:lvl>
  </w:abstractNum>
  <w:abstractNum w:abstractNumId="67">
    <w:nsid w:val="6590700B"/>
    <w:multiLevelType w:val="hybridMultilevel"/>
    <w:lvl w:ilvl="0">
      <w:lvlJc w:val="left"/>
      <w:lvlText w:val="(%1)"/>
      <w:numFmt w:val="lowerLetter"/>
      <w:start w:val="2"/>
    </w:lvl>
    <w:lvl w:ilvl="1">
      <w:lvlJc w:val="left"/>
      <w:lvlText w:val="(%2)"/>
      <w:numFmt w:val="decimal"/>
      <w:start w:val="3"/>
    </w:lvl>
  </w:abstractNum>
  <w:abstractNum w:abstractNumId="68">
    <w:nsid w:val="15014ACB"/>
    <w:multiLevelType w:val="hybridMultilevel"/>
    <w:lvl w:ilvl="0">
      <w:lvlJc w:val="left"/>
      <w:lvlText w:val="%1"/>
      <w:numFmt w:val="lowerLetter"/>
      <w:start w:val="1"/>
    </w:lvl>
    <w:lvl w:ilvl="1">
      <w:lvlJc w:val="left"/>
      <w:lvlText w:val="(%2)"/>
      <w:numFmt w:val="decimal"/>
      <w:start w:val="4"/>
    </w:lvl>
  </w:abstractNum>
  <w:abstractNum w:abstractNumId="69">
    <w:nsid w:val="5F5E7FD0"/>
    <w:multiLevelType w:val="hybridMultilevel"/>
    <w:lvl w:ilvl="0">
      <w:lvlJc w:val="left"/>
      <w:lvlText w:val="(%1)"/>
      <w:numFmt w:val="low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2020-01-28T15:35:32Z</dcterms:created>
  <dcterms:modified xsi:type="dcterms:W3CDTF">2020-01-28T15:35:32Z</dcterms:modified>
</cp:coreProperties>
</file>