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161290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89"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ARROWHEAD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46-0408024</w:t>
      </w:r>
    </w:p>
    <w:p>
      <w:pPr>
        <w:spacing w:after="0" w:line="50" w:lineRule="exact"/>
        <w:rPr>
          <w:sz w:val="24"/>
          <w:szCs w:val="24"/>
          <w:color w:val="auto"/>
        </w:rPr>
      </w:pPr>
    </w:p>
    <w:p>
      <w:pPr>
        <w:sectPr>
          <w:pgSz w:w="11900" w:h="16838" w:orient="portrait"/>
          <w:cols w:equalWidth="0" w:num="2">
            <w:col w:w="7460" w:space="720"/>
            <w:col w:w="3180"/>
          </w:cols>
          <w:pgMar w:left="240" w:top="368" w:right="299" w:bottom="1440" w:gutter="0" w:footer="0" w:header="0"/>
          <w:type w:val="continuous"/>
        </w:sectPr>
      </w:pPr>
    </w:p>
    <w:p>
      <w:pPr>
        <w:ind w:left="2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800" w:space="720"/>
            <w:col w:w="3840"/>
          </w:cols>
          <w:pgMar w:left="240" w:top="368" w:right="299" w:bottom="1440" w:gutter="0" w:footer="0" w:header="0"/>
          <w:type w:val="continuous"/>
        </w:sectPr>
      </w:pP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225 S. Lake Avenue, Suite 1050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(626) 304-3400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147955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22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w:t>
            </w:r>
          </w:p>
        </w:tc>
        <w:tc>
          <w:tcPr>
            <w:tcW w:w="4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4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20" w:type="dxa"/>
            <w:vAlign w:val="bottom"/>
          </w:tcPr>
          <w:p>
            <w:pPr>
              <w:ind w:left="8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8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ind w:right="184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August 6, 2018 was 88,023,149.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682625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6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620" w:type="dxa"/>
            <w:vAlign w:val="bottom"/>
            <w:gridSpan w:val="9"/>
            <w:vMerge w:val="restart"/>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0000EE"/>
            </w:tcBorders>
            <w:gridSpan w:val="9"/>
            <w:vMerge w:val="continue"/>
          </w:tcPr>
          <w:p>
            <w:pPr>
              <w:spacing w:after="0"/>
              <w:rPr>
                <w:sz w:val="12"/>
                <w:szCs w:val="12"/>
                <w:color w:val="auto"/>
              </w:rPr>
            </w:pPr>
          </w:p>
        </w:tc>
        <w:tc>
          <w:tcPr>
            <w:tcW w:w="7620" w:type="dxa"/>
            <w:vAlign w:val="bottom"/>
            <w:gridSpan w:val="9"/>
            <w:vMerge w:val="continue"/>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3520" w:type="dxa"/>
            <w:vAlign w:val="bottom"/>
            <w:tcBorders>
              <w:bottom w:val="single" w:sz="8" w:color="0000EE"/>
            </w:tcBorders>
            <w:gridSpan w:val="11"/>
          </w:tcPr>
          <w:p>
            <w:pPr>
              <w:spacing w:after="0"/>
              <w:rPr>
                <w:rFonts w:ascii="Arial" w:cs="Arial" w:eastAsia="Arial" w:hAnsi="Arial"/>
                <w:sz w:val="17"/>
                <w:szCs w:val="17"/>
                <w:color w:val="0000EE"/>
                <w:w w:val="96"/>
              </w:rPr>
            </w:pPr>
            <w:hyperlink w:anchor="page3">
              <w:r>
                <w:rPr>
                  <w:rFonts w:ascii="Arial" w:cs="Arial" w:eastAsia="Arial" w:hAnsi="Arial"/>
                  <w:sz w:val="17"/>
                  <w:szCs w:val="17"/>
                  <w:color w:val="0000EE"/>
                  <w:w w:val="96"/>
                </w:rPr>
                <w:t>ITEM 1. FINANCIAL STATEMENTS (unaudited)</w:t>
              </w:r>
            </w:hyperlink>
          </w:p>
        </w:tc>
        <w:tc>
          <w:tcPr>
            <w:tcW w:w="7260" w:type="dxa"/>
            <w:vAlign w:val="bottom"/>
            <w:gridSpan w:val="7"/>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Consolidated Statements of Operations and Comprehensive Loss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40" w:type="dxa"/>
            <w:vAlign w:val="bottom"/>
            <w:tcBorders>
              <w:top w:val="single" w:sz="8" w:color="0000EE"/>
            </w:tcBorders>
            <w:gridSpan w:val="1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 of Stockholders’ Equity</w:t>
              </w:r>
            </w:hyperlink>
          </w:p>
        </w:tc>
        <w:tc>
          <w:tcPr>
            <w:tcW w:w="5900" w:type="dxa"/>
            <w:vAlign w:val="bottom"/>
            <w:gridSpan w:val="4"/>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tcBorders>
              <w:top w:val="single" w:sz="8" w:color="0000EE"/>
            </w:tcBorders>
            <w:gridSpan w:val="11"/>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7040" w:type="dxa"/>
            <w:vAlign w:val="bottom"/>
            <w:gridSpan w:val="5"/>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tcBorders>
              <w:bottom w:val="single" w:sz="8" w:color="0000EE"/>
            </w:tcBorders>
            <w:gridSpan w:val="8"/>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Notes to Consolidated Financial Statements</w:t>
              </w:r>
            </w:hyperlink>
          </w:p>
        </w:tc>
        <w:tc>
          <w:tcPr>
            <w:tcW w:w="7340" w:type="dxa"/>
            <w:vAlign w:val="bottom"/>
            <w:gridSpan w:val="8"/>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9100" w:type="dxa"/>
            <w:vAlign w:val="bottom"/>
            <w:tcBorders>
              <w:bottom w:val="single" w:sz="8" w:color="0000EE"/>
            </w:tcBorders>
            <w:gridSpan w:val="16"/>
          </w:tcPr>
          <w:p>
            <w:pPr>
              <w:spacing w:after="0"/>
              <w:rPr>
                <w:rFonts w:ascii="Arial" w:cs="Arial" w:eastAsia="Arial" w:hAnsi="Arial"/>
                <w:sz w:val="17"/>
                <w:szCs w:val="17"/>
                <w:color w:val="0000EE"/>
                <w:w w:val="97"/>
              </w:rPr>
            </w:pPr>
            <w:hyperlink w:anchor="page20">
              <w:r>
                <w:rPr>
                  <w:rFonts w:ascii="Arial" w:cs="Arial" w:eastAsia="Arial" w:hAnsi="Arial"/>
                  <w:sz w:val="17"/>
                  <w:szCs w:val="17"/>
                  <w:color w:val="0000EE"/>
                  <w:w w:val="97"/>
                </w:rPr>
                <w:t>ITEM 2. MANAGEMENT’S DISCUSSION AND ANALYSIS OF FINANCIAL CONDITION AND RESULTS OF OPERATIONS</w:t>
              </w:r>
            </w:hyperlink>
          </w:p>
        </w:tc>
        <w:tc>
          <w:tcPr>
            <w:tcW w:w="164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0000EE"/>
            </w:tcBorders>
            <w:gridSpan w:val="16"/>
          </w:tcPr>
          <w:p>
            <w:pPr>
              <w:spacing w:after="0"/>
              <w:rPr>
                <w:rFonts w:ascii="Arial" w:cs="Arial" w:eastAsia="Arial" w:hAnsi="Arial"/>
                <w:sz w:val="17"/>
                <w:szCs w:val="17"/>
                <w:color w:val="0000EE"/>
                <w:w w:val="98"/>
              </w:rPr>
            </w:pPr>
            <w:hyperlink w:anchor="page29">
              <w:r>
                <w:rPr>
                  <w:rFonts w:ascii="Arial" w:cs="Arial" w:eastAsia="Arial" w:hAnsi="Arial"/>
                  <w:sz w:val="17"/>
                  <w:szCs w:val="17"/>
                  <w:color w:val="0000EE"/>
                  <w:w w:val="98"/>
                </w:rPr>
                <w:t>ITEM 3. QUANTITATIVE AND QUALITATIVE DISCLOSURES ABOUT MARKET RISK</w:t>
              </w:r>
            </w:hyperlink>
          </w:p>
        </w:tc>
        <w:tc>
          <w:tcPr>
            <w:tcW w:w="4300" w:type="dxa"/>
            <w:vAlign w:val="bottom"/>
            <w:gridSpan w:val="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4. CONTROLS AND PROCEDURES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PART II — OTHER INFORMATION</w:t>
              </w:r>
            </w:hyperlink>
          </w:p>
        </w:tc>
        <w:tc>
          <w:tcPr>
            <w:tcW w:w="762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1. LEGAL PROCEEDINGS</w:t>
              </w:r>
            </w:hyperlink>
          </w:p>
        </w:tc>
        <w:tc>
          <w:tcPr>
            <w:tcW w:w="380" w:type="dxa"/>
            <w:vAlign w:val="bottom"/>
            <w:tcBorders>
              <w:top w:val="single" w:sz="8" w:color="0000EE"/>
            </w:tcBorders>
          </w:tcPr>
          <w:p>
            <w:pPr>
              <w:spacing w:after="0"/>
              <w:rPr>
                <w:sz w:val="24"/>
                <w:szCs w:val="24"/>
                <w:color w:val="auto"/>
              </w:rPr>
            </w:pPr>
          </w:p>
        </w:tc>
        <w:tc>
          <w:tcPr>
            <w:tcW w:w="7980" w:type="dxa"/>
            <w:vAlign w:val="bottom"/>
            <w:gridSpan w:val="11"/>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1A. RISK FACTORS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2. UNREGISTERED SALES OF EQUITY SECURITIES AND USE OF PROCEEDS</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5"/>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3. DEFAULTS UPON SENIOR SECURITIES</w:t>
              </w:r>
            </w:hyperlink>
          </w:p>
        </w:tc>
        <w:tc>
          <w:tcPr>
            <w:tcW w:w="4380" w:type="dxa"/>
            <w:vAlign w:val="bottom"/>
            <w:gridSpan w:val="3"/>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4"/>
          </w:tcPr>
          <w:p>
            <w:pPr>
              <w:spacing w:after="0"/>
              <w:rPr>
                <w:sz w:val="24"/>
                <w:szCs w:val="24"/>
                <w:color w:val="auto"/>
              </w:rPr>
            </w:pPr>
          </w:p>
        </w:tc>
        <w:tc>
          <w:tcPr>
            <w:tcW w:w="7120" w:type="dxa"/>
            <w:vAlign w:val="bottom"/>
            <w:gridSpan w:val="6"/>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5. OTHER INFORMATION</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8"/>
              </w:rPr>
            </w:pPr>
            <w:hyperlink w:anchor="page31">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360" w:type="dxa"/>
            <w:vAlign w:val="bottom"/>
            <w:gridSpan w:val="12"/>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780" w:type="dxa"/>
            <w:vAlign w:val="bottom"/>
            <w:gridSpan w:val="18"/>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SIGNATURE</w:t>
              </w:r>
            </w:hyperlink>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216"/>
        </w:trPr>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w w:val="91"/>
              </w:rPr>
              <w:t>Arrowhead Pharmaceuticals, Inc.</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Arial" w:cs="Arial" w:eastAsia="Arial" w:hAnsi="Arial"/>
                <w:sz w:val="18"/>
                <w:szCs w:val="18"/>
                <w:b w:val="1"/>
                <w:bCs w:val="1"/>
                <w:color w:val="auto"/>
                <w:w w:val="87"/>
              </w:rPr>
              <w:t>Consolidated Balance Sheets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6"/>
                <w:szCs w:val="16"/>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27,995,386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24,838,567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14,975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67,797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Prepaid expenses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1,095,977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867,363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279,049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1,359,638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Short term investments</w:t>
            </w:r>
          </w:p>
        </w:tc>
        <w:tc>
          <w:tcPr>
            <w:tcW w:w="22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32,484,708</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40,769,539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61,870,095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67,902,904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 term investments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17,672,658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14,029,239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15,513,019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19,189,117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20,464,439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1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141,918</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112,903,027</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104,022,280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2,165,731</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4,076,514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expenses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2,163,533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4,564,507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Accrued payroll and benefits</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1,147,780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3,399,679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440,580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440,580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943,200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5,269,741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Derivative liabilities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695,114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Note Payable</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219,889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208,506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46,407</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46,407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7,127,120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18,701,048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LONG-TERM LIABILITIES</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rent, net of current portion</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1,657,899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1,929,052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 Payable, net of current portion</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2,158,649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2,325,018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LONG-TERM LIABILITIES</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4,016,548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4,454,070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Commitments and contingencies (Note 7)</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82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87,854,651 and 74,785,426 shares</w:t>
            </w:r>
          </w:p>
        </w:tc>
        <w:tc>
          <w:tcPr>
            <w:tcW w:w="2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issued and outstanding as of June 30, 2018 and September 30, 2017, respectively</w:t>
            </w: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180,224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167,155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578,642,206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514,037,301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(3,338)</w:t>
            </w: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5"/>
                <w:szCs w:val="15"/>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(476,504,545)</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(432,815,338)</w:t>
            </w:r>
          </w:p>
        </w:tc>
        <w:tc>
          <w:tcPr>
            <w:tcW w:w="0" w:type="dxa"/>
            <w:vAlign w:val="bottom"/>
          </w:tcPr>
          <w:p>
            <w:pPr>
              <w:spacing w:after="0"/>
              <w:rPr>
                <w:sz w:val="1"/>
                <w:szCs w:val="1"/>
                <w:color w:val="auto"/>
              </w:rPr>
            </w:pPr>
          </w:p>
        </w:tc>
      </w:tr>
      <w:tr>
        <w:trPr>
          <w:trHeight w:val="169"/>
        </w:trPr>
        <w:tc>
          <w:tcPr>
            <w:tcW w:w="7820" w:type="dxa"/>
            <w:vAlign w:val="bottom"/>
            <w:tcBorders>
              <w:top w:val="single" w:sz="8" w:color="CFF0FC"/>
            </w:tcBorders>
            <w:gridSpan w:val="2"/>
            <w:shd w:val="clear" w:color="auto" w:fill="CFF0FC"/>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220" w:type="dxa"/>
            <w:vAlign w:val="bottom"/>
            <w:tcBorders>
              <w:top w:val="single" w:sz="8" w:color="auto"/>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102,314,547</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81,422,350</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Noncontrolling interest</w:t>
            </w:r>
          </w:p>
        </w:tc>
        <w:tc>
          <w:tcPr>
            <w:tcW w:w="220" w:type="dxa"/>
            <w:vAlign w:val="bottom"/>
          </w:tcPr>
          <w:p>
            <w:pPr>
              <w:spacing w:after="0"/>
              <w:rPr>
                <w:sz w:val="15"/>
                <w:szCs w:val="15"/>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(555,188)</w:t>
            </w:r>
          </w:p>
        </w:tc>
        <w:tc>
          <w:tcPr>
            <w:tcW w:w="14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(555,188)</w:t>
            </w:r>
          </w:p>
        </w:tc>
        <w:tc>
          <w:tcPr>
            <w:tcW w:w="0" w:type="dxa"/>
            <w:vAlign w:val="bottom"/>
          </w:tcPr>
          <w:p>
            <w:pPr>
              <w:spacing w:after="0"/>
              <w:rPr>
                <w:sz w:val="1"/>
                <w:szCs w:val="1"/>
                <w:color w:val="auto"/>
              </w:rPr>
            </w:pPr>
          </w:p>
        </w:tc>
      </w:tr>
      <w:tr>
        <w:trPr>
          <w:trHeight w:val="169"/>
        </w:trPr>
        <w:tc>
          <w:tcPr>
            <w:tcW w:w="700" w:type="dxa"/>
            <w:vAlign w:val="bottom"/>
            <w:tcBorders>
              <w:top w:val="single" w:sz="8" w:color="CFF0FC"/>
            </w:tcBorders>
            <w:shd w:val="clear" w:color="auto" w:fill="CFF0FC"/>
          </w:tcPr>
          <w:p>
            <w:pPr>
              <w:spacing w:after="0"/>
              <w:rPr>
                <w:sz w:val="14"/>
                <w:szCs w:val="14"/>
                <w:color w:val="auto"/>
              </w:rPr>
            </w:pPr>
          </w:p>
        </w:tc>
        <w:tc>
          <w:tcPr>
            <w:tcW w:w="71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101,759,359</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80,867,162</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112,903,027</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104,022,280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Nine Months</w:t>
            </w: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Nine Months</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12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219"/>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June 30, 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 2017</w:t>
            </w:r>
          </w:p>
        </w:tc>
        <w:tc>
          <w:tcPr>
            <w:tcW w:w="10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2018</w:t>
            </w:r>
          </w:p>
        </w:tc>
        <w:tc>
          <w:tcPr>
            <w:tcW w:w="120" w:type="dxa"/>
            <w:vAlign w:val="bottom"/>
          </w:tcPr>
          <w:p>
            <w:pPr>
              <w:spacing w:after="0"/>
              <w:rPr>
                <w:sz w:val="19"/>
                <w:szCs w:val="19"/>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 2017</w:t>
            </w:r>
          </w:p>
        </w:tc>
        <w:tc>
          <w:tcPr>
            <w:tcW w:w="0" w:type="dxa"/>
            <w:vAlign w:val="bottom"/>
          </w:tcPr>
          <w:p>
            <w:pPr>
              <w:spacing w:after="0"/>
              <w:rPr>
                <w:sz w:val="1"/>
                <w:szCs w:val="1"/>
                <w:color w:val="auto"/>
              </w:rPr>
            </w:pPr>
          </w:p>
        </w:tc>
      </w:tr>
      <w:tr>
        <w:trPr>
          <w:trHeight w:val="226"/>
        </w:trPr>
        <w:tc>
          <w:tcPr>
            <w:tcW w:w="53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727,375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9,342,498</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4,887,321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22,693,923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12,052,653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11,136,741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36,974,625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37,363,207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4,594,441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3,919,921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12,679,822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12,076,412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16,647,094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15,056,662</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49,654,447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49,439,619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(15,919,719)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(5,714,164)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(44,767,126)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(26,745,696)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313,702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131,358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645,778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value of derivatives</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63,065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432,141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1,312,524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313,702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194,423</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1,077,919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3,097,287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(15,606,017)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(5,519,741)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(43,689,207)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(23,648,409)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(15,606,017)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(5,519,741)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(43,689,207)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(23,648,409)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 BASIC &amp;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Weighted average shares outstanding -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87,634,435</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74,772,103</w:t>
            </w:r>
          </w:p>
        </w:tc>
        <w:tc>
          <w:tcPr>
            <w:tcW w:w="2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82,149,381</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73,603,852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(28,603)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12,309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(36,570)</w:t>
            </w: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(25,835)</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(15,634,620)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(5,507,432)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(43,725,777</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(23,674,244</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168"/>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w:t>
            </w:r>
          </w:p>
        </w:tc>
        <w:tc>
          <w:tcPr>
            <w:tcW w:w="2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0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0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2017</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74,785,426</w:t>
            </w: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167,155</w:t>
            </w:r>
          </w:p>
        </w:tc>
        <w:tc>
          <w:tcPr>
            <w:tcW w:w="2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514,037,301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33,232</w:t>
            </w:r>
          </w:p>
        </w:tc>
        <w:tc>
          <w:tcPr>
            <w:tcW w:w="22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(432,815,338)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80,867,162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5,818,119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5,818,119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283,627</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1,031,775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1,032,058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840" w:type="dxa"/>
            <w:vAlign w:val="bottom"/>
          </w:tcPr>
          <w:p>
            <w:pPr>
              <w:jc w:val="right"/>
              <w:spacing w:after="0"/>
              <w:rPr>
                <w:sz w:val="20"/>
                <w:szCs w:val="20"/>
                <w:color w:val="auto"/>
              </w:rPr>
            </w:pPr>
            <w:r>
              <w:rPr>
                <w:rFonts w:ascii="Arial" w:cs="Arial" w:eastAsia="Arial" w:hAnsi="Arial"/>
                <w:sz w:val="14"/>
                <w:szCs w:val="14"/>
                <w:color w:val="auto"/>
              </w:rPr>
              <w:t>288,473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1,237,141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1,237,430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Restricted Stock Units vesting</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997,125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(55,665)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(54,668)</w:t>
            </w:r>
          </w:p>
        </w:tc>
        <w:tc>
          <w:tcPr>
            <w:tcW w:w="0" w:type="dxa"/>
            <w:vAlign w:val="bottom"/>
          </w:tcPr>
          <w:p>
            <w:pPr>
              <w:spacing w:after="0"/>
              <w:rPr>
                <w:sz w:val="1"/>
                <w:szCs w:val="1"/>
                <w:color w:val="auto"/>
              </w:rPr>
            </w:pPr>
          </w:p>
        </w:tc>
      </w:tr>
      <w:tr>
        <w:trPr>
          <w:trHeight w:val="143"/>
        </w:trPr>
        <w:tc>
          <w:tcPr>
            <w:tcW w:w="3800" w:type="dxa"/>
            <w:vAlign w:val="bottom"/>
          </w:tcPr>
          <w:p>
            <w:pPr>
              <w:ind w:left="140"/>
              <w:spacing w:after="0" w:line="143" w:lineRule="exact"/>
              <w:rPr>
                <w:sz w:val="20"/>
                <w:szCs w:val="20"/>
                <w:color w:val="auto"/>
              </w:rPr>
            </w:pPr>
            <w:r>
              <w:rPr>
                <w:rFonts w:ascii="Arial" w:cs="Arial" w:eastAsia="Arial" w:hAnsi="Arial"/>
                <w:sz w:val="14"/>
                <w:szCs w:val="14"/>
                <w:color w:val="auto"/>
              </w:rPr>
              <w:t>Common stock issued for cash at $5.25 per share, net of</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0" w:type="dxa"/>
            <w:vAlign w:val="bottom"/>
          </w:tcPr>
          <w:p>
            <w:pPr>
              <w:ind w:left="140"/>
              <w:spacing w:after="0"/>
              <w:rPr>
                <w:sz w:val="20"/>
                <w:szCs w:val="20"/>
                <w:color w:val="auto"/>
              </w:rPr>
            </w:pPr>
            <w:r>
              <w:rPr>
                <w:rFonts w:ascii="Arial" w:cs="Arial" w:eastAsia="Arial" w:hAnsi="Arial"/>
                <w:sz w:val="14"/>
                <w:szCs w:val="14"/>
                <w:color w:val="auto"/>
              </w:rPr>
              <w:t>offering costs</w:t>
            </w:r>
          </w:p>
        </w:tc>
        <w:tc>
          <w:tcPr>
            <w:tcW w:w="840" w:type="dxa"/>
            <w:vAlign w:val="bottom"/>
          </w:tcPr>
          <w:p>
            <w:pPr>
              <w:jc w:val="right"/>
              <w:spacing w:after="0"/>
              <w:rPr>
                <w:sz w:val="20"/>
                <w:szCs w:val="20"/>
                <w:color w:val="auto"/>
              </w:rPr>
            </w:pPr>
            <w:r>
              <w:rPr>
                <w:rFonts w:ascii="Arial" w:cs="Arial" w:eastAsia="Arial" w:hAnsi="Arial"/>
                <w:sz w:val="14"/>
                <w:szCs w:val="14"/>
                <w:color w:val="auto"/>
              </w:rPr>
              <w:t>11,500,000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11,500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56,573,535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56,585,035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(36,570)</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(36,570)</w:t>
            </w: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Net loss for the nine months ended June 30, 2018</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(43,689,207)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4"/>
                <w:szCs w:val="14"/>
                <w:color w:val="auto"/>
              </w:rPr>
              <w:t>(43,689,207)</w:t>
            </w:r>
          </w:p>
        </w:tc>
        <w:tc>
          <w:tcPr>
            <w:tcW w:w="0" w:type="dxa"/>
            <w:vAlign w:val="bottom"/>
          </w:tcPr>
          <w:p>
            <w:pPr>
              <w:spacing w:after="0"/>
              <w:rPr>
                <w:sz w:val="1"/>
                <w:szCs w:val="1"/>
                <w:color w:val="auto"/>
              </w:rPr>
            </w:pPr>
          </w:p>
        </w:tc>
      </w:tr>
      <w:tr>
        <w:trPr>
          <w:trHeight w:val="156"/>
        </w:trPr>
        <w:tc>
          <w:tcPr>
            <w:tcW w:w="38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2018</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87,854,651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180,224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$ 578,642,206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(3,338)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5"/>
              </w:rPr>
              <w:t>$ (476,504,545</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40" w:type="dxa"/>
            <w:vAlign w:val="bottom"/>
            <w:tcBorders>
              <w:top w:val="single" w:sz="8" w:color="CFF0FC"/>
              <w:bottom w:val="single" w:sz="8" w:color="CFF0FC"/>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$ 101,759,359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Nine Months ended</w:t>
            </w:r>
          </w:p>
        </w:tc>
      </w:tr>
      <w:tr>
        <w:trPr>
          <w:trHeight w:val="171"/>
        </w:trPr>
        <w:tc>
          <w:tcPr>
            <w:tcW w:w="6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2017</w:t>
            </w:r>
          </w:p>
        </w:tc>
      </w:tr>
      <w:tr>
        <w:trPr>
          <w:trHeight w:val="156"/>
        </w:trPr>
        <w:tc>
          <w:tcPr>
            <w:tcW w:w="6080" w:type="dxa"/>
            <w:vAlign w:val="bottom"/>
            <w:tcBorders>
              <w:top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16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r>
      <w:tr>
        <w:trPr>
          <w:trHeight w:val="162"/>
        </w:trPr>
        <w:tc>
          <w:tcPr>
            <w:tcW w:w="6080" w:type="dxa"/>
            <w:vAlign w:val="bottom"/>
          </w:tcPr>
          <w:p>
            <w:pPr>
              <w:ind w:left="380"/>
              <w:spacing w:after="0"/>
              <w:rPr>
                <w:sz w:val="20"/>
                <w:szCs w:val="20"/>
                <w:color w:val="auto"/>
              </w:rPr>
            </w:pPr>
            <w:r>
              <w:rPr>
                <w:rFonts w:ascii="Arial" w:cs="Arial" w:eastAsia="Arial" w:hAnsi="Arial"/>
                <w:sz w:val="14"/>
                <w:szCs w:val="14"/>
                <w:color w:val="auto"/>
              </w:rPr>
              <w:t>Net loss</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(43,689,207)</w:t>
            </w: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(23,648,409)</w:t>
            </w:r>
          </w:p>
        </w:tc>
      </w:tr>
      <w:tr>
        <w:trPr>
          <w:trHeight w:val="176"/>
        </w:trPr>
        <w:tc>
          <w:tcPr>
            <w:tcW w:w="6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 in value of derivatives</w:t>
            </w:r>
          </w:p>
        </w:tc>
        <w:tc>
          <w:tcPr>
            <w:tcW w:w="1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(432,141)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(1,519,513)</w:t>
            </w:r>
          </w:p>
        </w:tc>
      </w:tr>
      <w:tr>
        <w:trPr>
          <w:trHeight w:val="176"/>
        </w:trPr>
        <w:tc>
          <w:tcPr>
            <w:tcW w:w="608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5,818,119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5,881,901</w:t>
            </w:r>
          </w:p>
        </w:tc>
        <w:tc>
          <w:tcPr>
            <w:tcW w:w="300" w:type="dxa"/>
            <w:vAlign w:val="bottom"/>
          </w:tcPr>
          <w:p>
            <w:pPr>
              <w:spacing w:after="0"/>
              <w:rPr>
                <w:sz w:val="15"/>
                <w:szCs w:val="15"/>
                <w:color w:val="auto"/>
              </w:rPr>
            </w:pPr>
          </w:p>
        </w:tc>
      </w:tr>
      <w:tr>
        <w:trPr>
          <w:trHeight w:val="162"/>
        </w:trPr>
        <w:tc>
          <w:tcPr>
            <w:tcW w:w="6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1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3,470,880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3,535,915</w:t>
            </w:r>
          </w:p>
        </w:tc>
        <w:tc>
          <w:tcPr>
            <w:tcW w:w="300" w:type="dxa"/>
            <w:vAlign w:val="bottom"/>
            <w:shd w:val="clear" w:color="auto" w:fill="CFF0FC"/>
          </w:tcPr>
          <w:p>
            <w:pPr>
              <w:spacing w:after="0"/>
              <w:rPr>
                <w:sz w:val="14"/>
                <w:szCs w:val="14"/>
                <w:color w:val="auto"/>
              </w:rPr>
            </w:pPr>
          </w:p>
        </w:tc>
      </w:tr>
      <w:tr>
        <w:trPr>
          <w:trHeight w:val="162"/>
        </w:trPr>
        <w:tc>
          <w:tcPr>
            <w:tcW w:w="6080" w:type="dxa"/>
            <w:vAlign w:val="bottom"/>
          </w:tcPr>
          <w:p>
            <w:pPr>
              <w:ind w:left="380"/>
              <w:spacing w:after="0"/>
              <w:rPr>
                <w:sz w:val="20"/>
                <w:szCs w:val="20"/>
                <w:color w:val="auto"/>
              </w:rPr>
            </w:pPr>
            <w:r>
              <w:rPr>
                <w:rFonts w:ascii="Arial" w:cs="Arial" w:eastAsia="Arial" w:hAnsi="Arial"/>
                <w:sz w:val="14"/>
                <w:szCs w:val="14"/>
                <w:color w:val="auto"/>
              </w:rPr>
              <w:t>Amortization/(accretion) of note premiums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582,373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(140,041)</w:t>
            </w:r>
          </w:p>
        </w:tc>
      </w:tr>
      <w:tr>
        <w:trPr>
          <w:trHeight w:val="162"/>
        </w:trPr>
        <w:tc>
          <w:tcPr>
            <w:tcW w:w="6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r>
      <w:tr>
        <w:trPr>
          <w:trHeight w:val="162"/>
        </w:trPr>
        <w:tc>
          <w:tcPr>
            <w:tcW w:w="6080" w:type="dxa"/>
            <w:vAlign w:val="bottom"/>
          </w:tcPr>
          <w:p>
            <w:pPr>
              <w:ind w:left="620"/>
              <w:spacing w:after="0"/>
              <w:rPr>
                <w:sz w:val="20"/>
                <w:szCs w:val="20"/>
                <w:color w:val="auto"/>
              </w:rPr>
            </w:pPr>
            <w:r>
              <w:rPr>
                <w:rFonts w:ascii="Arial" w:cs="Arial" w:eastAsia="Arial" w:hAnsi="Arial"/>
                <w:sz w:val="14"/>
                <w:szCs w:val="14"/>
                <w:color w:val="auto"/>
              </w:rPr>
              <w:t>Accounts receivable</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52,822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(862,313)</w:t>
            </w:r>
          </w:p>
        </w:tc>
      </w:tr>
      <w:tr>
        <w:trPr>
          <w:trHeight w:val="162"/>
        </w:trPr>
        <w:tc>
          <w:tcPr>
            <w:tcW w:w="60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856,253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3,176,551</w:t>
            </w:r>
          </w:p>
        </w:tc>
        <w:tc>
          <w:tcPr>
            <w:tcW w:w="300" w:type="dxa"/>
            <w:vAlign w:val="bottom"/>
            <w:shd w:val="clear" w:color="auto" w:fill="CFF0FC"/>
          </w:tcPr>
          <w:p>
            <w:pPr>
              <w:spacing w:after="0"/>
              <w:rPr>
                <w:sz w:val="14"/>
                <w:szCs w:val="14"/>
                <w:color w:val="auto"/>
              </w:rPr>
            </w:pPr>
          </w:p>
        </w:tc>
      </w:tr>
      <w:tr>
        <w:trPr>
          <w:trHeight w:val="162"/>
        </w:trPr>
        <w:tc>
          <w:tcPr>
            <w:tcW w:w="6080" w:type="dxa"/>
            <w:vAlign w:val="bottom"/>
          </w:tcPr>
          <w:p>
            <w:pPr>
              <w:ind w:left="620"/>
              <w:spacing w:after="0"/>
              <w:rPr>
                <w:sz w:val="20"/>
                <w:szCs w:val="20"/>
                <w:color w:val="auto"/>
              </w:rPr>
            </w:pPr>
            <w:r>
              <w:rPr>
                <w:rFonts w:ascii="Arial" w:cs="Arial" w:eastAsia="Arial" w:hAnsi="Arial"/>
                <w:sz w:val="14"/>
                <w:szCs w:val="14"/>
                <w:color w:val="auto"/>
              </w:rPr>
              <w:t>Deferred revenue</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(4,326,540)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8,796,246</w:t>
            </w:r>
          </w:p>
        </w:tc>
        <w:tc>
          <w:tcPr>
            <w:tcW w:w="300" w:type="dxa"/>
            <w:vAlign w:val="bottom"/>
          </w:tcPr>
          <w:p>
            <w:pPr>
              <w:spacing w:after="0"/>
              <w:rPr>
                <w:sz w:val="14"/>
                <w:szCs w:val="14"/>
                <w:color w:val="auto"/>
              </w:rPr>
            </w:pPr>
          </w:p>
        </w:tc>
      </w:tr>
      <w:tr>
        <w:trPr>
          <w:trHeight w:val="162"/>
        </w:trPr>
        <w:tc>
          <w:tcPr>
            <w:tcW w:w="60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1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(1,910,782)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(4,353,087)</w:t>
            </w:r>
          </w:p>
        </w:tc>
      </w:tr>
      <w:tr>
        <w:trPr>
          <w:trHeight w:val="162"/>
        </w:trPr>
        <w:tc>
          <w:tcPr>
            <w:tcW w:w="608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(4,652,873)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(5,337,827)</w:t>
            </w:r>
          </w:p>
        </w:tc>
      </w:tr>
      <w:tr>
        <w:trPr>
          <w:trHeight w:val="162"/>
        </w:trPr>
        <w:tc>
          <w:tcPr>
            <w:tcW w:w="608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w:t>
            </w:r>
          </w:p>
        </w:tc>
        <w:tc>
          <w:tcPr>
            <w:tcW w:w="1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(312,003)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(264,921)</w:t>
            </w:r>
          </w:p>
        </w:tc>
      </w:tr>
      <w:tr>
        <w:trPr>
          <w:trHeight w:val="156"/>
        </w:trPr>
        <w:tc>
          <w:tcPr>
            <w:tcW w:w="608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(44,543,099)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(14,735,498)</w:t>
            </w:r>
          </w:p>
        </w:tc>
        <w:tc>
          <w:tcPr>
            <w:tcW w:w="300" w:type="dxa"/>
            <w:vAlign w:val="bottom"/>
          </w:tcPr>
          <w:p>
            <w:pPr>
              <w:spacing w:after="0"/>
              <w:rPr>
                <w:sz w:val="13"/>
                <w:szCs w:val="13"/>
                <w:color w:val="auto"/>
              </w:rPr>
            </w:pPr>
          </w:p>
        </w:tc>
      </w:tr>
      <w:tr>
        <w:trPr>
          <w:trHeight w:val="162"/>
        </w:trPr>
        <w:tc>
          <w:tcPr>
            <w:tcW w:w="60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INVESTING ACTIVITIES:</w:t>
            </w:r>
          </w:p>
        </w:tc>
        <w:tc>
          <w:tcPr>
            <w:tcW w:w="1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r>
      <w:tr>
        <w:trPr>
          <w:trHeight w:val="162"/>
        </w:trPr>
        <w:tc>
          <w:tcPr>
            <w:tcW w:w="608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(711,779)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(7,810,754)</w:t>
            </w:r>
          </w:p>
        </w:tc>
      </w:tr>
      <w:tr>
        <w:trPr>
          <w:trHeight w:val="162"/>
        </w:trPr>
        <w:tc>
          <w:tcPr>
            <w:tcW w:w="6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Purchases of marketable securities</w:t>
            </w:r>
          </w:p>
        </w:tc>
        <w:tc>
          <w:tcPr>
            <w:tcW w:w="1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(47,174,620)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(39,904,676)</w:t>
            </w:r>
          </w:p>
        </w:tc>
      </w:tr>
      <w:tr>
        <w:trPr>
          <w:trHeight w:val="162"/>
        </w:trPr>
        <w:tc>
          <w:tcPr>
            <w:tcW w:w="608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16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37,204,420</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3,289,963</w:t>
            </w:r>
          </w:p>
        </w:tc>
        <w:tc>
          <w:tcPr>
            <w:tcW w:w="300" w:type="dxa"/>
            <w:vAlign w:val="bottom"/>
            <w:tcBorders>
              <w:bottom w:val="single" w:sz="8" w:color="CFF0FC"/>
            </w:tcBorders>
          </w:tcPr>
          <w:p>
            <w:pPr>
              <w:spacing w:after="0"/>
              <w:rPr>
                <w:sz w:val="14"/>
                <w:szCs w:val="14"/>
                <w:color w:val="auto"/>
              </w:rPr>
            </w:pPr>
          </w:p>
        </w:tc>
      </w:tr>
      <w:tr>
        <w:trPr>
          <w:trHeight w:val="156"/>
        </w:trPr>
        <w:tc>
          <w:tcPr>
            <w:tcW w:w="608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(10,681,979)</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(44,425,467)</w:t>
            </w:r>
          </w:p>
        </w:tc>
        <w:tc>
          <w:tcPr>
            <w:tcW w:w="300" w:type="dxa"/>
            <w:vAlign w:val="bottom"/>
            <w:shd w:val="clear" w:color="auto" w:fill="CFF0FC"/>
          </w:tcPr>
          <w:p>
            <w:pPr>
              <w:spacing w:after="0"/>
              <w:rPr>
                <w:sz w:val="13"/>
                <w:szCs w:val="13"/>
                <w:color w:val="auto"/>
              </w:rPr>
            </w:pPr>
          </w:p>
        </w:tc>
      </w:tr>
      <w:tr>
        <w:trPr>
          <w:trHeight w:val="162"/>
        </w:trPr>
        <w:tc>
          <w:tcPr>
            <w:tcW w:w="6080" w:type="dxa"/>
            <w:vAlign w:val="bottom"/>
          </w:tcPr>
          <w:p>
            <w:pPr>
              <w:ind w:left="140"/>
              <w:spacing w:after="0"/>
              <w:rPr>
                <w:sz w:val="20"/>
                <w:szCs w:val="20"/>
                <w:color w:val="auto"/>
              </w:rPr>
            </w:pPr>
            <w:r>
              <w:rPr>
                <w:rFonts w:ascii="Arial" w:cs="Arial" w:eastAsia="Arial" w:hAnsi="Arial"/>
                <w:sz w:val="14"/>
                <w:szCs w:val="14"/>
                <w:color w:val="auto"/>
              </w:rPr>
              <w:t>CASH FLOWS FROM FINANCING ACTIVITIES: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6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notes payable</w:t>
            </w:r>
          </w:p>
        </w:tc>
        <w:tc>
          <w:tcPr>
            <w:tcW w:w="1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(154,986)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(97,145)</w:t>
            </w:r>
          </w:p>
        </w:tc>
      </w:tr>
      <w:tr>
        <w:trPr>
          <w:trHeight w:val="162"/>
        </w:trPr>
        <w:tc>
          <w:tcPr>
            <w:tcW w:w="6080" w:type="dxa"/>
            <w:vAlign w:val="bottom"/>
          </w:tcPr>
          <w:p>
            <w:pPr>
              <w:ind w:left="380"/>
              <w:spacing w:after="0"/>
              <w:rPr>
                <w:sz w:val="20"/>
                <w:szCs w:val="20"/>
                <w:color w:val="auto"/>
              </w:rPr>
            </w:pPr>
            <w:r>
              <w:rPr>
                <w:rFonts w:ascii="Arial" w:cs="Arial" w:eastAsia="Arial" w:hAnsi="Arial"/>
                <w:sz w:val="14"/>
                <w:szCs w:val="14"/>
                <w:color w:val="auto"/>
              </w:rPr>
              <w:t>Payments of taxes for net share settled restricted stock unit issuances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(54,667)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(417,140)</w:t>
            </w:r>
          </w:p>
        </w:tc>
      </w:tr>
      <w:tr>
        <w:trPr>
          <w:trHeight w:val="162"/>
        </w:trPr>
        <w:tc>
          <w:tcPr>
            <w:tcW w:w="6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exercises of warrants and stock options</w:t>
            </w:r>
          </w:p>
        </w:tc>
        <w:tc>
          <w:tcPr>
            <w:tcW w:w="1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2,006,515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272,818</w:t>
            </w:r>
          </w:p>
        </w:tc>
        <w:tc>
          <w:tcPr>
            <w:tcW w:w="300" w:type="dxa"/>
            <w:vAlign w:val="bottom"/>
            <w:shd w:val="clear" w:color="auto" w:fill="CFF0FC"/>
          </w:tcPr>
          <w:p>
            <w:pPr>
              <w:spacing w:after="0"/>
              <w:rPr>
                <w:sz w:val="14"/>
                <w:szCs w:val="14"/>
                <w:color w:val="auto"/>
              </w:rPr>
            </w:pPr>
          </w:p>
        </w:tc>
      </w:tr>
      <w:tr>
        <w:trPr>
          <w:trHeight w:val="162"/>
        </w:trPr>
        <w:tc>
          <w:tcPr>
            <w:tcW w:w="608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issuance of common stock</w:t>
            </w:r>
          </w:p>
        </w:tc>
        <w:tc>
          <w:tcPr>
            <w:tcW w:w="16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56,585,035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12,419,119</w:t>
            </w:r>
          </w:p>
        </w:tc>
        <w:tc>
          <w:tcPr>
            <w:tcW w:w="300" w:type="dxa"/>
            <w:vAlign w:val="bottom"/>
            <w:tcBorders>
              <w:bottom w:val="single" w:sz="8" w:color="CFF0FC"/>
            </w:tcBorders>
          </w:tcPr>
          <w:p>
            <w:pPr>
              <w:spacing w:after="0"/>
              <w:rPr>
                <w:sz w:val="14"/>
                <w:szCs w:val="14"/>
                <w:color w:val="auto"/>
              </w:rPr>
            </w:pPr>
          </w:p>
        </w:tc>
      </w:tr>
      <w:tr>
        <w:trPr>
          <w:trHeight w:val="156"/>
        </w:trPr>
        <w:tc>
          <w:tcPr>
            <w:tcW w:w="608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58,381,897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12,177,652</w:t>
            </w:r>
          </w:p>
        </w:tc>
        <w:tc>
          <w:tcPr>
            <w:tcW w:w="300" w:type="dxa"/>
            <w:vAlign w:val="bottom"/>
            <w:shd w:val="clear" w:color="auto" w:fill="CFF0FC"/>
          </w:tcPr>
          <w:p>
            <w:pPr>
              <w:spacing w:after="0"/>
              <w:rPr>
                <w:sz w:val="13"/>
                <w:szCs w:val="13"/>
                <w:color w:val="auto"/>
              </w:rPr>
            </w:pPr>
          </w:p>
        </w:tc>
      </w:tr>
      <w:tr>
        <w:trPr>
          <w:trHeight w:val="162"/>
        </w:trPr>
        <w:tc>
          <w:tcPr>
            <w:tcW w:w="6080" w:type="dxa"/>
            <w:vAlign w:val="bottom"/>
          </w:tcPr>
          <w:p>
            <w:pPr>
              <w:ind w:left="380"/>
              <w:spacing w:after="0"/>
              <w:rPr>
                <w:sz w:val="20"/>
                <w:szCs w:val="20"/>
                <w:color w:val="auto"/>
              </w:rPr>
            </w:pPr>
            <w:r>
              <w:rPr>
                <w:rFonts w:ascii="Arial" w:cs="Arial" w:eastAsia="Arial" w:hAnsi="Arial"/>
                <w:sz w:val="14"/>
                <w:szCs w:val="14"/>
                <w:color w:val="auto"/>
              </w:rPr>
              <w:t>NET INCREASE (DECREASE) IN CASH</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3,156,819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(46,983,313)</w:t>
            </w:r>
          </w:p>
        </w:tc>
      </w:tr>
      <w:tr>
        <w:trPr>
          <w:trHeight w:val="162"/>
        </w:trPr>
        <w:tc>
          <w:tcPr>
            <w:tcW w:w="60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AT BEGINNING OF PERIOD</w:t>
            </w:r>
          </w:p>
        </w:tc>
        <w:tc>
          <w:tcPr>
            <w:tcW w:w="16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24,838,567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85,366,448</w:t>
            </w:r>
          </w:p>
        </w:tc>
        <w:tc>
          <w:tcPr>
            <w:tcW w:w="300" w:type="dxa"/>
            <w:vAlign w:val="bottom"/>
            <w:shd w:val="clear" w:color="auto" w:fill="CFF0FC"/>
          </w:tcPr>
          <w:p>
            <w:pPr>
              <w:spacing w:after="0"/>
              <w:rPr>
                <w:sz w:val="14"/>
                <w:szCs w:val="14"/>
                <w:color w:val="auto"/>
              </w:rPr>
            </w:pPr>
          </w:p>
        </w:tc>
      </w:tr>
      <w:tr>
        <w:trPr>
          <w:trHeight w:val="196"/>
        </w:trPr>
        <w:tc>
          <w:tcPr>
            <w:tcW w:w="608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16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27,995,386</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38,383,135</w:t>
            </w:r>
          </w:p>
        </w:tc>
        <w:tc>
          <w:tcPr>
            <w:tcW w:w="300" w:type="dxa"/>
            <w:vAlign w:val="bottom"/>
            <w:tcBorders>
              <w:bottom w:val="single" w:sz="8" w:color="CFF0FC"/>
            </w:tcBorders>
          </w:tcPr>
          <w:p>
            <w:pPr>
              <w:spacing w:after="0"/>
              <w:rPr>
                <w:sz w:val="17"/>
                <w:szCs w:val="17"/>
                <w:color w:val="auto"/>
              </w:rPr>
            </w:pPr>
          </w:p>
        </w:tc>
      </w:tr>
      <w:tr>
        <w:trPr>
          <w:trHeight w:val="143"/>
        </w:trPr>
        <w:tc>
          <w:tcPr>
            <w:tcW w:w="60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1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r>
      <w:tr>
        <w:trPr>
          <w:trHeight w:val="162"/>
        </w:trPr>
        <w:tc>
          <w:tcPr>
            <w:tcW w:w="608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(131,429)</w:t>
            </w: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(142,033)</w:t>
            </w:r>
          </w:p>
        </w:tc>
      </w:tr>
      <w:tr>
        <w:trPr>
          <w:trHeight w:val="162"/>
        </w:trPr>
        <w:tc>
          <w:tcPr>
            <w:tcW w:w="60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 Credits Refunded</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3,635,016</w:t>
            </w:r>
          </w:p>
        </w:tc>
        <w:tc>
          <w:tcPr>
            <w:tcW w:w="300" w:type="dxa"/>
            <w:vAlign w:val="bottom"/>
            <w:shd w:val="clear" w:color="auto" w:fill="CFF0FC"/>
          </w:tcPr>
          <w:p>
            <w:pPr>
              <w:spacing w:after="0"/>
              <w:rPr>
                <w:sz w:val="14"/>
                <w:szCs w:val="14"/>
                <w:color w:val="auto"/>
              </w:rPr>
            </w:pPr>
          </w:p>
        </w:tc>
      </w:tr>
      <w:tr>
        <w:trPr>
          <w:trHeight w:val="182"/>
        </w:trPr>
        <w:tc>
          <w:tcPr>
            <w:tcW w:w="6080" w:type="dxa"/>
            <w:vAlign w:val="bottom"/>
          </w:tcPr>
          <w:p>
            <w:pPr>
              <w:ind w:left="380"/>
              <w:spacing w:after="0"/>
              <w:rPr>
                <w:sz w:val="20"/>
                <w:szCs w:val="20"/>
                <w:color w:val="auto"/>
              </w:rPr>
            </w:pPr>
            <w:r>
              <w:rPr>
                <w:rFonts w:ascii="Arial" w:cs="Arial" w:eastAsia="Arial" w:hAnsi="Arial"/>
                <w:sz w:val="14"/>
                <w:szCs w:val="14"/>
                <w:color w:val="auto"/>
              </w:rPr>
              <w:t>Income Tax Paid</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(2,400)</w:t>
            </w: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auto"/>
              </w:rPr>
              <w:t>(2,400)</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03" w:lineRule="exact"/>
        <w:rPr>
          <w:sz w:val="20"/>
          <w:szCs w:val="20"/>
          <w:color w:val="auto"/>
        </w:rPr>
      </w:pPr>
    </w:p>
    <w:p>
      <w:pPr>
        <w:ind w:right="550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firstLine="518"/>
        <w:spacing w:after="0" w:line="270"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The company's pipeline includes ARO-HBV for chronic hepatitis B virus, ARO-AAT for liver disease associated with alpha-1 antitrypsin deficiency (AATD), ARO-APOC3 and ARO-ANG3 for hypertriglyceridemia, ARO-ENaC for cystic fibrosis, ARO-HIF2 for renal cell carcinoma, and ARO-AMG1 for an undisclosed genetically validated cardiovascular target under a license and collaboration agreement with Amgen, Inc., a Delaware corporation (“Amgen”). AMG 890 (ARO-LPA) for cardiovascular disease was out-licensed to Amgen in 2016.</w:t>
      </w:r>
    </w:p>
    <w:p>
      <w:pPr>
        <w:spacing w:after="0" w:line="18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With regard to key recent developments, during fiscal 2018, the Company filed Clinical Trial Applications (CTAs) for ARO-AAT and ARO-HBV to begin a phase 1 clinical study and a phase 1 / 2 clinical study for each program, respectively, and dosing is now underway in both studies. Additionally, on January 22, 2018, the Company sold 11,500,000 shares of Common Stock in a fully underwritten public offering, at a public offering price of $5.25 per share. Net proceeds to the Company were approximately $56.6 million after deducting underwriting commissions and discounts and other offering expenses payable by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At June 30, 2018, the Company had $28.0 million in cash, $32.5 million in short-term investments, and $17.7 in long-term investments to fund operations. During the nine months ended June 30, 2018, the Company’s cash and investments balance increased by $12.5 million, which was primarily the result of the $56.6 million net proceeds received from the public offering discussed above partially offset by cash outflows of $44.5 million related to operating activities.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January 22, 2018, the Company sold 11,500,000 shares of Common Stock in a fully underwritten public offering, at a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$5.25 per share. Net proceeds to the Company were approximately $56.6 million after deducting underwriting commissions and discounts and other offering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payable by the Company. The Company believes its current financial resources are sufficient to fund its operations through at least the next twelve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 w:name="page8"/>
    <w:bookmarkEnd w:id="7"/>
    <w:p>
      <w:pPr>
        <w:ind w:right="60" w:firstLine="518"/>
        <w:spacing w:after="0" w:line="291" w:lineRule="auto"/>
        <w:rPr>
          <w:sz w:val="20"/>
          <w:szCs w:val="20"/>
          <w:color w:val="auto"/>
        </w:rPr>
      </w:pPr>
      <w:r>
        <w:rPr>
          <w:rFonts w:ascii="Arial" w:cs="Arial" w:eastAsia="Arial" w:hAnsi="Arial"/>
          <w:sz w:val="16"/>
          <w:szCs w:val="16"/>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Additionally, certain reclassifications have been made to prior period financial statements to conform to the current period presentation. These condensed consolidated financial statements should be read in conjunction with the Company’s consolidated financial statements and the notes thereto contained in our Annual Report on Form 10-K for the year ended September 30, 2017.</w:t>
      </w:r>
    </w:p>
    <w:p>
      <w:pPr>
        <w:spacing w:after="0" w:line="16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June 30, 2018 and September 30, 2017.</w:t>
      </w:r>
    </w:p>
    <w:p>
      <w:pPr>
        <w:spacing w:after="0" w:line="170" w:lineRule="exact"/>
        <w:rPr>
          <w:sz w:val="20"/>
          <w:szCs w:val="20"/>
          <w:color w:val="auto"/>
        </w:rPr>
      </w:pPr>
    </w:p>
    <w:p>
      <w:pPr>
        <w:ind w:right="460" w:firstLine="518"/>
        <w:spacing w:after="0" w:line="286" w:lineRule="auto"/>
        <w:rPr>
          <w:sz w:val="20"/>
          <w:szCs w:val="20"/>
          <w:color w:val="auto"/>
        </w:rPr>
      </w:pPr>
      <w:r>
        <w:rPr>
          <w:rFonts w:ascii="Arial" w:cs="Arial" w:eastAsia="Arial" w:hAnsi="Arial"/>
          <w:sz w:val="17"/>
          <w:szCs w:val="17"/>
          <w:color w:val="auto"/>
        </w:rPr>
        <w:t>Concentration of Credit Risk—The Company maintains several bank accounts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6"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consist of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debt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color w:val="auto"/>
        </w:rPr>
        <w:t>Trading Securities—Debt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Available-for-Sale—Debt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jc w:val="both"/>
        <w:ind w:right="480" w:firstLine="518"/>
        <w:spacing w:after="0" w:line="264" w:lineRule="auto"/>
        <w:rPr>
          <w:sz w:val="20"/>
          <w:szCs w:val="20"/>
          <w:color w:val="auto"/>
        </w:rPr>
      </w:pPr>
      <w:r>
        <w:rPr>
          <w:rFonts w:ascii="Arial" w:cs="Arial" w:eastAsia="Arial" w:hAnsi="Arial"/>
          <w:sz w:val="18"/>
          <w:szCs w:val="18"/>
          <w:color w:val="auto"/>
        </w:rPr>
        <w:t>The Company classifies its investments in marketable debt securities based on the facts and circumstances present at the time of purchase of the securities. During the three and nine months ended June 30, 2018 and 2017, respectively, all of the Company’s investments were classified as held-to-maturity.</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ind w:right="20" w:firstLine="518"/>
        <w:spacing w:after="0" w:line="286" w:lineRule="auto"/>
        <w:rPr>
          <w:sz w:val="20"/>
          <w:szCs w:val="20"/>
          <w:color w:val="auto"/>
        </w:rPr>
      </w:pPr>
      <w:r>
        <w:rPr>
          <w:rFonts w:ascii="Arial" w:cs="Arial" w:eastAsia="Arial" w:hAnsi="Arial"/>
          <w:sz w:val="16"/>
          <w:szCs w:val="16"/>
          <w:color w:val="auto"/>
        </w:rPr>
        <w:t>Contingent Consideration - 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June 30, 2018 and September 30, 2017.</w:t>
      </w:r>
    </w:p>
    <w:p>
      <w:pPr>
        <w:spacing w:after="0" w:line="19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21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22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if the arrangement includes a general right of return for the delivered item, and if delivery or performance of the undelivered item is considered probable and substantially in the Company’s control.</w:t>
      </w:r>
    </w:p>
    <w:p>
      <w:pPr>
        <w:spacing w:after="0" w:line="21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234"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20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 Company will only recognize revenue to the extent of the proportional performance achieved at that date, or the proportion of the straight-line basis achieved at that date, and the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8"/>
          <w:szCs w:val="18"/>
          <w:color w:val="auto"/>
        </w:rPr>
        <w:t>remainder will be recorded as deferred revenue to be amortized over the remaining performance period.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208"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171"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three and nine months ended June 30, 2018 and 2017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2019. In April 2016, the FASB issued an amendment to ASU No. 2014-09 with update ASU 2016-10 which provided more specific guidance around the identification of performance obligations and licensing arrangements. The Company is evaluating the potential effects of the adoption of this update on its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0" w:name="page11"/>
    <w:bookmarkEnd w:id="10"/>
    <w:p>
      <w:pPr>
        <w:ind w:firstLine="518"/>
        <w:spacing w:after="0" w:line="255" w:lineRule="auto"/>
        <w:rPr>
          <w:sz w:val="20"/>
          <w:szCs w:val="20"/>
          <w:color w:val="auto"/>
        </w:rPr>
      </w:pPr>
      <w:r>
        <w:rPr>
          <w:rFonts w:ascii="Arial" w:cs="Arial" w:eastAsia="Arial" w:hAnsi="Arial"/>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2017, the FASB issued ASU No. 2017-09, which is an update to Topic 718, Compensation - Stock Compensation. The update</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provides guidance on determining which changes to the terms and conditions of share-based payment awards, including stock options, require an entity to apply modification accounting under Topic 718. ASU 2017-09 becomes effective for the Company in the first quarter of fiscal 2019. The Company does not expect that ASU 2017-09 will have a material impact on the Company's results of operations and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 – AMGEN, INC.</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w:t>
      </w:r>
    </w:p>
    <w:p>
      <w:pPr>
        <w:spacing w:after="0" w:line="189"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Under the Common Stock Purchase Agreement, the Company has sold 3,002,793 shares of Common Stock to Amgen at a price of $7.16 per share, which represents the 30-day volume-weighted average price of the Common Stock on the NASDAQ stock market over the 30 trading days preceding the Effective Date, as defined in the ARO-AMG1 Agreement. Subject to Amgen’s exercise of the Option, as defined in the ARO-AMG1 Agreement, Amgen has agreed to purchase, and the Company has agreed to sell, an additional $5 million worth of shares of Common Stock based on a 30 trading day formula surrounding the date of the Option exercise.</w:t>
      </w:r>
    </w:p>
    <w:p>
      <w:pPr>
        <w:spacing w:after="0" w:line="18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w:t>
      </w:r>
    </w:p>
    <w:p>
      <w:pPr>
        <w:spacing w:after="0" w:line="187"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Under the terms of the ARO-AMG1 Agreement, the Company has granted an option to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ARO-AMG1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upfront $5 million payment was recorded as Deferred Revenue, and $0.6 million and $2.0 million of this was amortized into Revenue during the three and nine months ended June 30, 2018, respectively. During the three and nine months ended June 30, 2017, $0.6 million and $2.0 million of this upfront $5 million payment was amortized in Revenue, respectively. Of the upfront $5 million payment, approximately $0.6 million remained as Deferred Revenue as of June 30, 2018.</w:t>
      </w:r>
    </w:p>
    <w:p>
      <w:pPr>
        <w:spacing w:after="0" w:line="17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Under the terms of the AMG 890 (ARO-LPA) Agreement, the Company has granted a worldwide, exclusive license to AMG 890 (ARO-LPA). The collaboration between the Company and Amgen is governed by a joint research committee comprised of an equal number of representatives from each party, however Amgen has the final decision making authority regarding AMG 890 (ARO-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ind w:right="20"/>
        <w:spacing w:after="0" w:line="269" w:lineRule="auto"/>
        <w:rPr>
          <w:sz w:val="20"/>
          <w:szCs w:val="20"/>
          <w:color w:val="auto"/>
        </w:rPr>
      </w:pPr>
      <w:r>
        <w:rPr>
          <w:rFonts w:ascii="Arial" w:cs="Arial" w:eastAsia="Arial" w:hAnsi="Arial"/>
          <w:sz w:val="17"/>
          <w:szCs w:val="17"/>
          <w:color w:val="auto"/>
        </w:rPr>
        <w:t>LPA) in this committee. The Company is also responsible for assisting Amgen in the oversight of certain development and manufacturing activities, most of which are to be covered at Amgen’s cost. The Company has determined that the significant deliverables under the AMG 890 (ARO-LPA)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recognized revenue on a straight-line basis from November 18, 2016 (the Hart-Scott-Rodino clearance date), through October 31, 2017, which was the date where the significant development and manufacturing related deliverables were completed. The Company received the upfront payment of $30 million due under the AMG 890 (ARO-LPA) Agreement in November 2016. The upfront $30 million payment was recorded as Deferred Revenue, and $2.7 million of this was amortized into Revenue during the three months ended December 31, 2017. The upfront $30 million payment has been fully recognized, and $0 remains in Deferred Revenue as of June 30, 2018. During the three and nine months ended June 30, 2017, $7.9 million and $19.4 million of the upfront $30 million payment was amortized into Revenue, respectively.</w:t>
      </w:r>
    </w:p>
    <w:p>
      <w:pPr>
        <w:spacing w:after="0" w:line="18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August 1, 2018, the Company announced that it had earned a $10 million milestone payment from Amgen following the administration of the first dose of AMG 890 (ARO-LPA) in a phase 1 clinical study. The Company will recognize this payment as revenue in its entirety during the fourth fiscal quarter of 2018.</w:t>
      </w:r>
    </w:p>
    <w:p>
      <w:pPr>
        <w:spacing w:after="0" w:line="18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Company also entered into a separate services agreement and separate statements of work with Amgen to provide certain services related to process development, manufacturing, materials supply, discovery studies, and other consulting services related to AMG 890 (ARO-LPA) and ARO-AMG1. During the three and nine months ended June 30, 2018, these work orders generated approximately $0.1 million and $0.3 million of Revenue, respectively. During the three and nine months ended June 30, 2017, these work orders generated approximately $0.8 million and $1.4 million of Revenue,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Research equipment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10,345,664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9,660,960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148,829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12,208,380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12,208,380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23,303,207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22,601,752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(9,273,968)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(7,088,733)</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14,029,239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15,513,019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38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June 30, 2018 consisted of corporate bonds with maturities remaining of less than 15 months.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June 30, 2018, all investments were classified as held-to-maturity securities.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The following tables summarize the Company’s short-term and long-term investments as of June 30, 2018, and September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left="194"/>
              <w:spacing w:after="0"/>
              <w:rPr>
                <w:sz w:val="20"/>
                <w:szCs w:val="20"/>
                <w:color w:val="auto"/>
              </w:rPr>
            </w:pPr>
            <w:r>
              <w:rPr>
                <w:rFonts w:ascii="Arial" w:cs="Arial" w:eastAsia="Arial" w:hAnsi="Arial"/>
                <w:sz w:val="14"/>
                <w:szCs w:val="14"/>
                <w:b w:val="1"/>
                <w:bCs w:val="1"/>
                <w:color w:val="auto"/>
                <w:w w:val="92"/>
              </w:rPr>
              <w:t>As of June 30, 2018</w:t>
            </w: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3"/>
              </w:rPr>
              <w:t>Gross Unrealized Gains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Gross Unrealized Losses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r>
      <w:tr>
        <w:trPr>
          <w:trHeight w:val="210"/>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Commercial notes (due within one year)</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32,484,708</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(237,007)</w:t>
            </w:r>
          </w:p>
        </w:tc>
        <w:tc>
          <w:tcPr>
            <w:tcW w:w="4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32,247,701</w:t>
            </w:r>
          </w:p>
        </w:tc>
        <w:tc>
          <w:tcPr>
            <w:tcW w:w="220" w:type="dxa"/>
            <w:vAlign w:val="bottom"/>
            <w:tcBorders>
              <w:top w:val="single" w:sz="8" w:color="CFF0FC"/>
            </w:tcBorders>
            <w:shd w:val="clear" w:color="auto" w:fill="CFF0FC"/>
          </w:tcPr>
          <w:p>
            <w:pPr>
              <w:spacing w:after="0"/>
              <w:rPr>
                <w:sz w:val="18"/>
                <w:szCs w:val="18"/>
                <w:color w:val="auto"/>
              </w:rPr>
            </w:pPr>
          </w:p>
        </w:tc>
      </w:tr>
      <w:tr>
        <w:trPr>
          <w:trHeight w:val="202"/>
        </w:trPr>
        <w:tc>
          <w:tcPr>
            <w:tcW w:w="3560" w:type="dxa"/>
            <w:vAlign w:val="bottom"/>
            <w:gridSpan w:val="4"/>
          </w:tcPr>
          <w:p>
            <w:pPr>
              <w:spacing w:after="0" w:line="201" w:lineRule="exact"/>
              <w:rPr>
                <w:sz w:val="20"/>
                <w:szCs w:val="20"/>
                <w:color w:val="auto"/>
              </w:rPr>
            </w:pPr>
            <w:r>
              <w:rPr>
                <w:rFonts w:ascii="Arial" w:cs="Arial" w:eastAsia="Arial" w:hAnsi="Arial"/>
                <w:sz w:val="18"/>
                <w:szCs w:val="18"/>
                <w:color w:val="auto"/>
                <w:w w:val="96"/>
              </w:rPr>
              <w:t>Commercial notes (due after one year through</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two years)</w:t>
            </w:r>
          </w:p>
        </w:tc>
        <w:tc>
          <w:tcPr>
            <w:tcW w:w="4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17,672,658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w w:val="88"/>
              </w:rPr>
              <w:t>—</w:t>
            </w:r>
          </w:p>
        </w:tc>
        <w:tc>
          <w:tcPr>
            <w:tcW w:w="11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(98,327)</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17,574,331</w:t>
            </w:r>
          </w:p>
        </w:tc>
      </w:tr>
      <w:tr>
        <w:trPr>
          <w:trHeight w:val="210"/>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50,157,366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(335,334)</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49,822,032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15"/>
        </w:trPr>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ind w:left="194"/>
              <w:spacing w:after="0"/>
              <w:rPr>
                <w:sz w:val="20"/>
                <w:szCs w:val="20"/>
                <w:color w:val="auto"/>
              </w:rPr>
            </w:pPr>
            <w:r>
              <w:rPr>
                <w:rFonts w:ascii="Arial" w:cs="Arial" w:eastAsia="Arial" w:hAnsi="Arial"/>
                <w:sz w:val="14"/>
                <w:szCs w:val="14"/>
                <w:b w:val="1"/>
                <w:bCs w:val="1"/>
                <w:color w:val="auto"/>
                <w:w w:val="91"/>
              </w:rPr>
              <w:t>As of September 30, 2017</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Gross Unrealized Gains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Gross Unrealized Losses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r>
      <w:tr>
        <w:trPr>
          <w:trHeight w:val="210"/>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Commercial notes (due within one year)</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40,769,539</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gridSpan w:val="2"/>
            <w:shd w:val="clear" w:color="auto" w:fill="CFF0FC"/>
          </w:tcPr>
          <w:p>
            <w:pPr>
              <w:jc w:val="right"/>
              <w:ind w:right="399"/>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gridSpan w:val="2"/>
            <w:shd w:val="clear" w:color="auto" w:fill="CFF0FC"/>
          </w:tcPr>
          <w:p>
            <w:pPr>
              <w:jc w:val="right"/>
              <w:ind w:right="55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(334,755)</w:t>
            </w:r>
          </w:p>
        </w:tc>
        <w:tc>
          <w:tcPr>
            <w:tcW w:w="460" w:type="dxa"/>
            <w:vAlign w:val="bottom"/>
            <w:tcBorders>
              <w:top w:val="single" w:sz="8" w:color="CFF0FC"/>
            </w:tcBorders>
            <w:gridSpan w:val="2"/>
            <w:shd w:val="clear" w:color="auto" w:fill="CFF0FC"/>
          </w:tcPr>
          <w:p>
            <w:pPr>
              <w:spacing w:after="0"/>
              <w:rPr>
                <w:sz w:val="18"/>
                <w:szCs w:val="18"/>
                <w:color w:val="auto"/>
              </w:rPr>
            </w:pPr>
          </w:p>
        </w:tc>
        <w:tc>
          <w:tcPr>
            <w:tcW w:w="320" w:type="dxa"/>
            <w:vAlign w:val="bottom"/>
            <w:tcBorders>
              <w:top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40,434,784</w:t>
            </w:r>
          </w:p>
        </w:tc>
        <w:tc>
          <w:tcPr>
            <w:tcW w:w="220" w:type="dxa"/>
            <w:vAlign w:val="bottom"/>
            <w:tcBorders>
              <w:top w:val="single" w:sz="8" w:color="CFF0FC"/>
            </w:tcBorders>
            <w:shd w:val="clear" w:color="auto" w:fill="CFF0FC"/>
          </w:tcPr>
          <w:p>
            <w:pPr>
              <w:spacing w:after="0"/>
              <w:rPr>
                <w:sz w:val="18"/>
                <w:szCs w:val="18"/>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Commercial notes (due after one year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120" w:type="dxa"/>
            <w:vAlign w:val="bottom"/>
          </w:tcPr>
          <w:p>
            <w:pPr>
              <w:ind w:left="220"/>
              <w:spacing w:after="0"/>
              <w:rPr>
                <w:sz w:val="20"/>
                <w:szCs w:val="20"/>
                <w:color w:val="auto"/>
              </w:rPr>
            </w:pPr>
            <w:r>
              <w:rPr>
                <w:rFonts w:ascii="Arial" w:cs="Arial" w:eastAsia="Arial" w:hAnsi="Arial"/>
                <w:sz w:val="18"/>
                <w:szCs w:val="18"/>
                <w:color w:val="auto"/>
              </w:rPr>
              <w:t>through two years)</w:t>
            </w:r>
          </w:p>
        </w:tc>
        <w:tc>
          <w:tcPr>
            <w:tcW w:w="4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559"/>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0"/>
        </w:trPr>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40,769,539</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FF0FC"/>
          </w:tcPr>
          <w:p>
            <w:pPr>
              <w:jc w:val="right"/>
              <w:ind w:right="399"/>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FF0FC"/>
          </w:tcPr>
          <w:p>
            <w:pPr>
              <w:jc w:val="right"/>
              <w:ind w:right="55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(334,755)</w:t>
            </w:r>
          </w:p>
        </w:tc>
        <w:tc>
          <w:tcPr>
            <w:tcW w:w="46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40,434,784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$494,684. The patents associated with the Novartis RNAi asset acquisition are being amortized over the estimated life remaining at the time of acquisition, which was 14 years, and the accumulated amortization of the assets is approximately $5,173,413. Amortization expense for the three months ended June 30, 2018 and 2017 was $425,107 and $425,107,</w:t>
      </w:r>
    </w:p>
    <w:p>
      <w:pPr>
        <w:spacing w:after="0" w:line="2"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respectively. Amortization expense for the nine months ended June 30, 2018 and 2017 was $1,275,322 and $1,275,322, respectively. Amortization expense is expected to be approximately $425,108 for the remainder of fiscal year 2018, $1,700,429 in 2019, $1,700,429 in 2020, $1,700,429 in 2021, $1,700,429 in 2022, $1,700,429 in 2023, and $10,261,864 thereafter.</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Intangible assets</w:t>
            </w:r>
          </w:p>
        </w:tc>
      </w:tr>
      <w:tr>
        <w:trPr>
          <w:trHeight w:val="149"/>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subject to</w:t>
            </w:r>
          </w:p>
        </w:tc>
      </w:tr>
      <w:tr>
        <w:trPr>
          <w:trHeight w:val="17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r>
      <w:tr>
        <w:trPr>
          <w:trHeight w:val="210"/>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20,464,439</w:t>
            </w: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(1,275,322)</w:t>
            </w: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19,189,117</w:t>
            </w:r>
          </w:p>
        </w:tc>
        <w:tc>
          <w:tcPr>
            <w:tcW w:w="18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680" w:firstLine="518"/>
        <w:spacing w:after="0" w:line="308" w:lineRule="auto"/>
        <w:rPr>
          <w:sz w:val="20"/>
          <w:szCs w:val="20"/>
          <w:color w:val="auto"/>
        </w:rPr>
      </w:pPr>
      <w:r>
        <w:rPr>
          <w:rFonts w:ascii="Arial" w:cs="Arial" w:eastAsia="Arial" w:hAnsi="Arial"/>
          <w:sz w:val="17"/>
          <w:szCs w:val="17"/>
          <w:color w:val="auto"/>
        </w:rPr>
        <w:t>At June 30, 2018, the Company had a total of 150,000,000 shares of capital stock authorized for issuance, consisting of 145,000,000 shares of Common Stock, par value $0.001 per share, and 5,000,000 shares of Preferred Stock, par value $0.001 per share.</w:t>
      </w:r>
    </w:p>
    <w:p>
      <w:pPr>
        <w:spacing w:after="0" w:line="14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At June 30, 2018, 87,854,651 shares of Common Stock were outstanding. At June 30, 2018, 9,302,968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January 22, 2018, the Company sold 11,500,000 shares of Common Stock in a fully underwritten public offering, at a public offering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$5.25 per share. Net proceeds to the Company were approximately $56.6 million after deducting underwriting commissions and discounts and other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payable by the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Company leases approximately 8,500 square feet of office space for its corporate headquarters in Pasadena, California. The lease will expire in September 2019. Monthly rental payments are approximately $27,000 per month, increasing approximately 3% annually.</w:t>
      </w:r>
    </w:p>
    <w:p>
      <w:pPr>
        <w:spacing w:after="0" w:line="211"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 Company also leases approximately 60,000 square feet of office and laboratory space for its research facility in Madison, Wisconsin. The lease will expire in September 2026. As part of this lease, the Company was provided a primary tenant improvement allowance of $2.1 million which is accounted for as Deferred Rent and a secondary tenant improvement allowance of $2.7 million which is accounted for as a Note Payable on the Company’s Consolidated Balance Sheet. Monthly rental payments, including payments of principal and interest on the Note Payable are approximately $182,200 per month. The monthly rental payments (excluding principal and interest on the Note Payable), will increase approximately 2.5% annually.</w:t>
      </w:r>
    </w:p>
    <w:p>
      <w:pPr>
        <w:spacing w:after="0" w:line="173"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Facility rent expense for the three months ended June 30, 2018 and 2017 was $353,400 and $328,600, respectively. Facility rent expense for the nine months ended June 30, 2018 and 2017 was $1,041,400 and $1,126,500,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2018, future minimum lease payments due in fiscal years under operating leases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2018 (remainder of)</w:t>
            </w:r>
          </w:p>
        </w:tc>
        <w:tc>
          <w:tcPr>
            <w:tcW w:w="27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384,250</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2019</w:t>
            </w: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1,435,409</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1,044,431</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2021</w:t>
            </w:r>
          </w:p>
        </w:tc>
        <w:tc>
          <w:tcPr>
            <w:tcW w:w="2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1,070,496</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1,097,168</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 and thereafter</w:t>
            </w:r>
          </w:p>
        </w:tc>
        <w:tc>
          <w:tcPr>
            <w:tcW w:w="24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4,669,328</w:t>
            </w:r>
          </w:p>
        </w:tc>
        <w:tc>
          <w:tcPr>
            <w:tcW w:w="120" w:type="dxa"/>
            <w:vAlign w:val="bottom"/>
            <w:tcBorders>
              <w:bottom w:val="single" w:sz="8" w:color="CFF0FC"/>
            </w:tcBorders>
          </w:tcPr>
          <w:p>
            <w:pPr>
              <w:spacing w:after="0"/>
              <w:rPr>
                <w:sz w:val="18"/>
                <w:szCs w:val="18"/>
                <w:color w:val="auto"/>
              </w:rPr>
            </w:pPr>
          </w:p>
        </w:tc>
      </w:tr>
      <w:tr>
        <w:trPr>
          <w:trHeight w:val="21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9,701,082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Note Payable</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As part of the Company’s lease for its research facility in Madison, Wisconsin discussed above, the Company entered into a $2.7 million promissory note payable with its landlord to finance certain tenant improvements made to the new facility. The note will be amortized over the 10-year term of the lease, commencing on October 1, 2016. The note bears interest at a rate of 7.1% and is payable in equal monthly installments of principal and interest.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2018, future principal payments due in fiscal years under the note payable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2018 (remainder of)</w:t>
            </w:r>
          </w:p>
        </w:tc>
        <w:tc>
          <w:tcPr>
            <w:tcW w:w="408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53,520</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2019</w:t>
            </w:r>
          </w:p>
        </w:tc>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223,820</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240,258</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2021</w:t>
            </w:r>
          </w:p>
        </w:tc>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257,903</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276,845</w:t>
            </w:r>
          </w:p>
        </w:tc>
        <w:tc>
          <w:tcPr>
            <w:tcW w:w="120" w:type="dxa"/>
            <w:vAlign w:val="bottom"/>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 and thereafter</w:t>
            </w:r>
          </w:p>
        </w:tc>
        <w:tc>
          <w:tcPr>
            <w:tcW w:w="37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1,326,192</w:t>
            </w:r>
          </w:p>
        </w:tc>
        <w:tc>
          <w:tcPr>
            <w:tcW w:w="120" w:type="dxa"/>
            <w:vAlign w:val="bottom"/>
            <w:tcBorders>
              <w:bottom w:val="single" w:sz="8" w:color="CFF0FC"/>
            </w:tcBorders>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2,378,538</w:t>
            </w:r>
          </w:p>
        </w:tc>
        <w:tc>
          <w:tcPr>
            <w:tcW w:w="120" w:type="dxa"/>
            <w:vAlign w:val="bottom"/>
            <w:tcBorders>
              <w:bottom w:val="single" w:sz="8" w:color="CFF0FC"/>
            </w:tcBorders>
            <w:shd w:val="clear" w:color="auto" w:fill="CFF0FC"/>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780" w:type="dxa"/>
            <w:vAlign w:val="bottom"/>
            <w:vMerge w:val="restart"/>
          </w:tcPr>
          <w:p>
            <w:pPr>
              <w:jc w:val="right"/>
              <w:ind w:right="235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i w:val="1"/>
          <w:iCs w:val="1"/>
          <w:color w:val="auto"/>
        </w:rPr>
        <w:t>Litigation –</w:t>
      </w:r>
    </w:p>
    <w:p>
      <w:pPr>
        <w:spacing w:after="0" w:line="117"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6"/>
          <w:szCs w:val="16"/>
          <w:i w:val="1"/>
          <w:iCs w:val="1"/>
          <w:color w:val="auto"/>
        </w:rPr>
        <w:t>Wang v. Arrowhead Research Corp., et al.</w:t>
      </w:r>
      <w:r>
        <w:rPr>
          <w:rFonts w:ascii="Arial" w:cs="Arial" w:eastAsia="Arial" w:hAnsi="Arial"/>
          <w:sz w:val="16"/>
          <w:szCs w:val="16"/>
          <w:color w:val="auto"/>
        </w:rPr>
        <w:t xml:space="preserve">, No. 2:14-cv-07890 (C.D. Cal., filed Oct. 10, 2014), and </w:t>
      </w:r>
      <w:r>
        <w:rPr>
          <w:rFonts w:ascii="Arial" w:cs="Arial" w:eastAsia="Arial" w:hAnsi="Arial"/>
          <w:sz w:val="16"/>
          <w:szCs w:val="16"/>
          <w:i w:val="1"/>
          <w:iCs w:val="1"/>
          <w:color w:val="auto"/>
        </w:rPr>
        <w:t>Eskinazi v. Arrowhead</w:t>
      </w:r>
      <w:r>
        <w:rPr>
          <w:rFonts w:ascii="Arial" w:cs="Arial" w:eastAsia="Arial" w:hAnsi="Arial"/>
          <w:sz w:val="16"/>
          <w:szCs w:val="16"/>
          <w:color w:val="auto"/>
        </w:rPr>
        <w:t xml:space="preserve"> </w:t>
      </w:r>
      <w:r>
        <w:rPr>
          <w:rFonts w:ascii="Arial" w:cs="Arial" w:eastAsia="Arial" w:hAnsi="Arial"/>
          <w:sz w:val="16"/>
          <w:szCs w:val="16"/>
          <w:i w:val="1"/>
          <w:iCs w:val="1"/>
          <w:color w:val="auto"/>
        </w:rPr>
        <w:t>Research Corp., et al.</w:t>
      </w:r>
      <w:r>
        <w:rPr>
          <w:rFonts w:ascii="Arial" w:cs="Arial" w:eastAsia="Arial" w:hAnsi="Arial"/>
          <w:sz w:val="16"/>
          <w:szCs w:val="16"/>
          <w:color w:val="auto"/>
        </w:rPr>
        <w:t>, No. 2:14-cv-07911 (C.D. Cal., filed Oct. 13, 2014), asserted claims under Sections 10(b) and 20(a) of the Securities Exchange Act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1934 and sought damages in an unspecified amount. Additionally, three putative stockholder derivative actions captioned </w:t>
      </w:r>
      <w:r>
        <w:rPr>
          <w:rFonts w:ascii="Arial" w:cs="Arial" w:eastAsia="Arial" w:hAnsi="Arial"/>
          <w:sz w:val="16"/>
          <w:szCs w:val="16"/>
          <w:i w:val="1"/>
          <w:iCs w:val="1"/>
          <w:color w:val="auto"/>
        </w:rPr>
        <w:t>Weisman v. Anzalone et al</w:t>
      </w:r>
      <w:r>
        <w:rPr>
          <w:rFonts w:ascii="Arial" w:cs="Arial" w:eastAsia="Arial" w:hAnsi="Arial"/>
          <w:sz w:val="16"/>
          <w:szCs w:val="16"/>
          <w:color w:val="auto"/>
        </w:rPr>
        <w:t xml:space="preserve">., No. 2:14-cv-08982 (C.D. Cal., filed Nov. 20, 2014), </w:t>
      </w:r>
      <w:r>
        <w:rPr>
          <w:rFonts w:ascii="Arial" w:cs="Arial" w:eastAsia="Arial" w:hAnsi="Arial"/>
          <w:sz w:val="16"/>
          <w:szCs w:val="16"/>
          <w:i w:val="1"/>
          <w:iCs w:val="1"/>
          <w:color w:val="auto"/>
        </w:rPr>
        <w:t>Bernstein (Backus) v. Anzalone, et al.</w:t>
      </w:r>
      <w:r>
        <w:rPr>
          <w:rFonts w:ascii="Arial" w:cs="Arial" w:eastAsia="Arial" w:hAnsi="Arial"/>
          <w:sz w:val="16"/>
          <w:szCs w:val="16"/>
          <w:color w:val="auto"/>
        </w:rPr>
        <w:t xml:space="preserve">, No. 2:14-cv-09247 (C.D. Cal., filed Dec. 2, 2014); and </w:t>
      </w:r>
      <w:r>
        <w:rPr>
          <w:rFonts w:ascii="Arial" w:cs="Arial" w:eastAsia="Arial" w:hAnsi="Arial"/>
          <w:sz w:val="16"/>
          <w:szCs w:val="16"/>
          <w:i w:val="1"/>
          <w:iCs w:val="1"/>
          <w:color w:val="auto"/>
        </w:rPr>
        <w:t>Johnson v.</w:t>
      </w:r>
      <w:r>
        <w:rPr>
          <w:rFonts w:ascii="Arial" w:cs="Arial" w:eastAsia="Arial" w:hAnsi="Arial"/>
          <w:sz w:val="16"/>
          <w:szCs w:val="16"/>
          <w:color w:val="auto"/>
        </w:rPr>
        <w:t xml:space="preserve"> </w:t>
      </w:r>
      <w:r>
        <w:rPr>
          <w:rFonts w:ascii="Arial" w:cs="Arial" w:eastAsia="Arial" w:hAnsi="Arial"/>
          <w:sz w:val="16"/>
          <w:szCs w:val="16"/>
          <w:i w:val="1"/>
          <w:iCs w:val="1"/>
          <w:color w:val="auto"/>
        </w:rPr>
        <w:t>Anzalone, et al.</w:t>
      </w:r>
      <w:r>
        <w:rPr>
          <w:rFonts w:ascii="Arial" w:cs="Arial" w:eastAsia="Arial" w:hAnsi="Arial"/>
          <w:sz w:val="16"/>
          <w:szCs w:val="16"/>
          <w:color w:val="auto"/>
        </w:rPr>
        <w:t>, No. 2:15-cv-00446 (C.D. Cal., filed Jan. 22, 2015), were filed in the United States District Court for the Central District of California,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alleging breach of fiduciary duty by the Company’s Board of Directors in connection with the alleged facts underlying the securities claims. An additional consolidated derivative action asserting similar claims was filed in Los Angeles County Superior Court, initially filed as </w:t>
      </w:r>
      <w:r>
        <w:rPr>
          <w:rFonts w:ascii="Arial" w:cs="Arial" w:eastAsia="Arial" w:hAnsi="Arial"/>
          <w:sz w:val="16"/>
          <w:szCs w:val="16"/>
          <w:i w:val="1"/>
          <w:iCs w:val="1"/>
          <w:color w:val="auto"/>
        </w:rPr>
        <w:t>Bacchus v. Anzalone, et al.</w:t>
      </w:r>
      <w:r>
        <w:rPr>
          <w:rFonts w:ascii="Arial" w:cs="Arial" w:eastAsia="Arial" w:hAnsi="Arial"/>
          <w:sz w:val="16"/>
          <w:szCs w:val="16"/>
          <w:color w:val="auto"/>
        </w:rPr>
        <w:t xml:space="preserve">, (L.A. Super., filed Mar. 5, 2015); and </w:t>
      </w:r>
      <w:r>
        <w:rPr>
          <w:rFonts w:ascii="Arial" w:cs="Arial" w:eastAsia="Arial" w:hAnsi="Arial"/>
          <w:sz w:val="16"/>
          <w:szCs w:val="16"/>
          <w:i w:val="1"/>
          <w:iCs w:val="1"/>
          <w:color w:val="auto"/>
        </w:rPr>
        <w:t>Jackson v. Anzalone, et al.</w:t>
      </w:r>
      <w:r>
        <w:rPr>
          <w:rFonts w:ascii="Arial" w:cs="Arial" w:eastAsia="Arial" w:hAnsi="Arial"/>
          <w:sz w:val="16"/>
          <w:szCs w:val="16"/>
          <w:color w:val="auto"/>
        </w:rPr>
        <w:t xml:space="preserve"> (L.A. Super., filed Mar. 16, 2015). Each of these suits seeks damages in unspecified amounts and some seek various forms of injunctive relief. On October 7, 2016, the federal district court dismissed the consolidated class action with prejudice. Following the dismissal of the consolidated class action, the parties for the Weisman and Johnson actions jointly stipulated to dismiss the actions, with the parties bearing their own fees and costs. The parties to the Bernstein and consolidated derivative action agreed to stay the matters pending the resolution of the Ninth Circuit appeal of the dismissal of the consolidated class action. On February 15, 2018, the Ninth Circuit issued a memorandum affirming the district court’s dismissal of all claims. Plaintiffs in the consolidated derivative action voluntarily dismissed their case. The parties to the Bernstein action filed a stipulation to continue the stay of the action pending resolution of the Ninth Circuit appeal in Meller v. Arrowhead Pharmaceuticals, Inc., Case No. 2:16-cv-08505 (C.D. Cal.).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w:t>
      </w:r>
    </w:p>
    <w:p>
      <w:pPr>
        <w:spacing w:after="0" w:line="211" w:lineRule="exact"/>
        <w:rPr>
          <w:sz w:val="20"/>
          <w:szCs w:val="20"/>
          <w:color w:val="auto"/>
        </w:rPr>
      </w:pPr>
    </w:p>
    <w:p>
      <w:pPr>
        <w:ind w:right="80" w:firstLine="518"/>
        <w:spacing w:after="0" w:line="267" w:lineRule="auto"/>
        <w:rPr>
          <w:sz w:val="20"/>
          <w:szCs w:val="20"/>
          <w:color w:val="auto"/>
        </w:rPr>
      </w:pPr>
      <w:r>
        <w:rPr>
          <w:rFonts w:ascii="Arial" w:cs="Arial" w:eastAsia="Arial" w:hAnsi="Arial"/>
          <w:sz w:val="17"/>
          <w:szCs w:val="17"/>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Arial" w:cs="Arial" w:eastAsia="Arial" w:hAnsi="Arial"/>
          <w:sz w:val="17"/>
          <w:szCs w:val="17"/>
          <w:i w:val="1"/>
          <w:iCs w:val="1"/>
          <w:color w:val="auto"/>
        </w:rPr>
        <w:t>Meller v. Arrowhead Pharmaceuticals, Inc., et al.</w:t>
      </w:r>
      <w:r>
        <w:rPr>
          <w:rFonts w:ascii="Arial" w:cs="Arial" w:eastAsia="Arial" w:hAnsi="Arial"/>
          <w:sz w:val="17"/>
          <w:szCs w:val="17"/>
          <w:color w:val="auto"/>
        </w:rPr>
        <w:t xml:space="preserve">, No. 2:16-cv-08505 (C.D. Cal, filed Nov. 15, 2016 ), </w:t>
      </w:r>
      <w:r>
        <w:rPr>
          <w:rFonts w:ascii="Arial" w:cs="Arial" w:eastAsia="Arial" w:hAnsi="Arial"/>
          <w:sz w:val="17"/>
          <w:szCs w:val="17"/>
          <w:i w:val="1"/>
          <w:iCs w:val="1"/>
          <w:color w:val="auto"/>
        </w:rPr>
        <w:t>Siegel v. Arrowhead</w:t>
      </w:r>
      <w:r>
        <w:rPr>
          <w:rFonts w:ascii="Arial" w:cs="Arial" w:eastAsia="Arial" w:hAnsi="Arial"/>
          <w:sz w:val="17"/>
          <w:szCs w:val="17"/>
          <w:color w:val="auto"/>
        </w:rPr>
        <w:t xml:space="preserve"> </w:t>
      </w:r>
      <w:r>
        <w:rPr>
          <w:rFonts w:ascii="Arial" w:cs="Arial" w:eastAsia="Arial" w:hAnsi="Arial"/>
          <w:sz w:val="17"/>
          <w:szCs w:val="17"/>
          <w:i w:val="1"/>
          <w:iCs w:val="1"/>
          <w:color w:val="auto"/>
        </w:rPr>
        <w:t>Pharmaceuticals, Inc., et al</w:t>
      </w:r>
      <w:r>
        <w:rPr>
          <w:rFonts w:ascii="Arial" w:cs="Arial" w:eastAsia="Arial" w:hAnsi="Arial"/>
          <w:sz w:val="17"/>
          <w:szCs w:val="17"/>
          <w:color w:val="auto"/>
        </w:rPr>
        <w:t>., No. 2:16-cv-8954 (C.D. Cal., filed Dec. 2, 2016), and</w:t>
      </w:r>
      <w:r>
        <w:rPr>
          <w:rFonts w:ascii="Arial" w:cs="Arial" w:eastAsia="Arial" w:hAnsi="Arial"/>
          <w:sz w:val="17"/>
          <w:szCs w:val="17"/>
          <w:i w:val="1"/>
          <w:iCs w:val="1"/>
          <w:color w:val="auto"/>
        </w:rPr>
        <w:t xml:space="preserve"> Unz v. Arrowhead Pharmaceuticals, Inc., et al</w:t>
      </w:r>
      <w:r>
        <w:rPr>
          <w:rFonts w:ascii="Arial" w:cs="Arial" w:eastAsia="Arial" w:hAnsi="Arial"/>
          <w:sz w:val="17"/>
          <w:szCs w:val="17"/>
          <w:color w:val="auto"/>
        </w:rPr>
        <w:t>., No.2:17-cv-00310 (C.D.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Cal., filed Jan. 13, 2017) asserts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Arial" w:cs="Arial" w:eastAsia="Arial" w:hAnsi="Arial"/>
          <w:sz w:val="17"/>
          <w:szCs w:val="17"/>
          <w:i w:val="1"/>
          <w:iCs w:val="1"/>
          <w:color w:val="auto"/>
        </w:rPr>
        <w:t>Johnson v. Anzalone, et al</w:t>
      </w:r>
      <w:r>
        <w:rPr>
          <w:rFonts w:ascii="Arial" w:cs="Arial" w:eastAsia="Arial" w:hAnsi="Arial"/>
          <w:sz w:val="17"/>
          <w:szCs w:val="17"/>
          <w:color w:val="auto"/>
        </w:rPr>
        <w:t xml:space="preserve">., (Los Angeles County Superior Court, filed January 19, 2017) asserting substantially similar claims is pending in Los Angeles County Superior Court and is stayed pending the related consolidated class action. Two additional putative stockholder derivative actions, captioned </w:t>
      </w:r>
      <w:r>
        <w:rPr>
          <w:rFonts w:ascii="Arial" w:cs="Arial" w:eastAsia="Arial" w:hAnsi="Arial"/>
          <w:sz w:val="17"/>
          <w:szCs w:val="17"/>
          <w:i w:val="1"/>
          <w:iCs w:val="1"/>
          <w:color w:val="auto"/>
        </w:rPr>
        <w:t xml:space="preserve">Lucas v. Anzalone, et al., </w:t>
      </w:r>
      <w:r>
        <w:rPr>
          <w:rFonts w:ascii="Arial" w:cs="Arial" w:eastAsia="Arial" w:hAnsi="Arial"/>
          <w:sz w:val="17"/>
          <w:szCs w:val="17"/>
          <w:color w:val="auto"/>
        </w:rPr>
        <w:t>No. 2:17-cv-03207 (C.D. Cal., filed April 28, 2017), and</w:t>
      </w:r>
      <w:r>
        <w:rPr>
          <w:rFonts w:ascii="Arial" w:cs="Arial" w:eastAsia="Arial" w:hAnsi="Arial"/>
          <w:sz w:val="17"/>
          <w:szCs w:val="17"/>
          <w:i w:val="1"/>
          <w:iCs w:val="1"/>
          <w:color w:val="auto"/>
        </w:rPr>
        <w:t xml:space="preserve"> Singh v. Anzalone, et al</w:t>
      </w:r>
      <w:r>
        <w:rPr>
          <w:rFonts w:ascii="Arial" w:cs="Arial" w:eastAsia="Arial" w:hAnsi="Arial"/>
          <w:sz w:val="17"/>
          <w:szCs w:val="17"/>
          <w:color w:val="auto"/>
        </w:rPr>
        <w:t>., No. 2:17-cv-03160 (C.D. Cal., filed April 27,</w:t>
      </w:r>
      <w:r>
        <w:rPr>
          <w:rFonts w:ascii="Arial" w:cs="Arial" w:eastAsia="Arial" w:hAnsi="Arial"/>
          <w:sz w:val="17"/>
          <w:szCs w:val="17"/>
          <w:i w:val="1"/>
          <w:iCs w:val="1"/>
          <w:color w:val="auto"/>
        </w:rPr>
        <w:t xml:space="preserve"> </w:t>
      </w:r>
      <w:r>
        <w:rPr>
          <w:rFonts w:ascii="Arial" w:cs="Arial" w:eastAsia="Arial" w:hAnsi="Arial"/>
          <w:sz w:val="17"/>
          <w:szCs w:val="17"/>
          <w:color w:val="auto"/>
        </w:rPr>
        <w:t>2017), alleging breach of fiduciary duty by the Company’s Board of Directors in connection with the alleged facts underlying the securities claims, are pending in the United States District Court for the Central District of California. The Lucas and Singh actions have been consolidated. On December 21, 2017, the federal district court dismissed the consolidated class action with prejudice. On December 27, 2017 the plaintiffs appealed the dismissal to the United States Court of Appeals for the Ninth Circuit. The Lucas and Singh actions are stayed pending resolution of the Ninth Circuit appeal.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With regard to legal fees, such as attorney fees related to these matters or any other legal matters, the Company recognizes such costs as incurred.</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for toxicology studies, and for clinical studies. As of June 30, 2018, these future commitments were estimated at approximately $19.2 million, of which approximately $5.0 million is expected to be incurred in fiscal 2018, and $14.2 is expected to be incurred beyond fiscal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and nine months ended June 30, 2018 and 2017, the Company did not reach any milestones requiring milestone payments. In certain agreements, the Company may be required to make mid to high single-digit percentage royalty payments based on a percentage of the sales of the relevant products.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Arrowhead has two plans that provide for equity-based compensation. Under the 2004 Equity Incentive Plan and 2013 Incentive Plan, as of June 30, 2018, 1,918,338 and 6,733,430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June 30, 2018, there were options granted and outstanding to purchase 1,918,338 and 3,204,521 shares of Common Stock under the 2004 Equity Incentive Plan and the 2013 Incentive Plan, respectively, and there were 3,295,665 restricted stock units granted and outstanding under the 2013 Incentive Plan. Also, as of June 30, 2018, there were 648,700 shares reserved for options and 2,500 restricted stock units issued as inducement grants to new employees outside of equity compensation plans. During the three months ended June 30, 2018, no options or restricted stock units were granted under the 2004 Equity Incentive Plan, no options or restricted stock units were granted under the 2013 Incentive Plan, and 79,000 options and no restricted stock units were granted as inducement awards to new employees outside of equity incentive plans. During the nine months ended June 30, 2018, no options or restricted stock units were granted under the 2004 Equity Incentive Plan, 467,000 options and 1,243,000 restricted stock units were granted under the 2013 Incentive Plan, and 272,000 options and 2,500 restricted stock units were granted as inducement awards to new employees outside of equity incentive plans.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5,549,543</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739,000</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(233,357)</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(283,627)</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2018</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5,771,559</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86"/>
              </w:rPr>
              <w:t>6.2 years</w:t>
            </w: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w w:val="97"/>
              </w:rPr>
              <w:t>45,386,696</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Exercisable At June 30, 2018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4,174,006</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360"/>
              <w:spacing w:after="0"/>
              <w:rPr>
                <w:sz w:val="20"/>
                <w:szCs w:val="20"/>
                <w:color w:val="auto"/>
              </w:rPr>
            </w:pPr>
            <w:r>
              <w:rPr>
                <w:rFonts w:ascii="Arial" w:cs="Arial" w:eastAsia="Arial" w:hAnsi="Arial"/>
                <w:sz w:val="18"/>
                <w:szCs w:val="18"/>
                <w:color w:val="auto"/>
                <w:w w:val="86"/>
              </w:rPr>
              <w:t>5.3 years</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w w:val="97"/>
              </w:rPr>
              <w:t>30,543,795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Stock-based compensation expense related to stock options for the three months ended June 30, 2018 and 2017 was $744,396 and $1,021,653, respectively. Stock-based compensation expense related to stock options for the nine months ended June 30, 2018 and 2017 was $2,503,060 and $3,558,082,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88" w:lineRule="exact"/>
        <w:rPr>
          <w:sz w:val="20"/>
          <w:szCs w:val="20"/>
          <w:color w:val="auto"/>
        </w:rPr>
      </w:pPr>
    </w:p>
    <w:p>
      <w:pPr>
        <w:jc w:val="both"/>
        <w:ind w:right="500" w:firstLine="518"/>
        <w:spacing w:after="0" w:line="264" w:lineRule="auto"/>
        <w:rPr>
          <w:sz w:val="20"/>
          <w:szCs w:val="20"/>
          <w:color w:val="auto"/>
        </w:rPr>
      </w:pPr>
      <w:r>
        <w:rPr>
          <w:rFonts w:ascii="Arial" w:cs="Arial" w:eastAsia="Arial" w:hAnsi="Arial"/>
          <w:sz w:val="18"/>
          <w:szCs w:val="18"/>
          <w:color w:val="auto"/>
        </w:rPr>
        <w:t>The grant date fair value of the options granted by the Company for the three months ended June 30, 2018 and 2017 was $640,687 and $70,937, respectively. The grant date fair value of the options granted by the Company for the nine months ended June 30, 2018 and 2017 was $2,933,593 and $849,816, respectively.</w:t>
      </w:r>
    </w:p>
    <w:p>
      <w:pPr>
        <w:spacing w:after="0" w:line="181"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color w:val="auto"/>
        </w:rPr>
        <w:t>The intrinsic value of the options exercised during the three months ended June 30, 2018 and 2017 was $1,486,390 and $0, respectively. The intrinsic value of the options exercised during the nine months ended June 30, 2018 and 2017 was $1,837,064 and $35,512, respectively.</w:t>
      </w:r>
    </w:p>
    <w:p>
      <w:pPr>
        <w:spacing w:after="0" w:line="14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As of June 30, 2018, the pre-tax compensation expense for all outstanding unvested stock options in the amount of approximately $4,690,290 will be recognized in the Company’s results of operations over a weighted average period of 2.5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6" w:name="page17"/>
    <w:bookmarkEnd w:id="16"/>
    <w:p>
      <w:pPr>
        <w:ind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11"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3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Nine Months Ended June 30,</w:t>
            </w: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FF0FC"/>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10"/>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2.1 – 2.8%</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1.3 – 2.3%</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110%</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79%</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5.75 - 6.25</w:t>
            </w:r>
          </w:p>
        </w:tc>
      </w:tr>
      <w:tr>
        <w:trPr>
          <w:trHeight w:val="216"/>
        </w:trPr>
        <w:tc>
          <w:tcPr>
            <w:tcW w:w="20" w:type="dxa"/>
            <w:vAlign w:val="bottom"/>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$3.97</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$1.33</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Restricted stock units (RSUs), including time-based and performance-based awards, were granted under the Company’s 2013 Incentive Plan and as inducement grants granted outside of the Plan. During the three months ended June 30, 2018, the Company issued no RSUs under the 2013 Incentive Plan and no RSUs outside of the equity incentive plans. During the nine months ended June 30, 2018, the Company issued 1,243,000 RSUs under the 2013 Incentive Plan and 2,500 RSUs as an inducement award to a new employee outside of the equity incentive plans.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2017</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3,108,000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1,245,500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(1,005,333)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2018</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3,298,167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518"/>
        <w:spacing w:after="0" w:line="312" w:lineRule="auto"/>
        <w:rPr>
          <w:sz w:val="20"/>
          <w:szCs w:val="20"/>
          <w:color w:val="auto"/>
        </w:rPr>
      </w:pPr>
      <w:r>
        <w:rPr>
          <w:rFonts w:ascii="Arial" w:cs="Arial" w:eastAsia="Arial" w:hAnsi="Arial"/>
          <w:sz w:val="16"/>
          <w:szCs w:val="16"/>
          <w:color w:val="auto"/>
        </w:rPr>
        <w:t>During the three months ended June 30, 2018 and 2017, the Company recorded $1,524,369 and $691,575 of expense related to RSUs, respectively. During the nine months ended June 30, 2018 and 2017, the Company recorded $3,315,059 and $2,323,819 of expense related to RSUs, respectively. Such expense is included in stock-based compensation expense in the Company’s Consolidated Statement of Operations and Comprehensive Loss.</w:t>
      </w:r>
    </w:p>
    <w:p>
      <w:pPr>
        <w:spacing w:after="0" w:line="14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For RSUs, the grant date fair value of the award is based on the Company’s closing stock price at the grant date, with consideration given to the probability of achieving performance conditions for performance based awards.</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As of June 30, 2018, the pre-tax compensation expense for all unvested RSUs in the amount of approximately $2,950,140 will be recognized in the Company’s results of operations over a weighted average period of 2.6 years.</w:t>
      </w: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June 30, 2018 and September 30, 2017 for assets and liabilities measured at fair value on a recurring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June 30,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0" w:type="dxa"/>
            <w:vAlign w:val="bottom"/>
          </w:tcPr>
          <w:p>
            <w:pPr>
              <w:jc w:val="right"/>
              <w:ind w:right="773"/>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2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27,995,386</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27,995,386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500" w:type="dxa"/>
            <w:vAlign w:val="bottom"/>
          </w:tcPr>
          <w:p>
            <w:pPr>
              <w:spacing w:after="0"/>
              <w:rPr>
                <w:sz w:val="18"/>
                <w:szCs w:val="18"/>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32,247,701</w:t>
            </w:r>
          </w:p>
        </w:tc>
        <w:tc>
          <w:tcPr>
            <w:tcW w:w="40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32,247,701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5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17,574,331</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17,574,331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500" w:type="dxa"/>
            <w:vAlign w:val="bottom"/>
          </w:tcPr>
          <w:p>
            <w:pPr>
              <w:spacing w:after="0"/>
              <w:rPr>
                <w:sz w:val="18"/>
                <w:szCs w:val="18"/>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5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278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jc w:val="right"/>
              <w:ind w:right="553"/>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4"/>
                <w:szCs w:val="24"/>
                <w:color w:val="auto"/>
              </w:rPr>
            </w:pPr>
          </w:p>
        </w:tc>
        <w:tc>
          <w:tcPr>
            <w:tcW w:w="1140" w:type="dxa"/>
            <w:vAlign w:val="bottom"/>
          </w:tcPr>
          <w:p>
            <w:pPr>
              <w:jc w:val="right"/>
              <w:ind w:right="413"/>
              <w:spacing w:after="0"/>
              <w:rPr>
                <w:sz w:val="20"/>
                <w:szCs w:val="20"/>
                <w:color w:val="auto"/>
              </w:rPr>
            </w:pPr>
            <w:r>
              <w:rPr>
                <w:rFonts w:ascii="Arial" w:cs="Arial" w:eastAsia="Arial" w:hAnsi="Arial"/>
                <w:sz w:val="14"/>
                <w:szCs w:val="14"/>
                <w:b w:val="1"/>
                <w:bCs w:val="1"/>
                <w:color w:val="auto"/>
              </w:rPr>
              <w:t>Level 3</w:t>
            </w:r>
          </w:p>
        </w:tc>
        <w:tc>
          <w:tcPr>
            <w:tcW w:w="500" w:type="dxa"/>
            <w:vAlign w:val="bottom"/>
          </w:tcPr>
          <w:p>
            <w:pPr>
              <w:spacing w:after="0"/>
              <w:rPr>
                <w:sz w:val="24"/>
                <w:szCs w:val="24"/>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2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24,838,567</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500" w:type="dxa"/>
            <w:vAlign w:val="bottom"/>
          </w:tcPr>
          <w:p>
            <w:pPr>
              <w:spacing w:after="0"/>
              <w:rPr>
                <w:sz w:val="18"/>
                <w:szCs w:val="18"/>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40,434,784</w:t>
            </w:r>
          </w:p>
        </w:tc>
        <w:tc>
          <w:tcPr>
            <w:tcW w:w="4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40,434,784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5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500" w:type="dxa"/>
            <w:vAlign w:val="bottom"/>
          </w:tcPr>
          <w:p>
            <w:pPr>
              <w:spacing w:after="0"/>
              <w:rPr>
                <w:sz w:val="18"/>
                <w:szCs w:val="18"/>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695,114</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695,114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As part of a financing in January 2013, Arrowhead issued warrants to purchase up to 833,530 shares of Common Stock (the “2013 Warrants”) of which 0 warrants were outstanding at June 30, 2018. Further, as part of a financing in December 2012, Arrowhead issued warrants to purchase up to 912,543 shares of Common Stock (the “2012 Warrants”) of which warrants to exercise 143,811 shares remained unexercised and were cancelled at their expiration during the three months ended December 31, 2017. Each of the Warrants contained a mechanism to adjust the strike price upon the issuance of certain dilutive equity securities. If during the terms of the Warrants, the Company issued Common Stock at a price lower than the exercise price for the Warrants, the exercise price would be reduced to the amount equal to the issuance price of the Common Stock. As a result of these features, the Warrants were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was estimated at the end of each reporting period and the change in the fair value of the Warrants was recorded as a non-operating gain or loss as change in value of derivatives in the Company’s Consolidated Statement of Operations and Comprehensive Loss. During the three months ended June 30, 2018 and 2017, the Company recorded a non-cash gain/(loss) from the change in fair value of the derivative liability of $0 and $61,915, respectively. During the nine months ended June 30, 2018 and 2017, the Company recorded a non-cash gain/(loss) from the change in fair value of the derivative liability of $432,141 and $1,490,863,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tbl>
      <w:tblPr>
        <w:tblLayout w:type="fixed"/>
        <w:tblInd w:w="520" w:type="dxa"/>
        <w:tblCellMar>
          <w:top w:w="0" w:type="dxa"/>
          <w:left w:w="0" w:type="dxa"/>
          <w:bottom w:w="0" w:type="dxa"/>
          <w:right w:w="0" w:type="dxa"/>
        </w:tblCellMar>
      </w:tblP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derivative liability related to these Warrants: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vMerge w:val="restart"/>
          </w:tcPr>
          <w:p>
            <w:pPr>
              <w:spacing w:after="0"/>
              <w:rPr>
                <w:sz w:val="21"/>
                <w:szCs w:val="21"/>
                <w:color w:val="auto"/>
              </w:rPr>
            </w:pPr>
          </w:p>
        </w:tc>
        <w:tc>
          <w:tcPr>
            <w:tcW w:w="6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2017</w:t>
            </w:r>
          </w:p>
        </w:tc>
        <w:tc>
          <w:tcPr>
            <w:tcW w:w="140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(432,141)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settlements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(262,973)</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June 30, 2018</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The derivative assets/liabilities were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was the Company’s stock price. Other inputs have a comparatively insignificant effect.</w:t>
      </w:r>
    </w:p>
    <w:p>
      <w:pPr>
        <w:spacing w:after="0" w:line="18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of September 30, 2015, 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June 30, 2018 and September 30, 2017.</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SUBSEQUENT EVENTS</w:t>
      </w:r>
    </w:p>
    <w:p>
      <w:pPr>
        <w:spacing w:after="0" w:line="229"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On August 1, 2018, the Company announced that it had earned a $10 million milestone payment from Amgen following the administration of the first dose of AMG 890 (ARO-LPA) in a phase 1 clinical study. The Company will recognize this payment as revenue in its entirety during the fourth fiscal quarter of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Recent Developments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The company's pipeline includes ARO-HBV for chronic hepatitis B virus, ARO-AAT for liver disease associated with alpha-1 antitrypsin deficiency (AATD), ARO-APOC3 and ARO-ANG3 for hypertriglyceridemia, ARO-ENaC for cystic fibrosis, ARO-HIF2 for renal cell carcinoma, and ARO-AMG1 for an undisclosed genetically validated cardiovascular target under a license and collaboration agreement with Amgen, Inc., a Delaware corporation (“Amgen”). AMG 890 (ARO-LPA) for cardiovascular disease was out-licensed to Amgen in 2016.</w:t>
      </w:r>
    </w:p>
    <w:p>
      <w:pPr>
        <w:spacing w:after="0" w:line="182"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70" w:lineRule="exact"/>
        <w:rPr>
          <w:sz w:val="20"/>
          <w:szCs w:val="20"/>
          <w:color w:val="auto"/>
        </w:rPr>
      </w:pPr>
    </w:p>
    <w:p>
      <w:pPr>
        <w:ind w:right="60" w:firstLine="518"/>
        <w:spacing w:after="0" w:line="224" w:lineRule="auto"/>
        <w:rPr>
          <w:sz w:val="20"/>
          <w:szCs w:val="20"/>
          <w:color w:val="auto"/>
        </w:rPr>
      </w:pPr>
      <w:r>
        <w:rPr>
          <w:rFonts w:ascii="Arial" w:cs="Arial" w:eastAsia="Arial" w:hAnsi="Arial"/>
          <w:sz w:val="18"/>
          <w:szCs w:val="18"/>
          <w:color w:val="auto"/>
        </w:rPr>
        <w:t>In fiscal 2017, Arrowhead refocused its resources on therapeutics that exclusively utilize the company’s Targeted RNAi Molecule (TRiM</w:t>
      </w:r>
      <w:r>
        <w:rPr>
          <w:rFonts w:ascii="Arial" w:cs="Arial" w:eastAsia="Arial" w:hAnsi="Arial"/>
          <w:sz w:val="26"/>
          <w:szCs w:val="26"/>
          <w:color w:val="auto"/>
          <w:vertAlign w:val="superscript"/>
        </w:rPr>
        <w:t>TM</w:t>
      </w:r>
      <w:r>
        <w:rPr>
          <w:rFonts w:ascii="Arial" w:cs="Arial" w:eastAsia="Arial" w:hAnsi="Arial"/>
          <w:sz w:val="18"/>
          <w:szCs w:val="18"/>
          <w:color w:val="auto"/>
        </w:rPr>
        <w:t>) platform technology. Therapeutics built on the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 As part of an R&amp;D day in September 2017, the Company introduced its new TRiM</w:t>
      </w:r>
      <w:r>
        <w:rPr>
          <w:rFonts w:ascii="Arial" w:cs="Arial" w:eastAsia="Arial" w:hAnsi="Arial"/>
          <w:sz w:val="15"/>
          <w:szCs w:val="15"/>
          <w:color w:val="auto"/>
        </w:rPr>
        <w:t>TM</w:t>
      </w:r>
      <w:r>
        <w:rPr>
          <w:rFonts w:ascii="Arial" w:cs="Arial" w:eastAsia="Arial" w:hAnsi="Arial"/>
          <w:sz w:val="18"/>
          <w:szCs w:val="18"/>
          <w:color w:val="auto"/>
        </w:rPr>
        <w:t xml:space="preserve"> platform and made the following announcements regarding its pipeline candidates:</w:t>
      </w:r>
    </w:p>
    <w:p>
      <w:pPr>
        <w:spacing w:after="0" w:line="97" w:lineRule="exact"/>
        <w:rPr>
          <w:sz w:val="20"/>
          <w:szCs w:val="20"/>
          <w:color w:val="auto"/>
        </w:rPr>
      </w:pPr>
    </w:p>
    <w:p>
      <w:pPr>
        <w:ind w:left="1040" w:right="60" w:hanging="519"/>
        <w:spacing w:after="0" w:line="279"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ARO-AAT, Arrowhead's second generation subcutaneously administered clinical candidate for the treatment of alpha-1 antitrypsin deficiency liver disease, achieved up to 92% knockdown in monkeys, thought to be near complete suppression of hepatic production of the alpha-1 antitrypsin protein. In non-GLP rat and monkey exploratory toxicology studies, no changes in clinical chemistries or histopathology suggestive of organ toxicity were observed at doses up to 300 mg/kg (100x expected human dose).</w:t>
      </w:r>
    </w:p>
    <w:p>
      <w:pPr>
        <w:spacing w:after="0" w:line="63" w:lineRule="exact"/>
        <w:rPr>
          <w:rFonts w:ascii="Arial" w:cs="Arial" w:eastAsia="Arial" w:hAnsi="Arial"/>
          <w:sz w:val="17"/>
          <w:szCs w:val="17"/>
          <w:color w:val="auto"/>
        </w:rPr>
      </w:pPr>
    </w:p>
    <w:p>
      <w:pPr>
        <w:ind w:left="1040" w:right="20" w:hanging="519"/>
        <w:spacing w:after="0" w:line="25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ARO-HBV, Arrowhead's third generation subcutaneously administered clinical candidate for the treatment of chronic hepatitis B virus infection, achieved up to 99.9% knockdown of hepatitis B surface antigen (HBsAg), e-antigen (HBeAg), and HBV DNA in rodent models. In a non-GLP rat exploratory toxicology study, no changes in clinical chemistries or histopathology changes suggestive of organ toxicity were observed at doses up to 300 mg/kg (75-100x expected human dose).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ind w:left="1040" w:right="100" w:hanging="519"/>
        <w:spacing w:after="0" w:line="28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Arrowhead has expanded its cardiovascular disease portfolio utilizing the TRiM™ platform. ARO-APOC3, targeting apolipoprotein C-III, and ARO-ANG3, targeting angiopoietin-like protein 3 (ANGPTL3) will be added to AMG 890 (ARO-LPA) and ARO-AMG1, which are both partnered with Amgen. ARO-APOC3 and ARO-ANG3 will both be developed for the treatment of hypertriglyceridemia.</w:t>
      </w:r>
    </w:p>
    <w:p>
      <w:pPr>
        <w:spacing w:after="0" w:line="57" w:lineRule="exact"/>
        <w:rPr>
          <w:rFonts w:ascii="Arial" w:cs="Arial" w:eastAsia="Arial" w:hAnsi="Arial"/>
          <w:sz w:val="17"/>
          <w:szCs w:val="17"/>
          <w:color w:val="auto"/>
        </w:rPr>
      </w:pPr>
    </w:p>
    <w:p>
      <w:pPr>
        <w:ind w:left="1040" w:right="2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ARO-ENaC, the first generation candidate against cystic fibrosis, reached almost 90% target knockdown following inhaled administration in rodents.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ARO-HIF2 candidate targeting renal cell carcinoma achieved 85% target gene knockdown in a rodent tumor model.</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During fiscal 2018, the Company filed Clinical Trial Applications (CTAs) for ARO-AAT and ARO-HBV to begin a phase 1 clinical study and a phase 1 / 2 clinical study for each program, respectively, and each of these studies has now begun dosing. These applications represent the first of five planned regulatory submissions to advance our pipeline candidates into clinical trials over the next 12 months.</w:t>
      </w:r>
    </w:p>
    <w:p>
      <w:pPr>
        <w:spacing w:after="0" w:line="18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Company’s collaboration agreements with Amgen also continue to progress as it relates to the AMG 890 (ARO-LPA) and ARO-AMG1 candidates. Under the terms of the agreements taken together,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 On August 1, 2018, the Company announced that it had earned a $10 million milestone payment from Amgen following the administration of the first dose of AMG 890 (ARO-LPA) in a phase 1 clinical study. The Company will recognize this payment as revenue in its entirety during the fourth fiscal quarter of 2018.</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93"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Net losses were $15.6 million and $5.5 million during the three months ended June 30, 2018 and 2017, respectively. Net losses were $43.7 million and $23.6 million during the nine months ended June 30, 2018 and 2017, respectively. Diluted losses per share were $0.18 and $0.07 during the three months ended June 30, 2018 and 2017, respectively. Diluted losses per share were $0.53 and $0.32 during the nine months ended June 30, 2018 and 2017, respectively.</w:t>
      </w:r>
    </w:p>
    <w:p>
      <w:pPr>
        <w:spacing w:after="0" w:line="18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strengthened its liquidity and financial position through an equity offering completed in January 2018, which generated approximately $56.6 million of net cash proceeds for the Company. These cash proceeds secured the funding needed to continue to advance our preclinical and clinical candidates. The Company had $28.0 million of cash and cash equivalents, $32.5 million of short-term investments, $17.7 million of long-term investments and $112.9 million of total assets as of June 30, 2018, as compared to $24.8 million, $40.8 million, $0 and $104.0 million as of September 30, 2017, respectively. Based upon the Company’s current cash resources and operating plan, the Company expects to have sufficient liquidity to fund operations for at least the next twelve months.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100" w:firstLine="518"/>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22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and if the arrangement includes a general right of return for the delivered item, delivery or performance of the undelivered item is considered probable and substantially in the Company’s control.</w:t>
      </w:r>
    </w:p>
    <w:p>
      <w:pPr>
        <w:spacing w:after="0" w:line="215"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234"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20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then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then the Company will recognize the milestone payment as revenue in its entirety in the period the milestone was achieved.</w:t>
      </w:r>
    </w:p>
    <w:p>
      <w:pPr>
        <w:spacing w:after="0" w:line="209"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Intangible assets consist of license agreements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account for stock-based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judgement by management.</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 our results of operations for the following periods indicated:</w:t>
      </w:r>
    </w:p>
    <w:p>
      <w:pPr>
        <w:spacing w:after="0" w:line="257"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June 30, 2017</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727,375</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9,342,498</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Operating Loss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(15,919,719)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(5,714,164)</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(15,606,017)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(5,519,741)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(0.07)</w:t>
            </w:r>
          </w:p>
        </w:tc>
      </w:tr>
      <w:tr>
        <w:trPr>
          <w:trHeight w:val="395"/>
        </w:trPr>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24"/>
                <w:szCs w:val="2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Pr>
          <w:p>
            <w:pPr>
              <w:spacing w:after="0"/>
              <w:rPr>
                <w:sz w:val="14"/>
                <w:szCs w:val="14"/>
                <w:color w:val="auto"/>
              </w:rPr>
            </w:pPr>
          </w:p>
        </w:tc>
        <w:tc>
          <w:tcPr>
            <w:tcW w:w="17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June 30, 2017</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4,887,321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22,693,923</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Operating Loss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(44,767,126)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(26,745,696)</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(43,689,207)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(23,648,409)</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6"/>
              <w:spacing w:after="0"/>
              <w:rPr>
                <w:sz w:val="20"/>
                <w:szCs w:val="20"/>
                <w:color w:val="auto"/>
              </w:rPr>
            </w:pPr>
            <w:r>
              <w:rPr>
                <w:rFonts w:ascii="Arial" w:cs="Arial" w:eastAsia="Arial" w:hAnsi="Arial"/>
                <w:sz w:val="18"/>
                <w:szCs w:val="18"/>
                <w:color w:val="auto"/>
              </w:rPr>
              <w:t>(0.32)</w:t>
            </w:r>
          </w:p>
        </w:tc>
      </w:tr>
    </w:tbl>
    <w:p>
      <w:pPr>
        <w:spacing w:after="0" w:line="20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Revenue in both the three months and nine months ended June 30, 2018 were lower than the Revenue in the three months and nine months ended June 30, 2017 because the initial $30 million payment associated with the AMG 890 (ARO-LPA) Agreement was recognized primarily in these previous periods. Operating Expenses were consistent in each period. The reduction in Revenue was the key driver of the increase in Loss per Share in the current periods as compared to the previous periods.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Total revenue was $727,375 and $9,342,498 for the three months ended June 30, 2018 and 2017, respectively. Total revenue was $4,887,321 and $22,693,923 for the nine months ended June 30, 2018 and 2017, respectively. Revenue in the current period is primarily related to the upfront payments received from Amgen in 2016 that we are recognizing as Revenue as performance is completed for the AMG 890 (ARO-LPA) and ARO-AMG1 Agreements. The decrease in our Revenue during the three months and nine months ended June 30, 2018 was driven by a reduction in the amount of Revenue recognized associated with the $30 million upfront payment received from Amgen associated with the AMG 890 (ARO-LPA) Agreement. We recognized Revenue from the ARO-LPA (AMG-890) Agreement on a straight-line basis as performance was completed from November 2016 thru October 2017.</w:t>
      </w:r>
    </w:p>
    <w:p>
      <w:pPr>
        <w:spacing w:after="0" w:line="18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Under the terms of the AMG 890 (ARO-LPA) Agreement, the Company has granted a worldwide, exclusive license to AMG 890 (ARO-LPA) . The collaboration between the Company and Amgen is governed by a joint research committee comprised of an equal number of representatives from each party; however, Amgen has the final decision making authority regarding AMG 890 (ARO-LPA) in this committee. The Company is also responsible for assisting Amgen in the oversight of certain development and manufacturing activities, most of which are to be covered at Amgen’s cost. The Company has determined that the significant deliverables under the AMG 890 (ARO-LPA)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recognized revenue on a straight-line basis from November 18, 2016 (the Hart-Scott-Rodino clearance date) through October 31, 2017, which is the date where the significant development and manufacturing related deliverables were completed. The Company received the upfront payment of $30 million due under this agreement in November 2016. The upfront $30 million payment was recorded as Deferred Revenue, and $2.7 million of this was amortized into Revenue during the three months ended December 31, 2017. The upfront $30 million payment has been fully recognized, and no balance remains in Deferred Revenue as of June 30, 2018. During the three and nine months ended June 30, 2017, $7.9 million and $19.4 million of the upfront $30 million payment was amortized into Revenue, respectively. On August 1, 2018, the Company announced that it had earned a $10 million milestone payment from Amgen following the administration of the first dose of AMG 890 (ARO-LPA) in a phase 1 clinical study. The Company will recognize this payment as revenue in its entirety during the fourth fiscal quarter of 2018.</w:t>
      </w:r>
    </w:p>
    <w:p>
      <w:pPr>
        <w:spacing w:after="0" w:line="17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Under the terms of the ARO-AMG1 Agreement, the Company has granted an option to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ARO-AMG1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4" w:name="page25"/>
    <w:bookmarkEnd w:id="24"/>
    <w:p>
      <w:pPr>
        <w:ind w:right="60"/>
        <w:spacing w:after="0" w:line="289" w:lineRule="auto"/>
        <w:rPr>
          <w:sz w:val="20"/>
          <w:szCs w:val="20"/>
          <w:color w:val="auto"/>
        </w:rPr>
      </w:pPr>
      <w:r>
        <w:rPr>
          <w:rFonts w:ascii="Arial" w:cs="Arial" w:eastAsia="Arial" w:hAnsi="Arial"/>
          <w:sz w:val="16"/>
          <w:szCs w:val="16"/>
          <w:color w:val="auto"/>
        </w:rPr>
        <w:t>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upfront $5 million payment was recorded as Deferred Revenue, and $0.6 million and $2.0 million of this was amortized into Revenue during the three and nine months ended June 30, 2018, respectively. During the three and nine months ended June 30, 2017, $0.6 million and $2.0 million of this upfront payment was amortized into Revenue, respectively. Of the upfront $5 million payment, $0.6 million remains in Deferred Revenue as of June 30, 2018.</w:t>
      </w:r>
    </w:p>
    <w:p>
      <w:pPr>
        <w:spacing w:after="0" w:line="16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The Company also entered into a separate services agreement and separate statements of work with Amgen to provide certain services related to process development, manufacturing, materials supply, discovery studies, and other consulting services related to AMG 890 (ARO-LPA) and ARO-AMG-1. During the three and nine months ended June 30, 2018, these work orders generated approximately $0.1 and $0.3 million of Revenue, respectively. During the three and nine months ended June 30, 2017, these work orders generated approximately $0.8 million and $1.4 million of Revenue, respectively.</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 period operating expense categories to conform to the current period presentation. For purposes of comparison, the amounts for the three and nine months ended June 30, 2018 and 2017 are shown in the tables below.</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 – Three and nine months ended June 30, 2018 compared to the three and nine months ended June 30, 2017</w:t>
      </w:r>
    </w:p>
    <w:p>
      <w:pPr>
        <w:spacing w:after="0" w:line="14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Madison research facility. The following table provides details of research and development expense for the periods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9"/>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2018</w:t>
            </w:r>
          </w:p>
        </w:tc>
        <w:tc>
          <w:tcPr>
            <w:tcW w:w="120" w:type="dxa"/>
            <w:vAlign w:val="bottom"/>
            <w:tcBorders>
              <w:bottom w:val="single" w:sz="8" w:color="B6EA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B6EA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2,440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(106)</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Drug manufacturing</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3,339</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739</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Clinical trials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and related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1,154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R&amp;D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B6EAFC"/>
          </w:tcPr>
          <w:p>
            <w:pPr>
              <w:spacing w:after="0" w:line="20" w:lineRule="exact"/>
              <w:rPr>
                <w:sz w:val="1"/>
                <w:szCs w:val="1"/>
                <w:color w:val="auto"/>
              </w:rPr>
            </w:pPr>
          </w:p>
        </w:tc>
        <w:tc>
          <w:tcPr>
            <w:tcW w:w="14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12,053</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8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11,137</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916</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9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top w:val="single" w:sz="8" w:color="auto"/>
            </w:tcBorders>
          </w:tcPr>
          <w:p>
            <w:pPr>
              <w:jc w:val="right"/>
              <w:ind w:right="233"/>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Nine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Nine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22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8,422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8,244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1,785</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2,203</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(418)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In Vivo studies</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2,095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1,870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Drug manufacturing</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9,221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6,994</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2,227</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Toxicity/efficacy studies</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4,104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3,387</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Clinical trials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2,925</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8,601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(5,676)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and related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220" w:type="dxa"/>
            <w:vAlign w:val="bottom"/>
            <w:shd w:val="clear" w:color="auto" w:fill="B6EAFC"/>
          </w:tcPr>
          <w:p>
            <w:pPr>
              <w:spacing w:after="0"/>
              <w:rPr>
                <w:sz w:val="19"/>
                <w:szCs w:val="19"/>
                <w:color w:val="auto"/>
              </w:rPr>
            </w:pP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3,449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B6EAFC"/>
          </w:tcPr>
          <w:p>
            <w:pPr>
              <w:spacing w:after="0"/>
              <w:rPr>
                <w:sz w:val="19"/>
                <w:szCs w:val="19"/>
                <w:color w:val="auto"/>
              </w:rPr>
            </w:pP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3,506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(57)</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R&amp;D</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3,268</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22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36,975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37,363</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(388)</w:t>
            </w:r>
          </w:p>
        </w:tc>
        <w:tc>
          <w:tcPr>
            <w:tcW w:w="260" w:type="dxa"/>
            <w:vAlign w:val="bottom"/>
            <w:vMerge w:val="continue"/>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Salaries expense increased by $360,000 from $2,440,000 during the three months ended June 30, 2017 to $2,800,000 during the current period. Salaries expense increased by $178,000 from $8,244,000 during the nine months ended June 30, 2017 to $8,422,000 during the current period. The increase in both periods is primarily due to an increase in R&amp;D headcount that has occurred since the Company’s reduction in force in late 2016 associated with the discontinuation of our previous clinical candidates.</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Stock compensation expense, a non-cash expense, decreased by $43,000 from $636,000 during the three months ended June 30, 2017 to $593,000 during the current period. Stock compensation expense decreased by $418,000 from $2,203,000 during the nine months ended June 30, 2017 to $1,785,000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decrease in the expense in both periods is primarily due to a mix of lower grant date fair values of awards amortizing during the periods due to the Company’s stock price.</w:t>
      </w:r>
    </w:p>
    <w:p>
      <w:pPr>
        <w:spacing w:after="0" w:line="193"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vivo studies expense decreased by $106,000 from $742,000 during the three months ended June 30, 2017 to $636,000 during the current period. In vivo studies expense increased by $225,000 from $1,870,000 during the nine months ended June 30, 2017 to $2,095,000 during the current period. In vivo studies expense can vary depending on the stage of preclinical candidates, the nature and amount of testing required and the cost variation of different in vivo testing models. The increase in in vivo studies expense in the nine-month period is a result of additional discovery studies being conducted for the Company’s subcutaneous drug candidates. The decrease in the three-month period is due to the timing of study supply purchases.</w:t>
      </w:r>
    </w:p>
    <w:p>
      <w:pPr>
        <w:spacing w:after="0" w:line="15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Drug manufacturing expense decreased by $111,000 from $3,339,000 during the three months ended June 30, 2017 to $3,228,000 during the current period. Drug manufacturing expense increased by $2,227,000 from $6,994,000 during the nine months ended June 30, 2017 to $9,221,000 during the current period. The increase in the nine-month period primarily relates to the timing of manufacturing campaigns for ARO-AAT, ARO-HBV, ARO-ANG3 and ARO-APOC3 clinical trials and toxicology studies. We anticipate this expense to increase as we prepare to enter clinical trials with our other subcutaneous drug candidates.</w:t>
      </w:r>
    </w:p>
    <w:p>
      <w:pPr>
        <w:spacing w:after="0" w:line="188"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Toxicity/efficacy studies expense increased by $739,000 from $110,000 during the three months ended June 30, 2017 to $849,000 during the current period. Toxicity/efficacy studies expense increased by $3,387,000 from $717,000 during the nine months ended June 30, 2017 to $4,104,000 during the current period. This category includes IND-enabling toxicology studies as well as post-IND toxicology studies, such as long-term toxicology studies, and other efficacy studies. The increase in both periods primarily relates to toxicology studies for ARO-AAT and ARO-HBV as each candidate progresses through clinical trials. We anticipate this expense to increase as we prepare to enter clinical trials with our other subcutaneous drug candidates.</w:t>
      </w:r>
    </w:p>
    <w:p>
      <w:pPr>
        <w:spacing w:after="0" w:line="158"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Clinical trials expense increased by $251,000 from $778,000 during the three months ended June 30, 2017 to $1,029,000 during the current period. Clinical trials expense decreased by $5,676,000 from $8,601,000 during the nine months ended June 30, 2017 to $2,925,000 during the current period. The decrease in the nine month period is primarily due to the discontinuation of our previous clinical candidates, and the close out of those studies. We anticipate this expense to increase as ARO-AAT and ARO-HBV progress through clinical trials and as we prepare to enter clinical trials with our other subcutaneous drug candidates.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26" w:name="page27"/>
    <w:bookmarkEnd w:id="26"/>
    <w:p>
      <w:pPr>
        <w:ind w:right="80" w:firstLine="518"/>
        <w:spacing w:after="0" w:line="264" w:lineRule="auto"/>
        <w:rPr>
          <w:sz w:val="20"/>
          <w:szCs w:val="20"/>
          <w:color w:val="auto"/>
        </w:rPr>
      </w:pPr>
      <w:r>
        <w:rPr>
          <w:rFonts w:ascii="Arial" w:cs="Arial" w:eastAsia="Arial" w:hAnsi="Arial"/>
          <w:sz w:val="18"/>
          <w:szCs w:val="18"/>
          <w:color w:val="auto"/>
        </w:rPr>
        <w:t>License, royalty and milestones expense was relatively minor in both the three and nine months ended June 30, 2017 and 2018. This category includes milestone payments which can vary from period to period depending on the nature of our various license agreements, and the timing of reaching various development milestones requiring payment. No significant milestones were achieved in either period.</w:t>
      </w:r>
    </w:p>
    <w:p>
      <w:pPr>
        <w:spacing w:after="0" w:line="18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Facilities expense decreased by $92,000 from $646,000 during the three months ended June 30, 2017 to $554,000 during the current period. Facilities expense decreased by $79,000 from $1,761,000 during the nine months ended June 30, 2017 to $1,682,000 during the current period. This category includes rental costs for our research and development facility in Madison, Wisconsin. The decrease in the three month period relates to reduced repair and maintenance costs on lab equipment, and the decrease in the nine month period relates to reduced CAM costs.</w:t>
      </w:r>
    </w:p>
    <w:p>
      <w:pPr>
        <w:spacing w:after="0" w:line="280"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Depreciation and amortization expense, a noncash expense, was consistent at $1,154,000 during the three months ended June 30, 2017 and $1,170,000 during the current period. Depreciation and amortization expense, was consistent at $3,506,000 during the nine months ended June 30, 2017 and $3,449,000 during the current period. The majority of depreciation and amortization expense relates to depreciation on lab equipment at our Madison research facility. In addition, the Company records depreciation on leasehold improvements at its Madison research facility.</w:t>
      </w:r>
    </w:p>
    <w:p>
      <w:pPr>
        <w:spacing w:after="0" w:line="17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Other R&amp;D expense decreased by $101,000 from $1,292,000 during the three months ended June 30, 2017 to $1,191,000 during the current period. Other research expense decreased by $199,000 from $3,467,000 during the nine months ended June 30, 2017 to $3,268,000 during the current period. This category includes the following costs to support discovery efforts and the advancement of current drug candidates: in-house laboratory supplies, outsourced labs services, and other miscellaneous research and development expenses. The decrease in both periods primarily relates to a reduction in outsourced lab services as we have expanded our in-house manufacturing capabilities.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&amp; Administrative Expenses – Three and nine months ended June 30, 2018 compared to the three and nine months ended June 30, 2017</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percentages)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Three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B6EA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1,115</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981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1,676</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1,330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(187)</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G&amp;A</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4,594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8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3,920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6"/>
        </w:trPr>
        <w:tc>
          <w:tcPr>
            <w:tcW w:w="39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8"/>
              </w:rPr>
              <w:t>Nine</w:t>
            </w: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2"/>
              </w:rPr>
              <w:t>Nine</w:t>
            </w: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2018</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B6EA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Salaries</w:t>
            </w: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3,621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3,038</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Stock compensation</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4,033</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3,679</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3,324</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3,631</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(307)</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Facilities related</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B6EAFC"/>
          </w:tcPr>
          <w:p>
            <w:pPr>
              <w:spacing w:after="0"/>
              <w:rPr>
                <w:sz w:val="20"/>
                <w:szCs w:val="20"/>
                <w:color w:val="auto"/>
              </w:rPr>
            </w:pPr>
            <w:r>
              <w:rPr>
                <w:rFonts w:ascii="Arial" w:cs="Arial" w:eastAsia="Arial" w:hAnsi="Arial"/>
                <w:sz w:val="18"/>
                <w:szCs w:val="18"/>
                <w:color w:val="auto"/>
              </w:rPr>
              <w:t>Depreciation/amortization</w:t>
            </w:r>
          </w:p>
        </w:tc>
        <w:tc>
          <w:tcPr>
            <w:tcW w:w="20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B6EAFC"/>
          </w:tcPr>
          <w:p>
            <w:pPr>
              <w:spacing w:after="0"/>
              <w:rPr>
                <w:sz w:val="19"/>
                <w:szCs w:val="19"/>
                <w:color w:val="auto"/>
              </w:rPr>
            </w:pPr>
          </w:p>
        </w:tc>
        <w:tc>
          <w:tcPr>
            <w:tcW w:w="180" w:type="dxa"/>
            <w:vAlign w:val="bottom"/>
            <w:shd w:val="clear" w:color="auto" w:fill="B6EAFC"/>
          </w:tcPr>
          <w:p>
            <w:pPr>
              <w:spacing w:after="0"/>
              <w:rPr>
                <w:sz w:val="19"/>
                <w:szCs w:val="19"/>
                <w:color w:val="auto"/>
              </w:rPr>
            </w:pP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98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(7)</w:t>
            </w: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Other G&amp;A</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1,149</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957</w:t>
            </w:r>
          </w:p>
        </w:tc>
        <w:tc>
          <w:tcPr>
            <w:tcW w:w="2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 w:type="dxa"/>
            <w:vAlign w:val="bottom"/>
            <w:vMerge w:val="restart"/>
            <w:shd w:val="clear" w:color="auto" w:fill="B6EA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B6EAFC"/>
          </w:tcPr>
          <w:p>
            <w:pPr>
              <w:spacing w:after="0"/>
              <w:rPr>
                <w:sz w:val="19"/>
                <w:szCs w:val="19"/>
                <w:color w:val="auto"/>
              </w:rPr>
            </w:pPr>
          </w:p>
        </w:tc>
        <w:tc>
          <w:tcPr>
            <w:tcW w:w="20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12,680</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vMerge w:val="continue"/>
            <w:shd w:val="clear" w:color="auto" w:fill="B6EAFC"/>
          </w:tcPr>
          <w:p>
            <w:pPr>
              <w:spacing w:after="0"/>
              <w:rPr>
                <w:sz w:val="19"/>
                <w:szCs w:val="19"/>
                <w:color w:val="auto"/>
              </w:rPr>
            </w:pPr>
          </w:p>
        </w:tc>
        <w:tc>
          <w:tcPr>
            <w:tcW w:w="180" w:type="dxa"/>
            <w:vAlign w:val="bottom"/>
            <w:shd w:val="clear" w:color="auto" w:fill="B6EA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12,076</w:t>
            </w:r>
          </w:p>
        </w:tc>
        <w:tc>
          <w:tcPr>
            <w:tcW w:w="260" w:type="dxa"/>
            <w:vAlign w:val="bottom"/>
            <w:shd w:val="clear" w:color="auto" w:fill="B6EAFC"/>
          </w:tcPr>
          <w:p>
            <w:pPr>
              <w:spacing w:after="0"/>
              <w:rPr>
                <w:sz w:val="19"/>
                <w:szCs w:val="19"/>
                <w:color w:val="auto"/>
              </w:rPr>
            </w:pPr>
          </w:p>
        </w:tc>
        <w:tc>
          <w:tcPr>
            <w:tcW w:w="1240" w:type="dxa"/>
            <w:vAlign w:val="bottom"/>
            <w:gridSpan w:val="2"/>
            <w:shd w:val="clear" w:color="auto" w:fill="B6EA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604</w:t>
            </w:r>
          </w:p>
        </w:tc>
        <w:tc>
          <w:tcPr>
            <w:tcW w:w="26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8"/>
        </w:trPr>
        <w:tc>
          <w:tcPr>
            <w:tcW w:w="39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7" w:name="page28"/>
    <w:bookmarkEnd w:id="27"/>
    <w:p>
      <w:pPr>
        <w:ind w:right="60" w:firstLine="518"/>
        <w:spacing w:after="0" w:line="264" w:lineRule="auto"/>
        <w:rPr>
          <w:sz w:val="20"/>
          <w:szCs w:val="20"/>
          <w:color w:val="auto"/>
        </w:rPr>
      </w:pPr>
      <w:r>
        <w:rPr>
          <w:rFonts w:ascii="Arial" w:cs="Arial" w:eastAsia="Arial" w:hAnsi="Arial"/>
          <w:sz w:val="18"/>
          <w:szCs w:val="18"/>
          <w:color w:val="auto"/>
        </w:rPr>
        <w:t>Salaries expense increased by $134,000 from $981,000 during the three months ended June 30, 2017 to $1,115,000 during the current period. Salaries expense increased by $583,000 from $3,038,000 during the nine months ended June 30, 2017 to $3,621,000 during the current period. The increase in both periods is primarily driven by annual merit increases and performance bonuses.</w:t>
      </w:r>
    </w:p>
    <w:p>
      <w:pPr>
        <w:spacing w:after="0" w:line="18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Stock compensation expense, a non-cash expense, increased by $599,000 from $1,077,000 during the three months ended June 30, 2017 to $1,676,000 during the current period. Stock compensation expense increased by $354,000 from $3,679,000 during the nine months ended June 30, 2017 to $4,033,000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expense in both periods is primarily due to the achievement of certain performance based awards during the current period.</w:t>
      </w:r>
    </w:p>
    <w:p>
      <w:pPr>
        <w:spacing w:after="0" w:line="15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Professional/outside services include legal, accounting, consulting, patent expenses, business insurance expenses and other outside services retained by the Company. Professional/outside services expense decreased by $187,000 from $1,330,000 during the three months ended June 30, 2017 to $1,143,000 during the current period. Professional/outside services expense decreased by $307,000 from $3,631,000 during the nine months ended June 30, 2017 to $3,324,000 during the current period. The decrease in both periods is primarily related to reduced legal expenses.</w:t>
      </w:r>
    </w:p>
    <w:p>
      <w:pPr>
        <w:spacing w:after="0" w:line="171" w:lineRule="exact"/>
        <w:rPr>
          <w:sz w:val="20"/>
          <w:szCs w:val="20"/>
          <w:color w:val="auto"/>
        </w:rPr>
      </w:pPr>
    </w:p>
    <w:p>
      <w:pPr>
        <w:ind w:right="920" w:firstLine="518"/>
        <w:spacing w:after="0" w:line="291" w:lineRule="auto"/>
        <w:rPr>
          <w:sz w:val="20"/>
          <w:szCs w:val="20"/>
          <w:color w:val="auto"/>
        </w:rPr>
      </w:pPr>
      <w:r>
        <w:rPr>
          <w:rFonts w:ascii="Arial" w:cs="Arial" w:eastAsia="Arial" w:hAnsi="Arial"/>
          <w:sz w:val="16"/>
          <w:szCs w:val="16"/>
          <w:color w:val="auto"/>
        </w:rPr>
        <w:t>Facilities-related expense decreased $27,000 from $207,000 during the three months ended June 30, 2017 to $180,000 during the current period. Facilities-related expense decreased $211,000 from $742,000 during the nine months ended June 30, 2017 to $531,000 during the current</w:t>
      </w:r>
    </w:p>
    <w:p>
      <w:pPr>
        <w:ind w:right="100"/>
        <w:spacing w:after="0" w:line="290" w:lineRule="auto"/>
        <w:rPr>
          <w:sz w:val="20"/>
          <w:szCs w:val="20"/>
          <w:color w:val="auto"/>
        </w:rPr>
      </w:pPr>
      <w:r>
        <w:rPr>
          <w:rFonts w:ascii="Arial" w:cs="Arial" w:eastAsia="Arial" w:hAnsi="Arial"/>
          <w:sz w:val="17"/>
          <w:szCs w:val="17"/>
          <w:color w:val="auto"/>
        </w:rPr>
        <w:t>period. This category primarily includes rental costs for our corporate headquarters in Pasadena, California. However, the decrease in the nine month period is primarily related to moving expenses incurred in the previous period associated with our research facility in Madison, Wisconsin.</w:t>
      </w:r>
    </w:p>
    <w:p>
      <w:pPr>
        <w:spacing w:after="0" w:line="53"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Depreciation and amortization expense, a noncash expense, was relatively minor in each of the periods. The majority of general and administrative depreciation and amortization expense relates to depreciation on leasehold improvements at our Pasadena headquarters.</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Other G&amp;A expense increased by $157,000 from $317,000 during the three months ended June 30, 2017 to $474,000 during the current period. Other G&amp;A expense increased by $192,000 from $957,000 during the nine months ended June 30, 2017 to $1,149,000 during the current period. This category consists primarily of travel, communication and technology, office expenses, and franchise and property tax expenses. The increase in both periods was due to various travel and communication and technology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Other income / expense was income of $194,423 and $313,702 during the three months ended June 30, 2017 and 2018, respectively. Other income / expense was income of $3,097,287 and $1,077,919 during the nine months ended June 30, 2017 and 2018, respectively. The primary component of other income during the three-month periods was interest income earned on our short-term investments. The primary component of other income during the nine-month periods was a change in the value of derivative liabilities related to certain warrants with a price adjustment feature, necessitating derivative accounting. The fluctuations in both periods were primarily driven by changes in the Company’s stock price, which had a corresponding impact to the valuation of the underlying warrants. Additionally, the Company recorded $1.3 million in other income due to an insurance settlement related to a previously settled litigation case. The settlement amount was received during the three months ended December 31, 2016.</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Arrowhead has historically financed its operations through the sale of its securities. Research and development activities have required significant capital investment since the Company’s inception and are expected to continue to require significant cash investment.</w:t>
      </w:r>
    </w:p>
    <w:p>
      <w:pPr>
        <w:spacing w:after="0" w:line="170"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At June 30, 2018, the Company had cash on hand of approximately $28.0 million as compared to $24.8 million at September 30, 2017. Excess cash invested in short and long-term fixed income securities was $50.2 million at June 30, 2018, compared to $40.8 million at September 30, 2017. Additionally, on January 22, 2018, the Company sold 11,500,000 shares of Common Stock in a fully underwritten public offering, at a public offering price of $5.25 per share. Net proceeds to the Company were approximately $56.6 million after deducting underwriting commissions and discounts and other offering expenses payable by the Company. The Company believes its current financial resources are sufficient to fund its operations through at least the next twelve months.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nine months ended June 30, 2018 and 2017 is as follows: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4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4"/>
                <w:szCs w:val="14"/>
                <w:color w:val="auto"/>
              </w:rPr>
            </w:pPr>
          </w:p>
        </w:tc>
        <w:tc>
          <w:tcPr>
            <w:tcW w:w="1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Nine Months Ended June</w:t>
            </w:r>
          </w:p>
        </w:tc>
      </w:tr>
      <w:tr>
        <w:trPr>
          <w:trHeight w:val="171"/>
        </w:trPr>
        <w:tc>
          <w:tcPr>
            <w:tcW w:w="20" w:type="dxa"/>
            <w:vAlign w:val="bottom"/>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30, 2017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Continuing Operations: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(44,543,099)</w:t>
            </w:r>
          </w:p>
        </w:tc>
        <w:tc>
          <w:tcPr>
            <w:tcW w:w="4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(14,735,498)</w:t>
            </w: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(10,681,979)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(44,425,467)</w:t>
            </w: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58,381,897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12,177,652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6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3,156,819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(46,983,313)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6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24,838,567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85,366,448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27,995,386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38,313,135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18"/>
        <w:spacing w:after="0" w:line="302" w:lineRule="auto"/>
        <w:rPr>
          <w:sz w:val="20"/>
          <w:szCs w:val="20"/>
          <w:color w:val="auto"/>
        </w:rPr>
      </w:pPr>
      <w:r>
        <w:rPr>
          <w:rFonts w:ascii="Arial" w:cs="Arial" w:eastAsia="Arial" w:hAnsi="Arial"/>
          <w:sz w:val="16"/>
          <w:szCs w:val="16"/>
          <w:color w:val="auto"/>
        </w:rPr>
        <w:t>During the nine months ended June 30, 2018, the Company used $44.5 million in cash from operating activities for the on-going expenses of its research and development programs and general and administrative expenses. Cash used in investing activities was $10.7 million, which was primarily related to maturities of fixed-income investments of $37.2 million offset by purchases of fixed-income securities of $47.2 million. Cash provided by financing activities of $58.4 million was driven by the $56.6 million of cash generated from the fully underwritten public offering in January 2018.</w:t>
      </w:r>
    </w:p>
    <w:p>
      <w:pPr>
        <w:spacing w:after="0" w:line="154"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During the nine months ended June 30, 2017, the Company used $14.7 million in cash from operating activities, primarily driven by $44.7 million of cash used for the on-going expenses of its research and development programs and general and administrative expenses, partially offset by the $30 million upfront payment received from Amgen. Cash used in investing activities was $44.4 million, which was primarily related to investments in short-term fixed-income securities of $39.9 million and $7.8 million of capital expenditures for leasehold improvements on the Company’s Madison research facility and lab equipment purchases. Cash generated by financing activities of $12.2 million was driven by the $12.5 million equity investment received from Amgen, and was partially offset by cash paid for employee taxes on net share settlements of restricted stock units that vested during the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 or relationships.</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2017, filed with the Securities and Exchange Commission on December 12,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2017. For an update to those disclosures, see Note 7 to the Consolidated Financial Statements under the heading “Litigation” in Part I, Item 1.</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September 30, 2017. Please carefully consider the information set forth in this Quarterly Report on Form 10-Q and the risk factors discussed in Part I, “Item 1A. Risk Factors” in our Annual Report on Form 10-K for the year ended September 30, 2017,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7"/>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105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500" w:type="dxa"/>
            <w:vAlign w:val="bottom"/>
            <w:tcBorders>
              <w:top w:val="single" w:sz="8" w:color="auto"/>
            </w:tcBorders>
            <w:gridSpan w:val="7"/>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Officer pursuant to Rule 13a-14(a) of the Securities Exchange Act of 1934, as Adopted Pursuant to Section 302</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of the Sarbanes-Oxley Act of 2002*</w:t>
              </w:r>
            </w:hyperlink>
          </w:p>
        </w:tc>
        <w:tc>
          <w:tcPr>
            <w:tcW w:w="778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Financial Officer pursuant to Rule 13a-14(a) of the Securities Exchange Act of 1934, as Adopted Pursuant to Section 302</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of the Sarbanes-Oxley Act of 2002*</w:t>
              </w:r>
            </w:hyperlink>
          </w:p>
        </w:tc>
        <w:tc>
          <w:tcPr>
            <w:tcW w:w="7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500" w:type="dxa"/>
            <w:vAlign w:val="bottom"/>
            <w:gridSpan w:val="7"/>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Chief Executive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500" w:type="dxa"/>
            <w:vAlign w:val="bottom"/>
            <w:gridSpan w:val="7"/>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2002**</w:t>
              </w:r>
            </w:hyperlink>
          </w:p>
        </w:tc>
        <w:tc>
          <w:tcPr>
            <w:tcW w:w="20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20" w:right="160" w:hanging="912"/>
        <w:spacing w:after="0" w:line="312"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materials from Registrant’s Quarterly Report on Form 10-Q for the quarter ended June 30, 2018,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9690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0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ind w:right="-1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2018</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tab/>
        <w:t>/s/ 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5901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240" w:top="121" w:right="4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131"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-130810</wp:posOffset>
            </wp:positionV>
            <wp:extent cx="4073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ind w:left="520" w:right="460" w:firstLine="499"/>
        <w:spacing w:after="0" w:line="334" w:lineRule="auto"/>
        <w:tabs>
          <w:tab w:leader="none" w:pos="125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520" w:right="420" w:firstLine="499"/>
        <w:spacing w:after="0" w:line="264" w:lineRule="auto"/>
        <w:tabs>
          <w:tab w:leader="none" w:pos="127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526"/>
        <w:spacing w:after="0" w:line="306"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680" w:firstLine="499"/>
        <w:spacing w:after="0" w:line="306" w:lineRule="auto"/>
        <w:tabs>
          <w:tab w:leader="none" w:pos="124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360" w:firstLine="499"/>
        <w:spacing w:after="0" w:line="277" w:lineRule="auto"/>
        <w:tabs>
          <w:tab w:leader="none" w:pos="1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13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-130810</wp:posOffset>
            </wp:positionV>
            <wp:extent cx="40906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3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June 30, 2018,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13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35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June 30, 2018,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2018</w:t>
      </w:r>
    </w:p>
    <w:p>
      <w:pPr>
        <w:spacing w:after="0" w:line="131"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0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2019-12-28T20:04:37Z</dcterms:created>
  <dcterms:modified xsi:type="dcterms:W3CDTF">2019-12-28T20:04:37Z</dcterms:modified>
</cp:coreProperties>
</file>