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321310</wp:posOffset>
            </wp:positionH>
            <wp:positionV relativeFrom="page">
              <wp:posOffset>486410</wp:posOffset>
            </wp:positionV>
            <wp:extent cx="690562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5625" cy="6985"/>
                    </a:xfrm>
                    <a:prstGeom prst="rect">
                      <a:avLst/>
                    </a:prstGeom>
                    <a:noFill/>
                  </pic:spPr>
                </pic:pic>
              </a:graphicData>
            </a:graphic>
          </wp:anchor>
        </w:drawing>
        <w:drawing>
          <wp:anchor simplePos="0" relativeHeight="251657728" behindDoc="1" locked="0" layoutInCell="0" allowOverlap="1">
            <wp:simplePos x="0" y="0"/>
            <wp:positionH relativeFrom="page">
              <wp:posOffset>321310</wp:posOffset>
            </wp:positionH>
            <wp:positionV relativeFrom="page">
              <wp:posOffset>506730</wp:posOffset>
            </wp:positionV>
            <wp:extent cx="6905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5625" cy="6985"/>
                    </a:xfrm>
                    <a:prstGeom prst="rect">
                      <a:avLst/>
                    </a:prstGeom>
                    <a:noFill/>
                  </pic:spPr>
                </pic:pic>
              </a:graphicData>
            </a:graphic>
          </wp:anchor>
        </w:drawing>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ind w:left="4240"/>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8" w:lineRule="exact"/>
        <w:rPr>
          <w:sz w:val="24"/>
          <w:szCs w:val="24"/>
          <w:color w:val="auto"/>
        </w:rPr>
      </w:pPr>
    </w:p>
    <w:p>
      <w:pPr>
        <w:ind w:left="500" w:hanging="481"/>
        <w:spacing w:after="0"/>
        <w:tabs>
          <w:tab w:leader="none" w:pos="50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UNDER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2025</w:t>
      </w:r>
    </w:p>
    <w:p>
      <w:pPr>
        <w:spacing w:after="0" w:line="133" w:lineRule="exact"/>
        <w:rPr>
          <w:sz w:val="24"/>
          <w:szCs w:val="24"/>
          <w:color w:val="auto"/>
        </w:rPr>
      </w:pPr>
    </w:p>
    <w:p>
      <w:pPr>
        <w:ind w:left="500" w:hanging="481"/>
        <w:spacing w:after="0"/>
        <w:tabs>
          <w:tab w:leader="none" w:pos="50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UNDER SECTION 13 OR 15(d) OF THE SECURITIES EXCHANGE ACT OF 1934</w:t>
      </w:r>
    </w:p>
    <w:p>
      <w:pPr>
        <w:spacing w:after="0" w:line="172" w:lineRule="exact"/>
        <w:rPr>
          <w:sz w:val="24"/>
          <w:szCs w:val="24"/>
          <w:color w:val="auto"/>
        </w:rPr>
      </w:pPr>
    </w:p>
    <w:tbl>
      <w:tblPr>
        <w:tblLayout w:type="fixed"/>
        <w:tblInd w:w="220"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322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28"/>
        </w:trPr>
        <w:tc>
          <w:tcPr>
            <w:tcW w:w="3180" w:type="dxa"/>
            <w:vAlign w:val="bottom"/>
          </w:tcPr>
          <w:p>
            <w:pPr>
              <w:spacing w:after="0"/>
              <w:rPr>
                <w:sz w:val="19"/>
                <w:szCs w:val="19"/>
                <w:color w:val="auto"/>
              </w:rPr>
            </w:pPr>
          </w:p>
        </w:tc>
        <w:tc>
          <w:tcPr>
            <w:tcW w:w="3220" w:type="dxa"/>
            <w:vAlign w:val="bottom"/>
          </w:tcPr>
          <w:p>
            <w:pPr>
              <w:jc w:val="center"/>
              <w:ind w:left="120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001-38042</w:t>
            </w:r>
          </w:p>
        </w:tc>
        <w:tc>
          <w:tcPr>
            <w:tcW w:w="4460" w:type="dxa"/>
            <w:vAlign w:val="bottom"/>
          </w:tcPr>
          <w:p>
            <w:pPr>
              <w:spacing w:after="0"/>
              <w:rPr>
                <w:sz w:val="19"/>
                <w:szCs w:val="19"/>
                <w:color w:val="auto"/>
              </w:rPr>
            </w:pPr>
          </w:p>
        </w:tc>
      </w:tr>
      <w:tr>
        <w:trPr>
          <w:trHeight w:val="108"/>
        </w:trPr>
        <w:tc>
          <w:tcPr>
            <w:tcW w:w="3180" w:type="dxa"/>
            <w:vAlign w:val="bottom"/>
          </w:tcPr>
          <w:p>
            <w:pPr>
              <w:spacing w:after="0"/>
              <w:rPr>
                <w:sz w:val="9"/>
                <w:szCs w:val="9"/>
                <w:color w:val="auto"/>
              </w:rPr>
            </w:pPr>
          </w:p>
        </w:tc>
        <w:tc>
          <w:tcPr>
            <w:tcW w:w="7680" w:type="dxa"/>
            <w:vAlign w:val="bottom"/>
            <w:gridSpan w:val="2"/>
          </w:tcPr>
          <w:p>
            <w:pPr>
              <w:jc w:val="center"/>
              <w:ind w:right="3142"/>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w:t>
            </w:r>
          </w:p>
        </w:tc>
      </w:tr>
      <w:tr>
        <w:trPr>
          <w:trHeight w:val="324"/>
        </w:trPr>
        <w:tc>
          <w:tcPr>
            <w:tcW w:w="3180" w:type="dxa"/>
            <w:vAlign w:val="bottom"/>
          </w:tcPr>
          <w:p>
            <w:pPr>
              <w:spacing w:after="0"/>
              <w:rPr>
                <w:sz w:val="24"/>
                <w:szCs w:val="24"/>
                <w:color w:val="auto"/>
              </w:rPr>
            </w:pPr>
          </w:p>
        </w:tc>
        <w:tc>
          <w:tcPr>
            <w:tcW w:w="7680" w:type="dxa"/>
            <w:vAlign w:val="bottom"/>
            <w:gridSpan w:val="2"/>
          </w:tcPr>
          <w:p>
            <w:pPr>
              <w:jc w:val="center"/>
              <w:ind w:right="3122"/>
              <w:spacing w:after="0"/>
              <w:rPr>
                <w:sz w:val="20"/>
                <w:szCs w:val="20"/>
                <w:color w:val="auto"/>
              </w:rPr>
            </w:pPr>
            <w:r>
              <w:rPr>
                <w:rFonts w:ascii="Times New Roman" w:cs="Times New Roman" w:eastAsia="Times New Roman" w:hAnsi="Times New Roman"/>
                <w:sz w:val="21"/>
                <w:szCs w:val="21"/>
                <w:b w:val="1"/>
                <w:bCs w:val="1"/>
                <w:color w:val="auto"/>
                <w:w w:val="97"/>
              </w:rPr>
              <w:t>ARROWHEAD PHARMACEUTICALS, INC.</w:t>
            </w:r>
          </w:p>
        </w:tc>
      </w:tr>
      <w:tr>
        <w:trPr>
          <w:trHeight w:val="152"/>
        </w:trPr>
        <w:tc>
          <w:tcPr>
            <w:tcW w:w="3180" w:type="dxa"/>
            <w:vAlign w:val="bottom"/>
          </w:tcPr>
          <w:p>
            <w:pPr>
              <w:spacing w:after="0"/>
              <w:rPr>
                <w:sz w:val="13"/>
                <w:szCs w:val="13"/>
                <w:color w:val="auto"/>
              </w:rPr>
            </w:pPr>
          </w:p>
        </w:tc>
        <w:tc>
          <w:tcPr>
            <w:tcW w:w="7680" w:type="dxa"/>
            <w:vAlign w:val="bottom"/>
            <w:gridSpan w:val="2"/>
          </w:tcPr>
          <w:p>
            <w:pPr>
              <w:jc w:val="center"/>
              <w:ind w:right="3122"/>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r>
      <w:tr>
        <w:trPr>
          <w:trHeight w:val="108"/>
        </w:trPr>
        <w:tc>
          <w:tcPr>
            <w:tcW w:w="3180" w:type="dxa"/>
            <w:vAlign w:val="bottom"/>
          </w:tcPr>
          <w:p>
            <w:pPr>
              <w:spacing w:after="0"/>
              <w:rPr>
                <w:sz w:val="9"/>
                <w:szCs w:val="9"/>
                <w:color w:val="auto"/>
              </w:rPr>
            </w:pPr>
          </w:p>
        </w:tc>
        <w:tc>
          <w:tcPr>
            <w:tcW w:w="7680" w:type="dxa"/>
            <w:vAlign w:val="bottom"/>
            <w:gridSpan w:val="2"/>
          </w:tcPr>
          <w:p>
            <w:pPr>
              <w:jc w:val="center"/>
              <w:ind w:right="3142"/>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w:t>
            </w:r>
          </w:p>
        </w:tc>
      </w:tr>
      <w:tr>
        <w:trPr>
          <w:trHeight w:val="279"/>
        </w:trPr>
        <w:tc>
          <w:tcPr>
            <w:tcW w:w="3180" w:type="dxa"/>
            <w:vAlign w:val="bottom"/>
          </w:tcPr>
          <w:p>
            <w:pPr>
              <w:jc w:val="center"/>
              <w:ind w:left="2163"/>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220" w:type="dxa"/>
            <w:vAlign w:val="bottom"/>
          </w:tcPr>
          <w:p>
            <w:pPr>
              <w:spacing w:after="0"/>
              <w:rPr>
                <w:sz w:val="24"/>
                <w:szCs w:val="24"/>
                <w:color w:val="auto"/>
              </w:rPr>
            </w:pPr>
          </w:p>
        </w:tc>
        <w:tc>
          <w:tcPr>
            <w:tcW w:w="4460" w:type="dxa"/>
            <w:vAlign w:val="bottom"/>
          </w:tcPr>
          <w:p>
            <w:pPr>
              <w:jc w:val="right"/>
              <w:ind w:right="2362"/>
              <w:spacing w:after="0"/>
              <w:rPr>
                <w:sz w:val="20"/>
                <w:szCs w:val="20"/>
                <w:color w:val="auto"/>
              </w:rPr>
            </w:pPr>
            <w:r>
              <w:rPr>
                <w:rFonts w:ascii="Times New Roman" w:cs="Times New Roman" w:eastAsia="Times New Roman" w:hAnsi="Times New Roman"/>
                <w:sz w:val="13"/>
                <w:szCs w:val="13"/>
                <w:b w:val="1"/>
                <w:bCs w:val="1"/>
                <w:color w:val="auto"/>
              </w:rPr>
              <w:t>46-0408024</w:t>
            </w:r>
          </w:p>
        </w:tc>
      </w:tr>
      <w:tr>
        <w:trPr>
          <w:trHeight w:val="162"/>
        </w:trPr>
        <w:tc>
          <w:tcPr>
            <w:tcW w:w="6400" w:type="dxa"/>
            <w:vAlign w:val="bottom"/>
            <w:gridSpan w:val="2"/>
          </w:tcPr>
          <w:p>
            <w:pPr>
              <w:jc w:val="center"/>
              <w:ind w:right="940"/>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 incorporation or organization)</w:t>
            </w:r>
          </w:p>
        </w:tc>
        <w:tc>
          <w:tcPr>
            <w:tcW w:w="4460" w:type="dxa"/>
            <w:vAlign w:val="bottom"/>
          </w:tcPr>
          <w:p>
            <w:pPr>
              <w:jc w:val="center"/>
              <w:ind w:right="922"/>
              <w:spacing w:after="0"/>
              <w:rPr>
                <w:sz w:val="20"/>
                <w:szCs w:val="20"/>
                <w:color w:val="auto"/>
              </w:rPr>
            </w:pPr>
            <w:r>
              <w:rPr>
                <w:rFonts w:ascii="Times New Roman" w:cs="Times New Roman" w:eastAsia="Times New Roman" w:hAnsi="Times New Roman"/>
                <w:sz w:val="10"/>
                <w:szCs w:val="10"/>
                <w:b w:val="1"/>
                <w:bCs w:val="1"/>
                <w:color w:val="auto"/>
                <w:w w:val="99"/>
              </w:rPr>
              <w:t>(I.R.S. Employer Identification No.)</w:t>
            </w:r>
          </w:p>
        </w:tc>
      </w:tr>
      <w:tr>
        <w:trPr>
          <w:trHeight w:val="318"/>
        </w:trPr>
        <w:tc>
          <w:tcPr>
            <w:tcW w:w="3180" w:type="dxa"/>
            <w:vAlign w:val="bottom"/>
          </w:tcPr>
          <w:p>
            <w:pPr>
              <w:spacing w:after="0"/>
              <w:rPr>
                <w:sz w:val="24"/>
                <w:szCs w:val="24"/>
                <w:color w:val="auto"/>
              </w:rPr>
            </w:pPr>
          </w:p>
        </w:tc>
        <w:tc>
          <w:tcPr>
            <w:tcW w:w="3220" w:type="dxa"/>
            <w:vAlign w:val="bottom"/>
          </w:tcPr>
          <w:p>
            <w:pPr>
              <w:jc w:val="center"/>
              <w:ind w:left="1200"/>
              <w:spacing w:after="0"/>
              <w:rPr>
                <w:sz w:val="20"/>
                <w:szCs w:val="20"/>
                <w:color w:val="auto"/>
              </w:rPr>
            </w:pPr>
            <w:r>
              <w:rPr>
                <w:rFonts w:ascii="Times New Roman" w:cs="Times New Roman" w:eastAsia="Times New Roman" w:hAnsi="Times New Roman"/>
                <w:sz w:val="13"/>
                <w:szCs w:val="13"/>
                <w:b w:val="1"/>
                <w:bCs w:val="1"/>
                <w:color w:val="auto"/>
                <w:w w:val="98"/>
              </w:rPr>
              <w:t>(626) 304-3400</w:t>
            </w:r>
          </w:p>
        </w:tc>
        <w:tc>
          <w:tcPr>
            <w:tcW w:w="4460" w:type="dxa"/>
            <w:vAlign w:val="bottom"/>
          </w:tcPr>
          <w:p>
            <w:pPr>
              <w:spacing w:after="0"/>
              <w:rPr>
                <w:sz w:val="24"/>
                <w:szCs w:val="24"/>
                <w:color w:val="auto"/>
              </w:rPr>
            </w:pPr>
          </w:p>
        </w:tc>
      </w:tr>
      <w:tr>
        <w:trPr>
          <w:trHeight w:val="149"/>
        </w:trPr>
        <w:tc>
          <w:tcPr>
            <w:tcW w:w="3180" w:type="dxa"/>
            <w:vAlign w:val="bottom"/>
          </w:tcPr>
          <w:p>
            <w:pPr>
              <w:spacing w:after="0"/>
              <w:rPr>
                <w:sz w:val="12"/>
                <w:szCs w:val="12"/>
                <w:color w:val="auto"/>
              </w:rPr>
            </w:pPr>
          </w:p>
        </w:tc>
        <w:tc>
          <w:tcPr>
            <w:tcW w:w="3220" w:type="dxa"/>
            <w:vAlign w:val="bottom"/>
          </w:tcPr>
          <w:p>
            <w:pPr>
              <w:jc w:val="center"/>
              <w:ind w:left="1200"/>
              <w:spacing w:after="0"/>
              <w:rPr>
                <w:sz w:val="20"/>
                <w:szCs w:val="20"/>
                <w:color w:val="auto"/>
              </w:rPr>
            </w:pPr>
            <w:r>
              <w:rPr>
                <w:rFonts w:ascii="Times New Roman" w:cs="Times New Roman" w:eastAsia="Times New Roman" w:hAnsi="Times New Roman"/>
                <w:sz w:val="13"/>
                <w:szCs w:val="13"/>
                <w:b w:val="1"/>
                <w:bCs w:val="1"/>
                <w:color w:val="auto"/>
                <w:w w:val="97"/>
              </w:rPr>
              <w:t>177 E. Colorado Blvd, Suite 700</w:t>
            </w:r>
          </w:p>
        </w:tc>
        <w:tc>
          <w:tcPr>
            <w:tcW w:w="4460" w:type="dxa"/>
            <w:vAlign w:val="bottom"/>
          </w:tcPr>
          <w:p>
            <w:pPr>
              <w:spacing w:after="0"/>
              <w:rPr>
                <w:sz w:val="12"/>
                <w:szCs w:val="12"/>
                <w:color w:val="auto"/>
              </w:rPr>
            </w:pPr>
          </w:p>
        </w:tc>
      </w:tr>
      <w:tr>
        <w:trPr>
          <w:trHeight w:val="157"/>
        </w:trPr>
        <w:tc>
          <w:tcPr>
            <w:tcW w:w="3180" w:type="dxa"/>
            <w:vAlign w:val="bottom"/>
          </w:tcPr>
          <w:p>
            <w:pPr>
              <w:spacing w:after="0"/>
              <w:rPr>
                <w:sz w:val="13"/>
                <w:szCs w:val="13"/>
                <w:color w:val="auto"/>
              </w:rPr>
            </w:pPr>
          </w:p>
        </w:tc>
        <w:tc>
          <w:tcPr>
            <w:tcW w:w="3220" w:type="dxa"/>
            <w:vAlign w:val="bottom"/>
          </w:tcPr>
          <w:p>
            <w:pPr>
              <w:jc w:val="center"/>
              <w:ind w:left="1200"/>
              <w:spacing w:after="0"/>
              <w:rPr>
                <w:sz w:val="20"/>
                <w:szCs w:val="20"/>
                <w:color w:val="auto"/>
              </w:rPr>
            </w:pPr>
            <w:r>
              <w:rPr>
                <w:rFonts w:ascii="Times New Roman" w:cs="Times New Roman" w:eastAsia="Times New Roman" w:hAnsi="Times New Roman"/>
                <w:sz w:val="13"/>
                <w:szCs w:val="13"/>
                <w:b w:val="1"/>
                <w:bCs w:val="1"/>
                <w:color w:val="auto"/>
                <w:w w:val="97"/>
              </w:rPr>
              <w:t>Pasadena, California 91105</w:t>
            </w:r>
          </w:p>
        </w:tc>
        <w:tc>
          <w:tcPr>
            <w:tcW w:w="4460" w:type="dxa"/>
            <w:vAlign w:val="bottom"/>
          </w:tcPr>
          <w:p>
            <w:pPr>
              <w:spacing w:after="0"/>
              <w:rPr>
                <w:sz w:val="13"/>
                <w:szCs w:val="13"/>
                <w:color w:val="auto"/>
              </w:rPr>
            </w:pPr>
          </w:p>
        </w:tc>
      </w:tr>
      <w:tr>
        <w:trPr>
          <w:trHeight w:val="123"/>
        </w:trPr>
        <w:tc>
          <w:tcPr>
            <w:tcW w:w="3180" w:type="dxa"/>
            <w:vAlign w:val="bottom"/>
          </w:tcPr>
          <w:p>
            <w:pPr>
              <w:spacing w:after="0"/>
              <w:rPr>
                <w:sz w:val="10"/>
                <w:szCs w:val="10"/>
                <w:color w:val="auto"/>
              </w:rPr>
            </w:pPr>
          </w:p>
        </w:tc>
        <w:tc>
          <w:tcPr>
            <w:tcW w:w="7680" w:type="dxa"/>
            <w:vAlign w:val="bottom"/>
            <w:gridSpan w:val="2"/>
          </w:tcPr>
          <w:p>
            <w:pPr>
              <w:jc w:val="center"/>
              <w:ind w:right="3122"/>
              <w:spacing w:after="0"/>
              <w:rPr>
                <w:sz w:val="20"/>
                <w:szCs w:val="20"/>
                <w:color w:val="auto"/>
              </w:rPr>
            </w:pPr>
            <w:r>
              <w:rPr>
                <w:rFonts w:ascii="Times New Roman" w:cs="Times New Roman" w:eastAsia="Times New Roman" w:hAnsi="Times New Roman"/>
                <w:sz w:val="10"/>
                <w:szCs w:val="10"/>
                <w:b w:val="1"/>
                <w:bCs w:val="1"/>
                <w:color w:val="auto"/>
                <w:w w:val="99"/>
              </w:rPr>
              <w:t>(Address and telephone number of principal executive offices)</w:t>
            </w:r>
          </w:p>
        </w:tc>
      </w:tr>
      <w:tr>
        <w:trPr>
          <w:trHeight w:val="108"/>
        </w:trPr>
        <w:tc>
          <w:tcPr>
            <w:tcW w:w="3180" w:type="dxa"/>
            <w:vAlign w:val="bottom"/>
          </w:tcPr>
          <w:p>
            <w:pPr>
              <w:spacing w:after="0"/>
              <w:rPr>
                <w:sz w:val="9"/>
                <w:szCs w:val="9"/>
                <w:color w:val="auto"/>
              </w:rPr>
            </w:pPr>
          </w:p>
        </w:tc>
        <w:tc>
          <w:tcPr>
            <w:tcW w:w="7680" w:type="dxa"/>
            <w:vAlign w:val="bottom"/>
            <w:gridSpan w:val="2"/>
          </w:tcPr>
          <w:p>
            <w:pPr>
              <w:jc w:val="center"/>
              <w:ind w:right="3142"/>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w:t>
            </w:r>
          </w:p>
        </w:tc>
      </w:tr>
      <w:tr>
        <w:trPr>
          <w:trHeight w:val="247"/>
        </w:trPr>
        <w:tc>
          <w:tcPr>
            <w:tcW w:w="3180" w:type="dxa"/>
            <w:vAlign w:val="bottom"/>
          </w:tcPr>
          <w:p>
            <w:pPr>
              <w:spacing w:after="0"/>
              <w:rPr>
                <w:sz w:val="21"/>
                <w:szCs w:val="21"/>
                <w:color w:val="auto"/>
              </w:rPr>
            </w:pPr>
          </w:p>
        </w:tc>
        <w:tc>
          <w:tcPr>
            <w:tcW w:w="7680" w:type="dxa"/>
            <w:vAlign w:val="bottom"/>
            <w:gridSpan w:val="2"/>
          </w:tcPr>
          <w:p>
            <w:pPr>
              <w:jc w:val="center"/>
              <w:ind w:right="3142"/>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Exchange Act:</w:t>
            </w:r>
          </w:p>
        </w:tc>
      </w:tr>
      <w:tr>
        <w:trPr>
          <w:trHeight w:val="151"/>
        </w:trPr>
        <w:tc>
          <w:tcPr>
            <w:tcW w:w="3180" w:type="dxa"/>
            <w:vAlign w:val="bottom"/>
          </w:tcPr>
          <w:p>
            <w:pPr>
              <w:jc w:val="center"/>
              <w:ind w:left="923"/>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3220" w:type="dxa"/>
            <w:vAlign w:val="bottom"/>
          </w:tcPr>
          <w:p>
            <w:pPr>
              <w:jc w:val="center"/>
              <w:ind w:left="1220"/>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4460" w:type="dxa"/>
            <w:vAlign w:val="bottom"/>
          </w:tcPr>
          <w:p>
            <w:pPr>
              <w:ind w:left="1460"/>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r>
      <w:tr>
        <w:trPr>
          <w:trHeight w:val="23"/>
        </w:trPr>
        <w:tc>
          <w:tcPr>
            <w:tcW w:w="31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158"/>
        </w:trPr>
        <w:tc>
          <w:tcPr>
            <w:tcW w:w="3180" w:type="dxa"/>
            <w:vAlign w:val="bottom"/>
          </w:tcPr>
          <w:p>
            <w:pPr>
              <w:jc w:val="center"/>
              <w:ind w:left="923"/>
              <w:spacing w:after="0"/>
              <w:rPr>
                <w:sz w:val="20"/>
                <w:szCs w:val="20"/>
                <w:color w:val="auto"/>
              </w:rPr>
            </w:pPr>
            <w:r>
              <w:rPr>
                <w:rFonts w:ascii="Times New Roman" w:cs="Times New Roman" w:eastAsia="Times New Roman" w:hAnsi="Times New Roman"/>
                <w:sz w:val="13"/>
                <w:szCs w:val="13"/>
                <w:b w:val="1"/>
                <w:bCs w:val="1"/>
                <w:color w:val="auto"/>
                <w:w w:val="98"/>
              </w:rPr>
              <w:t>Common Stock, $0.001 par value</w:t>
            </w:r>
          </w:p>
        </w:tc>
        <w:tc>
          <w:tcPr>
            <w:tcW w:w="3220" w:type="dxa"/>
            <w:vAlign w:val="bottom"/>
          </w:tcPr>
          <w:p>
            <w:pPr>
              <w:jc w:val="center"/>
              <w:ind w:left="1200"/>
              <w:spacing w:after="0"/>
              <w:rPr>
                <w:sz w:val="20"/>
                <w:szCs w:val="20"/>
                <w:color w:val="auto"/>
              </w:rPr>
            </w:pPr>
            <w:r>
              <w:rPr>
                <w:rFonts w:ascii="Times New Roman" w:cs="Times New Roman" w:eastAsia="Times New Roman" w:hAnsi="Times New Roman"/>
                <w:sz w:val="13"/>
                <w:szCs w:val="13"/>
                <w:b w:val="1"/>
                <w:bCs w:val="1"/>
                <w:color w:val="auto"/>
                <w:w w:val="97"/>
              </w:rPr>
              <w:t>ARWR</w:t>
            </w:r>
          </w:p>
        </w:tc>
        <w:tc>
          <w:tcPr>
            <w:tcW w:w="4460" w:type="dxa"/>
            <w:vAlign w:val="bottom"/>
          </w:tcPr>
          <w:p>
            <w:pPr>
              <w:ind w:left="1440"/>
              <w:spacing w:after="0"/>
              <w:rPr>
                <w:sz w:val="20"/>
                <w:szCs w:val="20"/>
                <w:color w:val="auto"/>
              </w:rPr>
            </w:pPr>
            <w:r>
              <w:rPr>
                <w:rFonts w:ascii="Times New Roman" w:cs="Times New Roman" w:eastAsia="Times New Roman" w:hAnsi="Times New Roman"/>
                <w:sz w:val="13"/>
                <w:szCs w:val="13"/>
                <w:b w:val="1"/>
                <w:bCs w:val="1"/>
                <w:color w:val="auto"/>
              </w:rPr>
              <w:t>The Nasdaq Global Select Market</w:t>
            </w:r>
          </w:p>
        </w:tc>
      </w:tr>
    </w:tbl>
    <w:p>
      <w:pPr>
        <w:spacing w:after="0" w:line="16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12(g) of the Exchange Act: None</w:t>
      </w:r>
    </w:p>
    <w:p>
      <w:pPr>
        <w:spacing w:after="0" w:line="8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0"/>
          <w:szCs w:val="10"/>
          <w:color w:val="auto"/>
        </w:rPr>
        <w:t xml:space="preserve">Indicate by a check mark if the registrant is a well-known seasoned issuer, as defined in Rule 405 of the Securities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8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0"/>
          <w:szCs w:val="10"/>
          <w:color w:val="auto"/>
        </w:rPr>
        <w:t xml:space="preserve">Indicate by a check mark if the registrant is not required to file reports pursuant to Section 13 or 15(d) of the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87" w:lineRule="exact"/>
        <w:rPr>
          <w:sz w:val="24"/>
          <w:szCs w:val="24"/>
          <w:color w:val="auto"/>
        </w:rPr>
      </w:pPr>
    </w:p>
    <w:p>
      <w:pPr>
        <w:ind w:right="120" w:firstLine="382"/>
        <w:spacing w:after="0" w:line="271"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59" w:lineRule="exact"/>
        <w:rPr>
          <w:sz w:val="24"/>
          <w:szCs w:val="24"/>
          <w:color w:val="auto"/>
        </w:rPr>
      </w:pPr>
    </w:p>
    <w:p>
      <w:pPr>
        <w:ind w:right="100" w:firstLine="382"/>
        <w:spacing w:after="0" w:line="293"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48" w:lineRule="exact"/>
        <w:rPr>
          <w:sz w:val="24"/>
          <w:szCs w:val="24"/>
          <w:color w:val="auto"/>
        </w:rPr>
      </w:pPr>
    </w:p>
    <w:p>
      <w:pPr>
        <w:ind w:right="360" w:firstLine="382"/>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879" w:right="359" w:bottom="1440" w:gutter="0" w:footer="0" w:header="0"/>
        </w:sectPr>
      </w:pPr>
    </w:p>
    <w:p>
      <w:pPr>
        <w:spacing w:after="0" w:line="1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Wingdings" w:cs="Wingdings" w:eastAsia="Wingdings" w:hAnsi="Wingdings"/>
          <w:sz w:val="9"/>
          <w:szCs w:val="9"/>
          <w:b w:val="1"/>
          <w:bCs w:val="1"/>
          <w:color w:val="auto"/>
        </w:rPr>
        <w:t>x</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82" w:lineRule="exact"/>
        <w:rPr>
          <w:sz w:val="24"/>
          <w:szCs w:val="24"/>
          <w:color w:val="auto"/>
        </w:rPr>
      </w:pPr>
    </w:p>
    <w:p>
      <w:pPr>
        <w:sectPr>
          <w:pgSz w:w="11900" w:h="16838" w:orient="portrait"/>
          <w:cols w:equalWidth="0" w:num="8">
            <w:col w:w="1200" w:space="720"/>
            <w:col w:w="940" w:space="720"/>
            <w:col w:w="660" w:space="640"/>
            <w:col w:w="280" w:space="720"/>
            <w:col w:w="860" w:space="720"/>
            <w:col w:w="640" w:space="720"/>
            <w:col w:w="1240" w:space="720"/>
            <w:col w:w="460"/>
          </w:cols>
          <w:pgMar w:left="300" w:top="879"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9"/>
          <w:szCs w:val="9"/>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7"/>
          <w:szCs w:val="7"/>
          <w:b w:val="1"/>
          <w:bCs w:val="1"/>
          <w:color w:val="auto"/>
        </w:rPr>
        <w:t>o</w:t>
      </w:r>
    </w:p>
    <w:p>
      <w:pPr>
        <w:spacing w:after="0" w:line="210" w:lineRule="exact"/>
        <w:rPr>
          <w:sz w:val="24"/>
          <w:szCs w:val="24"/>
          <w:color w:val="auto"/>
        </w:rPr>
      </w:pPr>
    </w:p>
    <w:p>
      <w:pPr>
        <w:sectPr>
          <w:pgSz w:w="11900" w:h="16838" w:orient="portrait"/>
          <w:cols w:equalWidth="0" w:num="2">
            <w:col w:w="1220" w:space="720"/>
            <w:col w:w="9300"/>
          </w:cols>
          <w:pgMar w:left="300" w:top="879" w:right="359"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87" w:lineRule="exact"/>
        <w:rPr>
          <w:sz w:val="24"/>
          <w:szCs w:val="24"/>
          <w:color w:val="auto"/>
        </w:rPr>
      </w:pPr>
    </w:p>
    <w:p>
      <w:pPr>
        <w:ind w:right="20" w:firstLine="382"/>
        <w:spacing w:after="0" w:line="271"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0"/>
          <w:szCs w:val="10"/>
          <w:b w:val="1"/>
          <w:bCs w:val="1"/>
          <w:color w:val="auto"/>
        </w:rPr>
        <w:t>x</w:t>
      </w:r>
    </w:p>
    <w:p>
      <w:pPr>
        <w:spacing w:after="0" w:line="5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74" w:lineRule="exact"/>
        <w:rPr>
          <w:sz w:val="24"/>
          <w:szCs w:val="24"/>
          <w:color w:val="auto"/>
        </w:rPr>
      </w:pPr>
    </w:p>
    <w:p>
      <w:pPr>
        <w:ind w:left="38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193" w:lineRule="exact"/>
        <w:rPr>
          <w:sz w:val="24"/>
          <w:szCs w:val="24"/>
          <w:color w:val="auto"/>
        </w:rPr>
      </w:pPr>
    </w:p>
    <w:p>
      <w:pPr>
        <w:ind w:left="380"/>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100" w:lineRule="exact"/>
        <w:rPr>
          <w:sz w:val="24"/>
          <w:szCs w:val="24"/>
          <w:color w:val="auto"/>
        </w:rPr>
      </w:pPr>
    </w:p>
    <w:p>
      <w:pPr>
        <w:ind w:firstLine="382"/>
        <w:spacing w:after="0" w:line="268" w:lineRule="auto"/>
        <w:rPr>
          <w:sz w:val="20"/>
          <w:szCs w:val="20"/>
          <w:color w:val="auto"/>
        </w:rPr>
      </w:pPr>
      <w:r>
        <w:rPr>
          <w:rFonts w:ascii="Times New Roman" w:cs="Times New Roman" w:eastAsia="Times New Roman" w:hAnsi="Times New Roman"/>
          <w:sz w:val="10"/>
          <w:szCs w:val="10"/>
          <w:color w:val="auto"/>
        </w:rPr>
        <w:t>The aggregate market value of issuer’s voting and non-voting outstanding common stock held by non-affiliates was approximately $1.4 billion based upon the closing stock price of issuer’s common stock on March 31, 2025.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6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0"/>
          <w:szCs w:val="10"/>
          <w:color w:val="auto"/>
        </w:rPr>
        <w:t>As of November 19, 2025, 135,809,558 shares of the issuer’s Common Stock were issued and outstanding.</w:t>
      </w:r>
    </w:p>
    <w:p>
      <w:pPr>
        <w:spacing w:after="0" w:line="8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8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0"/>
          <w:szCs w:val="10"/>
          <w:color w:val="auto"/>
        </w:rPr>
        <w:t>Portions of the Definitive Proxy Statement to be filed for Arrowhead Pharmaceuticals, Inc.’s 2026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192405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36195</wp:posOffset>
            </wp:positionV>
            <wp:extent cx="69056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05625" cy="698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56515</wp:posOffset>
            </wp:positionV>
            <wp:extent cx="69056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5625" cy="6985"/>
                    </a:xfrm>
                    <a:prstGeom prst="rect">
                      <a:avLst/>
                    </a:prstGeom>
                    <a:noFill/>
                  </pic:spPr>
                </pic:pic>
              </a:graphicData>
            </a:graphic>
          </wp:anchor>
        </w:drawing>
      </w:r>
    </w:p>
    <w:p>
      <w:pPr>
        <w:sectPr>
          <w:pgSz w:w="11900" w:h="16838" w:orient="portrait"/>
          <w:cols w:equalWidth="0" w:num="1">
            <w:col w:w="11240"/>
          </w:cols>
          <w:pgMar w:left="300" w:top="87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PART I</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2"/>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BUSINESS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6"/>
              </w:rPr>
              <w:t>RISK FACTORS</w:t>
            </w:r>
          </w:p>
        </w:tc>
        <w:tc>
          <w:tcPr>
            <w:tcW w:w="7460" w:type="dxa"/>
            <w:vAlign w:val="bottom"/>
            <w:gridSpan w:val="17"/>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1B.</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UNRESOLVED STAFF COMMENTS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1C.</w:t>
            </w:r>
          </w:p>
        </w:tc>
        <w:tc>
          <w:tcPr>
            <w:tcW w:w="10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7"/>
              </w:rPr>
              <w:t>CYBERSECURITY</w:t>
            </w:r>
          </w:p>
        </w:tc>
        <w:tc>
          <w:tcPr>
            <w:tcW w:w="940" w:type="dxa"/>
            <w:vAlign w:val="bottom"/>
            <w:tcBorders>
              <w:top w:val="single" w:sz="8" w:color="0000FF"/>
            </w:tcBorders>
            <w:gridSpan w:val="5"/>
          </w:tcPr>
          <w:p>
            <w:pPr>
              <w:spacing w:after="0"/>
              <w:rPr>
                <w:sz w:val="13"/>
                <w:szCs w:val="13"/>
                <w:color w:val="auto"/>
              </w:rPr>
            </w:pPr>
          </w:p>
        </w:tc>
        <w:tc>
          <w:tcPr>
            <w:tcW w:w="6360" w:type="dxa"/>
            <w:vAlign w:val="bottom"/>
            <w:gridSpan w:val="11"/>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2.</w:t>
            </w:r>
          </w:p>
        </w:tc>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0000FF"/>
                <w:w w:val="96"/>
              </w:rPr>
              <w:t>PROPERTIES</w:t>
            </w:r>
          </w:p>
        </w:tc>
        <w:tc>
          <w:tcPr>
            <w:tcW w:w="7600" w:type="dxa"/>
            <w:vAlign w:val="bottom"/>
            <w:gridSpan w:val="18"/>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LEGAL PROCEEDINGS</w:t>
            </w:r>
          </w:p>
        </w:tc>
        <w:tc>
          <w:tcPr>
            <w:tcW w:w="7020" w:type="dxa"/>
            <w:vAlign w:val="bottom"/>
            <w:gridSpan w:val="15"/>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4.</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MINE SAFETY DISCLOSURES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4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PART 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5.</w:t>
            </w:r>
          </w:p>
        </w:tc>
        <w:tc>
          <w:tcPr>
            <w:tcW w:w="8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3"/>
                <w:szCs w:val="13"/>
                <w:color w:val="0000FF"/>
                <w:w w:val="97"/>
              </w:rPr>
              <w:t>MARKET FOR THE REGISTRANT’S COMMON EQUITY, RELATED STOCKHOLDER MATTERS AND ISSUER PURCHASES OF EQUITY SECURITIES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6.</w:t>
            </w: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5"/>
              </w:rPr>
              <w:t>RESERVED</w:t>
            </w:r>
          </w:p>
        </w:tc>
        <w:tc>
          <w:tcPr>
            <w:tcW w:w="7700" w:type="dxa"/>
            <w:vAlign w:val="bottom"/>
            <w:gridSpan w:val="19"/>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7.</w:t>
            </w:r>
          </w:p>
        </w:tc>
        <w:tc>
          <w:tcPr>
            <w:tcW w:w="63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3"/>
                <w:szCs w:val="13"/>
                <w:color w:val="0000FF"/>
                <w:w w:val="97"/>
              </w:rPr>
              <w:t>MANAGEMENT’S DISCUSSION AND ANALYSIS OF FINANCIAL CONDITION AND RESULTS OF OPERATIONS</w:t>
            </w:r>
          </w:p>
        </w:tc>
        <w:tc>
          <w:tcPr>
            <w:tcW w:w="2040" w:type="dxa"/>
            <w:vAlign w:val="bottom"/>
            <w:gridSpan w:val="3"/>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w w:val="96"/>
              </w:rPr>
              <w:t>QUANTITATIVE AND QUALITATIVE DISCLOSURES ABOUT MARKET RISK</w:t>
            </w:r>
          </w:p>
        </w:tc>
        <w:tc>
          <w:tcPr>
            <w:tcW w:w="4000" w:type="dxa"/>
            <w:vAlign w:val="bottom"/>
            <w:gridSpan w:val="6"/>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8.</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FINANCIAL STATEMENTS AND SUPPLEMENTARY DATA</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CHANGES IN AND DISAGREEMENTS WITH ACCOUNTANTS ON ACCOUNTING AND FINANCIAL DISCLOSURE</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9A.</w:t>
            </w:r>
          </w:p>
        </w:tc>
        <w:tc>
          <w:tcPr>
            <w:tcW w:w="6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3"/>
                <w:szCs w:val="13"/>
                <w:color w:val="0000FF"/>
              </w:rPr>
              <w:t>CONTROLS AND PROCEDURES</w:t>
            </w:r>
          </w:p>
        </w:tc>
        <w:tc>
          <w:tcPr>
            <w:tcW w:w="1920" w:type="dxa"/>
            <w:vAlign w:val="bottom"/>
            <w:gridSpan w:val="2"/>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9B.</w:t>
            </w: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3"/>
                <w:szCs w:val="13"/>
                <w:color w:val="0000FF"/>
              </w:rPr>
              <w:t>OTHER INFORMATION</w:t>
            </w:r>
          </w:p>
        </w:tc>
        <w:tc>
          <w:tcPr>
            <w:tcW w:w="6520" w:type="dxa"/>
            <w:vAlign w:val="bottom"/>
            <w:gridSpan w:val="13"/>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ITEM 9C.</w:t>
            </w:r>
          </w:p>
        </w:tc>
        <w:tc>
          <w:tcPr>
            <w:tcW w:w="8360" w:type="dxa"/>
            <w:vAlign w:val="bottom"/>
            <w:gridSpan w:val="21"/>
          </w:tcPr>
          <w:p>
            <w:pPr>
              <w:spacing w:after="0" w:line="139" w:lineRule="exact"/>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15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74</w:t>
            </w:r>
          </w:p>
        </w:tc>
      </w:tr>
      <w:tr>
        <w:trPr>
          <w:trHeight w:val="358"/>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PART III</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10.</w:t>
            </w:r>
          </w:p>
        </w:tc>
        <w:tc>
          <w:tcPr>
            <w:tcW w:w="41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w w:val="97"/>
              </w:rPr>
              <w:t>DIRECTORS, EXECUTIVE OFFICERS, AND CORPORATE GOVERNANCE</w:t>
            </w:r>
          </w:p>
        </w:tc>
        <w:tc>
          <w:tcPr>
            <w:tcW w:w="422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11.</w:t>
            </w: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6"/>
              </w:rPr>
              <w:t>EXECUTIVE COMPENSATION</w:t>
            </w:r>
          </w:p>
        </w:tc>
        <w:tc>
          <w:tcPr>
            <w:tcW w:w="6620" w:type="dxa"/>
            <w:vAlign w:val="bottom"/>
            <w:gridSpan w:val="14"/>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12.</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SECURITY OWNERSHIP OF CERTAIN BENEFICIAL OWNERS AND MANAGEMENT AND RELATED STOCKHOLDER MATTERS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13.</w:t>
            </w:r>
          </w:p>
        </w:tc>
        <w:tc>
          <w:tcPr>
            <w:tcW w:w="52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3"/>
                <w:szCs w:val="13"/>
                <w:color w:val="0000FF"/>
                <w:w w:val="96"/>
              </w:rPr>
              <w:t>CERTAIN RELATIONSHIPS, RELATED TRANSACTIONS AND DIRECTORS INDEPENDENCE</w:t>
            </w:r>
          </w:p>
        </w:tc>
        <w:tc>
          <w:tcPr>
            <w:tcW w:w="2020" w:type="dxa"/>
            <w:vAlign w:val="bottom"/>
            <w:tcBorders>
              <w:top w:val="single" w:sz="8" w:color="0000FF"/>
            </w:tcBorders>
            <w:gridSpan w:val="3"/>
          </w:tcPr>
          <w:p>
            <w:pPr>
              <w:spacing w:after="0"/>
              <w:rPr>
                <w:sz w:val="13"/>
                <w:szCs w:val="13"/>
                <w:color w:val="auto"/>
              </w:rPr>
            </w:pPr>
          </w:p>
        </w:tc>
        <w:tc>
          <w:tcPr>
            <w:tcW w:w="11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14.</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PRINCIPAL ACCOUNTANT FEES AND SERVICES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347"/>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PART IV</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2"/>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ITEM 15.</w:t>
            </w:r>
          </w:p>
        </w:tc>
        <w:tc>
          <w:tcPr>
            <w:tcW w:w="836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EXHIBITS AND FINANCIAL STATEMENT SCHEDULES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0"/>
        </w:trPr>
        <w:tc>
          <w:tcPr>
            <w:tcW w:w="20" w:type="dxa"/>
            <w:vAlign w:val="bottom"/>
          </w:tcPr>
          <w:p>
            <w:pPr>
              <w:spacing w:after="0"/>
              <w:rPr>
                <w:sz w:val="13"/>
                <w:szCs w:val="13"/>
                <w:color w:val="auto"/>
              </w:rPr>
            </w:pPr>
          </w:p>
        </w:tc>
        <w:tc>
          <w:tcPr>
            <w:tcW w:w="136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auto"/>
              </w:rPr>
              <w:t>ITEM 16.</w:t>
            </w:r>
          </w:p>
        </w:tc>
        <w:tc>
          <w:tcPr>
            <w:tcW w:w="3140" w:type="dxa"/>
            <w:vAlign w:val="bottom"/>
            <w:tcBorders>
              <w:top w:val="single" w:sz="8" w:color="0000FF"/>
            </w:tcBorders>
            <w:gridSpan w:val="12"/>
          </w:tcPr>
          <w:p>
            <w:pPr>
              <w:spacing w:after="0" w:line="139" w:lineRule="exact"/>
              <w:rPr>
                <w:sz w:val="20"/>
                <w:szCs w:val="20"/>
                <w:color w:val="auto"/>
              </w:rPr>
            </w:pPr>
            <w:r>
              <w:rPr>
                <w:rFonts w:ascii="Times New Roman" w:cs="Times New Roman" w:eastAsia="Times New Roman" w:hAnsi="Times New Roman"/>
                <w:sz w:val="13"/>
                <w:szCs w:val="13"/>
                <w:color w:val="0000FF"/>
              </w:rPr>
              <w:t>FORM 10-K SUMMARY</w:t>
            </w:r>
          </w:p>
        </w:tc>
        <w:tc>
          <w:tcPr>
            <w:tcW w:w="5220" w:type="dxa"/>
            <w:vAlign w:val="bottom"/>
            <w:gridSpan w:val="9"/>
          </w:tcPr>
          <w:p>
            <w:pPr>
              <w:spacing w:after="0"/>
              <w:rPr>
                <w:sz w:val="13"/>
                <w:szCs w:val="13"/>
                <w:color w:val="auto"/>
              </w:rPr>
            </w:pPr>
          </w:p>
        </w:tc>
        <w:tc>
          <w:tcPr>
            <w:tcW w:w="15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79</w:t>
            </w:r>
          </w:p>
        </w:tc>
      </w:tr>
      <w:tr>
        <w:trPr>
          <w:trHeight w:val="330"/>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SIGNATURE</w:t>
            </w: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6500" w:type="dxa"/>
            <w:vAlign w:val="bottom"/>
            <w:gridSpan w:val="1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9720" w:type="dxa"/>
            <w:vAlign w:val="bottom"/>
            <w:gridSpan w:val="23"/>
          </w:tcPr>
          <w:p>
            <w:pPr>
              <w:spacing w:after="0"/>
              <w:rPr>
                <w:sz w:val="20"/>
                <w:szCs w:val="20"/>
                <w:color w:val="auto"/>
              </w:rPr>
            </w:pPr>
            <w:r>
              <w:rPr>
                <w:rFonts w:ascii="Times New Roman" w:cs="Times New Roman" w:eastAsia="Times New Roman" w:hAnsi="Times New Roman"/>
                <w:sz w:val="13"/>
                <w:szCs w:val="13"/>
                <w:color w:val="0000FF"/>
              </w:rPr>
              <w:t>INDEX TO FINANCIAL STATEMENTS AND SCHEDULES</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w:t>
            </w:r>
          </w:p>
        </w:tc>
      </w:tr>
      <w:tr>
        <w:trPr>
          <w:trHeight w:val="809"/>
        </w:trPr>
        <w:tc>
          <w:tcPr>
            <w:tcW w:w="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5" w:lineRule="exact"/>
        <w:rPr>
          <w:sz w:val="20"/>
          <w:szCs w:val="20"/>
          <w:color w:val="auto"/>
        </w:rPr>
      </w:pPr>
    </w:p>
    <w:p>
      <w:pPr>
        <w:jc w:val="both"/>
        <w:ind w:firstLine="382"/>
        <w:spacing w:after="0" w:line="243" w:lineRule="auto"/>
        <w:rPr>
          <w:sz w:val="20"/>
          <w:szCs w:val="20"/>
          <w:color w:val="auto"/>
        </w:rPr>
      </w:pPr>
      <w:r>
        <w:rPr>
          <w:rFonts w:ascii="Times New Roman" w:cs="Times New Roman" w:eastAsia="Times New Roman" w:hAnsi="Times New Roman"/>
          <w:sz w:val="14"/>
          <w:szCs w:val="14"/>
          <w:i w:val="1"/>
          <w:iCs w:val="1"/>
          <w:color w:val="auto"/>
        </w:rPr>
        <w:t>This Annual Report on Form 10-K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“might,” “will,” “expect,” “believe,” “anticipate,” “goal,” “endeavor,” “strive,” “intend,” “plan,” “project,” “could,” “estimate,” “target,” “might,”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our commercialization efforts for REDEMPLO;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and outcomes may differ materially from those discussed, projected, anticipated or indicated in any forward-looking statements. Forward-looking statements are not guarantees of future performance and our actual results or outcomes may differ materially. Factors that may cause or contribute to such differences include, but are not limited to, those discussed in more detail in “Item 1. Business”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Annual Report on Form 10-K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1072515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Arrowhead Australia Pty Ltd (“Arrowhead Australia”), Arrowhead Pharmaceuticals NZ Limited (“Arrowhead New Zealand”), Arrowhead Pharmaceuticals Ireland Limited (“Arrowhead Ireland”), and Visirna Therapeutics Inc. (“Visirna”) (4) the term “common stock” refers to Arrowhead’s common stock, (5) the term “preferred stock” refers to Arrowhead’s preferred stock and (6) the term “stockholder(s)” refers to the holders of Arrowhead common stock.</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79"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Overview</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develops medicines that treat intractable diseases by silencing the genes that cause them. Using a broad portfolio of RNA chemistries and modes of delivery, the Company’s therapies trigger the RNA interference mechanism to induce rapid, deep and durable knockdown of target genes.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are currently 18 Arrowhead discovered drug candidates in clinical trials ranging from early stage (Phase 1) to late stage (Phase 3). In addition, the company has a robust discovery stage pipeline which is capable of generating multiple new clinical candidates each year.</w:t>
      </w:r>
    </w:p>
    <w:p>
      <w:pPr>
        <w:spacing w:after="0" w:line="27"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The Company recently achieved a transformational milestone with its first commercial launch in 2025, when the U.S. Food and Drug Administration ("FDA") approved REDEMPLO</w:t>
      </w:r>
      <w:r>
        <w:rPr>
          <w:rFonts w:ascii="Arial" w:cs="Arial" w:eastAsia="Arial" w:hAnsi="Arial"/>
          <w:sz w:val="20"/>
          <w:szCs w:val="20"/>
          <w:b w:val="1"/>
          <w:bCs w:val="1"/>
          <w:color w:val="auto"/>
          <w:vertAlign w:val="superscript"/>
        </w:rPr>
        <w:t>®</w:t>
      </w:r>
      <w:r>
        <w:rPr>
          <w:rFonts w:ascii="Times New Roman" w:cs="Times New Roman" w:eastAsia="Times New Roman" w:hAnsi="Times New Roman"/>
          <w:sz w:val="14"/>
          <w:szCs w:val="14"/>
          <w:color w:val="auto"/>
        </w:rPr>
        <w:t xml:space="preserve"> (plozasiran) as an adjunct to diet to reduce triglycerides in adults with Familial Chylomicronemia Syndrome ("FCS"). Additionally, phase 3 studies (SHASTA-3, SHASTA-4 and SHASTA-5) for severe hypertriglyceridemia ("sHTG") have been fully enrolled and the Company plans to file a supplemental NDA for this indication in 2026, pending successful completion of Phase 3 clinical studies. The Company has built a commercial organization to support marketing in FCS, a rare disease, and plans to progressively build its commercial capabilities to also support marketing in sHTG, a higher prevalence disease which will require a larger commercial footprint.</w:t>
      </w:r>
    </w:p>
    <w:p>
      <w:pPr>
        <w:spacing w:after="0" w:line="7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has entered into multiple license and collaboration agreements with leading biotech and pharmaceutical companies, including Sarepta Therapeutics, Inc., Amgen Inc., Takeda Pharmaceutical Company Limited, Glaxosmithkline Intellectual Property (No. 3) Limited and Novartis Pharma AG, for programs that the Company does not intend to commercialize independently. This approach aims to expand the reach of the Company’s technology and provides a source of non-dilutive capital to support REDEMPLO and other wholly-owned programs through commercial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4446270" cy="1637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4627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 Interference and the Benefits of RNAi Therapeutics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RNA interference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4" w:name="page5"/>
    <w:bookmarkEnd w:id="4"/>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95250</wp:posOffset>
            </wp:positionV>
            <wp:extent cx="3058795" cy="2290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58795" cy="229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This figure depicts the mechanism by which gene silencing occurs. Double stranded RNAi triggers (commonly referred to as small interfering RNAs (“siRNAs”)) are introduced into a cell and are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Key Benefits of RNAi and proprietary TRiM</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platform as a Therapeutic Modality:</w:t>
      </w:r>
    </w:p>
    <w:p>
      <w:pPr>
        <w:spacing w:after="0" w:line="51" w:lineRule="exact"/>
        <w:rPr>
          <w:sz w:val="20"/>
          <w:szCs w:val="20"/>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Silences the expression of disease associated genes;</w:t>
      </w:r>
    </w:p>
    <w:p>
      <w:pPr>
        <w:spacing w:after="0" w:line="2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to address any target in the transcriptome including previously “undruggable” targets;</w:t>
      </w:r>
    </w:p>
    <w:p>
      <w:pPr>
        <w:spacing w:after="0" w:line="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lead identification;</w:t>
      </w:r>
    </w:p>
    <w:p>
      <w:pPr>
        <w:spacing w:after="0" w:line="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specificity;</w:t>
      </w:r>
    </w:p>
    <w:p>
      <w:pPr>
        <w:spacing w:after="0" w:line="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Opportunity to use multiple RNA sequences in one drug product for synergistic silencing of multiple targets; and</w:t>
      </w:r>
    </w:p>
    <w:p>
      <w:pPr>
        <w:spacing w:after="0" w:line="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RNAi therapeutics are uniquely suited for personalized medicine through target and cell specific delivery and gene knockdown.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Targeted RNAi Molecule (TRiM</w:t>
      </w:r>
      <w:r>
        <w:rPr>
          <w:rFonts w:ascii="Times New Roman" w:cs="Times New Roman" w:eastAsia="Times New Roman" w:hAnsi="Times New Roman"/>
          <w:sz w:val="18"/>
          <w:szCs w:val="18"/>
          <w:b w:val="1"/>
          <w:bCs w:val="1"/>
          <w:i w:val="1"/>
          <w:iCs w:val="1"/>
          <w:color w:val="auto"/>
          <w:vertAlign w:val="superscript"/>
        </w:rPr>
        <w:t>TM</w:t>
      </w:r>
      <w:r>
        <w:rPr>
          <w:rFonts w:ascii="Times New Roman" w:cs="Times New Roman" w:eastAsia="Times New Roman" w:hAnsi="Times New Roman"/>
          <w:sz w:val="14"/>
          <w:szCs w:val="14"/>
          <w:b w:val="1"/>
          <w:bCs w:val="1"/>
          <w:i w:val="1"/>
          <w:iCs w:val="1"/>
          <w:color w:val="auto"/>
        </w:rPr>
        <w:t>) Platform</w:t>
      </w:r>
    </w:p>
    <w:p>
      <w:pPr>
        <w:spacing w:after="0" w:line="5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TRiM platform utilizes ligand-mediated delivery and is designed to enable tissue-specific targeting while being structurally simple. Targeting has been core to the Company’s development philosophy and the TRiM platform builds on more than a decade of work on actively targeted drug delivery vehicles. The Company’s scientists have discovered ways to progressively “TRiM” away extraneous features and chemistries and retain optimal pharmacologic activity.</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TRiM platform is comprised of a highly potent RNA trigger identified using the Company’s proprietary trigger selection rules and algorithms with the following components optimized, as needed, for each drug candidate: a high affinity targeting ligand; various linker chemistries; structures that enhance pharmacokinetics; and highly potent RNAi triggers with sequence specific stabilization chemistries.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 w:name="page6"/>
    <w:bookmarkEnd w:id="5"/>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Therapeutics developed with the TRiM platform offer several advantages: simplified manufacturing and reduced costs; multiple routes of administration; and potential for improved safety because there are less metabolites from smaller molecules, thereby reducing the risk of intracellular buildup.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317500</wp:posOffset>
            </wp:positionV>
            <wp:extent cx="4446270" cy="1798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46270" cy="179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believes that for RNAi to reach its true potential, it must target organs outside the liver. The Company is leading this expansion with the TRiM platform, which has shown the potential to reach multiple tissues throughout the body. The TRiM platform currently enables delivery of siRNA to seven cell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4446270" cy="1718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6270" cy="171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 Chemistries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structure and chemistries of the oligonucleotide molecules used to trigger the RNAi mechanism can be tailored for optimal activity. The Company’s broad portfolio of RNA trigger structures and chemistries, including certain proprietary structures, enable the Company to optimize each drug candidate on a target-by-target basis and utilize the combination of structure and chemical modifications that yield the most potent RNAi therapeutic candidate.</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a component of the TRiM platform, the Company’s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Approved Products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REDEMPLO (plozasiran) is approved by the U.S. Food and Drug Administration as an adjunct to diet to reduce triglycerides for adults with Familial Chylomicronemia Syndrome (FCS). REDEMPLO is an siRNA therapeutic designed to suppress the production of apolipoprotein C-III (APOC3), a protein produced in the liver that raises triglyceride levels by slowing their breakdown and clearance. By targeting the </w:t>
      </w:r>
      <w:r>
        <w:rPr>
          <w:rFonts w:ascii="Times New Roman" w:cs="Times New Roman" w:eastAsia="Times New Roman" w:hAnsi="Times New Roman"/>
          <w:sz w:val="14"/>
          <w:szCs w:val="14"/>
          <w:i w:val="1"/>
          <w:iCs w:val="1"/>
          <w:color w:val="auto"/>
        </w:rPr>
        <w:t>APOC3</w:t>
      </w:r>
      <w:r>
        <w:rPr>
          <w:rFonts w:ascii="Times New Roman" w:cs="Times New Roman" w:eastAsia="Times New Roman" w:hAnsi="Times New Roman"/>
          <w:sz w:val="14"/>
          <w:szCs w:val="14"/>
          <w:color w:val="auto"/>
        </w:rPr>
        <w:t xml:space="preserve"> gene with sustained silencing, REDEMPLO delivers significant reductions in triglyceride levels. REDEMPLO is the first and only FDA-approved siRNA treatment studied in both genetically confirmed and clinically diagnosed patients living with FCS.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 more information about REDEMPLO, visit Our Medicines.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IMPORTANT SAFETY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CONTRAINDICATIONS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REACTIONS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Most common adverse reactions in REDEMPLO treated patients (incidence ≥10% of patients treated with REDEMPLO and &gt;5% more frequently than with placebo) are hyperglycemia, headache, nausea, and injection site reaction.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Please see full Prescribing Information for REDEMPLO.</w:t>
      </w:r>
    </w:p>
    <w:p>
      <w:pPr>
        <w:spacing w:after="0" w:line="177"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B.</w:t>
        <w:tab/>
        <w:t>Pipeline</w:t>
      </w:r>
    </w:p>
    <w:p>
      <w:pPr>
        <w:spacing w:after="0" w:line="96"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The Company is focused on developing innovative drugs for diseases with a genetic basis, typically characterized by the overproduction of one or more proteins that are involved with disease. The depth and versatility of the Company’s RNAi technologies enables the Company to potentially address conditions across many therapeutic areas and pursue disease targets that are not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addressable by small molecules and biologics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64770</wp:posOffset>
            </wp:positionV>
            <wp:extent cx="4419600" cy="2391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1960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0" w:hanging="122"/>
        <w:spacing w:after="0"/>
        <w:tabs>
          <w:tab w:leader="none" w:pos="240" w:val="left"/>
        </w:tabs>
        <w:numPr>
          <w:ilvl w:val="0"/>
          <w:numId w:val="4"/>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10"/>
          <w:szCs w:val="10"/>
          <w:i w:val="1"/>
          <w:iCs w:val="1"/>
          <w:color w:val="auto"/>
        </w:rPr>
        <w:t>Greater China rights for plozasiran are out-licensed to Sanofi.</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Plozasiran (ARO-APOC3) - Severe Hypertriglyceridemia (sHTG)</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Severe Hypertriglyceridemia is a disease characterized by elevated triglyceride levels &gt; 500 mg/dL. Severely elevated triglycerides in patients with severe hypertriglyceridemia (sHTG) or familial chylomicronemia syndrome (FCS), a rare genetic disorder, can result in potentially fatal acute pancreatitis.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Plozasiran (formerly ARO-APOC3) is designed to reduce production of apolipoprotein C-III (APOC3), a component of triglyceride rich lipoproteins (TRLs) including Very Low Density Lipoprotein (VLDL) and chylomicrons, a key regulator of triglyceride metabolism. The Company believes that knocking down the hepatic production of APOC3 may result in reduced VLDL synthesis and assembly, enhanced breakdown of TRLs, and better clearance of VLDL and chylomicron remnants.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conducting multiple Phase 3 studies to potentially support regulatory filings, pending successful completion, for approval in sHTG including SHASTA-3, SHASTA-4, SHASTA-5, and MUIR-3.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Zodasiran (ARO-ANG3) - Homozygous Familial Hypercholesterolemia (HoFH)</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Dyslipidemia and Hypertriglyceridemia are risk factors for atherosclerotic coronary heart disease and cardiovascular events.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Zodasiran (formerly 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The Company is currently investigating zodasiran in one Phase 3 clinical trial (YOSEMITE) to evaluate the efficacy and safety of zodasiran in adolescent and adult subjects with HoFH.</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ARO-DIMER-PA - Mixed Hyperlipidemia</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Mixed Hyperlipidemia is a highly prevalent disorder characterized by elevated low-density lipoprotein cholesterol (LDL-C) and triglyceride (TG) levels and is a major risk factor for ASCVD, which is the leading cause of mortality worldwide and associated with substantial morbidity and healthcare costs.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ARO-DIMER-PA is a dual functional RNAi molecule designed to silence expression of the proprotein convertase subtilisin kexin 9 (PCSK9) and apolipoprotein C3 (APOC3) genes in hepatocytes. Prior clinical experience with other investigational and approved agents suggests that PCSK9 and APOC3 inhibition may lead to robust reductions in LDL-C, TGs, triglyceride rich lipoprotein remnants, and total atherogenic lipoproteins. This represents an important step forward for the RNAi field as it is the first clinical candidate to target two genes simultaneously in one molecule, enabled by Arrowhead’s innovative and proprietary TRiM platform.</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filed for regulatory clearance to initiate a Phase 1/2a clinical trial of ARO-DIMER-PA.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ARO-PNPLA3 - Metabolic-dysfunction Associated Steatohepatitis (MASH)</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MASH is a subgroup of steatotic liver disease (MASLD) in which hepatic cell injury and inflammation has developed over background steatosis. The I148M genetic variant in the PNPLA3 gene is involved with the underlying pathophysiology and is a known risk factor for hepatic steatosis, steatohepatitis, elevated plasma liver enzyme levels, hepatic fibrosis and cirrhosis. The rising prevalence of MASH presents a significant health burden in many developed countries.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ARO-PNPLA3 (formerly JNJ-75220795) is an investigational RNAi therapeutic designed to reduce liver expression of patatin-like phospholipase domain containing 3 (PNPLA3) as a potential treatment for patients with metabolic-dysfunction associated steatohepatitis (MASH). PNPLA3 has strong genetic and preclinical validation as a driver of fat accumulation and damage in the livers of patients who carry the common I148M mutation. Former licensee Janssen Pharmaceuticals, Inc. investigated ARO-PNPLA3 in two Phase 1 clinical trials.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ARO-INHBE - Obesity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ARO-INHBE is designed to reduce the hepatic expression of the INHBE gene and its secreted gene product, Activin E. INHBE is a promising genetically validated target in which loss-of-function INHBE variants in humans are associated with lower risk of obesity and metabolic diseases, such as type 2 diabetes. The Company is currently investigating ARO-INHBE in a Phase 1/2a clinical trial.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ARO-ALK7- Obesity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ARO-ALK7 is designed to silence adipocyte expression of the ACVR1C gene to reduce the production of Activin receptor-like kinase 7 (ALK7), which acts as a receptor in a pathway that regulates energy homeostasis in adipose tissue. In large genetic datasets, reduced ACVR1C expression has been associated with healthier adipose distribution and reduced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risk of obesity-related metabolic complications. The Company is currently investigating ARO-ALK7 in a Phase 1/2a clinical trial.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ARO-RAGE - Inflammatory Pulmonary Disease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ARO-RAGE is designed to reduce production of the Receptor for Advanced Glycation End products (RAGE) as a potential treatment for various inflammatory pulmonary diseases. The Company is currently investigating ARO-RAGE in a Phase 1/2a clinical trial.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ARO-MAPT - Alzheimer's and Tauopathies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Aggregation of the toxic tau protein is believed to be a key driver in multiple tauopathies, including Alzheimer’s disease. By preventing or potentially reversing tau protein accumulation in subjects with mild cognitive impairment due to Alzheimer’s disease and mild Alzheimer’s disease dementia, ARO-MAPT has the potential to prevent or slow disease progression.</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ARO-MAPT is Arrowhead’s first investigational RNAi-based therapy to utilize a new proprietary delivery system which, in preclinical studies, has achieved blood-brain-barrier penetration and deep knockdown of target genes across the central nervous system (CNS), including deep brain regions, after subcutaneous injections. ARO-MAPT is designed to silence CNS expression of the microtubule associated protein tau (MAPT) gene, which encodes the tau protein. The Company has filed for regulatory clearance to initiate a phase 1/2a clinical trial of ARO-MAPT.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ARO-C3 - Complement Mediated Renal Disease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number of rare renal diseases result from uncontrolled activation of the alternative pathway of 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complement component 3 (C3) may be a therapeutic approach for treatment of these conditions.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ARO-C3 is designed to reduce production of C3 as a potential therapy for patients with various complement mediated or complement associated renal diseases. The Company is currently investigating ARO-C3 in a Phase 1/2a clinical trial.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ARO-CFB - Complement Mediated Disease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number of rare renal diseases result from uncontrolled activation of the alternative pathway of complement, 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complement factor B (CFB) may be a therapeutic approach for treatment of these conditions.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ARO-CFB is designed to reduce hepatic expression of CFB, which plays an important regulatory role in amplifying complement alternative pathway activation and has been identified as a promising therapeutic target. ARO-CFB is being developed as a potential treatment for complement mediated kidney diseases such as immunoglobulin A nephropathy (IgAN), which is the most common glomerular disease worldwide and carries a high lifetime risk of progression to end-stage renal disease. Additionally, ARO-CFB may have clinical applications in non-renal diseases involving complement activation. The Company is currently investigating ARO-CFB in a Phase 1/2a clinical trial.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Collaboration and License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Glaxosmithkline Intellectual Property (No. 3) Limited (“GSK”)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GSK-HSD License Agreement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 xml:space="preserve">GSK-4532990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b w:val="1"/>
          <w:bCs w:val="1"/>
          <w:i w:val="1"/>
          <w:iCs w:val="1"/>
          <w:u w:val="single" w:color="auto"/>
          <w:color w:val="auto"/>
        </w:rPr>
        <w:t xml:space="preserve"> Metabolic-Dysfunction Associated Steatohepatitis (MASH)</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MASH is liver inflammation and damage caused by a buildup of fat in the liver. This can cause scarring of the liver and in advanced cases can lead to cirrhosis. Alcochol-related liver disease (ALD) represents a spectrum of liver injury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 w:name="page10"/>
    <w:bookmarkEnd w:id="9"/>
    <w:p>
      <w:pPr>
        <w:jc w:val="both"/>
        <w:spacing w:after="0" w:line="287" w:lineRule="auto"/>
        <w:rPr>
          <w:sz w:val="20"/>
          <w:szCs w:val="20"/>
          <w:color w:val="auto"/>
        </w:rPr>
      </w:pPr>
      <w:r>
        <w:rPr>
          <w:rFonts w:ascii="Times New Roman" w:cs="Times New Roman" w:eastAsia="Times New Roman" w:hAnsi="Times New Roman"/>
          <w:sz w:val="14"/>
          <w:szCs w:val="14"/>
          <w:color w:val="auto"/>
        </w:rPr>
        <w:t>resulting from alcohol use, ranging from hepatic steatosis to more advances forms including alcoholic hepatitis (AH), alcohol-associated cirrhosis (AC), and acute AH presenting as acute-on-chronic liver failure.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GSK-4532990 (formerly ARO-HSD) is designed to reduce production of HSD17B13, a hydroxysteroid dehydrogenase involved in the metabolism of hormones, fatty acids and bile acids. Published human genetic data indicate that a loss of function mutation in HSD17B13 provides strong protection against metabolic-dysfunction associated steatohepatitis (MASH) cirrhosis and alcoholic hepatitis and cirrhosis. GSK is conducting Phase 2b clinical trials in patients with MASH and alcohol-related liver disease (ALD).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GSK-HBV Agreement - Chronic Hepatitis B Virus Infection</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daplusiran/tomligisiran had previously been licensed to Janssen Pharmaceuticals, Inc. (“Janssen”) in October 2018. GSK is currently in the process of initiating a Phase 2 study of daplusiran/tomligisiran followed by bepirovirsen in patients with chronic hepatitis 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Takeda Pharmaceutical Company Limited (“Takeda”)</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October 7, 2020, Takeda and the Company entered into an Exclusive License and Co-Funding Agreement (the “Takeda License Agreement”). Under the Takeda License Agreement, Takeda and the Company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received an exclusive license to commercialize fazirsiran and will lead the global commercialization strategy, while the Company will be eligible to receive tiered royalties of 20% to 25% on net sales.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Fazirsiran - Alpha-1 Antitrypsin Deficiency (AATD)</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 to 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treatment.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Fazirsiran is a subcutaneously administered RNAi therapeutic being developed as a treatment for liver disease associated with alpha-1 antitrypsin deficiency (AATD), which is a rare genetic disorder that severely damages the liver and lungs of affected individuals. Fazirsiran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goal of fazirsiran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Takeda is conducting multiple Phase 3 studies for the treatment of AATD liver disease including the REDWOOD study.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Amgen Inc. (“Amgen”)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September 28,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890 or ARO-LPA) program. These RNAi molecules are designed to reduce elevated lipoprotein(a), which is a genetically validated, independent risk factor for atherosclerotic cardiovascular disease.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Olpasiran Agreement, Amgen is wholly responsible for clinical development and commercialization.</w:t>
      </w:r>
    </w:p>
    <w:p>
      <w:pPr>
        <w:spacing w:after="0" w:line="7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November 2022, Royalty Pharma Investments 2019 ICAV (“Royalty Pharma”) and the Company entered into a Royalty Purchase Agreement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Olpasiran - Atherosclerotic Cardiovascular Disease (ASCVD)</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Olpasiran is designed to reduce production of apolipoprotein A, a key component of lipoprotein(a), which has been genetically linked with increased risk of cardiovascular diseases, independent of cholesterol and LDL levels. Amgen completed a Phase 2 clinical study evaluating the efficacy, safety, and tolerability of olpasiran in subjects with elevated levels of lipoprotein(a). Amgen reported Phase 2 clinical results at the American Heart Association (AHA) Scientific Sessions in November 2022 and simultaneously published in the New England Journal of Medicine. Amgen began evaluating olpasiran in a Phase 3 study (OCEAN) to assess the impact of olpasiran on major cardiovascular events in participants with atherosclerotic cardiovascular disease and elevated lipoprotein(a), in a double-blind, randomized, placebo-controlled, multi center study in December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Sarepta Therapeutics, Inc. (“Sarepta”)</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November 25, 2024, Sarepta and Company entered into a global licensing and collaboration agreement. The Sarepta Agreement covers multiple clinical and preclinical programs in rare, genetic diseases of the muscle, central nervous system (CNS), and the lungs, as well as allows Sarepta to select up to six new targets for Company to conduct discovery and preclinical development activities in areas complementary to Sarepta’s leadership in precision genetic medicine for rare diseases, which can utilize Arrowhead’s proprietary and differentiated TRiM platform. Clinical stage programs under the license and collaboration agreement include SRP-1001 (ARO-DUX4), SRP-1003 (ARO-DM1), SRP-1002 (ARO-MMP7), and SRP-1004 (ARO-ATXN2). Preclinical stage programs under the Sarepta Agreement include ARO-HTT for patients with Huntington’s disease, ARO-ATXN1 for patients with spinocerebellar ataxia 1 (SCA1), and ARO-ATXN3 for patients with spinocerebellar ataxia 3 (SCA3).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SRP-1001 (ARO-DUX4) - Facioscapulohumeral Muscular Dystrophy (FSHD)</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Facioscapulohumeral muscular dystrophy (FSHD) is an autosomal dominant disease associated with the failure to maintain complete epigenetic suppression of DUX4 expression in differentiated skeletal muscle, leading to overexpression of DUX4, which is myotoxic and can lead to muscle degeneration. As DUX4 expression is recognized as the cause of muscle pathology in FSHD patients, the Company believes that the selective targeting and knockdown of DUX4 using RNAi may prevent or reverse downstream myotoxicity and lead to muscle repair and improvement in muscle function in patients. There are currently no effective treatments specifically for FSHD.</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ARO-DUX4 is designed to target the gene that encodes human double homeobox 4 (DUX4) protein as a potential treatment for patients with facioscapulohumeral muscular dystrophy. The Company is currently investigating ARO-DUX4 in a Phase 1/2a clinical trial.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SRP-1003 (ARO-DM1) - Type 1 Myotonic Dystrophy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Type 1 myotonic dystrophy is an autosomal dominant, debilitating, chronic progressive multisystem disorder characterized by an expansion of a highly unstable CUGexp in the DMPK gene.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Patients with DM1 have muscle weakness and wasting, myotonia, cataracts, and often have cardiac conduction abnormalities, and may become physically disabled and have a shortened life span.</w:t>
      </w:r>
    </w:p>
    <w:p>
      <w:pPr>
        <w:spacing w:after="0" w:line="7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ARO-DM1 is designed to reduce expression of the dystrophia myotonica protein kinase (DMPK) gene. There is currently no approved disease-modifying therapy for type 1 myotonic dystrophy (DM1). Treatments have focused on symptomatic management, including physical therapy, exercise, ankle-foot orthoses, wheelchairs, and other assistive devices. The Company is currently investigating ARO-DM1 in a Phase 1/2a clinical trial.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SRP-1002 (ARO-MMP7) - Idiopathic Pulmonary Fibrosis (IPF)</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Idiopathic Pulmonary Fibrosis (IPF) is a chronic interstitial lung disease characterized by progressive fibrosis.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ARO-MMP7 is designed to reduce expression of matrix metalloproteinase 7 (MMP7) as a potential treatment for IPF. The Company is currently investigating ARO-MMP7 in a Phase 1/2a clinical trial.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SRP-1004 (ARO-ATXN2) - Spinocerebellar Ataxia 2 (SCA2)</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 w:name="page12"/>
    <w:bookmarkEnd w:id="11"/>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SCA2 is a progressive cerebellar ataxia with instability of stance, speech and swallow disorder, pain, spasticity, and ocular signs, caused by gain of function of mutant expanded polyQ ATXN2 protein.</w:t>
      </w:r>
    </w:p>
    <w:p>
      <w:pPr>
        <w:spacing w:after="0" w:line="39"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ARO-ATXN2 is designed to reduce the expression of the ATXN2 gene as a potential treatment for spinocerebellar ataxia 2 (SCA2). The Company is currently investigating ARO-ATXN2 in a Phase 1 clinical trial.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Novartis Pharma AG (“Novartis”)</w:t>
      </w:r>
    </w:p>
    <w:p>
      <w:pPr>
        <w:spacing w:after="0" w:line="96"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On August 29, 2025, Novartis and the Company entered into a global licensing and collaboration agreement. The agreement covers ARO-SNCA, Arrowhead’s preclinical stage siRNA therapy against alpha-synuclein for the treatment of synucleinopathies, such as Parkinson’s Disease, and other additional collaboration targets that will utilize Arrowhead’s proprietary TRiM platform. The transaction closed in October 2025.</w:t>
      </w:r>
    </w:p>
    <w:p>
      <w:pPr>
        <w:spacing w:after="0" w:line="32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C.</w:t>
        <w:tab/>
        <w:t>Intellectual Property and Other Key Agreements</w:t>
      </w:r>
    </w:p>
    <w:p>
      <w:pPr>
        <w:spacing w:after="0" w:line="96" w:lineRule="exact"/>
        <w:rPr>
          <w:sz w:val="20"/>
          <w:szCs w:val="20"/>
          <w:color w:val="auto"/>
        </w:rPr>
      </w:pPr>
    </w:p>
    <w:p>
      <w:pPr>
        <w:jc w:val="both"/>
        <w:ind w:right="20" w:firstLine="382"/>
        <w:spacing w:after="0" w:line="261" w:lineRule="auto"/>
        <w:rPr>
          <w:sz w:val="20"/>
          <w:szCs w:val="20"/>
          <w:color w:val="auto"/>
        </w:rPr>
      </w:pPr>
      <w:r>
        <w:rPr>
          <w:rFonts w:ascii="Times New Roman" w:cs="Times New Roman" w:eastAsia="Times New Roman" w:hAnsi="Times New Roman"/>
          <w:sz w:val="14"/>
          <w:szCs w:val="14"/>
          <w:color w:val="auto"/>
        </w:rPr>
        <w:t>The Company controls approximately 643 issued patents (including 404 directed to RNAi trigger molecules and 159 directed to targeting groups or targeting compounds), including European validations, and approximately 833 currently pending patent applications worldwide from 103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Lebanon, Mexico, New Zealand, OAPI (African Intellectual Property Organization), Peru, Philippines, Russian Federation, South Africa, Saudi Arabia, Singapore, South Korea, Thailand, Taiwan, Uruguay, Venezuela, and Vietnam.</w:t>
      </w:r>
    </w:p>
    <w:p>
      <w:pPr>
        <w:spacing w:after="0" w:line="56" w:lineRule="exact"/>
        <w:rPr>
          <w:sz w:val="20"/>
          <w:szCs w:val="20"/>
          <w:color w:val="auto"/>
        </w:rPr>
      </w:pPr>
    </w:p>
    <w:p>
      <w:pPr>
        <w:jc w:val="both"/>
        <w:ind w:right="2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RNAi Triggers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Company owns issued patents or has filed patent applications directed to RNAi trigger molecules, which serve as the foundation of the Company’s TRiM platform, and 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targeted to reduce expression of various gene targets. However, the Company cannot guarantee that issued patents will be enforceable or provide adequate protection for the Company, or that pending patent applications will result in issued patents. These patents and patent applications that relate to partnered and non-partnered products in the Company's clinical pipeline include the following:</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660" w:type="dxa"/>
            <w:vAlign w:val="bottom"/>
            <w:tcBorders>
              <w:top w:val="single" w:sz="8" w:color="auto"/>
              <w:left w:val="single" w:sz="8" w:color="auto"/>
              <w:bottom w:val="single" w:sz="8" w:color="auto"/>
              <w:right w:val="single" w:sz="8" w:color="auto"/>
            </w:tcBorders>
            <w:shd w:val="clear" w:color="auto" w:fill="CCEEFF"/>
          </w:tcPr>
          <w:p>
            <w:pPr>
              <w:ind w:left="2420"/>
              <w:spacing w:after="0"/>
              <w:rPr>
                <w:sz w:val="20"/>
                <w:szCs w:val="20"/>
                <w:color w:val="auto"/>
              </w:rPr>
            </w:pPr>
            <w:r>
              <w:rPr>
                <w:rFonts w:ascii="Times New Roman" w:cs="Times New Roman" w:eastAsia="Times New Roman" w:hAnsi="Times New Roman"/>
                <w:sz w:val="14"/>
                <w:szCs w:val="14"/>
                <w:b w:val="1"/>
                <w:bCs w:val="1"/>
                <w:color w:val="auto"/>
              </w:rPr>
              <w:t>Patent Group</w:t>
            </w:r>
          </w:p>
        </w:tc>
        <w:tc>
          <w:tcPr>
            <w:tcW w:w="5640" w:type="dxa"/>
            <w:vAlign w:val="bottom"/>
            <w:tcBorders>
              <w:top w:val="single" w:sz="8" w:color="auto"/>
              <w:bottom w:val="single" w:sz="8" w:color="auto"/>
              <w:right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4"/>
                <w:szCs w:val="14"/>
                <w:b w:val="1"/>
                <w:bCs w:val="1"/>
                <w:color w:val="auto"/>
              </w:rPr>
              <w:t>Estimated Year(s) of Expiration*</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AAT</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2035, 2038</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ALK7</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2044</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ANGPTL3</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2038</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APOC3</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2038</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APOC3/PCSK9 Dimer</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2045</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ATXN2</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2044</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C3</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2043</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CFB</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2044</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DM1</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2043</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DUX4</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2041</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HBV</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2032, 2036, 2037</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HSD17B13</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2039, 2043</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INHBE</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2044</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LPA</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2036</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MMP7</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2042</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PNPLA3</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2041</w:t>
            </w:r>
          </w:p>
        </w:tc>
      </w:tr>
      <w:tr>
        <w:trPr>
          <w:trHeight w:val="171"/>
        </w:trPr>
        <w:tc>
          <w:tcPr>
            <w:tcW w:w="5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RAGE (AGER)</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2042</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*Assuming issuance of any pending patent applications, and excluding any patent term adjustments or patent term extensions.</w:t>
      </w:r>
    </w:p>
    <w:p>
      <w:pPr>
        <w:spacing w:after="0" w:line="92" w:lineRule="exact"/>
        <w:rPr>
          <w:sz w:val="20"/>
          <w:szCs w:val="20"/>
          <w:color w:val="auto"/>
        </w:rPr>
      </w:pPr>
    </w:p>
    <w:p>
      <w:pPr>
        <w:jc w:val="both"/>
        <w:ind w:left="380"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Delivery Technologies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delivery technology-related patents and patent applications, which include components used in the Company’s TRiM platform, have been filed and/or issued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various jurisdictions worldwide including the United States, Argentina, Australia, Brazil, Canada, China, Eurasian Patent Organization, Europe (including validations in France, Germany, Italy, Spain, Switzerland, United Kingdom), GCC (Gulf Cooperation Council),</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6" w:right="299" w:bottom="1440" w:gutter="0" w:footer="0" w:header="0"/>
        </w:sectPr>
      </w:pPr>
    </w:p>
    <w:bookmarkStart w:id="12" w:name="page13"/>
    <w:bookmarkEnd w:id="12"/>
    <w:p>
      <w:pPr>
        <w:jc w:val="both"/>
        <w:ind w:left="380" w:right="20"/>
        <w:spacing w:after="0" w:line="270" w:lineRule="auto"/>
        <w:rPr>
          <w:sz w:val="20"/>
          <w:szCs w:val="20"/>
          <w:color w:val="auto"/>
        </w:rPr>
      </w:pPr>
      <w:r>
        <w:rPr>
          <w:rFonts w:ascii="Times New Roman" w:cs="Times New Roman" w:eastAsia="Times New Roman" w:hAnsi="Times New Roman"/>
          <w:sz w:val="14"/>
          <w:szCs w:val="14"/>
          <w:color w:val="auto"/>
        </w:rPr>
        <w:t>Israel, India, Japan, Lebanon, Mexico, New Zealand, Philippines, Russia, South Africa, South Korea, Singapore, Taiwan, and Uruguay. However, the Company cannot guarantee that issued patents will be enforceable or provide adequate protection for the Company, or that pending patent applications will result in issued patents. These various groups of patents and applications that relate to partnered and non-partnered products in the Company's clinical pipeline are set forth below:</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660" w:type="dxa"/>
            <w:vAlign w:val="bottom"/>
            <w:tcBorders>
              <w:top w:val="single" w:sz="8" w:color="auto"/>
              <w:left w:val="single" w:sz="8" w:color="auto"/>
              <w:bottom w:val="single" w:sz="8" w:color="auto"/>
              <w:righ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Patent Group</w:t>
            </w:r>
          </w:p>
        </w:tc>
        <w:tc>
          <w:tcPr>
            <w:tcW w:w="5640" w:type="dxa"/>
            <w:vAlign w:val="bottom"/>
            <w:tcBorders>
              <w:top w:val="single" w:sz="8" w:color="auto"/>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Estimated Year(s) of Expiration*</w:t>
            </w:r>
          </w:p>
        </w:tc>
      </w:tr>
      <w:tr>
        <w:trPr>
          <w:trHeight w:val="171"/>
        </w:trPr>
        <w:tc>
          <w:tcPr>
            <w:tcW w:w="5660" w:type="dxa"/>
            <w:vAlign w:val="bottom"/>
            <w:tcBorders>
              <w:left w:val="single" w:sz="8" w:color="auto"/>
              <w:bottom w:val="single" w:sz="8" w:color="auto"/>
              <w:right w:val="single" w:sz="8" w:color="EEECE1"/>
            </w:tcBorders>
            <w:shd w:val="clear" w:color="auto" w:fill="EEECE1"/>
          </w:tcPr>
          <w:p>
            <w:pPr>
              <w:ind w:left="360"/>
              <w:spacing w:after="0"/>
              <w:rPr>
                <w:sz w:val="20"/>
                <w:szCs w:val="20"/>
                <w:color w:val="auto"/>
              </w:rPr>
            </w:pPr>
            <w:r>
              <w:rPr>
                <w:rFonts w:ascii="Times New Roman" w:cs="Times New Roman" w:eastAsia="Times New Roman" w:hAnsi="Times New Roman"/>
                <w:sz w:val="14"/>
                <w:szCs w:val="14"/>
                <w:b w:val="1"/>
                <w:bCs w:val="1"/>
                <w:color w:val="auto"/>
              </w:rPr>
              <w:t>Targeting ligands and other RNAi delivery and platform technologies</w:t>
            </w:r>
          </w:p>
        </w:tc>
        <w:tc>
          <w:tcPr>
            <w:tcW w:w="5640" w:type="dxa"/>
            <w:vAlign w:val="bottom"/>
            <w:tcBorders>
              <w:bottom w:val="single" w:sz="8" w:color="auto"/>
              <w:right w:val="single" w:sz="8" w:color="auto"/>
            </w:tcBorders>
            <w:shd w:val="clear" w:color="auto" w:fill="EEECE1"/>
          </w:tcPr>
          <w:p>
            <w:pPr>
              <w:spacing w:after="0"/>
              <w:rPr>
                <w:sz w:val="14"/>
                <w:szCs w:val="14"/>
                <w:color w:val="auto"/>
              </w:rPr>
            </w:pP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CNS Intrathecal Delivery Platform</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2043</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Adipose Delivery Platform</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2044</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BBB Shuttle Delivery Platform</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2045</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Muscle delivery platform</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2041</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PK/PD lipid modifiers</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2041</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RNAi agent design (5′-phosphate mimic)</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2037</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Targeting groups (αvβ6 integrin ligands)</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2037, 2038, 2041</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Targeting groups (N-acetylgalactosamine ligands)</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2037</w:t>
            </w:r>
          </w:p>
        </w:tc>
      </w:tr>
      <w:tr>
        <w:trPr>
          <w:trHeight w:val="171"/>
        </w:trPr>
        <w:tc>
          <w:tcPr>
            <w:tcW w:w="5660" w:type="dxa"/>
            <w:vAlign w:val="bottom"/>
            <w:tcBorders>
              <w:left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Trialkyne linkers</w:t>
            </w:r>
          </w:p>
        </w:tc>
        <w:tc>
          <w:tcPr>
            <w:tcW w:w="564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2039</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*Assuming issuance of any pending patent applications, and excluding any patent term adjustments or patent term extensions.</w:t>
      </w:r>
    </w:p>
    <w:p>
      <w:pPr>
        <w:spacing w:after="0" w:line="94"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RNAi and drug delivery patent landscapes are complex and rapidly evolving. As such, the Company may need to obtain additional patent licenses prior to commercialization of its candidates. Please see “Risk Factors” in Part I, Item 1A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Assets from Novartis</w:t>
      </w:r>
    </w:p>
    <w:p>
      <w:pPr>
        <w:spacing w:after="0" w:line="96" w:lineRule="exact"/>
        <w:rPr>
          <w:sz w:val="20"/>
          <w:szCs w:val="20"/>
          <w:color w:val="auto"/>
        </w:rPr>
      </w:pPr>
    </w:p>
    <w:p>
      <w:pPr>
        <w:jc w:val="both"/>
        <w:ind w:right="20" w:firstLine="382"/>
        <w:spacing w:after="0" w:line="257" w:lineRule="auto"/>
        <w:rPr>
          <w:sz w:val="20"/>
          <w:szCs w:val="20"/>
          <w:color w:val="auto"/>
        </w:rPr>
      </w:pPr>
      <w:r>
        <w:rPr>
          <w:rFonts w:ascii="Times New Roman" w:cs="Times New Roman" w:eastAsia="Times New Roman" w:hAnsi="Times New Roman"/>
          <w:sz w:val="14"/>
          <w:szCs w:val="14"/>
          <w:color w:val="auto"/>
        </w:rPr>
        <w:t>On March 3, 2015, Novartis and the Company entered into an Asset Purchase and Exclusive License Agreement (the “RNAi Purchase Agreement”) pursuant to which the Company acquired Novartis’s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Pharmaceuticals, Inc.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Non-Exclusively Licensed Patent Rights from Roche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On October 21, 2011, the Company acquired the RNAi therapeutics business of Hoffmann-La Roche, Inc. and F. Hoffmann-La Roche Ltd. (collectively, “Roche”). The acquisition provided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with two primary sources of value:</w:t>
      </w:r>
    </w:p>
    <w:p>
      <w:pPr>
        <w:spacing w:after="0" w:line="79" w:lineRule="exact"/>
        <w:rPr>
          <w:sz w:val="20"/>
          <w:szCs w:val="20"/>
          <w:color w:val="auto"/>
        </w:rPr>
      </w:pPr>
    </w:p>
    <w:p>
      <w:pPr>
        <w:ind w:left="760" w:right="20" w:hanging="373"/>
        <w:spacing w:after="0" w:line="263"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 freedom to operate with respect to key patents directed to the primary RNAi-trigger formats: canonical, unlocked nucleotide analogs (“UNA”), meroduplex, and dicer substrate structures; and</w:t>
      </w:r>
    </w:p>
    <w:p>
      <w:pPr>
        <w:ind w:left="760" w:hanging="373"/>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large team of scientists experienced in RNAi and oligonucleotide delivery.</w:t>
      </w:r>
    </w:p>
    <w:p>
      <w:pPr>
        <w:spacing w:after="0" w:line="79" w:lineRule="exact"/>
        <w:rPr>
          <w:sz w:val="20"/>
          <w:szCs w:val="20"/>
          <w:color w:val="auto"/>
        </w:rPr>
      </w:pPr>
    </w:p>
    <w:p>
      <w:pPr>
        <w:jc w:val="both"/>
        <w:ind w:right="20" w:firstLine="382"/>
        <w:spacing w:after="0" w:line="270" w:lineRule="auto"/>
        <w:rPr>
          <w:sz w:val="20"/>
          <w:szCs w:val="20"/>
          <w:color w:val="auto"/>
        </w:rPr>
      </w:pPr>
      <w:r>
        <w:rPr>
          <w:rFonts w:ascii="Times New Roman" w:cs="Times New Roman" w:eastAsia="Times New Roman" w:hAnsi="Times New Roman"/>
          <w:sz w:val="14"/>
          <w:szCs w:val="14"/>
          <w:color w:val="auto"/>
        </w:rPr>
        <w:t>Pursuant to this acquisition, Roche assigned to the Company its entire rights under certain licenses including: the License and Collaboration Agreement between Roche and Alnylam dated July 8, 2007; the Non-Exclusive Patent License Agreement between Roche and MDRNA, Inc. dated February 12, 2009 (“MDRNA License”); and the Non-Exclusive License Agreement between Roche and City of Hope dated September 19, 2011 (collectively the “RNAi Licenses”).</w:t>
      </w:r>
    </w:p>
    <w:p>
      <w:pPr>
        <w:spacing w:after="0" w:line="51"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RNAi Licenses included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46" w:right="299" w:bottom="1440" w:gutter="0" w:footer="0" w:header="0"/>
        </w:sectPr>
      </w:pPr>
    </w:p>
    <w:bookmarkStart w:id="13" w:name="page14"/>
    <w:bookmarkEnd w:id="13"/>
    <w:p>
      <w:pPr>
        <w:jc w:val="both"/>
        <w:spacing w:after="0" w:line="287" w:lineRule="auto"/>
        <w:rPr>
          <w:sz w:val="20"/>
          <w:szCs w:val="20"/>
          <w:color w:val="auto"/>
        </w:rPr>
      </w:pPr>
      <w:r>
        <w:rPr>
          <w:rFonts w:ascii="Times New Roman" w:cs="Times New Roman" w:eastAsia="Times New Roman" w:hAnsi="Times New Roman"/>
          <w:sz w:val="14"/>
          <w:szCs w:val="14"/>
          <w:color w:val="auto"/>
        </w:rPr>
        <w:t>double-stranded oligonucleotides, such as meroduplexes described in U.S. Patent No. 9,074,205 assigned to Marina Biotech (f/k/a MDRNA, Inc.), as well as U.S. Patent Nos. 8,314,227, 9,051,570, and 9,303,260 related to UNA. The UNA patents were assigned by Marina Biotech to Arcturus Therapeutics, Inc., but remain part of the MDRNA License.</w:t>
      </w:r>
    </w:p>
    <w:p>
      <w:pPr>
        <w:spacing w:after="0" w:line="122"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D.</w:t>
        <w:tab/>
        <w:t>Government Regulation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levels, and in other countries and jurisdictions, including the European Union (“EU”),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the Company’s current product candidates are expected to be regulated as drugs. The processes for obtaining regulatory approval in the United States and in foreign countries and jurisdictions, along with compliance with applicable statutes and regulations and other regulatory authorities both pre- and post-commercialization, are a significant factor in the production and marketing of the Company’s products and its R&amp;D activities and require the expenditure of substantial time and financial resources.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United States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FDA and other government entities regulate drugs under the Federal Food, Drug, and Cosmetic Act (the “FDCA”), and the regulations promulgated under those statutes,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 applicant seeking approval to market and distribute a new drug in the United States must typically undertake the following:</w:t>
      </w:r>
    </w:p>
    <w:p>
      <w:pPr>
        <w:spacing w:after="0" w:line="92" w:lineRule="exact"/>
        <w:rPr>
          <w:sz w:val="20"/>
          <w:szCs w:val="20"/>
          <w:color w:val="auto"/>
        </w:rPr>
      </w:pPr>
    </w:p>
    <w:p>
      <w:pPr>
        <w:ind w:left="380" w:firstLine="7"/>
        <w:spacing w:after="0" w:line="290" w:lineRule="auto"/>
        <w:tabs>
          <w:tab w:leader="none" w:pos="6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completion of preclinical laboratory tests, which may include animal and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studies, and formulation studies in compliance with the FDA’s good laboratory practice (“GLP”) regulations;</w:t>
      </w:r>
    </w:p>
    <w:p>
      <w:pPr>
        <w:spacing w:after="0" w:line="37" w:lineRule="exact"/>
        <w:rPr>
          <w:rFonts w:ascii="Times New Roman" w:cs="Times New Roman" w:eastAsia="Times New Roman" w:hAnsi="Times New Roman"/>
          <w:sz w:val="14"/>
          <w:szCs w:val="14"/>
          <w:color w:val="auto"/>
        </w:rPr>
      </w:pPr>
    </w:p>
    <w:p>
      <w:pPr>
        <w:ind w:left="380" w:firstLine="7"/>
        <w:spacing w:after="0" w:line="287" w:lineRule="auto"/>
        <w:tabs>
          <w:tab w:leader="none" w:pos="59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Investigational New Drug application (“IND”) for human clinical testing, which must become effective without FDA objection before human clinical trials may begin;</w:t>
      </w:r>
    </w:p>
    <w:p>
      <w:pPr>
        <w:spacing w:after="0" w:line="39"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independent institutional review board (“IRB”), representing each clinical site before each clinical trial may be initiated;</w:t>
      </w:r>
    </w:p>
    <w:p>
      <w:pPr>
        <w:spacing w:after="0" w:line="93" w:lineRule="exact"/>
        <w:rPr>
          <w:rFonts w:ascii="Times New Roman" w:cs="Times New Roman" w:eastAsia="Times New Roman" w:hAnsi="Times New Roman"/>
          <w:sz w:val="14"/>
          <w:szCs w:val="14"/>
          <w:color w:val="auto"/>
        </w:rPr>
      </w:pPr>
    </w:p>
    <w:p>
      <w:pPr>
        <w:ind w:left="380" w:firstLine="7"/>
        <w:spacing w:after="0" w:line="287" w:lineRule="auto"/>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39"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and submission to the FDA of an NDA;</w:t>
      </w:r>
    </w:p>
    <w:p>
      <w:pPr>
        <w:spacing w:after="0" w:line="93"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review of the NDA by an FDA advisory committee, where appropriate or if applicable;</w:t>
      </w:r>
    </w:p>
    <w:p>
      <w:pPr>
        <w:spacing w:after="0" w:line="93" w:lineRule="exact"/>
        <w:rPr>
          <w:rFonts w:ascii="Times New Roman" w:cs="Times New Roman" w:eastAsia="Times New Roman" w:hAnsi="Times New Roman"/>
          <w:sz w:val="14"/>
          <w:szCs w:val="14"/>
          <w:color w:val="auto"/>
        </w:rPr>
      </w:pPr>
    </w:p>
    <w:p>
      <w:pPr>
        <w:jc w:val="both"/>
        <w:ind w:left="380" w:firstLine="7"/>
        <w:spacing w:after="0" w:line="270" w:lineRule="auto"/>
        <w:tabs>
          <w:tab w:leader="none" w:pos="58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50"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user fees, as applicable, and securing FDA approval of the NDA; and</w:t>
      </w:r>
    </w:p>
    <w:p>
      <w:pPr>
        <w:spacing w:after="0" w:line="93"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any post-approval requirements, such as any Risk Evaluation and Mitigation Strategies (“REMS”) or post-approval studies required by the FDA.</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Preclinical Studies and an IND</w:t>
      </w:r>
    </w:p>
    <w:p>
      <w:pPr>
        <w:spacing w:after="0" w:line="94"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color w:val="auto"/>
        </w:rPr>
        <w:t xml:space="preserve">Preclinical studies can include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and animal studies to assess the potential for adverse events and, in some cases, to establish a rationale for therapeutic use, which studies are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jc w:val="both"/>
        <w:spacing w:after="0" w:line="276" w:lineRule="auto"/>
        <w:rPr>
          <w:sz w:val="20"/>
          <w:szCs w:val="20"/>
          <w:color w:val="auto"/>
        </w:rPr>
      </w:pPr>
      <w:r>
        <w:rPr>
          <w:rFonts w:ascii="Times New Roman" w:cs="Times New Roman" w:eastAsia="Times New Roman" w:hAnsi="Times New Roman"/>
          <w:sz w:val="14"/>
          <w:szCs w:val="14"/>
          <w:color w:val="auto"/>
        </w:rPr>
        <w:t>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However, submission of an IND may not result in the FDA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allowing clinical trials to commence, and clinical trials that have commenced may be paused, if the FDA has any concerns and places the trial on hold.</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 clinical hold is an order issued by the FDA to the sponsor to delay a proposed clinical investigation or to suspend an ongoing investigation in part or in full. Following issuance of a full or partial clinical hold, an investigation may only resume after the FDA has notified the sponsor that the investigation may proceed, which determination will be based on information provided by the sponsor correcting the deficiencies previously cited or otherwise satisfying the FDA that the investigation can proceed.</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Human Clinical Studies in Support of an NDA</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The plan for, and protocols and informed consent processes and documentation for, any clinical trial is also subject to certain requirements for approval, and periodic review and reapproval, by an IRB representing each institution participating in the clinical trial. Information about certain clinical trials must be submitted within specific timeframes to the National Institutes of Health for public dissemination on its ClinicalTrials.gov website.</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which may overlap or be combined:</w:t>
      </w:r>
    </w:p>
    <w:p>
      <w:pPr>
        <w:spacing w:after="0" w:line="94" w:lineRule="exact"/>
        <w:rPr>
          <w:sz w:val="20"/>
          <w:szCs w:val="20"/>
          <w:color w:val="auto"/>
        </w:rPr>
      </w:pPr>
    </w:p>
    <w:p>
      <w:pPr>
        <w:jc w:val="both"/>
        <w:ind w:left="380"/>
        <w:spacing w:after="0" w:line="287" w:lineRule="auto"/>
        <w:rPr>
          <w:sz w:val="20"/>
          <w:szCs w:val="20"/>
          <w:color w:val="auto"/>
        </w:rPr>
      </w:pPr>
      <w:r>
        <w:rPr>
          <w:rFonts w:ascii="Times New Roman" w:cs="Times New Roman" w:eastAsia="Times New Roman" w:hAnsi="Times New Roman"/>
          <w:sz w:val="14"/>
          <w:szCs w:val="14"/>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39" w:lineRule="exact"/>
        <w:rPr>
          <w:sz w:val="20"/>
          <w:szCs w:val="20"/>
          <w:color w:val="auto"/>
        </w:rPr>
      </w:pPr>
    </w:p>
    <w:p>
      <w:pPr>
        <w:jc w:val="both"/>
        <w:ind w:left="380"/>
        <w:spacing w:after="0" w:line="287" w:lineRule="auto"/>
        <w:rPr>
          <w:sz w:val="20"/>
          <w:szCs w:val="20"/>
          <w:color w:val="auto"/>
        </w:rPr>
      </w:pPr>
      <w:r>
        <w:rPr>
          <w:rFonts w:ascii="Times New Roman" w:cs="Times New Roman" w:eastAsia="Times New Roman" w:hAnsi="Times New Roman"/>
          <w:sz w:val="14"/>
          <w:szCs w:val="14"/>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39" w:lineRule="exact"/>
        <w:rPr>
          <w:sz w:val="20"/>
          <w:szCs w:val="20"/>
          <w:color w:val="auto"/>
        </w:rPr>
      </w:pPr>
    </w:p>
    <w:p>
      <w:pPr>
        <w:jc w:val="both"/>
        <w:ind w:left="380"/>
        <w:spacing w:after="0" w:line="270" w:lineRule="auto"/>
        <w:rPr>
          <w:sz w:val="20"/>
          <w:szCs w:val="20"/>
          <w:color w:val="auto"/>
        </w:rPr>
      </w:pPr>
      <w:r>
        <w:rPr>
          <w:rFonts w:ascii="Times New Roman" w:cs="Times New Roman" w:eastAsia="Times New Roman" w:hAnsi="Times New Roman"/>
          <w:sz w:val="14"/>
          <w:szCs w:val="14"/>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An IRB also may suspend or terminate a clinical trial under certain circumstances. The FDA will typically inspect one or more clinical sites in late-stage clinical trials to assure compliance with cGCP and the integrity of the clinical data submitted.</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cGCP, including review and approval by an independent ethics committee and use of proper procedures for obtaining informed consent from subjects, and the FDA is able to validate the data from the study through an onsite inspection if the FDA deems such inspection necessary. The cGCP requirements encompass both ethical and data integrity standards for clinical studies.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Submission of an NDA to the FDA</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approximately $4.682 million for fiscal year 2026, for applications requiring clinical data, and the sponsor 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an approved NDA is also subject to an annual program fee, currently approximately $0.442 million for fiscal year 2026. These fees are adjusted annually.</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FDA conducts a preliminary review of an NDA within 60 days of its receipt and informs the sponsor by the 74th day after the FDA’s receipt of the submission to determine whether the application is sufficiently complete to permit substantive review.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The FDA’s Decision on an NDA</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regulations. The granting of an orphan drug designation does not alter the standard regulatory requirements and process for obtaining marketing approval. Safety and effectiveness of a drug must be established through adequate and well-controlled studies.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jc w:val="both"/>
        <w:spacing w:after="0" w:line="287" w:lineRule="auto"/>
        <w:rPr>
          <w:sz w:val="20"/>
          <w:szCs w:val="20"/>
          <w:color w:val="auto"/>
        </w:rPr>
      </w:pPr>
      <w:r>
        <w:rPr>
          <w:rFonts w:ascii="Times New Roman" w:cs="Times New Roman" w:eastAsia="Times New Roman" w:hAnsi="Times New Roman"/>
          <w:sz w:val="14"/>
          <w:szCs w:val="14"/>
          <w:color w:val="auto"/>
        </w:rPr>
        <w:t>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FDA’s interpretation of the scope of orphan drug exclusivity may change. The FDA’s longstanding interpretation of the Orphan Drug Act is that exclusivity is specific to the orphan indication for which the drug was actually approved. As a result, the scope of exclusivity has been narrow and protected only against competition from the same “use or indication” rather than the broader “disease or condition.” Recent court decisions have created uncertainty in the application and interpretation of orphan drug exclusivity, which may limit the drugs that can receive orphan drug exclusivity.</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Expedited Review and Accelerated Approval Programs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which the FDA may require to be underway prior to approval, are generally required to verify the drug’s clinical benefit in relationship to the surrogate endpoint or ultimate outcome in relationship to the clinical benefit. In addition, promotional materials is required for drugs granted accelerated approval.</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Post-Approval Requirements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spacing w:after="0" w:line="284" w:lineRule="auto"/>
        <w:rPr>
          <w:sz w:val="20"/>
          <w:szCs w:val="20"/>
          <w:color w:val="auto"/>
        </w:rPr>
      </w:pPr>
      <w:r>
        <w:rPr>
          <w:rFonts w:ascii="Times New Roman" w:cs="Times New Roman" w:eastAsia="Times New Roman" w:hAnsi="Times New Roman"/>
          <w:sz w:val="14"/>
          <w:szCs w:val="14"/>
          <w:color w:val="auto"/>
        </w:rPr>
        <w:t>add new safety information; imposition of post-market studies or clinical trials to assess new safety risks; or imposition of distribution or other restrictions under a REMS program. Other potential consequences include, among other things:</w:t>
      </w:r>
    </w:p>
    <w:p>
      <w:pPr>
        <w:spacing w:after="0" w:line="1" w:lineRule="exact"/>
        <w:rPr>
          <w:sz w:val="20"/>
          <w:szCs w:val="20"/>
          <w:color w:val="auto"/>
        </w:rPr>
      </w:pPr>
    </w:p>
    <w:p>
      <w:pPr>
        <w:ind w:left="760" w:hanging="373"/>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product recalls;</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untitled, or it has come to our attention letters, or holds on post-approval clinical trials;</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revocation of product license approvals;</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 or</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Abbreviated New Drug Applications for Generic Drugs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 In order for an ANDA to be approved, the FDA must find that the generic version is identical to the RLD with respect to the active ingredients, the route of administration, the dosage form, and the strength of the drug. However,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w:t>
      </w:r>
    </w:p>
    <w:p>
      <w:pPr>
        <w:spacing w:after="0" w:line="6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Under the Hatch-Waxman Amendments, the FDA may not approve an ANDA until any applicable period of nonpatent exclusivity for the RLD has expired. The FDCA provides a period of five years of data exclusivity for NDAs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Hatch-Waxman Patent Certification and the 30 Month Stay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referenced product in the Orange Book, except for patents covering methods of use for which the ANDA applicant is not seeking approval.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for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certification, expiration of the patent, settlement of the lawsuit or a decision in the infringement case that is favorable to the ANDA applicant.</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505(b)(2) New Drug Applications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an alternative path to FDA approval for modifications to formulations or uses of products previously approved by the FDA pursuant to an NDA, an applicant may submit an NDA under Section 505(b)(2) of the FDCA. Section 505(b)(2)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Pediatric Studies and Exclusivity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under 35 U.S.C. § 156, but it effectively extends the regulatory period during which the FDA cannot accept or approve another application.</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Patent Term Restoration and Extension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jc w:val="both"/>
        <w:spacing w:after="0" w:line="264" w:lineRule="auto"/>
        <w:rPr>
          <w:sz w:val="20"/>
          <w:szCs w:val="20"/>
          <w:color w:val="auto"/>
        </w:rPr>
      </w:pPr>
      <w:r>
        <w:rPr>
          <w:rFonts w:ascii="Times New Roman" w:cs="Times New Roman" w:eastAsia="Times New Roman" w:hAnsi="Times New Roman"/>
          <w:sz w:val="14"/>
          <w:szCs w:val="14"/>
          <w:color w:val="auto"/>
        </w:rPr>
        <w:t>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European Union and United Kingdom</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order to market any pharmaceutical product outside of the United States, a company must also comply with numerous and varying regulatory requirements of other countries and jurisdictions governing, among other things, research and development, testing, manufacturing, quality control, safety, efficacy, labeling, clinical trials, marketing authorization, packaging, storage, record keeping, reporting, export and import, advertising, marketing and other promotional practices involving pharmaceutical products, as well as commercial sales, distribution, authorization, approval and post-approval monitoring and reporting of its products. Whether or not a company obtains FDA approval for a pharmaceutical product, the company would need to obtain the necessary approvals by the comparable foreign regulatory authorities before it can commence clinical trials or marketing of the pharmaceutical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United Kingdom (“UK”) formally left the EU on January 31, 2020 (“Brexit”) and EU laws now only apply to the UK in respect of Northern Ireland as laid out in the Protocol on Ireland and Northern Ireland. The EU and the UK have agreed on a trade and cooperation agreement (“TCA”) which includes provisions affecting the life sciences sector (including on customs and tariffs). There are some specific provisions concerning pharmaceuticals, including the mutual recognition of Good Manufacturing Practice (“GMP”) and issued GMP documents. The TCA does not, however, contain wholesale mutual recognition of UK and EU pharmaceutical regulations and product standards.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UK government has enacted the Medicines and Medical Devices Act 2021. The purpose of the act is to enable the existing regulatory frameworks in relation to human medicines and clinical trials of human medicines, among others, to be updated. The powers under the act may only be exercised in relation to specified matters and must safeguard public health.</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Medicines and Medical Devices Act 2021 supplements the UK Medical Devices Regulations 2002 (“UK Regulations”), which are based on the EU Medical Devices Directive as amended to reflect the UK’s post-Brexit regulatory regime. Notably, the UK Regulations do not include any of the revisions that have been made by the EU Medical Devices Regulation (EU) 2017/745, which, since May 26, 2021, applies in all EU member states.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June 2025, new post-market surveillance requirements for medical devices entered into force under the Medical Devices (Post-market Surveillance Requirements (Amendment) (Great Britain) Regulations 2024. These requirements represent a significant tightening of post-market surveillance obligations, including the introduction of mandatory post-market surveillance plans and periodic safety update reports, reduced incident reporting deadlines, and new requirements to report and analyze incident trends.</w:t>
      </w:r>
    </w:p>
    <w:p>
      <w:pPr>
        <w:spacing w:after="0" w:line="4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 xml:space="preserve">In July 2025, the UK’s Medicines and Healthcare products Regulatory Agency (“MHRA”) published its responses to the consultation on </w:t>
      </w:r>
      <w:r>
        <w:rPr>
          <w:rFonts w:ascii="Times New Roman" w:cs="Times New Roman" w:eastAsia="Times New Roman" w:hAnsi="Times New Roman"/>
          <w:sz w:val="14"/>
          <w:szCs w:val="14"/>
          <w:i w:val="1"/>
          <w:iCs w:val="1"/>
          <w:color w:val="auto"/>
        </w:rPr>
        <w:t>Medical Device Regulations: Routes to market and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vitro diagnostic devices </w:t>
      </w:r>
      <w:r>
        <w:rPr>
          <w:rFonts w:ascii="Times New Roman" w:cs="Times New Roman" w:eastAsia="Times New Roman" w:hAnsi="Times New Roman"/>
          <w:sz w:val="14"/>
          <w:szCs w:val="14"/>
          <w:color w:val="auto"/>
        </w:rPr>
        <w:t>carried out in 2024. In its responses, the MHRA confirmed that it will be moving forward with a number of the proposed changes, and intends to table ‘Pre-Market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Regulations’ in Parliament later this year, with implementation aimed for 2026. Among other things, MHRA will extend the sunset period for four key EU-derived regulations (covering IVDs, electronic instructions, animal tissue devices, and approved bodies) beyond May 26, 2025 while new UK-specific laws are established. MHRA also plans to rely on approvals from Australia, Canada, EU, and US, given their comparable regulatory systems, and will implement three routes to market. Also, manufacturers will be required to assign a Unique Device Identification (UDI) to devices before they are placed on the Great Britain market. Once UDI is operational, the requirement for mandatory UKCA (UK Conformit Assessed) marking on devices or packaging will be removed. Under the Medical Devices (Amendment) (Great Britain) Regulations 2023, CE (Conformité Européene, or European Conformity) marked European medical devices will continue to be accepted for sale in the UK until 2028 or 2030 (depending on the type of device).</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Drug and Biologic Development Process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conduct of clinical trials in the EU is governed by the EU Clinical Trials Regulation (EU) No. 536/2014 (“CTR”) which became applicable on January 31, 2022. The CTR replaced the Clinical Trials Directive 2001/20/EC,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auto"/>
        </w:rPr>
        <w:t>(Clinical Trials Directive) and introduced a complete overhaul of the existing regulation of clinical trials for medicinal products in the EU.</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Under the new CTR, a sponsor is able to submit a single application for approval of a clinical trial through a centralized EU clinical trials portal, the Clinical Trials Information System (“CTIS”). One national regulatory authority (the reporting EU member state proposed by the applicant) takes the lead in validating and evaluating the application, and consults and coordinates with the other concerned EU member states. If an application is rejected, it may be amended and resubmitted through the CTIS. If an approval is issued, the sponsor may start the clinical trial in all concerned EU member states. However, a concerned EU member state may in limited circumstances declare an “opt-out” from an approval and prevent the clinical trial from being conducted in such EU member state. The CTR also aims to streamline and simplify the rules on safety reporting and introduces enhanced transparency requirements such as mandatory submission of a summary of the clinical trial results to the CTIS. The CTR included a three-year transition period. Since January 31, 2023, submission of initial Clinical Trial Applications “CTA") via CTIS has been mandatory and CTIS serves as the single entry point for submission of clinical trial-related information and data. As of January 31, 2025, all ongoing trials approved under the former Clinical Trials Directive need to comply with the CTR and have to be transitioned to CTIS.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Under both the former regime and the new CTR, national laws, regulations, and the applicable GCP and Good Laboratory Practice standards must also be respected during the conduct of the trials, including the International Council for Harmonization of Technical Requirements for Pharmaceuticals for Human Use guidelines on GCP, and the ethical principles that have their origin in the Declaration of Helsinki.</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development of a medicinal product, the European Medicines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Marketing Authorization Procedures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the EU and in Iceland, Norway and Liechtenstein (together the European Economic Area or “EEA”), after completion of all required clinical testing, pharmaceutical products may only be placed on the market after obtaining a Marketing Authorization (“MA”). To obtain an MA of a drug under EU regulatory systems, an applicant can submit a MAA through, amongst others, a centralized or decentralized procedure.</w:t>
      </w:r>
    </w:p>
    <w:p>
      <w:pPr>
        <w:spacing w:after="0" w:line="5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centralized procedure provides for the grant of a single MA by the European Commission (“EC”) that is valid for all EU member states and, after respective national implementing decisions which must be rendered within 30 days, in the three additional member states of the EEA. The centralized procedure is compulsory for specific pharmaceutical products, including for medicines developed by means of certain biotechnological processes, products designated as orphan pharmaceutical products, advanced therapy pharmaceutical products and pharmaceutical products with a new active substance indicated for the treatment of certain diseases (AIDS, cancer, neurodegenerative disorders, diabetes, auto-immune diseases and other immune dysfunctions and viral diseases). For pharmaceutical products containing a new active substance not yet authorized in the European Economic Area before May 20, 2004 and indicated for the treatment of other diseases, pharmaceutical products that constitute significant therapeutic, scientific or technical innovations or for which the grant of a MA through the centralized procedure would be in the interest of public health at EU level, an applicant may voluntarily submit an application for a marketing authorization through the centralized procedure.</w:t>
      </w:r>
    </w:p>
    <w:p>
      <w:pPr>
        <w:spacing w:after="0" w:line="62"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assessment might be granted by the CHMP in exceptional cases when a pharmaceutical product is expected to be of major public health interest, particularly from the point of therapeutic innovation. On request, the CHMP can reduce the time frame to 150 days if the applicant provides sufficient justification for an accelerated assessment. The CHMP will provide a positive opinion regarding the application only if it meets certain quality, safety and efficacy requirements. However, the EC has final authority for granting the MA within 67 days after receipt of the CHMP opinion.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decentralized procedure permits companies to file identical MA applications for a pharmaceutical product to the competent authorities in various EU member states simultaneously if such pharmaceutical product has not received marketing approval in any EU member state before. This procedure is available for pharmaceutical products not falling within the mandatory scope of the centralized procedure. The competent authority of a single EU member state, known as the reference EU member state, is appointed to review the application and provide an assessment report.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Subsequently, each concerned EU member state must decide whether to approve the assessment report and related materials.</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an EU member state cannot approve the assessment report and related materials on the grounds of potential serious risk to public health, the disputed points are subject to a dispute resolution mechanism and may eventually be referred to the EC, whose decision is binding for all EU member states.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New RMPs are required to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to only limited redactions.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Marketing Authorizations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Data and Market Exclusivity in the European Union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MA or placing the product on the market. New Chemical Entities (“NCE”) approved in the EU qualify for eight years of data exclusivity and ten years of marketing exclusivity.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deemed to bring a significant clinical benefit in comparison with existing therapies.</w:t>
      </w:r>
    </w:p>
    <w:p>
      <w:pPr>
        <w:spacing w:after="0" w:line="61"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Products may not be granted data exclusivity since there is no guarantee that a product will be considered by the EU’s regulatory authorities to include an NCE. Even if a compound is considered to be an NCE and the MA applicant is able to gain the prescribed period of data exclusivity, another company nevertheless could also market another version of the pharmaceutical product if such company can complete a full MAA with their own complete database of pharmaceutical tests, preclinical studies and clinical trials and obtain MA of its pharmaceutical product.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2" w:name="page23"/>
    <w:bookmarkEnd w:id="22"/>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April 26, 2023, the EC submitted a proposal for the reform of the European pharmaceutical legislation. After the European Parliament adopted an approving position on the reform on April 10, 2024, the Council of the European Union took a position and commented on the draft on June 4, 2025, clearing the way for the next legislative step, the trilogue proceedings. The first trilogue meeting took place on June 17, 2025, and negotiations are still ongoing. Finalization of these negotiations and / or entry into force are yet unclear; however, conclusion of the legislative process is not expected within the current Council Presidency, which ends on December 31, 2025.</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current drafts envisage:</w:t>
      </w:r>
    </w:p>
    <w:p>
      <w:pPr>
        <w:spacing w:after="0" w:line="83" w:lineRule="exact"/>
        <w:rPr>
          <w:sz w:val="20"/>
          <w:szCs w:val="20"/>
          <w:color w:val="auto"/>
        </w:rPr>
      </w:pPr>
    </w:p>
    <w:p>
      <w:pPr>
        <w:ind w:left="520" w:firstLine="121"/>
        <w:spacing w:after="0" w:line="238" w:lineRule="auto"/>
        <w:tabs>
          <w:tab w:leader="none" w:pos="1025"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a shortening of the periods of data exclusivity from eight to six years (with transferrable vouchers for an additional year of market protection as an incentive for the development of new antibiotics),</w:t>
      </w:r>
    </w:p>
    <w:p>
      <w:pPr>
        <w:spacing w:after="0" w:line="28" w:lineRule="exact"/>
        <w:rPr>
          <w:rFonts w:ascii="Arial" w:cs="Arial" w:eastAsia="Arial" w:hAnsi="Arial"/>
          <w:sz w:val="17"/>
          <w:szCs w:val="17"/>
          <w:color w:val="auto"/>
        </w:rPr>
      </w:pPr>
    </w:p>
    <w:p>
      <w:pPr>
        <w:ind w:left="1020" w:hanging="379"/>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earlier regulatory guidance and extension of market exclusivity for orphan medicines (depending on certain conditions),</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four-year data exclusivity for additional indications of existing products, and</w:t>
      </w:r>
    </w:p>
    <w:p>
      <w:pPr>
        <w:spacing w:after="0" w:line="51"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governing the availability of products (including shortage prevention plans and some supply obligations for manufacturers).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currently no final version of the draft package. All details, in particular dates and timeframes within the package, are still subject to negotiations between the parties involved and vary between drafts.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Orphan Designation and Exclusivity</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criteria for designating an orphan medicinal product in the EU are similar in principle to those in the United States. The EMA’s Committee for Orphan Medicinal Products (“COMP”) evaluates applications for orphan drug designation within 90 days and will issue a recommendation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Orphan drug designations are granted by the EC. An application for orphan drug designation (which is not a marketing authorization, as not all orphan-designated medicines reach the authorization application stage) must be submitted first before an application for marketing authorization of the medicinal product is submitted. The applicant will receive a fee reduction for the marketing authorization application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p>
    <w:p>
      <w:pPr>
        <w:spacing w:after="0" w:line="23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COMP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Upon the grant of a marketing authorization, orphan drug designation provides up to ten years of market exclusivity in the orphan indication.</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p>
      <w:pPr>
        <w:jc w:val="both"/>
        <w:spacing w:after="0" w:line="287" w:lineRule="auto"/>
        <w:rPr>
          <w:sz w:val="20"/>
          <w:szCs w:val="20"/>
          <w:color w:val="auto"/>
        </w:rPr>
      </w:pPr>
      <w:r>
        <w:rPr>
          <w:rFonts w:ascii="Times New Roman" w:cs="Times New Roman" w:eastAsia="Times New Roman" w:hAnsi="Times New Roman"/>
          <w:sz w:val="14"/>
          <w:szCs w:val="14"/>
          <w:color w:val="auto"/>
        </w:rPr>
        <w:t>with normal rules on data exclusivity and market protection. Additionally, a marketing authorization may be granted to a similar medicinal product (orphan or not) for the same or overlapping indication subject to certain requirements.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Pediatric Development</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the EU, companies developing a new pharmaceutical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until enough information to demonstrate its effectiveness and safety in adults is available) or waiver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because the relevant disease or condition occurs only in adults) has been granted by the EMA. The MAA for the pharmaceutical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Pharmaceutical products that are granted a marketing authorization on the basis of the pediatric clinical trials conducted in accordance with the approved PIP are eligible for a six month extension of the protection under a supplementary protection certificate (if any is in effect at the time of approval) or, in the case of orphan pharmaceutical products, a two year extension of the orphan market exclusivity. This pediatric reward is subject to specific conditions and is not automatically available when data in compliance with the approved PIP are developed and submitted. An approved PIP is also required when a marketing authorization holder wants to add a new indication, pharmaceutical form or route of administration for a medicine that is already authorized and covered by intellectual property rights.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Post-Approval Regulation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Similar to the United States, both MA holders and manufacturers of pharmaceutical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pharmaceutical products.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Failure by us or by any of our third-party partners, including suppliers, manufacturers and distributors to comply with EU laws and the related national laws of individual EU member states governing the conduct of clinical trials, manufacturing approval, MA of pharmaceutical products and marketing of such products, both before and after grant of MA, manufacturing of pharmaceutical products,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holder of an EU MA for a pharmaceutical product must also comply with EU pharmacovigilance legislation and its related regulations and guidelines, which entail many requirements for conducting pharmacovigilance, or the assessment and monitoring of the safety of pharmaceutical products.</w:t>
      </w:r>
    </w:p>
    <w:p>
      <w:pPr>
        <w:spacing w:after="0" w:line="3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These pharmacovigilance rules can impose on holders of MAs the obligation to conduct a labor intensive collection of data regarding the risks and benefits of marketed pharmaceutical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pharmaceutical products for which they hold MAs. The EMA reviews PSURs for pharmaceutical products authorized through the centralized procedure. If the EMA has concerns that the risk-benefit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European Commission’s decision provides can undermine the on-going validity of the MA.</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More generally, non-compliance with pharmacovigilance obligations can lead to the variation, suspension or withdrawal of the marketing authorization for the pharmaceutical product or imposition of financial penalties or other enforcement measures.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4" w:name="page25"/>
    <w:bookmarkEnd w:id="24"/>
    <w:p>
      <w:pPr>
        <w:jc w:val="both"/>
        <w:ind w:firstLine="382"/>
        <w:spacing w:after="0" w:line="259" w:lineRule="auto"/>
        <w:rPr>
          <w:sz w:val="20"/>
          <w:szCs w:val="20"/>
          <w:color w:val="auto"/>
        </w:rPr>
      </w:pPr>
      <w:r>
        <w:rPr>
          <w:rFonts w:ascii="Times New Roman" w:cs="Times New Roman" w:eastAsia="Times New Roman" w:hAnsi="Times New Roman"/>
          <w:sz w:val="14"/>
          <w:szCs w:val="14"/>
          <w:color w:val="231F20"/>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Directive 2001/83/EC and Regulation (EC) No 726/2004 are part of the reform proposal for European pharmaceutical legislation.</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Advertising and Promotion</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advertising and promotion of our products is also subject to EU laws concerning promotion of pharmaceutical products, interactions with physicians, misleading and comparative advertising and unfair commercial practices. In addition, other national legislation of individual EU member states may apply to the advertising and promotion of pharmaceutical products and may differ from one country to another. These laws require that promotional materials and advertising in relation to pharmaceutical products comply with the product’s SmPC as approved by the competent regulatory authorities. The SmPC is the document that provides information to physicians concerning the safe and effective use of the pharmaceutical product. It forms an intrinsic and integral part of the marketing authorization granted for the pharmaceutical product. Promotion of a pharmaceutical product that does not comply with the SmPC is considered to constitute off-label promotion. All advertising and promotional activities for the product must be consistent with the approved SmPC and therefore all off-label promotion of pharmaceutical products is prohibited in the EU. Direct-to-consumer advertising of prescription-only pharmaceutical products is prohibited in the EU. Violations of the rules governing the promotion of pharmaceutical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Pricing and Reimbursement Environment</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Even if a pharmaceutical product obtains a marketing authorization in the EU, there can be no assurance that reimbursement for such product will be secured on a timely basis or at all. The EU member states are free to restrict the range of pharmaceutical products for which their national health insurance systems provide reimbursement, and to control the prices and reimbursement levels of pharmaceutical products for human use. An EU member state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Reference pricing used by various EU member states and parallel distribution, or arbitrage between low-priced and high-priced member states, can further reduce prices. In some countries, we may be required to conduct a clinical study or other studies that compare the cost-effectiveness of our product candidates, if any,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pharmaceutical products launched in the EU do not follow price structures of the United States and generally published and actual prices tend to be significantly lower. Publication of discounts by third-party payers or authorities and public tenders may lead to further pressure on the prices or reimbursement levels within the country of publication and other countries.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so-called health technology assessment (“HTA”) of pharmaceutical products is becoming an increasingly common part of the pricing and reimbursement procedures in some EU member states, including France, Germany, Ireland, Italy and Sweden. The HTA process, which is governed by the national laws of these countries, is the procedure according to which the assessment of the public health impact, therapeutic impact, and the economic and societal impact of use of a given pharmaceutical product in the national healthcare systems of the individual country is conducted. HTA generally focuses on the clinical efficacy and effectiveness, safety, cost, and cost-effectiveness of individual pharmaceutical products as well as their potential implications for the healthcare system. Those elements of pharmaceutical products are compared with other treatment options available on the market. The outcome of HTA regarding specific</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4"/>
          <w:szCs w:val="14"/>
          <w:color w:val="auto"/>
        </w:rPr>
        <w:t>pharmaceutical products will often influence the pricing and reimbursement status granted to pharmaceutical products by the regulatory authorities of individual EU member states. A negative HTA of one of our products by a leading and recognized HTA body could not only undermine our ability to obtain reimbursement for such product in the EU member state in which such negative assessment was issued, but also in other EU member states. For example, EU member states that have not yet developed HTA mechanisms could rely to some extent on the HTA performed in other countries with a developed HTA framework, when adopting decisions concerning the pricing and reimbursement of a specific pharmaceutical product.</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On January 31, 2018, the European Commission adopted Regulation (EU) 2021/2282 on health technology assessment (“HTAR”). HTAR entered into force on January 11, 2022 and applies from January 12, 2025 onwards, followed by a further three-year transitional period during which EU member states must fully adapt to the new system. HTAR intends to boost EU level cooperation among EU member states in assessing health technologies, including new pharmaceutical products, and to provide the basis for cooperation at the EU level for joint clinical assessments in these areas. Under HTAR, EU member states will be able to use common HTA tools, methodologies and procedures across the EU, working together in four main areas: the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4"/>
          <w:szCs w:val="14"/>
          <w:color w:val="auto"/>
        </w:rPr>
        <w:t>, economic, social, ethical) aspects of health technology, and making decisions on pricing and reimbursement. While EU member states can choose to delay participation in the joint network until three years after the rules enter into force, it will become mandatory after six years. The European Commission has stated that the role of the HTA regulation is not to influence pricing and reimbursement decisions in the individual EU member states, but there can be no assurance that the HTA regulation will not have effects on pricing and reimbursement decisions.</w:t>
      </w:r>
    </w:p>
    <w:p>
      <w:pPr>
        <w:spacing w:after="0" w:line="5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To obtain reimbursement or pricing approval in some countries, including the EU member states, we may be required to conduct studies that compare the cost-effectiveness of our product candidates to other therapies that are considered the local standard of care. There can be no assurance that any country will allow favorable pricing, reimbursement and market access conditions for any of our products, or that we will be feasible to conduct additional cost-effectiveness studies, if required.</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certain EU member states, pharmaceutical products designated as orphan pharmaceutical products may be exempted or waived from having to provide certain clinical, cost-effectiveness and other economic data in connection with their filings for pricing/reimbursement approval.</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October 27, 2025, the Council of the European Union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declaration of a crisis or emergency. The European Parliament is yet to vote on the proposal.</w:t>
      </w:r>
    </w:p>
    <w:p>
      <w:pPr>
        <w:spacing w:after="0" w:line="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Data Privacy and Security Laws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There are numerous U.S. federal, state, and local laws and regulations, as well as foreign legislation, in particular in the EU and UK, which regulate personal information, including how that information may be used, processed, and disclosed. These regulations also cover sensitive personal information, including medical and health information, and impose requirements on entities that handle such information to implement certain privacy and security measures. We and/or our partners may be subject to these laws.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United States, at the federal level, the Health Insurance Portability and Accountability Act of 1996 (“HIPAA”), as amended by the Health Information Technology for Economic and Clinical Health Act of 2009 (“HITECH Act”), and the regulations promulgated thereunder, impose data privacy, security and data breach reporting obligations with respect to protected health information (“PHI”) on covered entities—which include health plans, healthcare clearinghouses and certain healthcare providers—and business associates—which include persons or entities that perform certain functions or activities that involve the use or disclosure of PHI on behalf of, or in connection with providing a service for, a covered entity.</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There are also a number of U.S. state privacy laws, such as the California Consumer Privacy Act of 2018 (“CCPA”), as amended by the California Privacy Rights Act of 2020 (“CPRA”), that govern the privacy and security of personal information in certain circumstances. The CCPA/CPRA applies to personal data of consumers (which is defined to include business representatives and employees) who are California residents, imposes obligations on certain businesses that do business in California, including to provide specific disclosures in privacy notices, and affords rights to California residents in relation to their personal information. Health information falls under the CCPA/CPRA’s definition of personal information where it identifies, relates to, describes, is reasonably capable of being associated with or could reasonably be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4"/>
          <w:szCs w:val="14"/>
          <w:color w:val="auto"/>
        </w:rPr>
        <w:t>linked, directly or indirectly, with a particular consumer or household and is considered “sensitive personal information,” which is offered greater protection. However, the CCPA/CPRA, like other U.S. state privacy laws, does not apply to PHI, and most other U.S. state laws exempt covered entities and business associates altogether. Some of these laws and regulations impose different, and in certain instances, more stringent requirements than HIPAA. Failing to comply with these laws and regulations can result in significant civil and/or criminal penalties, as well as, in some cases, exposure to private litigation, all of which can result in financial and reputational risks.</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processing of personal data, including health-related personal data, in the EEA is mainly governed by the provisions of the European General Data Protection Regulation (EU) 2016/679 (“GDPR”), and by data protection related national laws, which supplement, interpret, and in some cases go beyond the GRDP. In the UK, the processing of personal data is mainly governed by the GDPR as incorporated into UK law pursuant to the European Union (Withdrawal) Act 2018 (the “UK GDPR”). Compliance with the GDPR and UK GDPR requirements has a number of significant practical consequences, including for international data transfers and enforcement of the GDPR by competent data protection authorities. The GDPR and UK GDPR imposed specific responsibility and liability in relation to personal data that we process, particularly when we act as a controller.</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GDPR and UK GDPR imposes a number of strict obligations and restrictions on the ability to process (processing means any operation or set of operations which is performed on personal data or on sets of personal data, whether or not by automated means, such as collection, storage, use and transfer of) personal data of individuals in the EEA, including health data from clinical trials and adverse event reporting. The GDPR and UK GDPR also includes requirements relating to the consent of the individuals to whom the personal data relates, the information provided to the individuals prior to processing their personal data (including health data), data breach notification obligations to the national data protection authorities and obligations relating to the security and confidentiality of the personal data. EEA countries may also impose additional requirements in relation to processing of health, genetic and biometric data through their national legislation.</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Failure to comply with the requirements of the GDPR or UK GDPR and the related national data protection laws of the EEA countries may result in significant monetary fines for</w:t>
      </w:r>
    </w:p>
    <w:p>
      <w:pPr>
        <w:spacing w:after="0" w:line="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noncompliance of up to €20 million or 4% of the annual global revenues of the noncompliant company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whichever is greater. In addition, violations of national laws can trigger additional administrative penalties and investigations, corrective orders, temporary or definitive bans and, in some jurisdictions, a number of criminal offenses (punishable by capped or uncapped fines) for organizations and in certain cases their directors and officers as well as civil liability claims from individuals whose personal data was processed. 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 Guidance developed at both EEA level and at the national level in individual EEA countries concerning implementation and compliance practices are often updated or otherwise revised.</w:t>
      </w:r>
    </w:p>
    <w:p>
      <w:pPr>
        <w:spacing w:after="0" w:line="62"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There is, moreover, a growing trend towards required public disclosure of clinical trial data in the EU which adds to the complexity of obligations relating to processing health data from clinical trials. Such public disclosure obligations are provided in the EU Clinical Trials Regulation, EMA disclosure initiatives and voluntary commitments by industry. Failing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Clinical Trials Regulation and the GDPR, further adds to the complexity that we face with regard to data protection regulation.</w:t>
      </w:r>
    </w:p>
    <w:p>
      <w:pPr>
        <w:spacing w:after="0" w:line="228"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GDPR also imposes specific restrictions on the transfer of personal data to countries outside of the EEA that are not considered by the European Commission to provide an adequate level of data protection. Appropriate safeguards are required to enable such transfers to countries outside the EEA that are not considered to provide an adequate level of data protection. Among the appropriate safeguards that can be used, the data exporter may use the standard contractual clauses (“SCCs”). In this respect, on June 4, 2021, the EU Commission issued a new set of SCCs which replace the old sets of SCCs that were adopted under the previous European Data Protection Directive 95/46. In addition, when relying on SCCs, the data exporters are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ensure compliance with the EU level of protection of personal data. Where no supplementary measure is suitable, the data exporter should avoid, suspend or terminate the transfer. On June 18, 2021, the European Data Protection Board adopted recommendations to assist data exporters with such assessment and their duty to identify and implement supplementary measures where they are needed to ensure compliance with the EU level of protection to the personal data they transfer to third countries. With regard to the transfer of data from the EEA to the US, on July 10, 2023, the European Commission adopted its adequacy decision for the EU-US Data Privacy Framework. On the basis of the new adequacy decision, personal data can flow from the EEA to US companies participating in the Data Privacy Framework. With regard to the transfer of data from the EEA to the UK, based on the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4"/>
          <w:szCs w:val="14"/>
          <w:color w:val="auto"/>
        </w:rPr>
        <w:t>European Commission’s adequacy decision of June 28, 2021, personal data may now flow from the EU to the UK until June 27, 2025. In May 2025, the Commission adopted a decision to extend the validity of such adequacy decision for six more months, from June until December 2025. In July 2025, the Commission issued draft decisions on the extension of the validity of the UK adequacy decisions until December 2031 – if not adopted, as of December 2025, transfer of personal data from the EEA to the UK will be restricted and further measures will have to be implemented to comply with the GDPR. With respect to transfers from the UK to other countries, these transfers are also subject to specific transfer rules under the UK regime. These UK international transfer rules broadly mirror the EU GDPR rules. On February 2, 2022, the UK Secretary of State laid before the UK Parliament the international data transfer agreement (IDTA) and the international data transfer addendum to the European Commission’s standard contractual clauses for international data transfers (Addendum) and a document setting out transitional provisions. The IDTA and Addendum came into force on March 21, 2022 and replaced the EU SCCs for the purposes of international transfers under the UK GDPR regime. With regard to the transfer of data from the UK to the US, the UK government has adopted an adequacy decision for the UK Extension to the EU-US Data Privacy Framework, the UK-US Data Bridge, which came into force on October 12, 2023. The UK-US Data Bridge recognizes the US as offering an adequate level of data protection where the transfer is to a US company listed on the EU-US Data Privacy Framework and participating in the UK Extension to the EU-US Data Privacy Framework.</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Promotional Activities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The provision of benefits or advantages to physicians is also governed by the national anti-bribery laws of the EU member states. Violation of these laws could result in substantial fines and imprisonment.</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Payments made to physicians in certain EU member states must be publicly disclosed. Moreover, agreements with physicians must often be the subject of prior notification and approval by the physician’s employer, their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While the UK has left the EU, as mentioned above, it should be noted that the UK still has the strictest anti-bribery regime in Europe, the UK Bribery Act 2010. The Act is applicable English law and continues to apply to any company incorporated in or “carrying on business” in the UK, irrespective of where in the world the alleged bribery activity occurs.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Other Legislation Regarding Marketing, Authorization and Pricing of Pharmaceutical Products in the European Union</w:t>
      </w:r>
    </w:p>
    <w:p>
      <w:pPr>
        <w:spacing w:after="0" w:line="85"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Other core legislation relating to the marketing, authorization and pricing of pharmaceutical products in the EU exists as regulations and directives, while the implementing acts and guidelines based on these may vary in each EU member state. In addition, the respective national provisions of the member states, as well as self-committed codes of the pharmaceutical industry, must be observed. Such regulations and directives include the following:</w:t>
      </w:r>
    </w:p>
    <w:p>
      <w:pPr>
        <w:spacing w:after="0" w:line="19" w:lineRule="exact"/>
        <w:rPr>
          <w:sz w:val="20"/>
          <w:szCs w:val="20"/>
          <w:color w:val="auto"/>
        </w:rPr>
      </w:pPr>
    </w:p>
    <w:p>
      <w:pPr>
        <w:jc w:val="both"/>
        <w:ind w:left="760" w:hanging="373"/>
        <w:spacing w:after="0" w:line="270"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8" w:lineRule="exact"/>
        <w:rPr>
          <w:rFonts w:ascii="Times New Roman" w:cs="Times New Roman" w:eastAsia="Times New Roman" w:hAnsi="Times New Roman"/>
          <w:sz w:val="14"/>
          <w:szCs w:val="14"/>
          <w:color w:val="auto"/>
        </w:rPr>
      </w:pPr>
    </w:p>
    <w:p>
      <w:pPr>
        <w:ind w:left="760" w:hanging="373"/>
        <w:spacing w:after="0" w:line="284"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(EC) 726/2004, as amended, establishing procedures for the authorization, supervision and pharmacovigilance of medicinal products for human and veterinary use and establishing the EMA.</w:t>
      </w:r>
    </w:p>
    <w:p>
      <w:pPr>
        <w:ind w:left="760" w:hanging="373"/>
        <w:spacing w:after="0" w:line="284"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(EC) 469/2009, establishing the requirements necessary to obtain a Supplementary Protection Certificate, which extends the period of patent protection applicable to medicinal products at the EU-level.</w:t>
      </w:r>
    </w:p>
    <w:p>
      <w:pPr>
        <w:jc w:val="both"/>
        <w:ind w:left="760" w:hanging="373"/>
        <w:spacing w:after="0" w:line="264"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89/105/EEC, ensuring the transparency of measures taken by the EU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spacing w:after="0" w:line="1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2003/94/EC, laying down the principles of good manufacturing practice in respect of medicinal products and investigational medicinal products for human use (the “GMP Directive”); repealed by Directive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8" w:name="page29"/>
    <w:bookmarkEnd w:id="28"/>
    <w:p>
      <w:pPr>
        <w:ind w:left="760"/>
        <w:spacing w:after="0" w:line="284" w:lineRule="auto"/>
        <w:rPr>
          <w:sz w:val="20"/>
          <w:szCs w:val="20"/>
          <w:color w:val="auto"/>
        </w:rPr>
      </w:pPr>
      <w:r>
        <w:rPr>
          <w:rFonts w:ascii="Times New Roman" w:cs="Times New Roman" w:eastAsia="Times New Roman" w:hAnsi="Times New Roman"/>
          <w:sz w:val="14"/>
          <w:szCs w:val="14"/>
          <w:color w:val="auto"/>
        </w:rPr>
        <w:t>2017/1572 on January 31, 2022; this directive also lays out standards and principles for manufacturing practices of medicinal products for human use and investigational medicinal products for human use.</w:t>
      </w:r>
    </w:p>
    <w:p>
      <w:pPr>
        <w:spacing w:after="0" w:line="1" w:lineRule="exact"/>
        <w:rPr>
          <w:sz w:val="20"/>
          <w:szCs w:val="20"/>
          <w:color w:val="auto"/>
        </w:rPr>
      </w:pPr>
    </w:p>
    <w:p>
      <w:pPr>
        <w:ind w:left="760" w:hanging="373"/>
        <w:spacing w:after="0" w:line="284"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Directives 2004/9/EC and 2004/10/EC laying down principles of GLP including on the organizational process under which non-clinical health and safety studies are performed.</w:t>
      </w:r>
    </w:p>
    <w:p>
      <w:pPr>
        <w:spacing w:after="0" w:line="51" w:lineRule="exact"/>
        <w:rPr>
          <w:rFonts w:ascii="Times New Roman" w:cs="Times New Roman" w:eastAsia="Times New Roman" w:hAnsi="Times New Roman"/>
          <w:sz w:val="14"/>
          <w:szCs w:val="14"/>
          <w:color w:val="auto"/>
        </w:rPr>
      </w:pPr>
    </w:p>
    <w:p>
      <w:pPr>
        <w:ind w:left="760" w:hanging="373"/>
        <w:spacing w:after="0" w:line="284"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2010/84/EU and Regulation (EU) 1235/2010 on pharmacovigilance laying down procedures for the authorization and supervision of medicinal products for human and veterinary use.</w:t>
      </w: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2006/114/EC concerning misleading and comparative advertising.</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2005/29/EC regulating unfair business-to-consumer commercial practices that occur before, during and after a business-to-consumer transaction.</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(EC) 1223/2009 on Cosmetic Products, setting mandatory requirements for cosmetics which are available on the market within the EU.</w:t>
      </w:r>
    </w:p>
    <w:p>
      <w:pPr>
        <w:spacing w:after="0" w:line="51"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(EC) 1901/2006 on Pediatric Use, laying down rules to ensure that medicines for use in children are researched, developed and authorized appropriately.</w:t>
      </w:r>
    </w:p>
    <w:p>
      <w:pPr>
        <w:spacing w:after="0" w:line="51"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Directive (2004/109/EC) on Transparency laying down rules to improves the harmonization of information duties of issuers, whose securities are listed at a regulated market at a stock exchange within the EU; amended by Directive (EU) 2022/2464 with effect from May 1, 2023 as regards corporate sustainability reporting.</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Pharmaceutical Coverage, Pricing and Reimbursement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payers, including government health programs such as, in the United States, Medicare and Medicaid, commercial health insurers and managed care organizations. The process for determining whether a payer will provide coverage for a product may be separate from the process for setting the price or reimbursement rate that the payer will pay for the product once coverage is approved. Third-party payers may limit coverage to specific products on an approved list, or formulary, which might not include all of the approved products for a particular indication.</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payer’s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5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containment of healthcare costs has become a priority of federal, state and foreign governments, and the prices of drugs have been a focus in this effort. Third-party payers are increasingly challenging the prices charged for medical products and services and examining the medical necessity and cost-effectiveness of medical products and services, in addition to their safety and efficacy. If these third-party payers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For example, in 2022, the U.S. government passed the Inflation Reduction Act (“IRA”), which authorizes the U.S. Department of Health and Human Services to negotiate prices of certain drugs with participating manufacturers in federal healthcare programs. In 2025, an executive order issued by the White House directed the Department of Health and Human Services (HHS) to implement a “Most Favored Nation” drug pricing policy; the federal Centers for Medicare and Medicaid Services has announced a pilot program in this regard for the Medicaid program. Adoption of these and other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payers fail to provide adequate coverage and reimbursement.</w:t>
      </w:r>
    </w:p>
    <w:p>
      <w:pPr>
        <w:spacing w:after="0" w:line="6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9" w:name="page30"/>
    <w:bookmarkEnd w:id="29"/>
    <w:p>
      <w:pPr>
        <w:jc w:val="both"/>
        <w:spacing w:after="0" w:line="264" w:lineRule="auto"/>
        <w:rPr>
          <w:sz w:val="20"/>
          <w:szCs w:val="20"/>
          <w:color w:val="auto"/>
        </w:rPr>
      </w:pPr>
      <w:r>
        <w:rPr>
          <w:rFonts w:ascii="Times New Roman" w:cs="Times New Roman" w:eastAsia="Times New Roman" w:hAnsi="Times New Roman"/>
          <w:sz w:val="14"/>
          <w:szCs w:val="14"/>
          <w:color w:val="auto"/>
        </w:rPr>
        <w:t>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5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the EU, pricing and reimbursement schemes vary widely between member states. Some countries provide that drug products may be marketed only after a reimbursement price has been agreed. Some member states may require the completion of additional studies that compare the cost-effectiveness of a particular product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Healthcare Laws and Regulations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Healthcare providers, physicians and third-party payers play important roles in the recommendation and prescription of drug products that are granted marketing approval. Arrangements with healthcare providers, physicians, third-party payers and customers are subject to broadly applicable fraud and abuse and other healthcare laws and regulations that may constrain the business or financial arrangements and relationships through which the Company markets, sells and distributes products for which it obtains marketing approval. Restrictions under applicable federal and state healthcare laws and regulations, include the following:</w:t>
      </w:r>
    </w:p>
    <w:p>
      <w:pPr>
        <w:spacing w:after="0" w:line="13" w:lineRule="exact"/>
        <w:rPr>
          <w:sz w:val="20"/>
          <w:szCs w:val="20"/>
          <w:color w:val="auto"/>
        </w:rPr>
      </w:pPr>
    </w:p>
    <w:p>
      <w:pPr>
        <w:jc w:val="both"/>
        <w:ind w:left="760" w:hanging="373"/>
        <w:spacing w:after="0" w:line="27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from knowingly and willfully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8"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Foreign Corrupt Practices Act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8" w:lineRule="exact"/>
        <w:rPr>
          <w:rFonts w:ascii="Times New Roman" w:cs="Times New Roman" w:eastAsia="Times New Roman" w:hAnsi="Times New Roman"/>
          <w:sz w:val="14"/>
          <w:szCs w:val="14"/>
          <w:color w:val="auto"/>
        </w:rPr>
      </w:pPr>
    </w:p>
    <w:p>
      <w:pPr>
        <w:jc w:val="both"/>
        <w:ind w:left="760" w:hanging="373"/>
        <w:spacing w:after="0" w:line="264"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which may be enforced by the U.S. Department of Justice or private whistleblowers who bring civil actions (qui tam actions) on behalf of the federal government, imposes civil penalties, as well as liability for treble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13" w:lineRule="exact"/>
        <w:rPr>
          <w:rFonts w:ascii="Times New Roman" w:cs="Times New Roman" w:eastAsia="Times New Roman" w:hAnsi="Times New Roman"/>
          <w:sz w:val="14"/>
          <w:szCs w:val="14"/>
          <w:color w:val="auto"/>
        </w:rPr>
      </w:pPr>
    </w:p>
    <w:p>
      <w:pPr>
        <w:jc w:val="both"/>
        <w:ind w:left="760" w:hanging="373"/>
        <w:spacing w:after="0" w:line="28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Department of Health and Human Services’ Civil Monetary Penalty authorities, which imposes administrative sanctions for, among other things, presenting or causing to be presented false claims for government payment and providing remuneration to government health program beneficiaries to influence them to order or receive healthcare items or services;</w:t>
      </w:r>
    </w:p>
    <w:p>
      <w:pPr>
        <w:spacing w:after="0" w:line="176" w:lineRule="exact"/>
        <w:rPr>
          <w:rFonts w:ascii="Times New Roman" w:cs="Times New Roman" w:eastAsia="Times New Roman" w:hAnsi="Times New Roman"/>
          <w:sz w:val="14"/>
          <w:szCs w:val="14"/>
          <w:color w:val="auto"/>
        </w:rPr>
      </w:pPr>
    </w:p>
    <w:p>
      <w:pPr>
        <w:ind w:left="760" w:hanging="373"/>
        <w:spacing w:after="0" w:line="284"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and civil liability for, among other conduct, executing a scheme to defraud any healthcare benefit program and making false statements relating to healthcare matters;</w:t>
      </w:r>
    </w:p>
    <w:p>
      <w:pPr>
        <w:ind w:left="760" w:hanging="373"/>
        <w:spacing w:after="0" w:line="284"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HITECH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ind w:left="760" w:hanging="373"/>
        <w:spacing w:after="0" w:line="284"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statements statute relating to healthcare matters imposes criminal liability for knowingly and willfully falsifying, concealing or covering up a material fact or making any materially false statement in connection with the delivery of or payment for healthcare benefits, items or services;</w:t>
      </w:r>
    </w:p>
    <w:p>
      <w:pPr>
        <w:ind w:left="760" w:hanging="373"/>
        <w:spacing w:after="0" w:line="287"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 Sunshine Act requires manufacturers of drugs (among other products) to report to the Centers for Medicare and Medicaid Services within the U.S. Department of Health and Human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0" w:name="page31"/>
    <w:bookmarkEnd w:id="30"/>
    <w:p>
      <w:pPr>
        <w:ind w:left="760"/>
        <w:spacing w:after="0" w:line="284" w:lineRule="auto"/>
        <w:rPr>
          <w:sz w:val="20"/>
          <w:szCs w:val="20"/>
          <w:color w:val="auto"/>
        </w:rPr>
      </w:pPr>
      <w:r>
        <w:rPr>
          <w:rFonts w:ascii="Times New Roman" w:cs="Times New Roman" w:eastAsia="Times New Roman" w:hAnsi="Times New Roman"/>
          <w:sz w:val="14"/>
          <w:szCs w:val="14"/>
          <w:color w:val="auto"/>
        </w:rPr>
        <w:t>Services information related to payments and other transfers of value to various healthcare professionals including physicians, physician assistants, nurse practitioners, clinical nurse specialists, certified nurse anesthetists, certified nurse-midwives and teaching hospitals, as well as physician ownership and investment interests in the reporting manufacturers;</w:t>
      </w:r>
    </w:p>
    <w:p>
      <w:pPr>
        <w:spacing w:after="0" w:line="1" w:lineRule="exact"/>
        <w:rPr>
          <w:sz w:val="20"/>
          <w:szCs w:val="20"/>
          <w:color w:val="auto"/>
        </w:rPr>
      </w:pPr>
    </w:p>
    <w:p>
      <w:pPr>
        <w:jc w:val="both"/>
        <w:ind w:left="760" w:hanging="373"/>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similar state and foreign laws and regulations, such as state anti-kickback and false claims laws, may apply (e.g., in the EU, where the implementation of EU-wide regulations as well as independent national legislation may vary for each EU member state) to sales or marketing arrangements and claims involving healthcare items or services reimbursed by nongovernmental third-party payers, including private insurers; and</w:t>
      </w:r>
    </w:p>
    <w:p>
      <w:pPr>
        <w:spacing w:after="0" w:line="8"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state laws require pharmaceutical companies to comply with voluntary compliance guidelines promulgated by a pharmaceutical industry association and relevant compliance guidance issues by the U.S. Department of Health and Human Services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51"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122"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4"/>
          <w:szCs w:val="14"/>
          <w:b w:val="1"/>
          <w:bCs w:val="1"/>
          <w:color w:val="auto"/>
        </w:rPr>
        <w:t>E.</w:t>
        <w:tab/>
        <w:t>Facilities and Resources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Company’s principal executive offices are located in Pasadena, California. During the first quarter of fiscal 2025, the Company further expanded its footprint with a new manufacturing and laboratory facility to manufacture drug substance (API) under current Good Manufacturing Practices (GMP) in Verona, Wisconsin.</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Research and Development Facilities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Company operates research laboratory facilities in San Diego, California and Madison, Wisconsin, where its pre-clinical research and development activities, including the discovery and early development of RNAi therapeutics, take place. A summary is provided below:</w:t>
      </w:r>
    </w:p>
    <w:p>
      <w:pPr>
        <w:spacing w:after="0" w:line="39" w:lineRule="exact"/>
        <w:rPr>
          <w:sz w:val="20"/>
          <w:szCs w:val="20"/>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State-of-the-art laboratories with supporting office space that comprise more than 251,000 total square feet;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Cell culture laboratories;</w:t>
      </w:r>
    </w:p>
    <w:p>
      <w:pPr>
        <w:spacing w:after="0" w:line="93" w:lineRule="exact"/>
        <w:rPr>
          <w:rFonts w:ascii="Times New Roman" w:cs="Times New Roman" w:eastAsia="Times New Roman" w:hAnsi="Times New Roman"/>
          <w:sz w:val="14"/>
          <w:szCs w:val="14"/>
          <w:color w:val="auto"/>
        </w:rPr>
      </w:pPr>
    </w:p>
    <w:p>
      <w:pPr>
        <w:ind w:left="760" w:hanging="373"/>
        <w:spacing w:after="0" w:line="263"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Animal efficacy models for numerous diseases, including cardio metabolic, viral, liver, skeletal muscle, ocular, central nervous system (CNS), metabolic, renal, obesity and lung diseases;</w:t>
      </w:r>
    </w:p>
    <w:p>
      <w:pPr>
        <w:spacing w:after="0" w:line="247"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Animal safety screening and assessment;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pathology laboratories and in-house histopathology and pathology evaluation capabilities;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Integrated in-house expertise in clinical biomarker assay development and analytical evaluation;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Artificial Intelligence-leveraged data science capabilities dedicated to analyzing human genetics databases for target discovery and validation;</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metabolism and pharmacokinetics (DMPK), bioanalytical, biodistribution, and clearance assessment and methodology capabilities;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Primate colony housed at the Wisconsin National Primate Research Center, an affiliate of the University of Wisconsin, and at other contract research organizations (CROs).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Pharmacodynamic method development and analysis and translational biomarker development capabilities;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Conventional and confocal microscopy, flow cytometry, Luminex platform, qRT-PCR and clinical chemistry analytics; and</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Oligonucleotide, peptide, antibody, and small molecule discovery, synthesis, production, and analytics capabilities (for example, HPLC, NMR, and LCMS).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GMP Manufacturing and Related Development Laboratory Facility</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During the first quarter of fiscal 2025, the Company further expanded into a new, state-of-the-art GMP manufacturing facility in Verona, Wisconsin that includes related laboratories and office space to support chemistry, manufacturing, and controls (CMC) and quality activities. A summary is provided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1" w:name="page32"/>
    <w:bookmarkEnd w:id="31"/>
    <w:p>
      <w:pPr>
        <w:ind w:left="760" w:hanging="373"/>
        <w:spacing w:after="0" w:line="287" w:lineRule="auto"/>
        <w:tabs>
          <w:tab w:leader="none" w:pos="75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State-of-the-art, custom-designed GMP oligonucleotide manufacturing facility with related support laboratories for process development and analytical development, comprising approximately 300,000 total square feet;</w:t>
      </w:r>
    </w:p>
    <w:p>
      <w:pPr>
        <w:spacing w:after="0" w:line="39"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certificate of occupancy for laboratory, office &amp; manufacturing spaces obtained August 2024;</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analytical chemistry capabilities including method development and validation, transfer of methods, and support of in-process and final product analysis;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product formulation development capabilities;</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In-house capabilities to release GMP drug substance and finished drug product;</w:t>
      </w:r>
    </w:p>
    <w:p>
      <w:pPr>
        <w:spacing w:after="0" w:line="93"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equipment scales for oligonucleotide manufacturing with maximum capacity to manufacture hundreds of kilograms of GMP drug substance annually; and</w:t>
      </w:r>
    </w:p>
    <w:p>
      <w:pPr>
        <w:spacing w:after="0" w:line="93" w:lineRule="exact"/>
        <w:rPr>
          <w:rFonts w:ascii="Times New Roman" w:cs="Times New Roman" w:eastAsia="Times New Roman" w:hAnsi="Times New Roman"/>
          <w:sz w:val="14"/>
          <w:szCs w:val="14"/>
          <w:color w:val="auto"/>
        </w:rPr>
      </w:pPr>
    </w:p>
    <w:p>
      <w:pPr>
        <w:ind w:left="760" w:hanging="373"/>
        <w:spacing w:after="0" w:line="287" w:lineRule="auto"/>
        <w:tabs>
          <w:tab w:leader="none" w:pos="756"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substance manufacturing capabilities to produce and release GMP material (API) and capabilities to release finished drug product pending ongoing commissioning, qualification, and validation (CQV) activities, allowing for the manufacture of GMP drug substance at the facility.</w:t>
      </w:r>
    </w:p>
    <w:p>
      <w:pPr>
        <w:spacing w:after="0" w:line="12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Human Capital Management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September 30, 2025, the Company employed 711 full-time employees based at four facilities in the United States, including Pasadena and San Diego, California, and Madison and Verona, Wisconsin.</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fiscal year 2025, the Company continued to expand its workforce, focusing on increasing in-house manufacturing capacity, as well as enhancing expertise and throughput in clinical and preclinical research and development and commercialization preparation. The Company continually evaluates the business need and opportunity and balances in-house expertise and capacity with outsourced expertise and capacity. Currently, the Company outsources substantial clinical trial work to clinical research organizations and certain drug manufacturing to contract manufacturers.</w:t>
      </w:r>
    </w:p>
    <w:p>
      <w:pPr>
        <w:spacing w:after="0" w:line="51" w:lineRule="exact"/>
        <w:rPr>
          <w:sz w:val="20"/>
          <w:szCs w:val="20"/>
          <w:color w:val="auto"/>
        </w:rPr>
      </w:pPr>
    </w:p>
    <w:p>
      <w:pPr>
        <w:jc w:val="both"/>
        <w:ind w:firstLine="382"/>
        <w:spacing w:after="0" w:line="241" w:lineRule="auto"/>
        <w:rPr>
          <w:sz w:val="20"/>
          <w:szCs w:val="20"/>
          <w:color w:val="auto"/>
        </w:rPr>
      </w:pPr>
      <w:r>
        <w:rPr>
          <w:rFonts w:ascii="Times New Roman" w:cs="Times New Roman" w:eastAsia="Times New Roman" w:hAnsi="Times New Roman"/>
          <w:sz w:val="14"/>
          <w:szCs w:val="14"/>
          <w:color w:val="auto"/>
        </w:rPr>
        <w:t>Drug development is a complex endeavor which requires deep expertise and experience across a broad array of disciplines. Pharmaceutical companies both large and small compete for a limited number of qualified applicants to fill specialized positions. To attract qualified applicants to the Company, it offers a total compensation package consisting of base salary and cash target bonus targeting the 50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to 75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percentile of market, and offers a comprehensive benefit package and equity compensation to every employee. Bonus opportunity and equity compensation increase as a percentage of total compensation based on level of responsibility. Actual bonus payout is based on performance.</w:t>
      </w:r>
    </w:p>
    <w:p>
      <w:pPr>
        <w:spacing w:after="0" w:line="7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significant portion of the Company’s employees have obtained advanced degrees in their professions. The Company supports its employees’ further development with individualized development plans, mentoring, coaching, group training, conference attendance and financial support including tuition reimbursement.</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Inclusion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is dedicated to fostering a welcoming, healthy and equitable environment where all employees can thrive and contribute to its mission of delivering safe and effective medicine to patients in need. Ongoing efforts include programs and processes that promote awareness of inclusion and belonging, such as anti-bias training and employee engagement initiatives.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  Investor Information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Company’s website address is http://www.arrowheadpharma.com. The Company’s website address is not intended to function as a hyperlink and the information contained on its website is not, and should not be considered part of, and is not incorporated by reference into, this Annual Report on Form 10-K. The Company’s reports filed or furnished pursuant to Section 13(a) or 15(d) of the Securities Exchange Act of 1934, as amended (the “Exchange Act”), including its Annual Reports on Form 10-K, Quarterly Reports on Form 10-Q, Current Reports on Form 8-K, Proxy Statements, and amendments to such periodic reports and Proxy Statements, are accessible through its website, free of charge, as soon as reasonably practicable after these reports are filed electronically with, or otherwise furnished to, the SEC. These SEC reports can be accessed through the “Investors” section of the Company’s website.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The SEC maintains an Internet website that contains reports, proxy and information statements, and other information regarding the Company and other issuers that file electronically with the SEC. The SEC’s Internet website address is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25"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i w:val="1"/>
          <w:iCs w:val="1"/>
          <w:color w:val="auto"/>
        </w:rPr>
        <w:t>The Company’s business involves various risks and uncertainties in addition to the normal risks of business, some of which are discussed in this section. It should be noted that the Company’s business may be adversely affected by general economic conditions and other factors beyond the Company’s control. In addition, other risks and uncertainties not presently known or that the Company currently believes to be immaterial may also adversely affect the Company’s business.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Any such risks or uncertainties, or any of the following risks or uncertainties, that develop into actual events could result in a material and adverse effect on the Company’s business, financial condition, results of operations, or liquidity.</w:t>
      </w:r>
    </w:p>
    <w:p>
      <w:pPr>
        <w:spacing w:after="0" w:line="55"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The information discussed below should be considered carefully with the other information contained in this Annual Report on Form 10-K and the other documents and materials filed by the Company with the SEC, as well as news releases and other information publicly disseminated by the Company from time to time.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Factors Summary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Discovery, Development, and Commercialization of Medicines</w:t>
      </w:r>
    </w:p>
    <w:p>
      <w:pPr>
        <w:spacing w:after="0" w:line="25" w:lineRule="exact"/>
        <w:rPr>
          <w:sz w:val="20"/>
          <w:szCs w:val="20"/>
          <w:color w:val="auto"/>
        </w:rPr>
      </w:pP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prospects substantially depend on the success of our clinical-stage product candidates. If we and our licensees are unable to obtain approval for and commercialize these product candidates, or successfully commercialize REDEMPLO, our business could be materially harmed.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substantial risks inherent in attempting to commercialize our new drugs, and, as a result, we may not be able to successfully develop additional products for commercial use.</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not yield successful results for the product candidates that we may identify and pursue for their intended uses, which would prevent, delay or limit the scope of regulatory approval and commercialization.</w:t>
      </w: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reveal significant adverse events, toxicities or other side effects and may result in a safety profile that could impede regulatory approval or market acceptance of any of our product candidates.</w:t>
      </w: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earlier studies or clinical trials 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potential product liability exposure, and if successful claims are brought against us, we may incur substantial liability from REDEMPLO, or any other approved product candidate, and may have to limit its commercialization.</w:t>
      </w:r>
    </w:p>
    <w:p>
      <w:pPr>
        <w:ind w:left="520" w:hanging="260"/>
        <w:spacing w:after="0" w:line="24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commercialization of REDEMPLO, or any other product candidates, will depend in part on the extent to which government authorities and health insurers establish adequate reimbursement levels and pricing policies.</w:t>
      </w:r>
    </w:p>
    <w:p>
      <w:pPr>
        <w:ind w:left="520" w:hanging="260"/>
        <w:spacing w:after="0" w:line="24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collaborative and other arrangements may give rise to disputes over commercial terms, contract interpretation, and ownership or protection of our intellectual property and may adversely affect the commercial success of our product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Regulatory Review and Approval of Our Candidates</w:t>
      </w:r>
    </w:p>
    <w:p>
      <w:pPr>
        <w:spacing w:after="0" w:line="25" w:lineRule="exact"/>
        <w:rPr>
          <w:sz w:val="20"/>
          <w:szCs w:val="20"/>
          <w:color w:val="auto"/>
        </w:rPr>
      </w:pPr>
    </w:p>
    <w:p>
      <w:pPr>
        <w:ind w:left="52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Fast Track or Breakthrough Therapy product designation may not lead to a faster development or regulatory review or approval process, and it does not increase the likelihood that our product candidates will receive marketing approval.</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our licensees conduct clinical trials for product candidates outside the United States, and the FDA and comparable foreign regulatory authorities may not accept data from such trials.</w:t>
      </w:r>
    </w:p>
    <w:p>
      <w:pPr>
        <w:spacing w:after="0" w:line="8" w:lineRule="exact"/>
        <w:rPr>
          <w:rFonts w:ascii="Times New Roman" w:cs="Times New Roman" w:eastAsia="Times New Roman" w:hAnsi="Times New Roman"/>
          <w:sz w:val="14"/>
          <w:szCs w:val="14"/>
          <w:color w:val="auto"/>
        </w:rPr>
      </w:pPr>
    </w:p>
    <w:p>
      <w:pPr>
        <w:ind w:left="520" w:hanging="260"/>
        <w:spacing w:after="0" w:line="24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obtain FDA approval for products in the United States, we may never obtain approval to commercialize any product candidates outside of the United States, which would limit our ability to realize their full market potential.</w:t>
      </w:r>
    </w:p>
    <w:p>
      <w:pPr>
        <w:ind w:left="520" w:hanging="260"/>
        <w:spacing w:after="0" w:line="24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FDA or comparable foreign regulatory authorities approve generic versions of REDEMPLO, or any other potential products that receive marketing approval, or such authorities do not grant REDEMPLO appropriate periods of data or market exclusivity before approving a generic version, the sales of REDEMPLO could be adversely affected.</w:t>
      </w:r>
    </w:p>
    <w:p>
      <w:pPr>
        <w:spacing w:after="0" w:line="1"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33" w:name="page34"/>
    <w:bookmarkEnd w:id="33"/>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Pharmaceutical and biological product marketing is subject to substantial regulation in the U.S. and any failure by us or our commercial and collaborative partners to comply with applicable statutes or regulations can adversely affect our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Intellectual Property</w:t>
      </w:r>
    </w:p>
    <w:p>
      <w:pPr>
        <w:spacing w:after="0" w:line="25"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patents and other proprietary rights is uncertain, exposing us to the possible loss of competitive advantage.</w:t>
      </w:r>
    </w:p>
    <w:p>
      <w:pPr>
        <w:spacing w:after="0" w:line="8" w:lineRule="exact"/>
        <w:rPr>
          <w:rFonts w:ascii="Times New Roman" w:cs="Times New Roman" w:eastAsia="Times New Roman" w:hAnsi="Times New Roman"/>
          <w:sz w:val="14"/>
          <w:szCs w:val="14"/>
          <w:color w:val="auto"/>
        </w:rPr>
      </w:pPr>
    </w:p>
    <w:p>
      <w:pPr>
        <w:ind w:left="520" w:hanging="260"/>
        <w:spacing w:after="0" w:line="24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party to technology license agreements with third parties that require us to satisfy obligations to keep them effective and, if these agreements are terminated, our technology and our business could be seriously and adversely affected.</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and have been subject to patent infringement claims, which could result in substantial costs and liability and prevent us from commercializing our potential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Business Model</w:t>
      </w:r>
    </w:p>
    <w:p>
      <w:pPr>
        <w:spacing w:after="0" w:line="25" w:lineRule="exact"/>
        <w:rPr>
          <w:sz w:val="20"/>
          <w:szCs w:val="20"/>
          <w:color w:val="auto"/>
        </w:rPr>
      </w:pPr>
    </w:p>
    <w:p>
      <w:pPr>
        <w:jc w:val="both"/>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model assumes we will generate revenue by, among other activities, marketing or out-licensing the products we develop. Our product candidates are in various stages of development and we have only one product based on RNAi and our delivery technologies approved in November 2025. Accordingly, there is a limited amount of information about us upon which you can evaluate our business and prospects.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establish additional relationships with strategic and development partners to fully develop our product candidates and market any approved products.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product candidates.</w:t>
      </w: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achieve commercial acceptance of REDEMPLO and our other product candidates to generate revenues and achieve profitability.</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market opportunities for REDEMPLO, or any other approved product candidates, are smaller than we expect, it could materially and adversely affect our financial condition and results of operations.</w:t>
      </w: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manufacturing capability and capacity and must rely on third-party manufacturers to manufacture certain of our clinical supplies and our commercial products, if and when approved, and if they fail to meet their obligations, the development and commercialization of our products could be adversely affected.</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our clinical trials, and if they fail to fulfill their obligations, the development of our products may be adversely affected.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expanding our operations successfully as we evolve our pipeline and move toward commercializing drugs.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use biological materials, hazardous materials, chemicals and radioactive compounds, if we do not comply with laws regulating the protection of the environment and health and human safety, our business could be adversely affected.</w:t>
      </w:r>
    </w:p>
    <w:p>
      <w:pPr>
        <w:jc w:val="both"/>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contractual damages, and reputational harm and diminished profits and future earnings.</w:t>
      </w:r>
    </w:p>
    <w:p>
      <w:pPr>
        <w:ind w:left="520" w:hanging="260"/>
        <w:spacing w:after="0" w:line="266"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Financial Condition</w:t>
      </w:r>
    </w:p>
    <w:p>
      <w:pPr>
        <w:spacing w:after="0" w:line="25"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We have a history of net losses, and we expect to continue to incur net losses and may not achieve or maintain profitability.</w:t>
      </w:r>
    </w:p>
    <w:p>
      <w:pPr>
        <w:spacing w:after="0" w:line="8"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substantial additional funds to complete our research and development activities.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Sixth Street Financing Agreement and our indebtedness could adversely affect our operations and limit our ability to plan for or respond to changes in our business. If we are unable to comply with restrictions in our Sixth Street Financing Agreement, the repayment of our existing indebtedness could be accelerated.</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may fluctuate significantly, which makes our future operating results difficult to predict and could cause our operating results to fall below expectations or our guidance.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net operating loss carryforwards and other tax benefits may be limited.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Investment and Securities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4" w:name="page35"/>
    <w:bookmarkEnd w:id="34"/>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purchases and sales of our common stock may be limited, and the sale of a limited number of shares could cause the price to fall sharply.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price has fluctuated significantly over the last several years and may continue to do so in the future, without regard to our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and Industry Risks</w:t>
      </w:r>
    </w:p>
    <w:p>
      <w:pPr>
        <w:spacing w:after="0" w:line="25"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development is time consuming, expensive and risky.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regulatory standards make it difficult to accurately predict the likelihood of marketing approval even when clinical trials meet their endpoints.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Discovery, Development, and Commercialization of Medicines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prospects substantially depend on the success of our clinical-stage product candidates. If we and our licensees are unable to obtain approval for and commercialize these product candidates, or successfully commercialize REDEMPLO, our business could be materially harmed.</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future success is substantially dependent on the ability of the Company and our licensees to timely complete clinical trials and obtain marketing approval for, and then successfully commercialize our clinical-stage product candidates. We are not permitted to market or promote our product candidates before we receive marketing approval from the FDA and comparable foreign regulatory authorities, and we may never receive such marketing approvals.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success of developing and commercializing our product candidates will depend on several factors, including the following:</w:t>
      </w:r>
    </w:p>
    <w:p>
      <w:pPr>
        <w:spacing w:after="0" w:line="51" w:lineRule="exact"/>
        <w:rPr>
          <w:sz w:val="20"/>
          <w:szCs w:val="20"/>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positive data that supports demonstration of efficacy, safety and tolerability profiles and durability of effect for our product candidates that are satisfactory to the FDA or any comparable foreign regulatory authority for marketing approval;</w:t>
      </w: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inspections by FDA or any comparable foreign regulatory authority of our manufacturing facilities and clinical trial sites, including as part of the review process for marketing approval;</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enrollment of appropriate patients for the indications included in our current and future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variability of patient outcomes;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of any required post-marketing approval commitments, potentially including post-marketing clinical trials or other studies, to applicable regulatory authorities;</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and maintenance of sufficient internal manufacturing capabilities;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maintenance of existing or the establishment of new supply arrangements with third-party drug product suppliers and manufacturers for clinical development and, if approved, commercialization of our product candidates;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maintenance of existing or the establishment of new scaled production arrangements with third-party manufacturers to obtain finished products that are appropriately packaged for sale;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protection, trade secret protection and regulatory exclusivity, both in the United States and internationally;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protecting our rights in our intellectual property portfolio, including our licensed intellectual property;</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the successful launch of commercial sales of our product candidates if and when approved for marketing, whether alone or in collaboration with others;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continued acceptable safety profile following any marketing approval;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acceptance by patients, the medical community and third-party payers;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with other therapies.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collaborator or licensee. For development programs that are licensed to third parties, we generally do not have control over the design or conduct of clinical trials and will not have discretion over marketing decisions. If we are not successful with respect to one or more of these factors in a timely manner or at all, we could experience significant delays or an inability to successfully commercialize any product candidates from our lead programs, which would materially harm our business. If we do not receive marketing approvals for such product candidates, we may not be able to continue our operations.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There are substantial risks inherent in attempting to commercialize our new drugs, and, as a result, we may not be able to successfully develop additional products for commercial use.</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Scientific research and development requires significant amounts of capital and even approved drug candidates take a long time to reach commercial viability if it can be achieved at all. During the research and development process, we may experience technological barriers that we may be unable to overcome. Because we use platform technology to develop drug candidates, toxicology signals that may emerge in the course of testing of one particular candidate may apply broadly across our drug candidate platform. Further, certain underlying premises in our development programs are not proven and many of the drug targets that we are pursuing have not yet been validated clinically. For instance, ARO-RAGE has demonstrated the ability to reduce the expression of RAGE in the lung, however it has not been established that this will have an anti-inflammatory effect sufficient for a meaningful clinical benefit in patients with inflammatory lung disease. Further, it is also unknown at this time what may be required to gain adequate reimbursement by either commercial or government payers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With respect to fazirsiran, it is also unknown at this time what changes in the liver may be required to gain regulatory approval and/or adequate reimbursement for a drug that reduces the production of mutant alpha-1 antitrypsin in the liver. Similar uncertainties and risks exist that are specific to each of our development programs. If we are unable to successfully develop commercial products, we will be unable to generate revenue or build a sustainable or profitable business.</w:t>
      </w:r>
    </w:p>
    <w:p>
      <w:pPr>
        <w:spacing w:after="0" w:line="2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are in clinical development, which is a lengthy and expensive process with uncertain outcomes and the potential for substantial delays. There can be no assurance that our product candidates will obtain regulatory approval, which is necessary before they can be commercialized.</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sale of human therapeutic products in the United States and foreign jurisdictions is subject to extensive and time-consuming regulatory approval which requires, among other things:</w:t>
      </w:r>
    </w:p>
    <w:p>
      <w:pPr>
        <w:spacing w:after="0" w:line="5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research and human clinical testing;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the safety and efficacy of the product;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review and approval of a submission containing manufacturing, preclinical and clinical data;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adherence to cGMP regulations during production and storage.</w:t>
      </w:r>
    </w:p>
    <w:p>
      <w:pPr>
        <w:spacing w:after="0" w:line="9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Since 2011, we have focused substantially all of our efforts and financial resources on identifying, acquiring and developing our product candidates, including conducting lead optimization, nonclinical studies, preclinical studies and clinical trials, and providing general administrative support for these operations. And, the clinical-stage product candidates we currently have under development will require significant development, preclinical and clinical testing and investment of significant funds to gain regulatory approval before they can be approved for commercialization. The results of our research and human clinical testing of our products may not meet regulatory requirements. Some of our product candidates, if approved, may require the completion of post-market studies. There can be no assurance that any of our products will be further developed and approved. The process of completing clinical testing and obtaining required approvals will take several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not yield successful results for the product candidates that we may identify and pursue for their intended uses, which would prevent, delay or limit the scope of regulatory approval and commercialization.</w:t>
      </w:r>
    </w:p>
    <w:p>
      <w:pPr>
        <w:spacing w:after="0" w:line="37" w:lineRule="exact"/>
        <w:rPr>
          <w:sz w:val="20"/>
          <w:szCs w:val="20"/>
          <w:color w:val="auto"/>
        </w:rPr>
      </w:pPr>
    </w:p>
    <w:p>
      <w:pPr>
        <w:jc w:val="both"/>
        <w:ind w:firstLine="382"/>
        <w:spacing w:after="0" w:line="284" w:lineRule="auto"/>
        <w:rPr>
          <w:sz w:val="20"/>
          <w:szCs w:val="20"/>
          <w:color w:val="auto"/>
        </w:rPr>
      </w:pPr>
      <w:r>
        <w:rPr>
          <w:rFonts w:ascii="Times New Roman" w:cs="Times New Roman" w:eastAsia="Times New Roman" w:hAnsi="Times New Roman"/>
          <w:sz w:val="14"/>
          <w:szCs w:val="14"/>
          <w:color w:val="auto"/>
        </w:rPr>
        <w:t>We must demonstrate our product candidates’ safety and efficacy in humans for each target indication through extensive clinical testing. We may experience numerous unforeseen events during, or as a result of, the testing process that could delay or prevent commercialization of any products, including the following:</w:t>
      </w:r>
    </w:p>
    <w:p>
      <w:pPr>
        <w:spacing w:after="0" w:line="1"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preclinical studies may be inconclusive, or they may not be indicative of results that will be obtained in human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efficacy results attained in early human clinical trials may not be indicative of results that are obtained in later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reviewing test results, we may abandon projects that we might previously have believed to be promising;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regulators may suspend or terminate clinical trials because the participating subjects or patients are being exposed to unacceptable health risks;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not have the desired effects or may include undesirable side effects or other characteristics that preclude regulatory approval or limit their commercial use if approved.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6" w:name="page37"/>
    <w:bookmarkEnd w:id="36"/>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We cannot be certain that current clinical trials or any future clinical trials, whether conducted by us or our licensees,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 Success in clinical trials in a particular indication does not ensure that a product candidate will be successful in other indications. Similarly,</w:t>
      </w:r>
    </w:p>
    <w:p>
      <w:pPr>
        <w:jc w:val="both"/>
        <w:spacing w:after="0" w:line="256" w:lineRule="auto"/>
        <w:rPr>
          <w:sz w:val="20"/>
          <w:szCs w:val="20"/>
          <w:color w:val="auto"/>
        </w:rPr>
      </w:pPr>
      <w:r>
        <w:rPr>
          <w:rFonts w:ascii="Times New Roman" w:cs="Times New Roman" w:eastAsia="Times New Roman" w:hAnsi="Times New Roman"/>
          <w:sz w:val="14"/>
          <w:szCs w:val="14"/>
          <w:color w:val="auto"/>
        </w:rPr>
        <w:t>approval of a product candidate in a particular indication does not ensure that the product candidate will be successful in other indications. For instance, although REDEMPLO</w:t>
      </w:r>
      <w:r>
        <w:rPr>
          <w:rFonts w:ascii="Times New Roman" w:cs="Times New Roman" w:eastAsia="Times New Roman" w:hAnsi="Times New Roman"/>
          <w:sz w:val="16"/>
          <w:szCs w:val="16"/>
          <w:color w:val="008080"/>
        </w:rPr>
        <w:t>’</w:t>
      </w:r>
      <w:r>
        <w:rPr>
          <w:rFonts w:ascii="Times New Roman" w:cs="Times New Roman" w:eastAsia="Times New Roman" w:hAnsi="Times New Roman"/>
          <w:sz w:val="14"/>
          <w:szCs w:val="14"/>
          <w:color w:val="auto"/>
        </w:rPr>
        <w:t>s Phase 3 PALISADE trial for patients with FCS was successful in achieving its primary endpoint and all multiplicity-controlled key secondary endpoints, and we have filed for regulatory approval with global regulatory authorities, there can be no guarantee that global regulatory authorities that have not already approved REDEMPLO for the treatment of FCS will do so, and REDEMPLO may not succeed in achieving its clinical trial endpoints or be approved for the treatment of larger indications such as sHTG because the endpoints and clinical data required for approval in a rare disease indication are different from what is required for a broader patient population.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reveal significant adverse events, toxicities or other side effects and may result in a safety profile that could inhibit regulatory approval or market acceptance of any of our product candidates.</w:t>
      </w:r>
    </w:p>
    <w:p>
      <w:pPr>
        <w:spacing w:after="0" w:line="3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As is the case with pharmaceuticals generally, it is likely that there may be side effects and adverse events (“AEs”) associated with the use of our products or product candidates. If our product candidates are associated with undesirable side effects in preclinical studies or clinical trials, or have unexpected characteristics,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the EMA, other applicable regulatory authorities or an institutional review board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relative to other therapies. Any of these developments could materially harm our business, financial condition and prospects.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trials of our product candidates may not uncover all possible adverse events that patients may experience.</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Clinical trials are conducted in representative samples of the potential patient population, which may have significant variability. By design, clinical trials are based on a limited number of subjects and are of limited duration of exposure to the product, to determine whether the product candidate demonstrates the substantial evidence of efficacy and safety necessary to obtain regulatory approval. As with the results of any statistical sampling, we cannot be sure that all side effects of our product candidates may be uncovered. It may be the case that only with a significantly larger number of patients exposed to the product candidate for a longer duration may a more complete safety profile be identified. Further, even larger clinical trials may not identify rare significant AEs, and the duration of such studies may not be sufficient to identify when those events may occur. Other products have been approved by the regulatory authorities for which safety concerns have been uncovered following approval. Such safety concerns have led to labeling changes, restrictions on distribution through use of a REMS, or withdrawal of products from the market, and any of our product candidates may be subject to similar risks.</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Although to date our current product candidates have generally evidenced an acceptable safety profile in clinical trials, patients treated with REDEMPLO or any of our product candidates, if approved, may experience previously unreported adverse reactions or minor incidences of adverse reactions may manifest with greater frequency in subsequent larger trials, and it is possible that the FDA or other regulatory authorities may ask for additional safety data as a condition of, or in connection with, our efforts to obtain approval of our product candidates. If toxicities, adverse events or any other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safety problems occur or are identified after our products reach the market, we may make the decision or be required by regulatory authorities to conduct additional clinical safety trials, amend the labeling of our products or add additional warnings to the labeling, recall our products, or even withdraw approval for our products.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Topline data may not accurately reflect the complete results of a particular study or trial.</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may publicly disclose topline or interim data from time to time, which is based on a preliminary analysis of then-available efficacy and safety data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the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Results of earlier studies or clinical trials may not be predictive of future clinical trial results, and initial studies or clinical trials may not establish an adequate safety or efficacy profile for our product candidates to justify proceeding to advanced clinical trials or an application for regulatory approval.</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The results of nonclinical and preclinical studies and clinical trials may not be predictive of the results of later-stage clinical trials, and interim results of clinical trials do not necessarily predict final results. The results of preclinical studies and clinical trials in one set of patients or disease indications, or from preclinical studies or clinical trials that we did not lead,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In addition, preclinical and clinical data are often susceptible to various interpretations and analyses, and many companies that have believed their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nonclinical studies and initial clinical trials. Many companies in the pharmaceutical and biotechnology industries have suffered significant setbacks in late-stage clinical trials after achieving positive results in early-stage development, or after achieving positive results in pivotal trials, and we cannot be certain that we will not face similar setbacks. Even if early-stage clinical trials are successful,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Our failure to obtain marketing approval for our product candidates for commercially viable indications, or at all, would substantially harm our business, prospects, financial condition and results of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 may take us longer than we project to complete clinical trials, and we may not be able to complete them at all.</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The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 and/or complete our clinical trials. We may not commence or complete clinical trials involving any of our product candidates as projected or may not conduct them successfully.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8" w:name="page39"/>
    <w:bookmarkEnd w:id="38"/>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potential product liability exposure, and if successful claims are brought against us, we may incur substantial liability from REDEMPLO, or any other approved product candidate, and may have to limit its commercialization.</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use of our product candidates in clinical trials and the sale of REDEMPLO, or any other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8"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 candidates;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our business reputation;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litigation;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patients or other claimants;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successful commercialization of REDEMPLO, or any other approved product candidates, will depend in part on the extent to which government authorities and health insurers establish adequate reimbursement levels and pricing policies.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Sales of REDEMPLO, or any other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adequate coverage. Additionally, significant uncertainty exists as to the reimbursement status of newly-approved drugs, including REDEMPLO.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With respect to our partnered product candidates, we will be reliant on that partner to obtain reimbursement from government and private payers for the drug, if approved, and any failure of that partner to establish adequate reimbursement could have a negative impact on our revenues and profitability.</w:t>
      </w:r>
    </w:p>
    <w:p>
      <w:pPr>
        <w:spacing w:after="0" w:line="64"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IRA includes several measures intended to lower the cost of prescription drugs and related healthcare reforms, including limits on price increases and subjecting an escalating number of drugs to annual price negotiations with the Centers for Medicare &amp; Medicaid Services ("CMS"). In addition, an executive order issued by the White House on May 12, 2025, directs the Department of Health and Human Services (the “HHS”) to implement a “Most Favored Nation” drug pricing policy. See also “</w:t>
      </w:r>
      <w:r>
        <w:rPr>
          <w:rFonts w:ascii="Times New Roman" w:cs="Times New Roman" w:eastAsia="Times New Roman" w:hAnsi="Times New Roman"/>
          <w:sz w:val="14"/>
          <w:szCs w:val="14"/>
          <w:i w:val="1"/>
          <w:iCs w:val="1"/>
          <w:color w:val="auto"/>
        </w:rPr>
        <w:t>The healthcare system is under significant financial pressure to reduce costs, which could reduce payment and reimbursement rates for drugs.</w:t>
      </w:r>
      <w:r>
        <w:rPr>
          <w:rFonts w:ascii="Times New Roman" w:cs="Times New Roman" w:eastAsia="Times New Roman" w:hAnsi="Times New Roman"/>
          <w:sz w:val="14"/>
          <w:szCs w:val="14"/>
          <w:color w:val="auto"/>
        </w:rPr>
        <w:t>” And the recently-enacted One Big Beautiful Bill Act (the “OBBBA”) imposes new restrictions on funding for government health care programs and on individual eligibility for coverage under those programs, which may lead to lower reimbursements for drugs covered by those programs. We cannot be sure whether additional legislation or rulemaking related to these developments will be issued or enacted, or what impact, if any, such changes will have on the profitability of any of our drug candidates, if approved for commercial use, in the future. There also may be future changes unrelated to these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63"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enjoy the market exclusivity benefits of our orphan drug designations.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approved product with an orphan designation receives market exclusivity, which prohibits the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that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 In addition, a designated Orphan Drug may not receive orphan drug exclusivity if it is approved for a use that is broader than the disease for which it received orphan designation. Recent court decisions have created uncertainty in the application and interpretation of orphan drug exclusivity. Further, orphan drug exclusivity can be lost if the FDA later determines that the request for designation was materially defective or if the applicant is unable to assure the availability of sufficient quantities of the drug to meet the needs of patients with the disease or condition for which the drug was designated. Orphan Drug designation neither shortens the development time or regulatory review time of a drug nor gives the drug any advantage in the regulatory review or approval process.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the attraction and retention of senior management and scientists with relevant expertise.</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management and other employees. This will depend in part on our ability to create and maintain a desirable workplace culture, which may be impacted by employee preferences for remote working. In addition, the market for qualified employees in the pharmaceutical industry is experiencing labor shortages and inflationary pressures are causing salaries and wages to increase, all of which exacerbates these competitive dynamics. If we are unable to find, hire and retain qualified individuals, we will have difficulty implementing our business plan in a timely manner, or at all.</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commercialization, collaborative and other arrangements may give rise to disputes over commercial terms, contract interpretation and ownership or protection of our intellectual property and may adversely affect the commercial success of our product candidates.</w:t>
      </w:r>
    </w:p>
    <w:p>
      <w:pPr>
        <w:spacing w:after="0" w:line="3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in the past and may again in the future enter into collaboration or license arrangements, including commercialization or collaborative arrangements, some of which may be based on less definitive agreements, such as memoranda of understanding, material transfer agreements, options or feasibility agreements.</w:t>
      </w:r>
    </w:p>
    <w:p>
      <w:pPr>
        <w:spacing w:after="0" w:line="39"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Commercialization and collaborative relationships are generally complex and can give rise to disputes regarding the relative rights, obligations and revenues of the parties, including the ownership of intellectual property and associated rights and obligations, especially when the applicable collaborative provisions have not been fully negotiated and documented. Such disputes have arisen in the past from time to time and, if they arise again could delay collaborative research, development or commercialization of potential product candidates, and can lead to lengthy, expensive litigation or arbitration. The terms of such arrangements may also limit or preclude us from commercializing products or technologies developed pursuant to such collaborations. Additionally, the commercialization or collaborative partners under these arrangements might breach the terms of their respective agreements or fail to maintain, protect or prevent infringement of the licensed patents or our other intellectual property rights by third parties. Moreover, negotiating commercialization and collaborative arrangements often takes considerably longer to conclude than the parties initially anticipate, which could cause us to enter into less favorable agreement terms that delay or defer recovery of our development costs and reduce the funding available to support key programs. Any failure by our commercialization or collaborative partners to abide by the terms of their respective agreements with us (including their failure to accurately calculate, report or pay any royalties payable to either us or a third party or their failure to repay, in full or in part, either any outstanding receivables or any other amounts for which we are entitled to reimbursement) may adversely affect our results of operations.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0" w:name="page41"/>
    <w:bookmarkEnd w:id="40"/>
    <w:p>
      <w:pPr>
        <w:ind w:firstLine="382"/>
        <w:spacing w:after="0" w:line="283" w:lineRule="auto"/>
        <w:rPr>
          <w:sz w:val="20"/>
          <w:szCs w:val="20"/>
          <w:color w:val="auto"/>
        </w:rPr>
      </w:pPr>
      <w:r>
        <w:rPr>
          <w:rFonts w:ascii="Times New Roman" w:cs="Times New Roman" w:eastAsia="Times New Roman" w:hAnsi="Times New Roman"/>
          <w:sz w:val="14"/>
          <w:szCs w:val="14"/>
          <w:color w:val="auto"/>
        </w:rPr>
        <w:t>We are not always able to enter into commercialization or collaborative arrangements on acceptable terms, which can harm our ability to develop and commercialize our current and potential future products and technologies. Other factors relating to collaborations that may adversely affect the commercial success of our product candidates include:</w:t>
      </w:r>
    </w:p>
    <w:p>
      <w:pPr>
        <w:spacing w:after="0" w:line="2"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parallel development by a commercialization or collaborative partner of competitive technologies or products;</w:t>
      </w:r>
    </w:p>
    <w:p>
      <w:pPr>
        <w:spacing w:after="0" w:line="71" w:lineRule="exact"/>
        <w:rPr>
          <w:rFonts w:ascii="Times New Roman" w:cs="Times New Roman" w:eastAsia="Times New Roman" w:hAnsi="Times New Roman"/>
          <w:sz w:val="14"/>
          <w:szCs w:val="14"/>
          <w:b w:val="1"/>
          <w:bCs w:val="1"/>
          <w:color w:val="auto"/>
        </w:rPr>
      </w:pPr>
    </w:p>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arrangements with commercialization or collaborative partners that limit or preclude us from developing products or technologies;</w:t>
      </w:r>
    </w:p>
    <w:p>
      <w:pPr>
        <w:spacing w:after="0" w:line="48"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premature termination of a commercialization or collaboration agreement or the inability to renegotiate existing agreements on favorable terms; or</w:t>
      </w:r>
    </w:p>
    <w:p>
      <w:pPr>
        <w:spacing w:after="0" w:line="60" w:lineRule="exact"/>
        <w:rPr>
          <w:rFonts w:ascii="Times New Roman" w:cs="Times New Roman" w:eastAsia="Times New Roman" w:hAnsi="Times New Roman"/>
          <w:sz w:val="17"/>
          <w:szCs w:val="17"/>
          <w:color w:val="auto"/>
        </w:rPr>
      </w:pPr>
    </w:p>
    <w:p>
      <w:pPr>
        <w:ind w:left="520" w:hanging="260"/>
        <w:spacing w:after="0" w:line="251" w:lineRule="auto"/>
        <w:tabs>
          <w:tab w:leader="none" w:pos="5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failure by a commercialization or collaborative partner to devote sufficient resources to the development and commercial sales of products using our current and potential future products and technologies.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commercialization or collaborative arrangements do not necessarily restrict our commercialization or collaborative partners from competing with us or restrict their ability to market or sell competitive products. Our current and any future commercialization or collaborative partners may pursue existing or other development-stage products or alternative technologies in preference to those being commercialized or developed in collaboration with us.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addition, contract disputes with customers or other third parties may arise from time to time. Our commercialization or collaborative partners, or customers or other third parties, may also terminate their relationships with us or otherwise decide not to proceed with the development, commercialization or purchase of our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Regulatory Review and Approval of Our Product Candidates</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Breakthrough Therapy designation for Fazirsiran (formerly ARO-AAT) and other of our current or future product candidates and other of our current or future product candidates may not lead to a faster development or review process.</w:t>
      </w:r>
    </w:p>
    <w:p>
      <w:pPr>
        <w:spacing w:after="0" w:line="5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been granted a Breakthrough Therapy designation for fazirsiran in the United States for the treatment of liver disease associated with AATD, and we may seek Breakthrough Therapy designation for other current or future product candidates. Breakthrough Therapy designation is intended to facilitate the development and expedite the review of new therapies to treat serious conditions with unmet medical needs by providing sponsors with the opportunity for frequent interactions and additional drug development guidance with the FDA and its senior managers. Breakthrough Therapy designation applies to the combination of the product candidate and the specific indication for which it is being studied. Product candidates that receive Breakthrough Therapy designation may receive more frequent interactions with the FDA regarding the product candidate’s development plan and clinical trials and may be eligible for the FDA’s Rolling Review.</w:t>
      </w:r>
    </w:p>
    <w:p>
      <w:pPr>
        <w:spacing w:after="0" w:line="58"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Despite receiving Breakthrough Therapy designation, fazirsiran or other product candidates may not actually benefit from faster clinical development or regulatory review or approval any sooner than other product candidates that do not have such designation, or at all. For example, although we received Breakthrough Therapy designation for REDEMPLO in the United States for the treatment of FCS, REDEMPLO was ultimately reviewed on a standard timeline. Furthermore, such a designation does not increase the likelihood that fazirsiran or other product candidates will receive marketing approval in the United States. The FDA may also rescind Breakthrough Therapy designation if it determines that fazirsiran or other product candidates no longer meets the relevant criteria.</w:t>
      </w:r>
    </w:p>
    <w:p>
      <w:pPr>
        <w:spacing w:after="0" w:line="22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Fast Track product designation may not lead to faster development or regulatory review or approval process, and it does not increase the likelihood that our product candidates will receive marketing approval.</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received a Fast Track product designation for fazirsiran in the United States for the treatment of liver disease associated with AATD, and we may seek Fast Track designation for other of our current or future product candidates. The Fast Track designation is a program offered by the FDA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 Fast Track designation does not, however, guarantee FDA approval or expedited approval of any application for the product candidate. The receipt of such a designation for a product candidate may not result in a faster development process, review, or approval compared to drugs considered for approval under conventional FDA procedures and does not assure ultimate marketing approval by the FDA. For example, although we received Fast Track designation for REDEMPLO in the United States for the treatment of FCS, REDEMPLO was ultimately reviewed on a standard timeline. In addition, the FDA may later decide that the products no longer meet the designation conditions.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seek priority review designation for one or more of our product candidates, but we might not receive such designation, and even if we do, such designation may not lead to faster development or regulatory review or approval process.</w:t>
      </w:r>
    </w:p>
    <w:p>
      <w:pPr>
        <w:spacing w:after="0" w:line="3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filing date,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intend to deliver some of our product candidates via drug delivery devices that will have their own regulatory, development, supply and other risks.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intend to deliver some of our product candidates via drug delivery devices, such as an autoinjector or nebulizer. There may be unforeseen technical complications related to the development activities required to bring such a product to market, including container compatibility and/or dose volume requirements. If our product candidates are intended to be used with drug delivery devices, we expect to utilize drug delivery devices authorized for marketing under clearances of approvals held by third parties. Our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42424"/>
        </w:rPr>
        <w:t>We and our licensees con</w:t>
      </w:r>
      <w:r>
        <w:rPr>
          <w:rFonts w:ascii="Times New Roman" w:cs="Times New Roman" w:eastAsia="Times New Roman" w:hAnsi="Times New Roman"/>
          <w:sz w:val="14"/>
          <w:szCs w:val="14"/>
          <w:b w:val="1"/>
          <w:bCs w:val="1"/>
          <w:i w:val="1"/>
          <w:iCs w:val="1"/>
          <w:color w:val="000000"/>
        </w:rPr>
        <w:t>duct clinical trials for product candidates outside the United States, and the FDA and comparable foreign regulatory authorities may not accept data from such trials.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We and our licensees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Most of our clinical trials involve study subjects outside of the United States, including most of our Phase 1 clinical trials (which often enroll study subjects in Australia and New Zealand), and our Phase 3 clinical trials of plozasiran and zodasiran, for which we have enrolled and plan to enroll cohorts outside the United States. If 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Even if we obtain FDA approval for products in the United States, we may never obtain approval to commercialize any product candidates outside of the United States, which would limit our ability to realize their full market potential.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2" w:name="page43"/>
    <w:bookmarkEnd w:id="42"/>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order to market any products outside of the United States, we must establish and comply with numerous and varying regulatory requirements of other countries regarding safety and effectiveness, and the chemistry, manufacturing and controls for the product. Clinical trials conducted in one country may not be accepted by regulatory authorities in other countries, and regulatory approval in one country does not mean that regulatory approval will be obtained in any other country. Approval processes and requirements vary among countries and can involve additional product testing and validation and additional or different administrative review periods from those in the United States, including additional preclinical studies or clinical trials. In many jurisdictions outside the United States, a product candidate must be approved for reimbursement before it can be approved for sale in that jurisdiction. In some cases, the price that we intend to charge for our products is also subject to approval before a product can be marketed in that jurisdiction, even after establishing safety and efficacy in a clinical setting.</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Seeking foreign regulatory approval could result in difficulties and costs and require additional nonclinical studies or clinical trials which could be costly and time-consuming. Regulatory requirements can vary widely from country to country and could delay or prevent the introduction of our product candidates in those countries. The foreign regulatory approval process may include all of the risks associated with obtaining FDA approval. We do not have any product candidates approved for sale in international markets, and we do not have experience in obtaining regulatory approval in international markets.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56"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FDA or comparable foreign regulatory authorities approve generic versions of REDEMPLO, or any other potential products that receive marketing approval, or such authorities do not grant REDEMPLO appropriate periods of data or market exclusivity before approving a generic version, the sales of REDEMPLO could be adversely affected.</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ANDAs in the United States.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FDA may not approve an ANDA or a 505(b)(2) 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product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w:t>
      </w:r>
    </w:p>
    <w:p>
      <w:pPr>
        <w:spacing w:after="0" w:line="1" w:lineRule="exact"/>
        <w:rPr>
          <w:sz w:val="20"/>
          <w:szCs w:val="20"/>
          <w:color w:val="auto"/>
        </w:rPr>
      </w:pPr>
    </w:p>
    <w:p>
      <w:pPr>
        <w:jc w:val="both"/>
        <w:ind w:firstLine="5"/>
        <w:spacing w:after="0" w:line="255" w:lineRule="auto"/>
        <w:tabs>
          <w:tab w:leader="none" w:pos="21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product candidate. This three-year exclusivity covers only the conditions associated with the new clinical investigations and does not prohibit the FDA from approving ANDAs for product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w:t>
      </w:r>
    </w:p>
    <w:p>
      <w:pPr>
        <w:spacing w:after="0" w:line="6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Competition that REDEMPLO, or any other potential product candidates, may face from generic drugs could materially and adversely impact our future revenue, profitability and cash flows and substantially limit our ability to obtain a return on the investments we have made in those products. Our future revenues, profitability and cash flows could also be materially and adversely affected and our ability to obtain a return on the investments we have made in REDEMPLO or other product candidates may be substantially limited if REDEMPLO, or any other potential products, product candidates, are not afforded the appropriate periods of non-patent exclusivity.</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Regulatory agencies subject any marketed product(s), such as REDEMPLO, and the facilities where they are manufactured to continual review and periodic inspection. If previously unknown problems with a product, manufacturing and laboratory facilities or regulatory requirements are discovered, such as AEs of unanticipated severity or frequency,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3" w:name="page44"/>
    <w:bookmarkEnd w:id="43"/>
    <w:p>
      <w:pPr>
        <w:spacing w:after="0" w:line="284" w:lineRule="auto"/>
        <w:rPr>
          <w:sz w:val="20"/>
          <w:szCs w:val="20"/>
          <w:color w:val="auto"/>
        </w:rPr>
      </w:pPr>
      <w:r>
        <w:rPr>
          <w:rFonts w:ascii="Times New Roman" w:cs="Times New Roman" w:eastAsia="Times New Roman" w:hAnsi="Times New Roman"/>
          <w:sz w:val="14"/>
          <w:szCs w:val="14"/>
          <w:color w:val="auto"/>
        </w:rPr>
        <w:t>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1"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the withdrawal of the product from the market or product recalls;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untitled, or it has come to our attention letters, or holds on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approvals;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closure of the facility, enforcement of substantial fines, injunctions, or the imposition of civil or criminal penalties.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Pharmaceutical and biological product marketing is subject to substantial regulation in the U.S. and any failure by us or our commercial and collaborative partners to comply with applicable statutes or regulations can adversely affect our business.</w:t>
      </w:r>
    </w:p>
    <w:p>
      <w:pPr>
        <w:spacing w:after="0" w:line="37"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Any marketing activities associated with REDEMPLO, or any other product candidates approved for commercialization, will be subject to numerous federal and state laws governing the marketing and promotion of pharmaceutical and biological products. The FDA regulates post-approval promotional labeling and advertising to ensure that they conform to statutory and regulatory requirements. In addition to FDA restrictions, the marketing of prescription drugs is subject to laws and regulations prohibiting fraud and abuse under government healthcare programs. Similarly, many states have similar statutes or regulations that apply to items and services reimbursed under Medicaid and other state programs, and, in some states, such statutes or regulations apply regardless of the payer. In addition, government authorities may also seek to hold us responsible for any failure of our commercialization or collaborative partners to comply with applicable statutes or regulations. If we, or our commercial or collaborative partners, fail to comply with applicable FDA regulations or other laws or regulations relating to the marketing of REDEMPLO, or any other approved product candidates, we could be subject to criminal prosecution, civil penalties, seizure of products, injunctions and exclusion of our product candidates from reimbursement under government programs, as well as other regulatory or investigatory actions against our future product candidates, our commercial or collaborative partners or us. See also “</w:t>
      </w:r>
      <w:r>
        <w:rPr>
          <w:rFonts w:ascii="Times New Roman" w:cs="Times New Roman" w:eastAsia="Times New Roman" w:hAnsi="Times New Roman"/>
          <w:sz w:val="14"/>
          <w:szCs w:val="14"/>
          <w:i w:val="1"/>
          <w:iCs w:val="1"/>
          <w:color w:val="auto"/>
        </w:rPr>
        <w:t>Our operations, including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protect our patents and other proprietary rights is uncertain, exposing us to the possible loss of competitive advantage.</w:t>
      </w:r>
    </w:p>
    <w:p>
      <w:pPr>
        <w:spacing w:after="0" w:line="96"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We have licensed rights to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or publications exist. If a particular patent is not granted, the value of the invention described in the patent would be diminished. Further, even if these patents are granted, they may be difficult to enforce. Patent prosecution and maintenance is expensive, and we may be forced to curtail prosecution or maintenance if our cash resources are limited. Thus, the patents held by or licensed to us may not afford us any meaningful competitive advantage. Even if ultimately successful in obtaining patent protection,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Additionally, our technology may be accused of infringing and may ultimately prove to infringe upon patents or rights owned by others. The Company may be subject to intellectual property litigation that could negatively impact our ability to commercialize REDEMPLO and our product candidates, if approved. For example, on September 10, 2025, the Company filed a Complaint for Declaratory Judgment in the United States District Court for the District of Delaware against Ionis Pharmaceuticals, Inc. (“Ionis”) to declare that the United States Patent No. 9,593,333 (“the ’333 patent”) is invalid and not infringed by the Company’s planned commercialization of investigational plozasiran, and on September 11, 2025, Ionis filed a Complaint for Patent Infringement against the Company in the United States District Court for the Central District of California alleging patent infringement of the ’333 patent. In addition, the laws of some foreign countries in which we do business, including through our joint ventures, do not protect intellectual property rights to the same extent or in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4"/>
          <w:szCs w:val="14"/>
          <w:color w:val="auto"/>
        </w:rPr>
        <w:t>same manner as the laws of the United States. Moreover, if we or our licensors fail to maintain the patents and patent applications covering our product candidates or technologies, including as a result of geopolitical events such as civil or political unrest (including the ongoing conflicts between Ukraine and Russia and Israel and Palestine), we may not be able to use such patents and patent applications or stop a competitor from marketing products that are the same as or similar to our product candidates. As a result, we may encounter significant problems in protecting and defending our intellectual property both in the United States and abroad. If we are unable to adequately protect our owned intellectual property or derive sufficient value from our licensed or owned intellectual property, the value of your investment may decline.</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addition, patent grant standards by the USPTO and its foreign counterparts are not always uniform or predictable, and subject to change. For example, the America Invents Act enacted a number of changes to U.S. patent laws, which may prevent us from adequately protecting our inventions and discoveries, including our ability to seek injunctive relief, pursue infringement claims, and obtain substantial damage awards. An example of a major provision of the America Invents Act is the change in the U.S. patent policy from a first-to-invent to a first-to-file practice. Additionally, the USPTO and patent offices in other jurisdictions have often required that patent applications directed to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Thus, there is no assurance as to the degree and range of protections any of our patents, if issued, may afford us or whether patents will be issues. Foreign counterparts to this law are also not uniform, and there is no worldwide policy governing the subject matter and scope of claims granted in a pharmaceutical or biotechnology patent. Uncertainty, arising from changing laws, can impact our ability to protect our patents and other proprietary rights.</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party to technology license agreements with third parties that require us to satisfy obligations to keep them effective and, if these agreements are terminated, our technology and our business could be seriously and adversely affected.</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are party to license agreements to incorporate third-party proprietary technologies into our drug products under development or our manufacturing processes. These license agreements require us to pay royalties and satisfy other conditions. If we fail to satisfy our obligations under these agreements, the terms of the licenses may be materially modified, such as by rendering currently exclusive licenses non-exclusive, or may give our licensors the right to terminate their respective agreement with us, which could limit our ability to implement our current business plan and harm our business and financial condition.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and have been subject to patent infringement claims, which could result in substantial costs and liability and prevent us from commercializing our potential products.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Because the intellectual property landscape in the fields in which we participate is rapidly evolving and interdisciplinary, it is difficult to conclusively assess our freedom to operate without infringing on third-party rights. However, if granted marketing approval, we are currently aware of certain patent rights held by third parties that, if found to be valid and enforceable, could be alleged to render one or more of our drug products or candidates infringing. For example, as the Company previously reported in Form 8-K filed on September 12, 2025, Ionis Pharmaceuticals, Inc. (“Ionis”) filed a complaint for patent infringement against the Company in the United States District Court for the Central District of California alleging patent infringement of United States Patent No. 9,593,333 (“the ’333 patent”) (the "Ionis Claim"), which may impact our planned commercialization of REDEMPLO. See also “</w:t>
      </w:r>
      <w:r>
        <w:rPr>
          <w:rFonts w:ascii="Times New Roman" w:cs="Times New Roman" w:eastAsia="Times New Roman" w:hAnsi="Times New Roman"/>
          <w:sz w:val="14"/>
          <w:szCs w:val="14"/>
          <w:i w:val="1"/>
          <w:iCs w:val="1"/>
          <w:color w:val="auto"/>
        </w:rPr>
        <w:t>Our ability to protect our patents and other proprietary rights 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uncertain, exposing us to the possible loss of competitive advantage.” </w:t>
      </w:r>
      <w:r>
        <w:rPr>
          <w:rFonts w:ascii="Times New Roman" w:cs="Times New Roman" w:eastAsia="Times New Roman" w:hAnsi="Times New Roman"/>
          <w:sz w:val="14"/>
          <w:szCs w:val="14"/>
          <w:color w:val="auto"/>
        </w:rPr>
        <w:t>If the Ionis Claim or any potential future claim by another party is successful, we may be required to pay substantial damages,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forced to abandon any affected drug product and/or product candidates and/or seek a license from the patent holder. In addition, the Ionis Claim and any future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addition, if our products and/or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We license patent rights from third-party owners and we rely on such owners to obtain, maintain and enforce the patents underlying such licenses.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a party to a number of licenses that give us rights to third-party intellectual property that is necessary or useful for our business. We also expect to enter into additional licenses to third-party intellectual property in the future.</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success may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technology licensed from various third parties may be subject to retained rights.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may not adequately prevent disclosure of trade secrets and other proprietary information.</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As our organization grows, so does the risk of unauthorized disclosure of confidential information.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effectively secure first-tier technologies when competing against other companies or investors.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future success may require that we acquire patent rights and know-how to new or complimentary technologies. However, we also compete with a substantial number of other companies that are working to develop novel drugs using technology that compete directly with us. We are aware of several other companies that are working to develop RNAi therapeutic products and any one of these companies may develop its RNAi technology more rapidly and more effectively than us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or to otherwise effectively compete. Furthermore, should any commercial undertaking by us prove to be successful, there can be no assurance competitors with greater financial resources will not offer competitive products and/or technologies.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negatively impact our business.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competing. Issued patents may be challenged by third parties in the courts or patent offices in various countries throughout the world. Invalidation proceedings may result in patent claims being narrowed, invalidated or held unenforceable. Uncertainties regarding the outcome of such proceedings, as well as any resulting losses of patent protection, could harm our business.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46" w:name="page47"/>
    <w:bookmarkEnd w:id="46"/>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Some countries do not enforce patents related to medical treatments, or limit enforceability in the case of a public emergency.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intellectual property systems in other countries can be destabilized or unpredictable as a result of geopolitical events such as civil or political unrest (including the ongoing conflicts between Ukraine and Russia and Israel and Palestine). Therefore, during such geopolitical events, the ability to obtain, retain and enforce intellectual property protection in the affected countries may be uncertain and evolve during the course of such geopolitical event. The U.S. government’s response to geopolitical events may also negatively affect our ability to obtain, retain and enforce intellectual property protection in the affected countries. Uncertainties regarding geopolitical events, as well as any resulting losses of intellectual property protection, could harm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 Model</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model assumes we will generate revenue by, among other activities, marketing or out-licensing the products we develop. Our product candidates are in various stages of development and we currently have only one product based on RNAi and our delivery technologies which was approved in November 2025. Accordingly, there is a limited amount of information about us upon which you can evaluate our business and prospects.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not begun to generate revenues from the commercialization of REDEMPLO or any product candidates. As such, we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8"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product development activities using technologies that have not yet generated revenues;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maintain, and protect a strong intellectual property portfolio;</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safety and efficacy of our product candidates in multiple human clinical studies;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FDA approval and approval from similar foreign regulatory bodies;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market acceptance for the development and commercialization of any drugs we develop;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our products are reimbursed by commercial and/or government payers at a rate that permits commercial viability;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maintain successful strategic relationships with suppliers, distributors, and commercial licensing partners;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spending and cash requirements as our expenses will increase in the near term if we add programs and additional preclinical and clinical trials;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market any products for which we obtain marketing approval.</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we are unsuccessful in accomplishing these objectives, we may not be able to develop products, raise capital, expand our business or continue our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need to establish additional relationships with strategic and development partners to fully develop our product candidates and market any approved products.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Over the past several years we have entered into license and collaboration agreements with Takeda, Janssen, Amgen, Horizon, GSK, Sarepta, Visirna and Novartis Pharma AG (“Novartis”). Our business strategy includes securing additional collaborations with other pharmaceutical and biotech companies to support the development of our RNAi therapeutics and other product candidates. We do not possess all of the financial and development resources necessary to develop and commercialize all of the products that may result from our technologies. Unless we expand our own product development capacity and enhance our own internal marketing capability, we may need to make arrangements with other strategic partners to develop and commercialize any product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particularly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7" w:name="page48"/>
    <w:bookmarkEnd w:id="47"/>
    <w:p>
      <w:pPr>
        <w:spacing w:after="0" w:line="284" w:lineRule="auto"/>
        <w:rPr>
          <w:sz w:val="20"/>
          <w:szCs w:val="20"/>
          <w:color w:val="auto"/>
        </w:rPr>
      </w:pPr>
      <w:r>
        <w:rPr>
          <w:rFonts w:ascii="Times New Roman" w:cs="Times New Roman" w:eastAsia="Times New Roman" w:hAnsi="Times New Roman"/>
          <w:sz w:val="14"/>
          <w:szCs w:val="14"/>
          <w:color w:val="auto"/>
        </w:rPr>
        <w:t>as partnered programs progress and our licensees may elect to assume greater control over these programs. In addition, in the event we pursue our commercialization strategy through collaboration or licenses to third parties, there are a variety of technical, business and legal risks, including:</w:t>
      </w:r>
    </w:p>
    <w:p>
      <w:pPr>
        <w:spacing w:after="0" w:line="1" w:lineRule="exact"/>
        <w:rPr>
          <w:sz w:val="20"/>
          <w:szCs w:val="20"/>
          <w:color w:val="auto"/>
        </w:rPr>
      </w:pPr>
    </w:p>
    <w:p>
      <w:pPr>
        <w:ind w:left="520" w:hanging="260"/>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control the amount and timing of resources that our collaborators may be willing or able to devote to the development or commercialization of our product candidates or to their marketing and distribution; and</w:t>
      </w:r>
    </w:p>
    <w:p>
      <w:pPr>
        <w:ind w:left="520" w:hanging="260"/>
        <w:spacing w:after="0" w:line="287"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our collaborators that result in the delay or termination of the research, development or commercialization of our product candidates or that result in costly litigation or arbitration that diverts our management’s resources.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occurrence of any of the above events or other related events could impair our ability to generate revenues and harm our business and financial condition.</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product candidates.</w:t>
      </w:r>
    </w:p>
    <w:p>
      <w:pPr>
        <w:spacing w:after="0" w:line="37"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Under our licensing and collaboration agreements with Amgen, Takeda, GSK, Sarepta, Visirna, Sanofi, and Novartis, our partners substantially control clinical development and commercialization for all of the candidates covered under those agreements in their relevant territories. To the extent that (i) our partners’ interests in advancing these candidates or targets changes,</w:t>
      </w:r>
    </w:p>
    <w:p>
      <w:pPr>
        <w:spacing w:after="0" w:line="1" w:lineRule="exact"/>
        <w:rPr>
          <w:sz w:val="20"/>
          <w:szCs w:val="20"/>
          <w:color w:val="auto"/>
        </w:rPr>
      </w:pPr>
    </w:p>
    <w:p>
      <w:pPr>
        <w:ind w:firstLine="5"/>
        <w:spacing w:after="0" w:line="266" w:lineRule="auto"/>
        <w:tabs>
          <w:tab w:leader="none" w:pos="22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scientific issues with the candidates arise, or (iii) the pace at which our partners move the candidates through clinical trials toward commercialization slows, our ability to collect milestones and royalties may be significantly diminished. This would further cause us to rely upon other sources of financing to continue to develop our other internal product candidates.</w:t>
      </w:r>
    </w:p>
    <w:p>
      <w:pPr>
        <w:spacing w:after="0" w:line="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achieve commercial acceptance of REDEMPLO and our product candidates to generate revenues and achieve profitability.</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in getting regulatory approval of our product candidates, it may not be on a timely basis. During our drug development period, superior competitive technologies may be introduced which could diminish or extinguish the potential commercial uses for our product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payers, including commercial insurance companies and government health care programs.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6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Moreover, we have not yet generated any revenue from product sales. Our ability to generate significant revenue and achieve profitability depends on our ability, alone or with potential strategic collaboration partners, to complete the development of and obtain the regulatory and marketing approvals necessary to commercialize our product candidates and introduce products that will be accepted by the medical community. The commercial success of REDEMPLO or any of our product candidates, if approved, will depend on many factors, including, but not limited to:</w:t>
      </w:r>
    </w:p>
    <w:p>
      <w:pPr>
        <w:spacing w:after="0" w:line="8" w:lineRule="exact"/>
        <w:rPr>
          <w:sz w:val="20"/>
          <w:szCs w:val="20"/>
          <w:color w:val="auto"/>
        </w:rPr>
      </w:pPr>
    </w:p>
    <w:p>
      <w:pPr>
        <w:ind w:left="520" w:hanging="260"/>
        <w:spacing w:after="0" w:line="28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coverage and adequate and timely reimbursement from managed care plans, private insurers, government payers (such as Medicare and Medicaid and similar foreign authorities) and other third-party payers for our products;</w:t>
      </w: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patients’ ability and willingness to pay out-of-pocket for our products in the absence of coverage and/or adequate reimbursement from third-party payers;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8" w:name="page49"/>
    <w:bookmarkEnd w:id="48"/>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demand for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health benefits and costs savings that patients derive from REDEMPLO;</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enforce intellectual property rights in and to our products;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avoid third-party patent interference, intellectual property challenges or intellectual property infringement claims.</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cannot predict whether significant commercial market acceptance for REDEMPLO or any of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market opportunities for REDEMPLO or any other approved product candidates, are smaller than we expect, it could materially adversely affect our financial condition and results of operation.</w:t>
      </w:r>
    </w:p>
    <w:p>
      <w:pPr>
        <w:spacing w:after="0" w:line="3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If the market opportunity for REDEMPLO or any other approved products, is smaller than we expect, we may never become or remain profitable nor generate sufficient revenue growth to sustain our business even if we obtain significant market share for them. The potentially addressable patient population for our products may be limited or may not be amenable to treatment with our products, and new patients may become increasingly difficult to identify or access, which would adversely affect our results of operations and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outside sources for various components and processes for our products.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rely on third parties for various components and processes for REDEMPLO and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For instance, drug substance and drug product for REDEMPLO are each currently sourced from a single, third-party manufacturer, and many of our pulmonary product candidates are administered using a proprietary delivery device which is currently sourced from a single manufacturer.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 particularly as a result of recent labor market and global supply chain constraints.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37"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Although we have developed our own internal manufacturing capabilities which allow us to manufacture oligonucleotide drug substance for our clinical product candidates, we do not currently have internal manufacturing capabilities beyond such clinical-stage oligonucleotide drug substance. We rely, and expect to continue to rely, on third-party manufacturers for the production of REDEMPLO and our drug product candidates for clinical trials and commercialization. We may choose to utilize third-party manufacturers to produce some or all of our development candidates, even if we have internal manufacturing capabilities to do so. Further, we have not developed the ability to manufacture drug product ourselves, nor have we developed the capabilities to manufacture biologics. If we were to experience an unexpected loss or interruption of supply for REDEMPLO or any of our product candidates, whether as a result of manufacturing, supply or storage issues or otherwise, we could experience disruptions in our commercial sales or delays, disruptions, suspensions or terminations of, or be required to restart or repeat, any pending or ongoing clinical trials. Further, our product candidates are composed of multiple components and require specific formulations for which scale-up and manufacturing could be difficult. For certain products, we have limited experience in such scale-up and manufacturing which may require us to depend on a limited number of third parties, who may not be able to deliver in a timely manner, or at all. In order to develop products, apply for regulatory approvals, and commercialize our products, we will need to develop, contract for, or otherwise arrange for the necessary manufacturing capabilities. We have increased our GMP drug substance manufacturing capacity following the substantially completed build out and integration of our manufacturing facility in Verona, Wisconsin. There are a limited number of manufacturers that supply synthetic oligonucleotides.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9" w:name="page50"/>
    <w:bookmarkEnd w:id="49"/>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Additionally, as more of our product candidates become approved for commercial sale, we will need to establish either internal or third-party manufacturing and analytical capacity. For example, we have entered into third-party agreements for the manufacturing of REDEMPLO for drug substance and drug product, in conjunction with its commercial launch in 2025. Further, some manufacturing partners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or additional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 While we are exploring alternative suppliers for certain critical materials, some of which are sole sourced, and there can be no assurance that our efforts will be successful. Accordingly, there is a risk that supplies of our products and product candidates may be significantly delayed by, or may become unavailable as a result of manufacturing, equipment, process, regulatory or business-related issues affecting that company.</w:t>
      </w:r>
    </w:p>
    <w:p>
      <w:pPr>
        <w:spacing w:after="0" w:line="63"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Manufacturers of our approved products (including us, if we chose to internally manufacture) must comply with cGMP requirements relating to methods, facilities and controls used in the manufacturing, processing and packaging of the product, which are intended to ensure that drug products are safe and that they consistently meet applicable requirements and specifications. These requirements include quality control, quality assurance, and the maintenance of records and documentation. These manufacturers (including us, if we chose to internally manufacture) may be unable to comply with these cGMP requirements and with other FDA, state and foreign regulatory requirements. These requirements are enforced by the FDA and other health authorities through periodic announced and unannounced inspections of manufacturing facilities. A failure to comply with these requirements or to provide adequate and timely corrective actions in response to deficiencies identified in an inspection may result in enforcement action, including warning letters, fines and civil penalties, suspension of production, suspension or delay in product approval, product seizure or recall, plant shutdown, or the delay, withholding,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clinical trials, and if they fail to fulfill their obligations, the development of our products may be adversely affected.</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rely on independent clinical investigators, contract research organizations (CROs) and other third-party service providers to assist us in managing, monitoring and otherwise carrying out our clinical trials. We contract with certain third-parties to provide certain services, including site selection, enrollment, monitoring and data management services. We rely on these parties to carry out our clinical trials in compliance with GCP and other relevant requirements. Although we depend heavily on these parties, we do not control them and therefore we cannot be assured that these third parties will adequately perform all of their contractual obligations to us. If our third-party service providers cannot adequately and timely fulfill their obligations to us, or if the quality and accuracy of our clinical trial data is compromised due to failure by such third parties to adhere to our protocols, GCP, or other regulatory requirements or if such third parties otherwise fail to meet deadlines or quality requirements, our development plans may be delayed or terminated. Further, if clinical study results are compromised, then we may need to repeat the affected studies, which could result in significant additional costs and delays to us.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competition from various entities including large pharmaceutical companies, small biotech companies, private companies, and research institutions.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Many of our competitors have greater financial resources and may have more experience in research and development, manufacturing, managing clinical trials, commercialization and/or regulatory compliance than we do. Our competitors may compete with us for lead clinical trial investigators, clinical trial site locations and patient enrollment. These competitors may also compete with us in recruiting scientific and management personnel. Because our products are in various stages of preclinical and clinical development, along with many of the competing products, and given unpredictability inherent in drug development, it is difficult to predict which third party may be our most direct competitor, and on what factors that competition may be focused. Moreover, we also face increased competition from other companies that are using artificial intelligence, some of whom may be able to more quickly and effectively identify and develop novel product candidates compared to us and our business partners, which could impair our ability to compete effectively and have a material adverse effect on our business, results of operations or financial condition.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expanding our operations successfully as we evolve our pipeline and move toward commercializing drugs.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future financial performance and our ability to commercialize products and compete effectively will depend, in part, on our ability to effectively manage future growth. We expect that as we increase the number of product candidates we are developing we will also need to expand our operations. This expected growth may place a strain on our administrative and operational infrastructure and information technology systems. As product candidates we develop enter and advance through clinical trials, we will need to expand our development, regulatory, manufacturing, marketing, sales, and customer support capabilities or contract with other organizations to provide these capabilities for us. We are currently establishing a sales, customer support, and marketing infrastructure for REDEMPLO and certain of our product candidates, and although we have hired individuals with significant experience in the sales, customer support, marketing, and distribution of pharmaceutical products, the Company does not have prior experience in commercialization of a product. To achieve commercial success for REDEMPLO or any approved product for which we retain sales and marketing rights, we must continue to develop a sales and marketing organization or outsource these functions to third parties. If we or our collaborators are unable to establish sales, marketing, customer support, and distribution capabilities or successfully enter into or maintain agreements with third parties to market and sell our products, we may not be successful in commercializing our products. Further,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information technology and management controls, reporting systems and procedures. We may not be able to effectively manage the expansion of our operations or implement improvements to our management information and control systems in an efficient or timely manner and may discover deficiencies in existing systems and controls.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could suffer in the event of a cybersecurity incident or other information technology system failures.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To the extent that any disruption or cybersecurity incident were to result in a loss of or damage to our data, or inappropriate disclosure of confidential, proprietary or private information, we could incur liability or regulatory penalties, including under laws and regulations governing the protection of protected health information and other personal data, we could be subject to litigation (including class-action claims), we could lose valuable trade secret rights, the development of our product candidates could be delayed, and we could suffer reputational damage and damage to key business relationships. The risk of a cybersecurity incident or other informational technology disruption, particularly through cyber-attacks, has generally increased as the number, intensity and sophistication of attempted attacks and intrusions from around the world have increased. We, and certain of the third parties for which we depend on to operate our business, have experienced cyber-security attacks in the past, which to date have not had a material impact on our operations or development programs; however; there is no assurance that such impacts will not be material in the future.</w:t>
      </w:r>
    </w:p>
    <w:p>
      <w:pPr>
        <w:spacing w:after="0" w:line="23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37"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Madison, Wisconsin, Verona, Wisconsin, and San Diego, California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litigation claims may result in financial losses or harm our reputation and may divert management resources.</w:t>
      </w:r>
    </w:p>
    <w:p>
      <w:pPr>
        <w:spacing w:after="0" w:line="96" w:lineRule="exact"/>
        <w:rPr>
          <w:sz w:val="20"/>
          <w:szCs w:val="20"/>
          <w:color w:val="auto"/>
        </w:rPr>
      </w:pPr>
    </w:p>
    <w:p>
      <w:pPr>
        <w:jc w:val="both"/>
        <w:ind w:firstLine="446"/>
        <w:spacing w:after="0" w:line="260" w:lineRule="auto"/>
        <w:rPr>
          <w:sz w:val="20"/>
          <w:szCs w:val="20"/>
          <w:color w:val="auto"/>
        </w:rPr>
      </w:pPr>
      <w:r>
        <w:rPr>
          <w:rFonts w:ascii="Times New Roman" w:cs="Times New Roman" w:eastAsia="Times New Roman" w:hAnsi="Times New Roman"/>
          <w:sz w:val="14"/>
          <w:szCs w:val="14"/>
          <w:color w:val="auto"/>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operations, including any arrangements that we enter into with healthcare providers, physicians, and third-party payers, are subject to broadly applicable fraud and abuse and other healthcare laws and regulations. Such laws and regulations, including applicable U.S. federal and state healthcare laws and regulations, as well as foreign laws, such as the federal Anti-Kickback Statute, the False Claims Act, the Health Insurance Portability and Accountability Act of 1996, or the Foreign Corrupt Practices Act, may constrain our operation and the business or financial arrangements through which we can market, sell and distribute any product candidates for which we obtain marketing approval.</w:t>
      </w:r>
    </w:p>
    <w:p>
      <w:pPr>
        <w:spacing w:after="0" w:line="5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become subject to significant civil, criminal and administrative penalties, damages, fines, imprisonment, exclusion of products from government funded healthcare programs, such as Medicare and Medicaid, and the curtailment or restructuring of our operations, and compliance and reporting obligations that could adversely affect our revenues, financial condition or results of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p>
    <w:p>
      <w:pPr>
        <w:spacing w:after="0" w:line="3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an exclusive agreement with Vanscoy Rare Pharmacy for drug delivery services, and we expect to rely on this pharmacy for a considerable portion of our sales for REDEMPLO. The financial failure of Vanscoy Rare Pharmacy could adversely affect our revenues, financial condition or results of operations. Our revenues, financial condition or results of operations may also be affected by fluctuations in their buying or distribution patterns. These fluctuations may result from seasonality, pricing, wholesaler inventory objectives, or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continue to incur net losses and may not achieve or maintain profitability.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incurred net losses since our inception and we expect that our operating losses will continue for the foreseeable future as we continue our drug development efforts and begin commercialization of our product candidates. To achieve profitability, we must, either directly or through licensing and/or partnering relationships, meet certain milestones, successfully develop and obtain regulatory approval for drug candidates and effectively manufacture, market and sell any drugs we successfully develop. Even if we successfully commercialize product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require substantial additional funds to complete our research and development activities.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52" w:name="page53"/>
    <w:bookmarkEnd w:id="52"/>
    <w:p>
      <w:pPr>
        <w:ind w:firstLine="382"/>
        <w:spacing w:after="0" w:line="284" w:lineRule="auto"/>
        <w:rPr>
          <w:sz w:val="20"/>
          <w:szCs w:val="20"/>
          <w:color w:val="auto"/>
        </w:rPr>
      </w:pPr>
      <w:r>
        <w:rPr>
          <w:rFonts w:ascii="Times New Roman" w:cs="Times New Roman" w:eastAsia="Times New Roman" w:hAnsi="Times New Roman"/>
          <w:sz w:val="14"/>
          <w:szCs w:val="14"/>
          <w:color w:val="auto"/>
        </w:rPr>
        <w:t>Our business currently does not generate the cash that is necessary to finance our operations. Subject to the success of the research and development programs of the Company and our partners, and potential licensing or partnering transactions, we may need to raise additional capital to:</w:t>
      </w:r>
    </w:p>
    <w:p>
      <w:pPr>
        <w:spacing w:after="0" w:line="1" w:lineRule="exact"/>
        <w:rPr>
          <w:sz w:val="20"/>
          <w:szCs w:val="20"/>
          <w:color w:val="auto"/>
        </w:rPr>
      </w:pP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research and development infrastructure and activities relating to the development of our product candidates, including preclinical and clinical trials and manufacturing to support these efforts;</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a commercialization infrastructure and activities related to the sale, marketing, customer support, and distribution of our drug products ;</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our general and administrative infrastructure and activities;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business development opportunities for our technologies;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and protect our intellectual property;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our management and technical staff.</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future capital needs depend on many factors, including:</w:t>
      </w:r>
    </w:p>
    <w:p>
      <w:pPr>
        <w:spacing w:after="0" w:line="51" w:lineRule="exact"/>
        <w:rPr>
          <w:sz w:val="20"/>
          <w:szCs w:val="20"/>
          <w:color w:val="auto"/>
        </w:rPr>
      </w:pPr>
    </w:p>
    <w:p>
      <w:pPr>
        <w:ind w:left="520" w:hanging="260"/>
        <w:spacing w:after="0" w:line="284"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duration, and expenditures associated with our research and development, including the progression of our clinical trials, with late-stage trials generally requiring greater capital than early-stage trials;</w:t>
      </w: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requirements for our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research and development and clinical efforts are successful;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to build out or contract for sales, marketing and distribution capabilities ;</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potential partnering or licensing transactions, if any, and the extent to which our business development efforts result in the acquisition of new programs or technologies;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technological developments;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positions, if any, in our products;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 and regulatory standards for our product candidates.</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 any distribution of corporate assets. In order to raise additional funds through partnerships, joint ventures or licensing arrangements, we may be required to relinquish rights to our technologies or product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terms of our financing agreement with Sixth Street Lending Partners and our indebtedness could adversely affect our operations and limit our ability to plan for or respond to changes in our business. If we are unable to comply with restrictions in the financing agreement, the repayment of our existing indebtedness could be accelerated.</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August 7, 2024, we entered into a financing agreement with Sixth Street Lending Partners, as the administrative agent and collateral agent for several lenders. The financing agreement establishes a senior secured term loan facility of $500.0 million (the “Credit Facility”), consisting of $400.0 million funded on the closing date and an additional $100.0 million available at our option, subject to mutual agreement with Sixth Street, over a seven-year term. On November 26, 2024, the Company entered into an amendment to the Financing Agreement to modify, amongst other things, some of the prepayment terms of the loans under the Credit Facility, including the prepayment terms related to the Sarepta Collaboration Agreement.</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financing agreement requires us to make certain payments over time and contains several other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requirements of the financing agreement, we and our subsidiaries party to the financing agreement must maintain certain liquidity thresholds based on our market capitalization. We are also subject to restrictions on sales and licensing transactions with respect to our core intellectual property and product assets, including, but not limited to, olpasiran, REDEMPLO, zodasiran, fazirsiran,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3" w:name="page54"/>
    <w:bookmarkEnd w:id="53"/>
    <w:p>
      <w:pPr>
        <w:jc w:val="both"/>
        <w:spacing w:after="0" w:line="287" w:lineRule="auto"/>
        <w:rPr>
          <w:sz w:val="20"/>
          <w:szCs w:val="20"/>
          <w:color w:val="auto"/>
        </w:rPr>
      </w:pPr>
      <w:r>
        <w:rPr>
          <w:rFonts w:ascii="Times New Roman" w:cs="Times New Roman" w:eastAsia="Times New Roman" w:hAnsi="Times New Roman"/>
          <w:sz w:val="14"/>
          <w:szCs w:val="14"/>
          <w:color w:val="auto"/>
        </w:rPr>
        <w:t>GSK4532990, and daplusiran/tomligisiran, subject to certain exceptions. These and other terms in the financing agreement could restrict our ability to grow our business or enter into transactions that we believe would be beneficial to our business.</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indebtedness could affect our business in the following ways, among other things: make it more difficult for us to satisfy our contractual and commercial commitments; require us to use a substantial portion of our cash flow subject to mandatory prepayments to pay interest and principal when due, which would reduce funds available for working capital, capital expenditures and other general corporate purposes; limit our ability to obtain additional financing for working capital, capital expenditures, acquisitions and other investments or general corporate purposes; heighten our vulnerability to downturns in our business, our industry or in the general economy; place us at a disadvantage compared to those of our competitors that may have proportionately less debt; limit management’s discretion in operating our business; and limit our flexibility in planning for, or reacting to, changes in our business, the industry in which we operate or the general economy.</w:t>
      </w:r>
    </w:p>
    <w:p>
      <w:pPr>
        <w:spacing w:after="0" w:line="5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business may not generate cash flows from operations in the future that are sufficient to service our debt and support our growth strategies. In addition, our ability to generate sufficient cash flows to meet our debt obligations depends upon several factors, such as the ability of the Company and our licensees to timely complete clinical trials and obtain marketing approval for our clinical-stage product candidates, to successfully commercialize REDEMLPO and our clinical-stage product candidates, and our future performance, which is subject to financial, business, and other impacts on our operations, many of which are beyond our control. If we are unable to generate sufficient cash flows, we may be required to adopt one or more alternatives, such as obtaining additional equity capital on terms that may be onerous or highly dilutive, selling assets, or restructuring debt.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accounting principles generally accepted in the United States of America.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quarterly and annual operating results have fluctuated and may continue to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These upfront and milestone payments may vary significantly from period to period and any such variance could cause a significant fluctuation in our operating results from one period to the next.</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Furthermore, our operating results may fluctuate due to a variety of other factors, many of which are outside of our control and may be difficult to predict, including the following:</w:t>
      </w:r>
    </w:p>
    <w:p>
      <w:pPr>
        <w:spacing w:after="0" w:line="14"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REDEMPLO or any of our product candidates, if approved;</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activities relating to our current and any future product candidates, which will change from time to time;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enroll patients in clinical trials and the timing of enrollment;</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current and any future product candidates, which may vary depending on FDA guidelines and requirements, the quantity of production and the terms of our agreements with manufacturers and other suppliers;</w:t>
      </w: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will or may incur to acquire or develop additional product candidates and technologies;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outcomes of clinical trials for product candidates;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conduct unanticipated clinical trials or trials that are larger or more complex than anticipated;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4" w:name="page55"/>
    <w:bookmarkEnd w:id="54"/>
    <w:p>
      <w:pPr>
        <w:ind w:left="520" w:hanging="260"/>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and potential future products that compete with REDEMPLO or any of our product candidates, and changes in the competitive landscape of our industry, including consolidation among our competitors or partners;</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in regulatory review or approval of any of our product candidates;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REDEMPLO or any of our product candidates, of approved, which may fluctuate significantly and be difficult to predict;</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and reimbursement policies with respect to REDEMPLO or any of our product candidates, if approved, and existing and potential future products that compete with our products;</w:t>
      </w: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any of our products inside and outside of the United States, either independently or working with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licensing or other arrangements;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support future growth;</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business disruptions that increase our costs or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and volatile global economic environment.</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investment of our cash, cash equivalents and fixed income securities is subject to risks which may cause losses and affect the liquidity of these investments.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At September 30, 2025, we had $919.4 million in cash, cash equivalents, restricted cash and available-for-sale securities. Our investments may also include commercial paper, securities issued by the U.S. government obligations,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net operating loss carryforwards and other tax benefits may be limited.</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We have historically incurred net losses. Under the Internal Revenue Code of 1986, as amended (the “Code”), a corporation is generally allowed a deduction for net operating losses (NOLs) carried forward from a prior taxable year. Under that provision, we can carryforward our NOLs to offset our future taxable income, if any, until such NOLs are used or expire. As a result of the Coronavirus Aid, Relief, and Economic Security Act of 2020 (“CARES Act”) and legislation commonly referred to as the Tax Cuts and Jobs Act of 2017 (“2017 Tax Act”), NOLs arising before January 1, 2018, and NOLs arising after January 1, 2018, are subject to different rules. Under the CARES Act and 2017 Tax Act, federal NOLs incurred in 2018, 2019 and 2020 can generally be carried back five years, carried forward indefinitely and can offset 100% of future taxable income for tax years before January 1, 2021 and up to 80% of future taxable income for tax years after December 31, 2020. Any NOLs arising on or after January 1, 2021, cannot be carried back, but can generally be carried forward indefinitely and can offset up to 80% of future taxable income. It is uncertain if and to what extent various states will conform to the newly enacted federal tax law. These NOL carryforwards could expire unused before offsetting potential future income tax liabilities.</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under Section 382 and 383 of the Code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55" w:name="page56"/>
    <w:bookmarkEnd w:id="55"/>
    <w:p>
      <w:pPr>
        <w:ind w:left="380"/>
        <w:spacing w:after="0"/>
        <w:rPr>
          <w:sz w:val="20"/>
          <w:szCs w:val="20"/>
          <w:color w:val="auto"/>
        </w:rPr>
      </w:pPr>
      <w:r>
        <w:rPr>
          <w:rFonts w:ascii="Times New Roman" w:cs="Times New Roman" w:eastAsia="Times New Roman" w:hAnsi="Times New Roman"/>
          <w:sz w:val="14"/>
          <w:szCs w:val="14"/>
          <w:color w:val="auto"/>
        </w:rPr>
        <w:t>If an ownership change occurs and our ability to use our NOL carryforwards is materially limited, it would harm our future operating results by effectively increasing our future tax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subject to additional tax liabilities.</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are subject to U.S. federal, state, and local taxes in the United States and other countries.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For instance, beginning in 2022, the 2017 Tax Act eliminated the option of expensing all research and development expenditures in the current year, instead requiring amortization over five years for expenditures in the U.S. and over fifteen years for foreign-based expenditures. The One Big Beautiful Bill Act, enacted in 2025, permits the expensing of certain research and development expenditures in the U.S. incurred in tax years beginning in 2025, while amortization over fifteen years continues to be required for foreign-based expenditures. We continue to monitor new tax legislation or other developments since significant changes in tax legislation, or in the interpretation of existing legislation, could materially and adversely affect our financial condition and operating results.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Additionally,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changing regulations for corporate governance and public disclosure that have increased both our costs and the risk of noncompliance.</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The Nasdaq Global Select Market. Any such action could adversely affect our financial results and the market price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Investment and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has the authority to issue shares of “blank check” preferred stock, which may make an acquisition of the Company by another company more difficult.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declare cash dividends on our common stock.</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3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can be influenced by the research and reports that industry or securities analysts publish about our business.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6" w:name="page57"/>
    <w:bookmarkEnd w:id="56"/>
    <w:p>
      <w:pPr>
        <w:jc w:val="both"/>
        <w:spacing w:after="0" w:line="270" w:lineRule="auto"/>
        <w:rPr>
          <w:sz w:val="20"/>
          <w:szCs w:val="20"/>
          <w:color w:val="auto"/>
        </w:rPr>
      </w:pPr>
      <w:r>
        <w:rPr>
          <w:rFonts w:ascii="Times New Roman" w:cs="Times New Roman" w:eastAsia="Times New Roman" w:hAnsi="Times New Roman"/>
          <w:sz w:val="14"/>
          <w:szCs w:val="14"/>
          <w:color w:val="auto"/>
        </w:rPr>
        <w:t>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for purchases and sales of our common stock may be limited, and the sale of a limited number of shares could cause the price to fall sharply.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96" w:lineRule="exact"/>
        <w:rPr>
          <w:sz w:val="20"/>
          <w:szCs w:val="20"/>
          <w:color w:val="auto"/>
        </w:rPr>
      </w:pPr>
    </w:p>
    <w:p>
      <w:pPr>
        <w:ind w:right="120" w:firstLine="382"/>
        <w:spacing w:after="0" w:line="264" w:lineRule="auto"/>
        <w:rPr>
          <w:sz w:val="20"/>
          <w:szCs w:val="20"/>
          <w:color w:val="auto"/>
        </w:rPr>
      </w:pPr>
      <w:r>
        <w:rPr>
          <w:rFonts w:ascii="Times New Roman" w:cs="Times New Roman" w:eastAsia="Times New Roman" w:hAnsi="Times New Roman"/>
          <w:sz w:val="14"/>
          <w:szCs w:val="14"/>
          <w:color w:val="auto"/>
        </w:rPr>
        <w:t>The stock market in general and the market for smaller pharmaceutical and biotechnology companies in particular have experienced extreme volatility that has often been unrelated to the operating performance of particular companies. Consequently, we expect that the market price of our common stock will continue to fluctuate significantly. We may not generate substantial revenue from the sale of our products for several years, if at all. In the absence of product revenue as a measure of our operating performance, we anticipate that investors and market analysts will assess our performance by considering factors such as:</w:t>
      </w:r>
    </w:p>
    <w:p>
      <w:pPr>
        <w:spacing w:after="0" w:line="13"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developments related to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or extend investigation phase, development phase, commercialization phase and other agreements with new and/or existing partners;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the status of any or all of our collaborations or products, including clinical trial results;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perception and/or investor sentiment regarding our technology;</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technologies;</w:t>
      </w:r>
    </w:p>
    <w:p>
      <w:pPr>
        <w:spacing w:after="0" w:line="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actions taken by regulatory authorities, such as the FDA;</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developments in the RNAi, antisense technologies, gene editing technologies or biotechnology fields in general;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clinical trial results with our products or competitors’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perception and/or announcements regarding other companies developing products in the field of biotechnology generally or specifically RNAi;</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competitive patents or disallowance or loss of our patent rights;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 or departure of key executives;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operating results.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equity interest may be substantially diluted in any additional equity issuances.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and mass arbitration demands; fines and penalties; disruptions of our business operations; reputational harm; loss of revenue or profits; and other adverse business consequences.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7" w:name="page58"/>
    <w:bookmarkEnd w:id="57"/>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These activities may subject us to numerous data privacy and security obligations governing the collection, use, disclosure, protection, and other processing of personal data, such as various laws, regulations, guidance, industry standards, external and internal data privacy and security policies, contractual requirements, and other obligations relating to data privacy and security.</w:t>
      </w:r>
    </w:p>
    <w:p>
      <w:pPr>
        <w:spacing w:after="0" w:line="39"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In the United States, there are both state and federal data privacy and security laws, including data breach notification laws, data privacy laws (including biometric privacy laws and wiretapping laws), consumer protection laws (e.g., Section 5 of the Federal Trade Commission Act), and the Health Insurance Portability and Accountability Act (“HIPPA”), as amended by the Health Information Technology for Economic and Clinical Health Act of 2009 (“HITECH Act”), and the regulations promulgated thereunder. For example, the California Consumer Privacy Act of 2018, as amended by the California Privacy Rights Act of 2020 (together, the “CCPA”), applies to personal data of consumers, including business representatives and employees, who are California residents, and requires businesses to provide specific disclosures in their privacy notices and affords certain rights to California residents with respect to their personal data. However, the CCPA does not apply to protected health information that is subject to HIPAA/HITECH. The CCPA provides for civil penalties of up to $7,500 per intentional violation and $2,500 per unintentional violation and allows private litigants affected by certain data breaches to recover significant statutory damages. In addition, state health information privacy laws, such as California’s Confidentiality of Medical Information Act, Washington’s My Health My Data Act and the Nevada Consumer Health Data Privacy Law, govern the privacy and security of health-related information, specifically, may apply even when HIPAA/HITECH does not and impose additional requirements.</w:t>
      </w:r>
    </w:p>
    <w:p>
      <w:pPr>
        <w:spacing w:after="0" w:line="61"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color w:val="auto"/>
        </w:rPr>
        <w:t>Outside the United States there are additional laws, regulations, and industry standards governing data privacy and security. For example, in the EEA, the General Data Protection Regulation (“GDPR”) and, in the UK, the GDPR as incorporated into UK law pursuant to the European Union (Withdrawal) Act 2018 (the “UK GDPR”) impose strict requirements for processing personal data, including health-related data which is subject to specific requirements. Under the GDPR and UK GDPR, companies may face fines of up to 20 million Euros or 4% of annual global revenue, whichever is greater, , as well as claims from individuals who suffered damages as a result of an infringement. In addition, the GDPR and UK GDPR impose specific restrictions on the transfer of personal data to countries outside of the EEA and UK that are not considered to provide an adequate level of data protection. Although there are currently various mechanisms that may be used to ensure appropriate safeguards to the personal data, such as the EEA and UK’s standard contractual clauses, these mechanisms are subject to further requirements, in particular the conduct of transfer risk/impact assessments to verify if anything in the law and/or practices of the third country may impinge on the effectiveness of the safeguards in the context of the transfer at stake and, if so, to identify and adopt supplementary measures. Additionally, companies that transfer personal data out of the EEA and UK to other jurisdictions are subject to potential scrutiny from regulators, individuals and associations. In the EEA, beyond the GDPR framework, companies must also comply with national data protection laws, which supplement, interpret, and in some cases go beyond the GDPR or other EEA-level requirements, including with respect to health-related data. Data protection authorities from the different member states may also implement certain variations, enforce data protection laws differently, and introduce additional national regulations and guidelines, which adds to the complexity of processing personal data in the EEA. Guidance developed at both EEA level and at the national level in each member state concerning implementation and compliance practices is often updated or otherwise revised. Violations of national laws can trigger administrative investigations, corrective orders, temporary or definitive bans on processing, and, in some jurisdictions, criminal penalties.</w:t>
      </w:r>
    </w:p>
    <w:p>
      <w:pPr>
        <w:spacing w:after="0" w:line="6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Additionally, our use of artificial intelligence may be subject to laws and evolving regulations regarding the use of artificial intelligence, including as they relate to controlling for data bias and antidiscrimination.</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Preparing for and complying with these obligations require us to devote resources and may necessitate changes to our services, information technologies, systems, and practices and to those of any third parties that process personal data on our behalf.</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If we or the third parties on which we rely fail, or are perceived to have failed, to address or comply with applicable data privacy and security obligations, we could face significant consequences, including but not limited to: government regulatory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8" w:name="page59"/>
    <w:bookmarkEnd w:id="58"/>
    <w:p>
      <w:pPr>
        <w:jc w:val="both"/>
        <w:spacing w:after="0" w:line="287" w:lineRule="auto"/>
        <w:rPr>
          <w:sz w:val="20"/>
          <w:szCs w:val="20"/>
          <w:color w:val="auto"/>
        </w:rPr>
      </w:pPr>
      <w:r>
        <w:rPr>
          <w:rFonts w:ascii="Times New Roman" w:cs="Times New Roman" w:eastAsia="Times New Roman" w:hAnsi="Times New Roman"/>
          <w:sz w:val="14"/>
          <w:szCs w:val="14"/>
          <w:color w:val="auto"/>
        </w:rPr>
        <w:t>jurisdictions; limited ability to develop or commercialize our products; expenditure of time and resources to defend any claim or inquiry; adverse publicity; or substantial changes to our business model or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Economic and Industry Risks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whether brought about by material global crises, health epidemics, military conflicts or war, geopolitical and tariffs or other trade disputes or other factors, may adversely affect our business and financial results.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business is sensitive to global economic conditions, which can be adversely affected by epidemics and other public health crises (such as the COVID-19 pandemic), political and military conflict, tariffs or other trade restrictions or the threat of such actions and retaliatory actions, and other international disputes, significant natural disasters (including as a result of climate change) or other events that disrupt macroeconomic conditions. Adverse macroeconomic conditions, including inflation, slower growth or recession, new or increased tariffs and other trade restrictions or the threat of such actions and retaliatory actions, changes to fiscal and monetary policy or government budget dynamics (particularly in the pharmaceutical and biotech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Trade policies and geopolitical disputes (including as a result of China-Taiwan relations) and other international conflicts can result in tariffs, sanctions and other measures that restrict international trade, and can materially and adversely affect our business, particularly if these measures occur in regions where we source components or raw materials. For example, tensions between the United States and China have led to a series of tariffs being imposed by the United States on imports from mainland China, as well as other business restrictions. In response to tariffs, countries have implemented retaliatory tariffs on U.S. goods. Furthermore, in September 2025, the current Presidential Administration announced plans to impose up to 100% tariffs on imported branded or patented pharmaceutical products, subject to certain exceptions. There is substantial uncertainty as to when such tariffs may go into effect and whether such tariffs would apply to the importation of active pharmaceutical ingredients or bulk drug products that are intended for use in clinical trials, and, more generally,</w:t>
      </w:r>
    </w:p>
    <w:p>
      <w:pPr>
        <w:spacing w:after="0" w:line="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about the duration of existing tariffs, implementation of announced tariffs, litigation challenging tariffs and whether additional tariffs or other retaliatory measures may be imposed, modified or suspended. Tariffs increase the costs of the components and raw materials we source. Countries may also adopt other measures, such as controls on imports or exports of goods, technology or data, that could adversely impact the Company’s operations and supply chain. These geopolitical risks could also adversely affect Visirna.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Further, military conflicts or wars (such as the ongoing conflicts between Russia and Ukraine and in the Middle East) can cause exacerbated volatility and disruptions to various aspects of the global economy. The uncertain nature, magnitude, and duration of hostilities stemming from such conflicts, including the potential effects of sanctions and counter-sanctions, or retaliatory cyber-attacks on the world economy and markets, have contributed to increased market volatility and uncertainty, which could have an adverse impact on macroeconomic factors that affect our business and operations, such as worldwide supply chain issues. Additionally, the ongoing conflict between Russia and Ukraine has impacted our business decisions with respect to potential clinical trial sites in Europe. For example, a number of our clinical trial sites we had previously planned to use in Russia, Ukraine, and Belarus were shut down and we had to seek alternatives in other geographies. Moreover, the conflict between Israel and Palestine could impact future business decisions to locate potential clinical trials in Israel. It is not possible to predict the short and long-term implications of military conflicts or wars or geopolitical tensions which could include further sanctions, uncertainty about economic and political stability, increases in inflation rate and energy prices, cyber-attacks, supply chain challenges and adverse effects on currency exchange rates and financial markets.</w:t>
      </w:r>
    </w:p>
    <w:p>
      <w:pPr>
        <w:spacing w:after="0" w:line="6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Additionally, our operations and facilities, as well as operations of our suppliers and manufacturers, may be located in areas that are prone to earthquakes, wildfires and other natural disasters. Such operations and facilities are also subject to the risk of interruption by drought, power shortages, nuclear power plant accidents and other industrial accidents, terrorist attacks and other hostile acts, ransomware and other cybersecurity attacks, labor disputes, public health crises, and other events beyond the Company’s control. Global climate change is resulting in certain types of natural disasters occurring more frequently or with more intense effects. Such events can create delays or interruptions to the Company’s development efforts and inefficiencies in the Company’s supply and manufacturing chain.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Further, because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9" w:name="page60"/>
    <w:bookmarkEnd w:id="59"/>
    <w:p>
      <w:pPr>
        <w:spacing w:after="0" w:line="287" w:lineRule="auto"/>
        <w:rPr>
          <w:sz w:val="20"/>
          <w:szCs w:val="20"/>
          <w:color w:val="auto"/>
        </w:rPr>
      </w:pPr>
      <w:r>
        <w:rPr>
          <w:rFonts w:ascii="Times New Roman" w:cs="Times New Roman" w:eastAsia="Times New Roman" w:hAnsi="Times New Roman"/>
          <w:sz w:val="14"/>
          <w:szCs w:val="14"/>
          <w:color w:val="auto"/>
        </w:rPr>
        <w:t>Company relies on single or limited sources for the supply and manufacture of many critical components, a business interruption affecting such sources would exacerbate any negative consequences to the Company.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Any future public health crises may affect our operations and those of third parties on which we rely, including our business partners and suppliers. We may in the future experience:</w:t>
      </w:r>
    </w:p>
    <w:p>
      <w:pPr>
        <w:spacing w:after="0" w:line="51"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receiving authorization from regulatory authorities to initiate any planned clinical trials, inspections, reviews and approvals of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enrolling patients in our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or disruptions to the conduct of preclinical programs and clinical trials;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constraints on the movement of products and supplies through the supply chain, which can disrupt our ability to conduct clinical trials and develop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increases in raw materials and capital equipment, as well as increasing price competition in our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impacts on our workforce and/or key employees;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that counterparties to our contractual arrangements will become insolvent or otherwise unable to fulfill their contractual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Drug development is time consuming, expensive and risky.</w:t>
      </w:r>
    </w:p>
    <w:p>
      <w:pPr>
        <w:spacing w:after="0" w:line="96"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4"/>
          <w:szCs w:val="14"/>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1"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results may be unacceptable, even though preclinical trial results were promising;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inefficacy and/or harmful side effects in humans or animals;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necessary regulatory bodies, such as the FDA, may not approve our potential product for the intended use, or at all; and/or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and distribution may be uneconomical.</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For example, any positive preclinical results in animals may not be replicated in human clinical studies. These programs may be also found to be unsafe in humans, particularly if higher doses are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healthcare system is under significant financial pressure to reduce costs, which could reduce payment and reimbursement rates for drugs.</w:t>
      </w:r>
    </w:p>
    <w:p>
      <w:pPr>
        <w:spacing w:after="0" w:line="96"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payers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Inflation Reduction Act of 2022.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payers to make coverage and payment decisions. In addition, in May 2025, the Trump administration issued an executive order entitled “Delivering Most-Favored-Nation Prescription Drug Pricing to American Patients,” which, among other things, directs the HHS and other agencies to communicate most-favored-nation (“MFN”) price targets to pharmaceutical manufacturers 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0" w:name="page61"/>
    <w:bookmarkEnd w:id="60"/>
    <w:p>
      <w:pPr>
        <w:jc w:val="both"/>
        <w:spacing w:after="0" w:line="259" w:lineRule="auto"/>
        <w:rPr>
          <w:sz w:val="20"/>
          <w:szCs w:val="20"/>
          <w:color w:val="auto"/>
        </w:rPr>
      </w:pPr>
      <w:r>
        <w:rPr>
          <w:rFonts w:ascii="Times New Roman" w:cs="Times New Roman" w:eastAsia="Times New Roman" w:hAnsi="Times New Roman"/>
          <w:sz w:val="14"/>
          <w:szCs w:val="14"/>
          <w:color w:val="auto"/>
        </w:rPr>
        <w:t>bring prices for U.S. patients in line with comparably developed nations and to facilitate direct-to-consumer purchasing programs. The HHS subsequently issued guidance indicating the MFN target price is the lowest price paid in an Organization for Economic Co-operation and Development country with a gross domestic product (“GDP”) per capita of at least 60% of the U.S. GDP per capita.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that could impact drug pricing in the U.S.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spacing w:after="0" w:line="61"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ind w:right="24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Evolving regulatory standards, including as a result of changes in government leadership, make it difficult to accurately predict the likelihood of marketing approval even when clinical trials meet their endpoints.</w:t>
      </w:r>
    </w:p>
    <w:p>
      <w:pPr>
        <w:spacing w:after="0" w:line="6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 xml:space="preserve">In addition, the FDA, EMA and other regulatory authorities may change their policies, issue additional regulations or revise existing regulations, or take other actions, including as a result of changes in leadership at the FDA and other federal agencies under the current U.S. administration,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June 2024, the Supreme Court overruled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which had given deference to regulatory agencies’ statutory interpretations of ambiguous regulations in litigation against federal government agencies, such as the FDA. The overruling of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6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Further, under the new leadership at the HHS under the current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and may have a material impact on the industry and our clinical development plans. For example, average review times at the FDA have fluctuated in recent years as a result. Our business depends upon the ability of the FDA to accept and review our potential regulatory filings. If a prolonged government shutdown occurs or if a significant number of federal employees are laid off or leave federal agencies, it could significantly impact the ability of the FDA to timely review and process our regulatory submissions, which could have a material adverse effect on our ability to advance clinical development of our product candidates.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government funding of other government agencies that fund research and development activities is subject to the political process, which is inherently fluid and unpredictable.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plan to phase out animal testing for monoclonal antibodies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1" w:name="page62"/>
    <w:bookmarkEnd w:id="61"/>
    <w:p>
      <w:pPr>
        <w:jc w:val="both"/>
        <w:spacing w:after="0" w:line="257" w:lineRule="auto"/>
        <w:rPr>
          <w:sz w:val="20"/>
          <w:szCs w:val="20"/>
          <w:color w:val="auto"/>
        </w:rPr>
      </w:pPr>
      <w:r>
        <w:rPr>
          <w:rFonts w:ascii="Times New Roman" w:cs="Times New Roman" w:eastAsia="Times New Roman" w:hAnsi="Times New Roman"/>
          <w:sz w:val="14"/>
          <w:szCs w:val="14"/>
          <w:color w:val="auto"/>
        </w:rPr>
        <w:t>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FDA has also increased its scrutiny of foreign drug manufacturing facilities and other contractors based in China, especially with respect to the transfer of biological materials, genetic data, and other sensitive data of American patients to parties located in China. It is unclear how our industry and our clinical programs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the agency reorganization and other agency changes lead to disruptions in FDA’s operations, our correspondence and regulatory review processes with the FDA may be materially delayed.</w:t>
      </w:r>
    </w:p>
    <w:p>
      <w:pPr>
        <w:spacing w:after="0" w:line="23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3"/>
          <w:szCs w:val="13"/>
          <w:b w:val="1"/>
          <w:bCs w:val="1"/>
          <w:color w:val="auto"/>
        </w:rPr>
        <w:t>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maintains a cybersecurity program, with direct oversight from senior management and the Audit Committee (the “Audit Committee”) of the Board of Directors (the “Board”), to manage information, data, and technology security. The cybersecurity program is informed in part by the National Institute of Standards and Technology Cybersecurity Framework (NIST CSF) and is designed to help identify, assess, and manage cybersecurity risks relevant to the Company’s business. The Company’s cybersecurity program has been developed in light of the nature of the Company’s business, resource availability, requirements from stakeholders, and industry trends. The Company has formed an internal cross-functional Technology Risk Management Committee comprised of representative leaders from various aspects of the Company’s business to broadly implement its cybersecurity program.</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cybersecurity program prioritizes vulnerability management, risk reduction, detection, and prevention to help protect against material risks from cybersecurity threats to its information systems. The Company periodically conducts internal and third-party cybersecurity risk assessments and penetration tests and incorporates relevant findings and recommendations into its overall cybersecurity strategy, as appropriate. Through these assessments, the Company develops targeted strategies intended to address the most significant cybersecurity risks.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cybersecurity program emphasizes defense, rapid detection, and remediation of cybersecurity threats and incidents, including the use of various security tools and systems based on defense-in-depth and zero-trust principles that are intended to meet control requirements. The cybersecurity program also encompasses crisis incident response guidelines that detail the processes for the detection, response, mitigation, and remediation of cybersecurity incidents, in order to support the effective management of, response to, communication during, and recovery from any such incidents.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 key element of the Company’s strategy is fostering training and awareness through annual cybersecurity training and role-based phishing tests for employees and certain third parties having access to the Company’s information systems. The Company also utilizes a third-party cybersecurity operations monitoring center to help identify threats and incidents to the Company’s servers and computers. The Company’s cybersecurity program includes specific requirements and guidelines for the information security team relating to the Company's computer emergency response preparedness, intrusion response preparedness, and incident response preparedness.</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When a potential cybersecurity threat or incident is identified, our processes require that the Senior Director of Information Security be promptly notified of the incident, who then is to conduct an initial investigation to determine the probability and potential of the threat or incident to have a material impact on key business systems and processes. If there is a reasonable possibility for a material impact to the Company’s business or information systems, the cybersecurity program requires that the Technology Risk Management Committee be promptly notified, which then assigns a risk level to the threat or incident. All threats and incidents identified as high-risk are promptly escalated to Company leadership and the legal department, who, in collaboration with the Company's Information Security department, are tasked with activating and implementing a high-risk information security incident mitigation and response plan, which details the roles, responsibilities, and strategies to respond. Our cybersecurity program also requires that high-risk cybersecurity incidents or threats be reported to the Company’s Materiality Committee and the Audit Committee within 24 hours of their designation as high-risk by the Technology Risk Management Committee.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2" w:name="page63"/>
    <w:bookmarkEnd w:id="62"/>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Cybersecurity risks are incorporated into our overall risk management program. If a cybersecurity risk is identified as high-risk, a response and mitigation plan is developed, and progress updates on the plan are routinely reported to the Technology Risk Management Committee and tracked by the Audit Committee as part of our overall risk management process.</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is not aware of any cybersecurity threats or incidents in the last fiscal year, including as a result of any prior cybersecurity incidents, that have had a material impact on the Company, including its business strategy, operations, or financial condition. However, we face certain ongoing cybersecurity risks and threats that, if realized, are reasonably likely to materially affect us. Additional information on cybersecurity risks we face is discussed in Part I, Item 1A “Risk Factors,” under the heading “Our business and operations could suffer in the event of a cybersecurity incident or other information technology system failures.”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Execution of the Company’s cybersecurity program is delegated by the Board to the Senior Director of Information Security, who has over 25 years of relevant experience in information security, including 14 years at the Company, and is further supported by a team of security professionals within the Information Systems &amp; Informatics department. The Senior Director of Information Security reports to the Vice President, Treasury &amp; Head of Information Systems, and they meet periodically with senior leadership and the Audit Committee to review metrics on cybersecurity preparedness, incidents, mitigations and remediation efforts.</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has also established a management-level Technology Risk Management Committee, which includes leaders from finance, legal, operations, quality &amp; compliance, and information systems &amp; informatics, who are responsible for overseeing the execution of high-risk incident response and mitigation plans. This committee actively reviews technology strategies, physical and cybersecurity threat assessment, and emerging issues and related initiatives. It is also responsible for evaluating the materiality of information for SEC filings and, as required or as otherwise appropriate, coordinates with the Company’s Materiality Committee to support timely disclosure of relevant information.</w:t>
      </w:r>
    </w:p>
    <w:p>
      <w:pPr>
        <w:spacing w:after="0" w:line="22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leased facilities as of November 19, 2025.</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1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Approximate Square Footage</w:t>
            </w:r>
          </w:p>
        </w:tc>
        <w:tc>
          <w:tcPr>
            <w:tcW w:w="3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Primary Use</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Lease</w:t>
            </w:r>
          </w:p>
        </w:tc>
        <w:tc>
          <w:tcPr>
            <w:tcW w:w="172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Remaining Lease</w:t>
            </w:r>
          </w:p>
        </w:tc>
        <w:tc>
          <w:tcPr>
            <w:tcW w:w="0" w:type="dxa"/>
            <w:vAlign w:val="bottom"/>
          </w:tcPr>
          <w:p>
            <w:pPr>
              <w:spacing w:after="0"/>
              <w:rPr>
                <w:sz w:val="1"/>
                <w:szCs w:val="1"/>
                <w:color w:val="auto"/>
              </w:rPr>
            </w:pPr>
          </w:p>
        </w:tc>
      </w:tr>
      <w:tr>
        <w:trPr>
          <w:trHeight w:val="153"/>
        </w:trPr>
        <w:tc>
          <w:tcPr>
            <w:tcW w:w="246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3260" w:type="dxa"/>
            <w:vAlign w:val="bottom"/>
            <w:gridSpan w:val="2"/>
            <w:vMerge w:val="continue"/>
          </w:tcPr>
          <w:p>
            <w:pPr>
              <w:spacing w:after="0"/>
              <w:rPr>
                <w:sz w:val="13"/>
                <w:szCs w:val="13"/>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720" w:type="dxa"/>
            <w:vAlign w:val="bottom"/>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Term (year)</w:t>
            </w:r>
          </w:p>
        </w:tc>
        <w:tc>
          <w:tcPr>
            <w:tcW w:w="0" w:type="dxa"/>
            <w:vAlign w:val="bottom"/>
          </w:tcPr>
          <w:p>
            <w:pPr>
              <w:spacing w:after="0"/>
              <w:rPr>
                <w:sz w:val="1"/>
                <w:szCs w:val="1"/>
                <w:color w:val="auto"/>
              </w:rPr>
            </w:pPr>
          </w:p>
        </w:tc>
      </w:tr>
      <w:tr>
        <w:trPr>
          <w:trHeight w:val="16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Pasadena, California</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49,000</w:t>
            </w:r>
          </w:p>
        </w:tc>
        <w:tc>
          <w:tcPr>
            <w:tcW w:w="20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Corporate Headquarters</w:t>
            </w:r>
          </w:p>
        </w:tc>
        <w:tc>
          <w:tcPr>
            <w:tcW w:w="2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April 2027</w:t>
            </w:r>
          </w:p>
        </w:tc>
        <w:tc>
          <w:tcPr>
            <w:tcW w:w="2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Madison, Wisconsin</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110,956</w:t>
            </w:r>
          </w:p>
        </w:tc>
        <w:tc>
          <w:tcPr>
            <w:tcW w:w="200" w:type="dxa"/>
            <w:vAlign w:val="bottom"/>
          </w:tcPr>
          <w:p>
            <w:pPr>
              <w:spacing w:after="0"/>
              <w:rPr>
                <w:sz w:val="14"/>
                <w:szCs w:val="14"/>
                <w:color w:val="auto"/>
              </w:rPr>
            </w:pPr>
          </w:p>
        </w:tc>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9"/>
              </w:rPr>
              <w:t>Research Facility</w:t>
            </w: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September 2031</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California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144,000</w:t>
            </w:r>
          </w:p>
        </w:tc>
        <w:tc>
          <w:tcPr>
            <w:tcW w:w="20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7"/>
              </w:rPr>
              <w:t>Research and Office Facility</w:t>
            </w:r>
          </w:p>
        </w:tc>
        <w:tc>
          <w:tcPr>
            <w:tcW w:w="1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2038</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firstLine="382"/>
        <w:spacing w:after="0" w:line="243" w:lineRule="auto"/>
        <w:rPr>
          <w:sz w:val="20"/>
          <w:szCs w:val="20"/>
          <w:color w:val="auto"/>
        </w:rPr>
      </w:pPr>
      <w:r>
        <w:rPr>
          <w:rFonts w:ascii="Times New Roman" w:cs="Times New Roman" w:eastAsia="Times New Roman" w:hAnsi="Times New Roman"/>
          <w:sz w:val="14"/>
          <w:szCs w:val="14"/>
          <w:color w:val="auto"/>
        </w:rPr>
        <w:t>The Company owns land in the Verona Technology Park in Verona, Wisconsin, which has been developed into an approximately 160,000 square foot drug manufacturing facility and an approximately 140,000 square foot laboratory and office facility which will support the Company’s manufacturing process development and analytical activities. The Company completed the build out of one of its laboratory and office facilities during the first quarter of fiscal year 2024 and substantially completed the build out of its manufacturing facility during the first quarter of fiscal year 2025.</w:t>
      </w:r>
    </w:p>
    <w:p>
      <w:pPr>
        <w:spacing w:after="0" w:line="4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20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Legal Proceedings are set forth in the Company’s financial statement schedules in Part IV, Item 15 of this Annual Report on Form 10-K and are incorporated herein by reference. See Note 7 — Commitments and Contingencies of Notes to Consolidated Financial Statements of Part IV, “Item 15. Exhibits and Financial Statement Schedules.”</w:t>
      </w:r>
    </w:p>
    <w:p>
      <w:pPr>
        <w:spacing w:after="0" w:line="2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2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Market Information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Shares of the Company’s common stock are traded on The Nasdaq Global Select Market under the symbol “ARWR.” There were 86 holders of record of the Company’s common stock as of November 19, 2025.</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never paid dividends on its common stock and does not anticipate that it will do so in the foreseeable future.</w:t>
      </w: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Recent Sales of Unregistered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Repurchases of Equity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contains information relating to the repurchases of our common stock during the three months ended September 30, 2025 :</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Total Number of Shares Purchase as Part of</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Approximate Dollar Value of Shares that May</w:t>
            </w:r>
          </w:p>
        </w:tc>
        <w:tc>
          <w:tcPr>
            <w:tcW w:w="0" w:type="dxa"/>
            <w:vAlign w:val="bottom"/>
          </w:tcPr>
          <w:p>
            <w:pPr>
              <w:spacing w:after="0"/>
              <w:rPr>
                <w:sz w:val="1"/>
                <w:szCs w:val="1"/>
                <w:color w:val="auto"/>
              </w:rPr>
            </w:pPr>
          </w:p>
        </w:tc>
      </w:tr>
      <w:tr>
        <w:trPr>
          <w:trHeight w:val="115"/>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580" w:type="dxa"/>
            <w:vAlign w:val="bottom"/>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Total Number of Shares Purchased</w:t>
            </w: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Average Price Per Share</w:t>
            </w:r>
          </w:p>
        </w:tc>
        <w:tc>
          <w:tcPr>
            <w:tcW w:w="66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192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Yet Be Purchase Under the Plans or</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940" w:type="dxa"/>
            <w:vAlign w:val="bottom"/>
            <w:tcBorders>
              <w:bottom w:val="single" w:sz="8" w:color="auto"/>
            </w:tcBorders>
            <w:vMerge w:val="continue"/>
          </w:tcPr>
          <w:p>
            <w:pPr>
              <w:spacing w:after="0"/>
              <w:rPr>
                <w:sz w:val="13"/>
                <w:szCs w:val="13"/>
                <w:color w:val="auto"/>
              </w:rPr>
            </w:pPr>
          </w:p>
        </w:tc>
        <w:tc>
          <w:tcPr>
            <w:tcW w:w="2580" w:type="dxa"/>
            <w:vAlign w:val="bottom"/>
            <w:tcBorders>
              <w:bottom w:val="single" w:sz="8" w:color="auto"/>
            </w:tcBorders>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Publicly Announced Plans or Programs</w:t>
            </w: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Programs</w:t>
            </w: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July 1 - July 31, 2025</w:t>
            </w: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spacing w:after="0"/>
              <w:rPr>
                <w:sz w:val="12"/>
                <w:szCs w:val="12"/>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August 1 - August 31, 2025</w:t>
            </w: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2,660,989</w:t>
            </w: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226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9"/>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September 1 - September 30, 2025</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1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2,660,989</w:t>
            </w:r>
          </w:p>
        </w:tc>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2260" w:type="dxa"/>
            <w:vAlign w:val="bottom"/>
          </w:tcPr>
          <w:p>
            <w:pPr>
              <w:ind w:left="2120"/>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i w:val="1"/>
          <w:iCs w:val="1"/>
          <w:color w:val="auto"/>
        </w:rPr>
        <w:t>In August 2025, the Company repurchased 2,660,989 shares of our common stock from Sarepta in accordance with the share repurchase agreement related to the first development milestone payment for SRP-1003 under the Sarepta Agreement.</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stockholders on the Company’s common stock relative to the cumulative total returns of the Nasdaq Composite Index and the Nasdaq Biotechnology Index. The Company selected the Nasdaq Biotechnology Index because it believes the index reflects the market conditions within the industry in which the Company primarily operates. The comparison of total return on investment, defined as the change in year-end stock price plus reinvested dividends, for each of the periods assumes that $100 was invested on September 30, 2020 in each of the Company’s common stock, the Nasdaq Composite Index and the Nasdaq Biotechnology Index, with investment weighted on the basis of market capitalization.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64" w:name="page65"/>
    <w:bookmarkEnd w:id="64"/>
    <w:p>
      <w:pPr>
        <w:ind w:left="380"/>
        <w:spacing w:after="0"/>
        <w:rPr>
          <w:sz w:val="20"/>
          <w:szCs w:val="20"/>
          <w:color w:val="auto"/>
        </w:rPr>
      </w:pPr>
      <w:r>
        <w:rPr>
          <w:rFonts w:ascii="Times New Roman" w:cs="Times New Roman" w:eastAsia="Times New Roman" w:hAnsi="Times New Roman"/>
          <w:sz w:val="14"/>
          <w:szCs w:val="14"/>
          <w:color w:val="auto"/>
        </w:rPr>
        <w:t>The comparisons in the following graph are based on historical data and are not intended to forecast the possible future performance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122555</wp:posOffset>
            </wp:positionV>
            <wp:extent cx="4130040" cy="256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$100 investment in stock or index</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Ticker</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9"/>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Arrowhead Pharmaceuticals, Inc.</w:t>
            </w:r>
          </w:p>
        </w:tc>
        <w:tc>
          <w:tcPr>
            <w:tcW w:w="80" w:type="dxa"/>
            <w:vAlign w:val="bottom"/>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ARWR</w:t>
            </w:r>
          </w:p>
        </w:tc>
        <w:tc>
          <w:tcPr>
            <w:tcW w:w="80" w:type="dxa"/>
            <w:vAlign w:val="bottom"/>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152.80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221.54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68.74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122.39</w:t>
            </w:r>
          </w:p>
        </w:tc>
      </w:tr>
      <w:tr>
        <w:trPr>
          <w:trHeight w:val="147"/>
        </w:trPr>
        <w:tc>
          <w:tcPr>
            <w:tcW w:w="2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NASDAQ Biotechnology Index</w:t>
            </w:r>
          </w:p>
        </w:tc>
        <w:tc>
          <w:tcPr>
            <w:tcW w:w="8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^NBI</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136.10</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162.58</w:t>
            </w:r>
          </w:p>
        </w:tc>
        <w:tc>
          <w:tcPr>
            <w:tcW w:w="1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120.46</w:t>
            </w:r>
          </w:p>
        </w:tc>
        <w:tc>
          <w:tcPr>
            <w:tcW w:w="100" w:type="dxa"/>
            <w:vAlign w:val="bottom"/>
          </w:tcPr>
          <w:p>
            <w:pPr>
              <w:spacing w:after="0"/>
              <w:rPr>
                <w:sz w:val="12"/>
                <w:szCs w:val="12"/>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126.41</w:t>
            </w:r>
          </w:p>
        </w:tc>
        <w:tc>
          <w:tcPr>
            <w:tcW w:w="80" w:type="dxa"/>
            <w:vAlign w:val="bottom"/>
          </w:tcPr>
          <w:p>
            <w:pPr>
              <w:spacing w:after="0"/>
              <w:rPr>
                <w:sz w:val="12"/>
                <w:szCs w:val="12"/>
                <w:color w:val="auto"/>
              </w:rPr>
            </w:pP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152.44</w:t>
            </w:r>
          </w:p>
        </w:tc>
        <w:tc>
          <w:tcPr>
            <w:tcW w:w="8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156.02</w:t>
            </w:r>
          </w:p>
        </w:tc>
      </w:tr>
      <w:tr>
        <w:trPr>
          <w:trHeight w:val="172"/>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NASDAQ Composite Index</w:t>
            </w:r>
          </w:p>
        </w:tc>
        <w:tc>
          <w:tcPr>
            <w:tcW w:w="80" w:type="dxa"/>
            <w:vAlign w:val="bottom"/>
          </w:tcPr>
          <w:p>
            <w:pPr>
              <w:spacing w:after="0"/>
              <w:rPr>
                <w:sz w:val="14"/>
                <w:szCs w:val="1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^IXIC</w:t>
            </w:r>
          </w:p>
        </w:tc>
        <w:tc>
          <w:tcPr>
            <w:tcW w:w="80" w:type="dxa"/>
            <w:vAlign w:val="bottom"/>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165.26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227.38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283.27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develops medicines that treat intractable diseases by silencing the genes that cause them. Using a broad portfolio of RNA chemistries and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believes that TRiM enabled therapeutics offer several potential advantages over prior generations and competing technologies, including: simplified manufacturing and reduced costs; multiple routes of administration including subcutaneous injection and inhaled administration; the ability to target multiple tissue types including liver, lung, skeletal muscle, central nervous system (CNS), adipose tissue, ocular, and cardio-myocytes; and the potential for improved safety and reduced risk of intracellular buildup, because there are fewer metabolites from smaller, simpler molecules.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pipeline includes:</w:t>
      </w:r>
    </w:p>
    <w:p>
      <w:pPr>
        <w:spacing w:after="0" w:line="94" w:lineRule="exact"/>
        <w:rPr>
          <w:sz w:val="20"/>
          <w:szCs w:val="20"/>
          <w:color w:val="auto"/>
        </w:rPr>
      </w:pPr>
    </w:p>
    <w:p>
      <w:pPr>
        <w:ind w:left="1020" w:hanging="379"/>
        <w:spacing w:after="0"/>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Hypertriglyceridemia - plozasiran (formerly ARO-APOC3, Greater China rights out-licensed to Sanofi);</w:t>
      </w:r>
    </w:p>
    <w:p>
      <w:pPr>
        <w:spacing w:after="0" w:line="200" w:lineRule="exact"/>
        <w:rPr>
          <w:rFonts w:ascii="Times New Roman" w:cs="Times New Roman" w:eastAsia="Times New Roman" w:hAnsi="Times New Roman"/>
          <w:sz w:val="14"/>
          <w:szCs w:val="14"/>
          <w:color w:val="auto"/>
        </w:rPr>
      </w:pPr>
    </w:p>
    <w:p>
      <w:pPr>
        <w:spacing w:after="0" w:line="286"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5" w:name="page66"/>
    <w:bookmarkEnd w:id="65"/>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Homozygous familial hypercholesterolemia (HoFH) - zodasiran (formerly ARO-ANG3);</w:t>
      </w:r>
    </w:p>
    <w:p>
      <w:pPr>
        <w:spacing w:after="0" w:line="23"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Cardiovascular disease - olpasiran (formerly AMG 890 or ARO-LPA, out-licensed to Amgen);</w:t>
      </w: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Mixed hyperlipidemia – ARO-DIMERPA (Greater China rights out-licensed to Sanofi);</w:t>
      </w:r>
    </w:p>
    <w:p>
      <w:pPr>
        <w:spacing w:after="0" w:line="7"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Inflammatory pulmonary conditions - ARO-RAGE;</w:t>
      </w:r>
    </w:p>
    <w:p>
      <w:pPr>
        <w:ind w:left="1020" w:hanging="379"/>
        <w:spacing w:after="0" w:line="23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Idiopathic pulmonary fibrosis - SRP-1002 (formerly ARO-MMP7, out-licensed to Sarepta);</w:t>
      </w:r>
    </w:p>
    <w:p>
      <w:pPr>
        <w:ind w:left="1020" w:right="4580" w:hanging="379"/>
        <w:spacing w:after="0" w:line="245" w:lineRule="auto"/>
        <w:tabs>
          <w:tab w:leader="none" w:pos="10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Metabolic-dysfunction associated steatohepatitis (MASH) - GSK4532990 (formerly ARO-HSD, out licensed to GSK and Visirna);</w:t>
      </w:r>
    </w:p>
    <w:p>
      <w:pPr>
        <w:ind w:left="1020" w:hanging="379"/>
        <w:spacing w:after="0" w:line="23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Alpha-1 antitrypsin deficiency (AATD) - fazirsiran (formerly ARO-AAT, a collaboration with Takeda);</w:t>
      </w: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Chronic Hepatitis B virus - daplusiran/tomligisiran - GSK5637608 (formerly JNJ-3989 and ARO-HBV, out-licensed to GSK);</w:t>
      </w:r>
    </w:p>
    <w:p>
      <w:pPr>
        <w:spacing w:after="0" w:line="7"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Complement mediated diseases - ARO-C3 and ARO-CFB;</w:t>
      </w:r>
    </w:p>
    <w:p>
      <w:pPr>
        <w:ind w:left="1020" w:hanging="379"/>
        <w:spacing w:after="0" w:line="23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Metabolic-dysfunction associated steatohepatitis (MASH) - ARO-PNPLA3 (formerly JNJ-75220795 or ARO-JNJ1);</w:t>
      </w: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Obesity - ARO-INHBE and ARO-ALK7</w:t>
      </w:r>
    </w:p>
    <w:p>
      <w:pPr>
        <w:spacing w:after="0" w:line="7"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Facioscapulohumeral muscular dystrophy - SRP-1001 (formerly ARO-DUX4, out-licensed to Sarepta);</w:t>
      </w:r>
    </w:p>
    <w:p>
      <w:pPr>
        <w:ind w:left="1020" w:hanging="379"/>
        <w:spacing w:after="0" w:line="237"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Myotonic Dystrophy Type 1 - SRP-1003 (formerly ARO-DM1 out-licensed to Sarepta; and</w:t>
      </w: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Spinocerebellar ataxia 2 - SRP-1004 (formerly ARO-ATXN2, out-licensed to Sarepta).</w:t>
      </w:r>
    </w:p>
    <w:p>
      <w:pPr>
        <w:spacing w:after="0" w:line="7"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Parkinson’s disease – ARO-SNCA (out-licensed to Novartis)</w:t>
      </w:r>
    </w:p>
    <w:p>
      <w:pPr>
        <w:ind w:left="1020" w:hanging="379"/>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Alzheimer’s disease – ARO-MAPT</w:t>
      </w:r>
    </w:p>
    <w:p>
      <w:pPr>
        <w:spacing w:after="0" w:line="10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operates lab facilities in California and Wisconsin, where its research and development activities, including the development of RNAi therapeutics, take place. The Company’s principal executive offices are located in Pasadena, California.</w:t>
      </w:r>
    </w:p>
    <w:p>
      <w:pPr>
        <w:spacing w:after="0" w:line="3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continues to develop other clinical candidates for future clinical trials. Clinical candidates are tested internally and through Good Laboratory Practice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Business Highlights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During fiscal year 2025 and through the date of filing, the Company continued to develop and advance its pipeline and partnered candidates and expand its facilities to support its growing programs. The bullets below highlight some of these key developments; however, this list is not all-inclusive and is meant to be read in conjunction with the entirety of management’s discussion and analysis, the Company’s Consolidated Financial Statements and notes thereto, and all other items contained within this Annual Report on Form 10-K.</w:t>
      </w:r>
    </w:p>
    <w:p>
      <w:pPr>
        <w:spacing w:after="0" w:line="51" w:lineRule="exact"/>
        <w:rPr>
          <w:sz w:val="20"/>
          <w:szCs w:val="20"/>
          <w:color w:val="auto"/>
        </w:rPr>
      </w:pPr>
    </w:p>
    <w:p>
      <w:pPr>
        <w:jc w:val="both"/>
        <w:ind w:left="760" w:hanging="182"/>
        <w:spacing w:after="0" w:line="264" w:lineRule="auto"/>
        <w:tabs>
          <w:tab w:leader="none" w:pos="7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20, 2025, the Company earned a $200.0 million milestone payment from Sarepta. The milestone was earned when Arrowhead achieved the second development milestone event in a Phase 1/2 clinical study of ARO-DM1, also called SRP-1003, an investigational RNAi therapeutic for the treatment of type 1 myotonic dystrophy (DM1), the most common adult-onset muscular dystrophy. The second milestone event included the achievement of a patient enrollment target, drug safety committee review and subsequent authorization to dose escalate and proceed, and completion of day 105 study visit by at least one patient in the clinical trial;</w:t>
      </w:r>
    </w:p>
    <w:p>
      <w:pPr>
        <w:spacing w:after="0" w:line="55" w:lineRule="exact"/>
        <w:rPr>
          <w:rFonts w:ascii="Times New Roman" w:cs="Times New Roman" w:eastAsia="Times New Roman" w:hAnsi="Times New Roman"/>
          <w:sz w:val="14"/>
          <w:szCs w:val="14"/>
          <w:color w:val="auto"/>
        </w:rPr>
      </w:pPr>
    </w:p>
    <w:p>
      <w:pPr>
        <w:jc w:val="both"/>
        <w:ind w:left="760" w:hanging="182"/>
        <w:spacing w:after="0" w:line="261" w:lineRule="auto"/>
        <w:tabs>
          <w:tab w:leader="none" w:pos="7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approved the Company's New Drug Application (NDA) for REDEMPLO (plozasiran)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triglycerides, with a median change from baseline of -80% versus -17% in the pooled placebo group, and a lower numerical incidence of acute pancreatitis compared with placebo;</w:t>
      </w:r>
    </w:p>
    <w:p>
      <w:pPr>
        <w:spacing w:after="0" w:line="58" w:lineRule="exact"/>
        <w:rPr>
          <w:rFonts w:ascii="Times New Roman" w:cs="Times New Roman" w:eastAsia="Times New Roman" w:hAnsi="Times New Roman"/>
          <w:sz w:val="14"/>
          <w:szCs w:val="14"/>
          <w:color w:val="auto"/>
        </w:rPr>
      </w:pPr>
    </w:p>
    <w:p>
      <w:pPr>
        <w:jc w:val="both"/>
        <w:ind w:left="760" w:hanging="182"/>
        <w:spacing w:after="0" w:line="270" w:lineRule="auto"/>
        <w:tabs>
          <w:tab w:leader="none" w:pos="75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 request for regulatory clearance to initiate a Phase 1/2a clinical trial of ARO-DIMER-PA, the Company’s investigational RNA interference (RNAi) therapeutic being developed as a potential treatment for atherosclerotic cardiovascular disease (ASCVD) due to mixed hyperlipidemia. ARO-DIMER-PA is designed to silence expression of the proprotein convertase subtilisin kexin 9 (PCSK9) and apolipoprotein C3</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6" w:name="page67"/>
    <w:bookmarkEnd w:id="66"/>
    <w:p>
      <w:pPr>
        <w:ind w:left="182"/>
        <w:spacing w:after="0" w:line="287" w:lineRule="auto"/>
        <w:rPr>
          <w:sz w:val="20"/>
          <w:szCs w:val="20"/>
          <w:color w:val="auto"/>
        </w:rPr>
      </w:pPr>
      <w:r>
        <w:rPr>
          <w:rFonts w:ascii="Times New Roman" w:cs="Times New Roman" w:eastAsia="Times New Roman" w:hAnsi="Times New Roman"/>
          <w:sz w:val="14"/>
          <w:szCs w:val="14"/>
          <w:color w:val="auto"/>
        </w:rPr>
        <w:t>(APOC3) genes. This represents an important step forward for the RNAi field as it is the first clinical candidate to target two genes simultaneously in one molecule, enabled by Arrowhead’s innovative and proprietary TRiM platform;</w:t>
      </w:r>
    </w:p>
    <w:p>
      <w:pPr>
        <w:spacing w:after="0" w:line="39" w:lineRule="exact"/>
        <w:rPr>
          <w:sz w:val="20"/>
          <w:szCs w:val="20"/>
          <w:color w:val="auto"/>
        </w:rPr>
      </w:pPr>
    </w:p>
    <w:p>
      <w:pPr>
        <w:jc w:val="both"/>
        <w:ind w:left="182" w:hanging="182"/>
        <w:spacing w:after="0" w:line="264"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 request for regulatory clearance to initiate a Phase 1/2a clinical trial of ARO-MAPT, the Company’s investigational RNAi therapeutic being developed as a potential treatment for tauopathies including Alzheimer’s disease, a progressive neurodegenerative disease characterized by cognitive and functional decline. Alzheimer’s disease is the most common cause of dementia and is estimated to affect 32 million people worldwide and is part of a group of neurodegenerative diseases called tauopathies that are marked by the abnormal accumulation and formation of tau tangles in neurons.</w:t>
      </w:r>
    </w:p>
    <w:p>
      <w:pPr>
        <w:spacing w:after="0" w:line="55" w:lineRule="exact"/>
        <w:rPr>
          <w:rFonts w:ascii="Times New Roman" w:cs="Times New Roman" w:eastAsia="Times New Roman" w:hAnsi="Times New Roman"/>
          <w:sz w:val="14"/>
          <w:szCs w:val="14"/>
          <w:color w:val="auto"/>
        </w:rPr>
      </w:pPr>
    </w:p>
    <w:p>
      <w:pPr>
        <w:jc w:val="both"/>
        <w:ind w:left="182" w:hanging="182"/>
        <w:spacing w:after="0" w:line="261"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29, 2025, the Company entered into a global licensing and collaboration agreement with Novartis for ARO-SNCA, Arrowhead’s preclinical stage siRNA therapy against alpha-synuclein for the treatment of synucleinopathies, such as Parkinson’s Disease, and for other additional collaboration targets that will utilize Arrowhead’s proprietary TRiM platform. Closing of the transaction was subject to the expiration or termination of the waiting period under the Hart-Scott-Rodino Antitrust Improvements Act of 1976 and other customary conditions. Upon closing in October 2025, the Company received $200.0 million as an upfront payment and is eligible to receive up to $2.0 billion in potential milestone payments plus royalties on commercial sales.</w:t>
      </w:r>
    </w:p>
    <w:p>
      <w:pPr>
        <w:spacing w:after="0" w:line="58" w:lineRule="exact"/>
        <w:rPr>
          <w:rFonts w:ascii="Times New Roman" w:cs="Times New Roman" w:eastAsia="Times New Roman" w:hAnsi="Times New Roman"/>
          <w:sz w:val="14"/>
          <w:szCs w:val="14"/>
          <w:color w:val="auto"/>
        </w:rPr>
      </w:pPr>
    </w:p>
    <w:p>
      <w:pPr>
        <w:jc w:val="both"/>
        <w:ind w:left="182" w:hanging="182"/>
        <w:spacing w:after="0" w:line="264"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Triggered a $100.0 million milestone payment from Sarepta, which was achieved on July 27, 2025, when the Company reached the first of two prespecified enrollment targets and subsequent authorization to dose escalate in a Phase 1/2 clinical study of ARO-DM1, an investigational RNAi therapeutic for the treatment of type 1 myotonic dystrophy (DM1). Arrowhead received $53.2 million worth of Arrowhead common stock and $50.0 million in cash from Sarepta Therapeutics, satisfying the payment of the $100.0 million milestone owed to Arrowhead.</w:t>
      </w:r>
    </w:p>
    <w:p>
      <w:pPr>
        <w:spacing w:after="0" w:line="55" w:lineRule="exact"/>
        <w:rPr>
          <w:rFonts w:ascii="Times New Roman" w:cs="Times New Roman" w:eastAsia="Times New Roman" w:hAnsi="Times New Roman"/>
          <w:sz w:val="14"/>
          <w:szCs w:val="14"/>
          <w:color w:val="auto"/>
        </w:rPr>
      </w:pPr>
    </w:p>
    <w:p>
      <w:pPr>
        <w:jc w:val="both"/>
        <w:ind w:left="182" w:hanging="182"/>
        <w:spacing w:after="0" w:line="264"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the signing of an asset purchase agreement between Sanofi and Visirna, a majority-owned subsidiary of the Company, created to develop and commercialize four of the Company’s investigational cardiometabolic candidates in Greater China. Under the terms of the agreement, Sanofi will acquire rights to develop and commercialize investigational plozasiran, the Company's first-in-class RNAi therapeutic candidate designed to reduce production of apolipoprotein C-III (APOC3) as a potential treatment for familial chylomicronemia syndrome (FCS) and severe hypertriglyceridemia (sHTG), in Greater China;</w:t>
      </w:r>
    </w:p>
    <w:p>
      <w:pPr>
        <w:spacing w:after="0" w:line="55" w:lineRule="exact"/>
        <w:rPr>
          <w:rFonts w:ascii="Times New Roman" w:cs="Times New Roman" w:eastAsia="Times New Roman" w:hAnsi="Times New Roman"/>
          <w:sz w:val="14"/>
          <w:szCs w:val="14"/>
          <w:color w:val="auto"/>
        </w:rPr>
      </w:pPr>
    </w:p>
    <w:p>
      <w:pPr>
        <w:ind w:left="182" w:hanging="182"/>
        <w:spacing w:after="0" w:line="249"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and dosed the first subject in the YOSEMITE Phase 3 clinical trial of zodasiran, the Company’s investigational RNAi therapeutic being developed as a potential treatment for homozygous familial hypercholesterolemia (HoFH), a rare genetic condition that leads to severely elevated LDL-cholesterol and early onset cardiovascular disease;</w:t>
      </w:r>
    </w:p>
    <w:p>
      <w:pPr>
        <w:ind w:left="182" w:hanging="182"/>
        <w:spacing w:after="0" w:line="247"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Completed enrollment of SHASTA-3, SHASTA-4, and MUIR-3 Phase 3 clinical trials of REDEMPLO. The Company’s global Phase 3 clinical studies are designed to support regulatory submissions for approval of investigational REDEMPLO in the treatment of severe hypertriglyceridemia.</w:t>
      </w:r>
    </w:p>
    <w:p>
      <w:pPr>
        <w:spacing w:after="0" w:line="66" w:lineRule="exact"/>
        <w:rPr>
          <w:rFonts w:ascii="Times New Roman" w:cs="Times New Roman" w:eastAsia="Times New Roman" w:hAnsi="Times New Roman"/>
          <w:sz w:val="14"/>
          <w:szCs w:val="14"/>
          <w:color w:val="auto"/>
        </w:rPr>
      </w:pPr>
    </w:p>
    <w:p>
      <w:pPr>
        <w:ind w:left="182" w:hanging="182"/>
        <w:spacing w:after="0" w:line="271"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 Phase 1/2a clinical trial of ARO-ALK7 for the treatment of obesity. ARO-ALK7 is the first RNAi-based therapy designed to silence adipocyte expression of the ACVR1C gene to reduce the production of Activin receptor-like kinase 7 (ALK7), which acts as a receptor in a pathway that regulates energy homeostasis in adipose tissue;</w:t>
      </w:r>
    </w:p>
    <w:p>
      <w:pPr>
        <w:spacing w:after="0" w:line="39" w:lineRule="exact"/>
        <w:rPr>
          <w:rFonts w:ascii="Times New Roman" w:cs="Times New Roman" w:eastAsia="Times New Roman" w:hAnsi="Times New Roman"/>
          <w:sz w:val="14"/>
          <w:szCs w:val="14"/>
          <w:color w:val="auto"/>
        </w:rPr>
      </w:pPr>
    </w:p>
    <w:p>
      <w:pPr>
        <w:ind w:left="182" w:hanging="182"/>
        <w:spacing w:after="0" w:line="271"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Topline results from Part 2 of a Phase 1/2 clinical study of ARO-C3, the Company’s investigational RNAi therapeutic designed to reduce liver production of complement component 3 (C3) as a potential therapy for various complement mediated diseases. ARO-C3 achieved reductions in alternative pathway complement activity and proteinuria;</w:t>
      </w:r>
    </w:p>
    <w:p>
      <w:pPr>
        <w:spacing w:after="0" w:line="50" w:lineRule="exact"/>
        <w:rPr>
          <w:rFonts w:ascii="Times New Roman" w:cs="Times New Roman" w:eastAsia="Times New Roman" w:hAnsi="Times New Roman"/>
          <w:sz w:val="14"/>
          <w:szCs w:val="14"/>
          <w:color w:val="auto"/>
        </w:rPr>
      </w:pPr>
    </w:p>
    <w:p>
      <w:pPr>
        <w:jc w:val="both"/>
        <w:ind w:left="182" w:hanging="182"/>
        <w:spacing w:after="0" w:line="253" w:lineRule="auto"/>
        <w:tabs>
          <w:tab w:leader="none" w:pos="17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 global licensing and collaboration agreement with Sarepta on November 25, 2024, which closed on February 7, 2025. Upon closing, the Company received $325.0 million through the purchase of 11,926,301 shares of Company common stock by Sarepta, at a price per share of $27.25, and received $500.0 million as an upfront payment on February 24, 2025. The Company will also receive $250.0 million to be paid in equal installments over five years and is eligible to receive an additional $300.0 million in near-term payments. Additionally, the Company is eligible to receive royalties on commercial sales and up to approximately $10.0 billion in future potential milestone payments;</w:t>
      </w:r>
    </w:p>
    <w:p>
      <w:pPr>
        <w:spacing w:after="0" w:line="53" w:lineRule="exact"/>
        <w:rPr>
          <w:rFonts w:ascii="Times New Roman" w:cs="Times New Roman" w:eastAsia="Times New Roman" w:hAnsi="Times New Roman"/>
          <w:sz w:val="14"/>
          <w:szCs w:val="14"/>
          <w:color w:val="auto"/>
        </w:rPr>
      </w:pPr>
    </w:p>
    <w:p>
      <w:pPr>
        <w:ind w:left="182" w:hanging="182"/>
        <w:spacing w:after="0"/>
        <w:tabs>
          <w:tab w:leader="none" w:pos="18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GSK dosed its fifth patient in a Phase 2 trial in December 2024, triggering a $2.5 million milestone payment to the Company which was paid in the second quarter of fiscal 2025;</w:t>
      </w:r>
    </w:p>
    <w:p>
      <w:pPr>
        <w:spacing w:after="0" w:line="200" w:lineRule="exact"/>
        <w:rPr>
          <w:sz w:val="20"/>
          <w:szCs w:val="20"/>
          <w:color w:val="auto"/>
        </w:rPr>
      </w:pPr>
    </w:p>
    <w:p>
      <w:pPr>
        <w:spacing w:after="0" w:line="276" w:lineRule="exact"/>
        <w:rPr>
          <w:sz w:val="20"/>
          <w:szCs w:val="20"/>
          <w:color w:val="auto"/>
        </w:rPr>
      </w:pPr>
    </w:p>
    <w:p>
      <w:pPr>
        <w:ind w:left="5002"/>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49530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2"/>
          </w:cols>
          <w:pgMar w:left="878" w:top="846" w:right="319" w:bottom="1440" w:gutter="0" w:footer="0" w:header="0"/>
        </w:sectPr>
      </w:pPr>
    </w:p>
    <w:bookmarkStart w:id="67" w:name="page68"/>
    <w:bookmarkEnd w:id="67"/>
    <w:p>
      <w:pPr>
        <w:ind w:left="760" w:hanging="182"/>
        <w:spacing w:after="0"/>
        <w:tabs>
          <w:tab w:leader="none" w:pos="760" w:val="left"/>
        </w:tabs>
        <w:numPr>
          <w:ilvl w:val="0"/>
          <w:numId w:val="4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Announced that the Company dosed the first subjects in a Phase 1/2a clinical trial of ARO-INHBE; and</w:t>
      </w:r>
    </w:p>
    <w:p>
      <w:pPr>
        <w:spacing w:after="0" w:line="83" w:lineRule="exact"/>
        <w:rPr>
          <w:rFonts w:ascii="Times New Roman" w:cs="Times New Roman" w:eastAsia="Times New Roman" w:hAnsi="Times New Roman"/>
          <w:sz w:val="14"/>
          <w:szCs w:val="14"/>
          <w:b w:val="1"/>
          <w:bCs w:val="1"/>
          <w:i w:val="1"/>
          <w:iCs w:val="1"/>
          <w:color w:val="auto"/>
        </w:rPr>
      </w:pPr>
    </w:p>
    <w:p>
      <w:pPr>
        <w:jc w:val="both"/>
        <w:ind w:left="760" w:hanging="182"/>
        <w:spacing w:after="0" w:line="253" w:lineRule="auto"/>
        <w:tabs>
          <w:tab w:leader="none" w:pos="7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interim results from a Phase 1/2a clinical study of ARO-CFB at the 8th Complement-Based Drug Development Summit. The study resulted in multiple findings including: (1) ARO-CFB led to dose dependent reductions in circulating CFB protein by up to 90% with greater than 3 months duration, (2) single and multiple doses of ARO-CFB led to near complete inhibition of alternative pathway activity based on Wieslab AP, and (3) single and multiple doses of ARO-CFB led to near complete inhibition of alternative pathway hemolytic activity, measured by AH50.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Accounting Estimates</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Management makes certain judgments and uses certain estimates and assumptions when applying U.S. generally accepted accounting principles (“GAAP”) in the preparation of the Company’s Consolidated Financial Statements. On an 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may vary from what the Company anticipates and different assumptions or estimates about the future could change its reported results. The Company believes the following accounting policies are the most critical to it, in that they require its most difficult, subjective or complex judgments in the preparation of the Company’s Consolidated Financial Statements. For further information, see Note 1, Organization and Significant Accounting Policies of the Notes to the Company’s Consolidated Financial Statements in Part IV, “Item 15. Exhibits and Financial Statement Schedules.”</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Revenue Recognition</w:t>
      </w:r>
      <w:r>
        <w:rPr>
          <w:rFonts w:ascii="Times New Roman" w:cs="Times New Roman" w:eastAsia="Times New Roman" w:hAnsi="Times New Roman"/>
          <w:sz w:val="14"/>
          <w:szCs w:val="14"/>
          <w:color w:val="auto"/>
        </w:rPr>
        <w:t xml:space="preserve">—The Company has adopted Financial Accounting Standards Board (“FASB”) Topic 606 – </w:t>
      </w:r>
      <w:r>
        <w:rPr>
          <w:rFonts w:ascii="Times New Roman" w:cs="Times New Roman" w:eastAsia="Times New Roman" w:hAnsi="Times New Roman"/>
          <w:sz w:val="14"/>
          <w:szCs w:val="14"/>
          <w:i w:val="1"/>
          <w:iCs w:val="1"/>
          <w:color w:val="auto"/>
        </w:rPr>
        <w:t>Revenue for Contracts from Customers.</w:t>
      </w:r>
      <w:r>
        <w:rPr>
          <w:rFonts w:ascii="Times New Roman" w:cs="Times New Roman" w:eastAsia="Times New Roman" w:hAnsi="Times New Roman"/>
          <w:sz w:val="14"/>
          <w:szCs w:val="14"/>
          <w:color w:val="auto"/>
        </w:rPr>
        <w:t xml:space="preserve"> The Company has not yet achieved commercial sales of its drug candidates to date; however, this standard is applicable to its licensing and collaboration agreements. This is discussed further in Note 2, Collaboration and License Agreements of the Notes to the Company’s Consolidated Financial Statements in Part IV, “Item 15. Exhibits and Financial Statement Schedules.”</w:t>
      </w:r>
    </w:p>
    <w:p>
      <w:pPr>
        <w:spacing w:after="0" w:line="51" w:lineRule="exact"/>
        <w:rPr>
          <w:sz w:val="20"/>
          <w:szCs w:val="20"/>
          <w:color w:val="auto"/>
        </w:rPr>
      </w:pPr>
    </w:p>
    <w:p>
      <w:pPr>
        <w:jc w:val="both"/>
        <w:ind w:firstLine="382"/>
        <w:spacing w:after="0" w:line="263" w:lineRule="auto"/>
        <w:rPr>
          <w:sz w:val="20"/>
          <w:szCs w:val="20"/>
          <w:color w:val="auto"/>
        </w:rPr>
      </w:pPr>
      <w:r>
        <w:rPr>
          <w:rFonts w:ascii="Times New Roman" w:cs="Times New Roman" w:eastAsia="Times New Roman" w:hAnsi="Times New Roman"/>
          <w:sz w:val="14"/>
          <w:szCs w:val="14"/>
          <w:color w:val="auto"/>
        </w:rPr>
        <w:t>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it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228"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most-likely-amount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8" w:name="page69"/>
    <w:bookmarkEnd w:id="68"/>
    <w:p>
      <w:pPr>
        <w:jc w:val="both"/>
        <w:spacing w:after="0" w:line="287" w:lineRule="auto"/>
        <w:rPr>
          <w:sz w:val="20"/>
          <w:szCs w:val="20"/>
          <w:color w:val="auto"/>
        </w:rPr>
      </w:pPr>
      <w:r>
        <w:rPr>
          <w:rFonts w:ascii="Times New Roman" w:cs="Times New Roman" w:eastAsia="Times New Roman" w:hAnsi="Times New Roman"/>
          <w:sz w:val="14"/>
          <w:szCs w:val="14"/>
          <w:color w:val="auto"/>
        </w:rPr>
        <w:t>the performance period, the milestone payment would be recognized as revenue to the extent performance had been completed at that point, and the remaining balance would be recorded as deferred revenue.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The estimates includes forecasted revenues and expenses, phase dates, probability of success, development timelines, and the discount rate. The estimates of the stand-alone selling price for research and development or other service-related performance obligations generally include forecasting the expected costs of satisfying a performance obligation at market rates.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Whenever we determine that goods or services promised in a contract should be accounted for as a combined performance obligation over time, the Company determines the period over which the performance obligations will be performed and revenue will be recognized. Revenue is recognized using the input method.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Collaborative Arrangements</w:t>
      </w:r>
      <w:r>
        <w:rPr>
          <w:rFonts w:ascii="Times New Roman" w:cs="Times New Roman" w:eastAsia="Times New Roman" w:hAnsi="Times New Roman"/>
          <w:sz w:val="14"/>
          <w:szCs w:val="14"/>
          <w:color w:val="auto"/>
        </w:rPr>
        <w:t>—The Company analyzes its collaborative arrangements to assess whether such arrangements involve joint operating activities performed by parties that are both active participants in the activities and exposed to significant risks and rewards, and therefore an appropriate recognition method is determined and applied consistently, either by analogy to appropriate accounting literature or by applying a reasonable accounting policy election. For collaborative arrangements that are within the scope of FASB Topic 808—</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Clinical Accruals</w:t>
      </w:r>
      <w:r>
        <w:rPr>
          <w:rFonts w:ascii="Times New Roman" w:cs="Times New Roman" w:eastAsia="Times New Roman" w:hAnsi="Times New Roman"/>
          <w:sz w:val="14"/>
          <w:szCs w:val="14"/>
          <w:color w:val="auto"/>
        </w:rPr>
        <w:t>—The Company accrues liabilities for products received or services incurred, particularly for ongoing clinical trials, where service providers have not yet billed or where billing terms do not align with the timing of the work performed as of the period-end. These costs mainly include third-party clinical management or clinical research organization (CRO), laboratory analysis, and investigator fees. Accrual estimates may be based on vendor communications to obtain pending invoices and/or estimates for services performed during the period. In some cases, these estimates require significant judgment, drawing on an understanding of research and development programs, services provided during the period, prior experience, and, where applicable, the expected duration of third-party contracts. Actual costs upon settlement may differ significantly from the accrued amounts in the Company’s consolidated financial statements, though historical estimates have not differed materially from actual costs.</w:t>
      </w:r>
    </w:p>
    <w:p>
      <w:pPr>
        <w:spacing w:after="0" w:line="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u w:val="single" w:color="auto"/>
          <w:color w:val="auto"/>
        </w:rPr>
        <w:t>Liability Related to the Sale of Future Royalties</w:t>
      </w:r>
      <w:r>
        <w:rPr>
          <w:rFonts w:ascii="Times New Roman" w:cs="Times New Roman" w:eastAsia="Times New Roman" w:hAnsi="Times New Roman"/>
          <w:sz w:val="14"/>
          <w:szCs w:val="14"/>
          <w:color w:val="auto"/>
        </w:rPr>
        <w:t>—Based on its evaluation of the agreement terms, the Company classifies the liability related to the sale of future royalties as a debt financing. 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timing of such payments is different than its original estimates, the Company will prospectively adjust the amortization of the royalty financing obligations and the effective interest rate.</w:t>
      </w:r>
    </w:p>
    <w:p>
      <w:pPr>
        <w:spacing w:after="0" w:line="2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data summarizes the Company’s results of operations for the following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6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center"/>
              <w:ind w:left="98"/>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1080" w:type="dxa"/>
            <w:vAlign w:val="bottom"/>
            <w:tcBorders>
              <w:bottom w:val="single" w:sz="8" w:color="auto"/>
            </w:tcBorders>
          </w:tcPr>
          <w:p>
            <w:pPr>
              <w:spacing w:after="0"/>
              <w:rPr>
                <w:sz w:val="13"/>
                <w:szCs w:val="13"/>
                <w:color w:val="auto"/>
              </w:rPr>
            </w:pPr>
          </w:p>
        </w:tc>
      </w:tr>
      <w:tr>
        <w:trPr>
          <w:trHeight w:val="16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4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829,448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3"/>
                <w:szCs w:val="13"/>
                <w:color w:val="auto"/>
              </w:rPr>
              <w:t>3,551</w:t>
            </w: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240,735</w:t>
            </w:r>
          </w:p>
        </w:tc>
      </w:tr>
      <w:tr>
        <w:trPr>
          <w:trHeight w:val="168"/>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940" w:type="dxa"/>
            <w:vAlign w:val="bottom"/>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98,346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(601,080)</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(205,002)</w:t>
            </w:r>
          </w:p>
        </w:tc>
      </w:tr>
      <w:tr>
        <w:trPr>
          <w:trHeight w:val="172"/>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 attributable to Arrowhead</w:t>
            </w:r>
          </w:p>
        </w:tc>
        <w:tc>
          <w:tcPr>
            <w:tcW w:w="94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(599,493)</w:t>
            </w:r>
          </w:p>
        </w:tc>
        <w:tc>
          <w:tcPr>
            <w:tcW w:w="44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(205,275)</w:t>
            </w:r>
          </w:p>
        </w:tc>
      </w:tr>
      <w:tr>
        <w:trPr>
          <w:trHeight w:val="165"/>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(diluted) attributable to Arrowhead</w:t>
            </w:r>
          </w:p>
        </w:tc>
        <w:tc>
          <w:tcPr>
            <w:tcW w:w="940" w:type="dxa"/>
            <w:vAlign w:val="bottom"/>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September 30, 2025 Compared to Year Ended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Revenue</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Total revenue for the year ended September 30, 2025 increased by $825.9 million, from the same period of 2024. The change was primarily driven by increased revenue recognition associated with the Sarepta, Sanofi, and GSK license agreements as discussed below.</w:t>
      </w:r>
    </w:p>
    <w:p>
      <w:pPr>
        <w:spacing w:after="0" w:line="37" w:lineRule="exact"/>
        <w:rPr>
          <w:sz w:val="20"/>
          <w:szCs w:val="20"/>
          <w:color w:val="auto"/>
        </w:rPr>
      </w:pPr>
    </w:p>
    <w:p>
      <w:pPr>
        <w:jc w:val="both"/>
        <w:ind w:firstLine="382"/>
        <w:spacing w:after="0" w:line="290" w:lineRule="auto"/>
        <w:rPr>
          <w:sz w:val="20"/>
          <w:szCs w:val="20"/>
          <w:color w:val="auto"/>
        </w:rPr>
      </w:pPr>
      <w:r>
        <w:rPr>
          <w:rFonts w:ascii="Times New Roman" w:cs="Times New Roman" w:eastAsia="Times New Roman" w:hAnsi="Times New Roman"/>
          <w:sz w:val="14"/>
          <w:szCs w:val="14"/>
          <w:color w:val="auto"/>
        </w:rPr>
        <w:t>The Company has evaluated each agreement in accordance with FASB Topic 808–</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and Topic 606-</w:t>
      </w:r>
      <w:r>
        <w:rPr>
          <w:rFonts w:ascii="Times New Roman" w:cs="Times New Roman" w:eastAsia="Times New Roman" w:hAnsi="Times New Roman"/>
          <w:sz w:val="14"/>
          <w:szCs w:val="14"/>
          <w:i w:val="1"/>
          <w:iCs w:val="1"/>
          <w:color w:val="auto"/>
        </w:rPr>
        <w:t>Revenue for Contracts from Customers</w:t>
      </w:r>
      <w:r>
        <w:rPr>
          <w:rFonts w:ascii="Times New Roman" w:cs="Times New Roman" w:eastAsia="Times New Roman" w:hAnsi="Times New Roman"/>
          <w:sz w:val="14"/>
          <w:szCs w:val="14"/>
          <w:color w:val="auto"/>
        </w:rPr>
        <w:t>. See Note 2 — Collaboration and License Agreements of the Notes to Consolidated Financial Statements of Part IV, “Item 15. Exhibits and Financial Statement Schedules.”</w:t>
      </w:r>
    </w:p>
    <w:p>
      <w:pPr>
        <w:spacing w:after="0" w:line="67"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242424"/>
        </w:rPr>
        <w:t xml:space="preserve">Sarepta: </w:t>
      </w:r>
      <w:r>
        <w:rPr>
          <w:rFonts w:ascii="Times New Roman" w:cs="Times New Roman" w:eastAsia="Times New Roman" w:hAnsi="Times New Roman"/>
          <w:sz w:val="14"/>
          <w:szCs w:val="14"/>
          <w:color w:val="242424"/>
        </w:rPr>
        <w:t>On November 25, 2024, the Company entered into the Sarepta Collaboration Agreement and Stock Purchase Agreement with Sarepta for the development and commercialization of</w:t>
      </w:r>
      <w:r>
        <w:rPr>
          <w:rFonts w:ascii="Times New Roman" w:cs="Times New Roman" w:eastAsia="Times New Roman" w:hAnsi="Times New Roman"/>
          <w:sz w:val="14"/>
          <w:szCs w:val="14"/>
          <w:b w:val="1"/>
          <w:bCs w:val="1"/>
          <w:color w:val="242424"/>
        </w:rPr>
        <w:t xml:space="preserve"> </w:t>
      </w:r>
      <w:r>
        <w:rPr>
          <w:rFonts w:ascii="Times New Roman" w:cs="Times New Roman" w:eastAsia="Times New Roman" w:hAnsi="Times New Roman"/>
          <w:sz w:val="14"/>
          <w:szCs w:val="14"/>
          <w:color w:val="242424"/>
        </w:rPr>
        <w:t xml:space="preserve">multiple clinical and preclinical programs in rare, genetic diseases of the muscle, central nervous system, and lungs. During the fourth quarter of fiscal 2025, a </w:t>
      </w:r>
      <w:r>
        <w:rPr>
          <w:rFonts w:ascii="Times New Roman" w:cs="Times New Roman" w:eastAsia="Times New Roman" w:hAnsi="Times New Roman"/>
          <w:sz w:val="14"/>
          <w:szCs w:val="14"/>
          <w:color w:val="000000"/>
        </w:rPr>
        <w:t>$100.0 million milestone payment from</w:t>
      </w:r>
      <w:r>
        <w:rPr>
          <w:rFonts w:ascii="Times New Roman" w:cs="Times New Roman" w:eastAsia="Times New Roman" w:hAnsi="Times New Roman"/>
          <w:sz w:val="14"/>
          <w:szCs w:val="14"/>
          <w:color w:val="242424"/>
        </w:rPr>
        <w:t xml:space="preserve"> </w:t>
      </w:r>
      <w:r>
        <w:rPr>
          <w:rFonts w:ascii="Times New Roman" w:cs="Times New Roman" w:eastAsia="Times New Roman" w:hAnsi="Times New Roman"/>
          <w:sz w:val="14"/>
          <w:szCs w:val="14"/>
          <w:color w:val="000000"/>
        </w:rPr>
        <w:t xml:space="preserve">Sarepta Therapeutics, Inc. was triggered, when the Company reached the first of two prespecified enrollment targets and subsequent authorization to dose escalate in a Phase 1/2 clinical study of ARO-DM1, an investigational RNAi therapeutic for the treatment of type 1 myotonic dystrophy (DM1). The Company received $53.2 million of Arrowhead common stock and $50.0 million cash from Sarepta to satisfy the milestone payment. </w:t>
      </w:r>
      <w:r>
        <w:rPr>
          <w:rFonts w:ascii="Times New Roman" w:cs="Times New Roman" w:eastAsia="Times New Roman" w:hAnsi="Times New Roman"/>
          <w:sz w:val="14"/>
          <w:szCs w:val="14"/>
          <w:color w:val="242424"/>
        </w:rPr>
        <w:t>During the year ended</w:t>
      </w:r>
      <w:r>
        <w:rPr>
          <w:rFonts w:ascii="Times New Roman" w:cs="Times New Roman" w:eastAsia="Times New Roman" w:hAnsi="Times New Roman"/>
          <w:sz w:val="14"/>
          <w:szCs w:val="14"/>
          <w:color w:val="000000"/>
        </w:rPr>
        <w:t xml:space="preserve"> September 30, 2025</w:t>
      </w:r>
      <w:r>
        <w:rPr>
          <w:rFonts w:ascii="Times New Roman" w:cs="Times New Roman" w:eastAsia="Times New Roman" w:hAnsi="Times New Roman"/>
          <w:sz w:val="14"/>
          <w:szCs w:val="14"/>
          <w:color w:val="242424"/>
        </w:rPr>
        <w:t>, the Company recorded</w:t>
      </w:r>
      <w:r>
        <w:rPr>
          <w:rFonts w:ascii="Times New Roman" w:cs="Times New Roman" w:eastAsia="Times New Roman" w:hAnsi="Times New Roman"/>
          <w:sz w:val="14"/>
          <w:szCs w:val="14"/>
          <w:color w:val="000000"/>
        </w:rPr>
        <w:t xml:space="preserve"> $696.8 million </w:t>
      </w:r>
      <w:r>
        <w:rPr>
          <w:rFonts w:ascii="Times New Roman" w:cs="Times New Roman" w:eastAsia="Times New Roman" w:hAnsi="Times New Roman"/>
          <w:sz w:val="14"/>
          <w:szCs w:val="14"/>
          <w:color w:val="242424"/>
        </w:rPr>
        <w:t>in revenue.</w:t>
      </w:r>
    </w:p>
    <w:p>
      <w:pPr>
        <w:spacing w:after="0" w:line="55"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b w:val="1"/>
          <w:bCs w:val="1"/>
          <w:color w:val="auto"/>
        </w:rPr>
        <w:t>Visirna</w:t>
      </w:r>
      <w:r>
        <w:rPr>
          <w:rFonts w:ascii="Times New Roman" w:cs="Times New Roman" w:eastAsia="Times New Roman" w:hAnsi="Times New Roman"/>
          <w:sz w:val="14"/>
          <w:szCs w:val="14"/>
          <w:color w:val="auto"/>
        </w:rPr>
        <w:t>: On August 1, 2025, Visirna Therapeutics HK Limited (“Visirna HK”), a wholly owned subsidiary of Visirna Therapeutics, Inc, a majority owned subsidiary of the Company, entered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into an Asset Purchase Agreement (the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w:t>
      </w:r>
      <w:r>
        <w:rPr>
          <w:rFonts w:ascii="Times New Roman" w:cs="Times New Roman" w:eastAsia="Times New Roman" w:hAnsi="Times New Roman"/>
          <w:sz w:val="14"/>
          <w:szCs w:val="14"/>
          <w:color w:val="242424"/>
        </w:rPr>
        <w:t>During the year ended</w:t>
      </w:r>
      <w:r>
        <w:rPr>
          <w:rFonts w:ascii="Times New Roman" w:cs="Times New Roman" w:eastAsia="Times New Roman" w:hAnsi="Times New Roman"/>
          <w:sz w:val="14"/>
          <w:szCs w:val="14"/>
          <w:color w:val="auto"/>
        </w:rPr>
        <w:t xml:space="preserve"> September 30, 2025</w:t>
      </w:r>
      <w:r>
        <w:rPr>
          <w:rFonts w:ascii="Times New Roman" w:cs="Times New Roman" w:eastAsia="Times New Roman" w:hAnsi="Times New Roman"/>
          <w:sz w:val="14"/>
          <w:szCs w:val="14"/>
          <w:color w:val="242424"/>
        </w:rPr>
        <w:t>, the Company recorded</w:t>
      </w:r>
      <w:r>
        <w:rPr>
          <w:rFonts w:ascii="Times New Roman" w:cs="Times New Roman" w:eastAsia="Times New Roman" w:hAnsi="Times New Roman"/>
          <w:sz w:val="14"/>
          <w:szCs w:val="14"/>
          <w:color w:val="auto"/>
        </w:rPr>
        <w:t xml:space="preserve"> $130.0 million </w:t>
      </w:r>
      <w:r>
        <w:rPr>
          <w:rFonts w:ascii="Times New Roman" w:cs="Times New Roman" w:eastAsia="Times New Roman" w:hAnsi="Times New Roman"/>
          <w:sz w:val="14"/>
          <w:szCs w:val="14"/>
          <w:color w:val="242424"/>
        </w:rPr>
        <w:t>in revenue.</w:t>
      </w:r>
    </w:p>
    <w:p>
      <w:pPr>
        <w:spacing w:after="0" w:line="5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color w:val="auto"/>
        </w:rPr>
        <w:t>GSK</w:t>
      </w:r>
      <w:r>
        <w:rPr>
          <w:rFonts w:ascii="Times New Roman" w:cs="Times New Roman" w:eastAsia="Times New Roman" w:hAnsi="Times New Roman"/>
          <w:sz w:val="14"/>
          <w:szCs w:val="14"/>
          <w:color w:val="auto"/>
        </w:rPr>
        <w:t>: On December 11, 2023, the Company entered into the GSK-HBV Agreement pursuant to which GSK received a worldwide, exclusive license to develop and commercialize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daplusiran/tomligisiran (GSK5637608, formerly JNJ-3989), the Company’s third-generation subcutaneously administered RNAi therapeutic candidate being developed as a potential therapy for patients with chronic hepatitis B virus infection.</w:t>
      </w:r>
    </w:p>
    <w:p>
      <w:pPr>
        <w:spacing w:after="0" w:line="51"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Under the terms of the GSK-HBV Agreement, the Company received $2.7 million in December 2023, upon signing the GSK-HBV Agreement. Further, GSK dosed the fifth patient in a Phase 2 trial in December 2024, triggering a $2.5 million milestone payment to the Company which was paid in the second qu</w:t>
      </w:r>
      <w:r>
        <w:rPr>
          <w:rFonts w:ascii="Times New Roman" w:cs="Times New Roman" w:eastAsia="Times New Roman" w:hAnsi="Times New Roman"/>
          <w:sz w:val="14"/>
          <w:szCs w:val="14"/>
          <w:color w:val="242424"/>
        </w:rPr>
        <w:t>arter of fiscal 2025. During the year ended</w:t>
      </w:r>
      <w:r>
        <w:rPr>
          <w:rFonts w:ascii="Times New Roman" w:cs="Times New Roman" w:eastAsia="Times New Roman" w:hAnsi="Times New Roman"/>
          <w:sz w:val="14"/>
          <w:szCs w:val="14"/>
          <w:color w:val="auto"/>
        </w:rPr>
        <w:t xml:space="preserve"> September 30, 2025</w:t>
      </w:r>
      <w:r>
        <w:rPr>
          <w:rFonts w:ascii="Times New Roman" w:cs="Times New Roman" w:eastAsia="Times New Roman" w:hAnsi="Times New Roman"/>
          <w:sz w:val="14"/>
          <w:szCs w:val="14"/>
          <w:color w:val="242424"/>
        </w:rPr>
        <w:t>, the 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42424"/>
        </w:rPr>
        <w:t xml:space="preserve">recorded </w:t>
      </w:r>
      <w:r>
        <w:rPr>
          <w:rFonts w:ascii="Times New Roman" w:cs="Times New Roman" w:eastAsia="Times New Roman" w:hAnsi="Times New Roman"/>
          <w:sz w:val="14"/>
          <w:szCs w:val="14"/>
          <w:color w:val="000000"/>
        </w:rPr>
        <w:t>$2.6 million</w:t>
      </w:r>
      <w:r>
        <w:rPr>
          <w:rFonts w:ascii="Times New Roman" w:cs="Times New Roman" w:eastAsia="Times New Roman" w:hAnsi="Times New Roman"/>
          <w:sz w:val="14"/>
          <w:szCs w:val="14"/>
          <w:color w:val="242424"/>
        </w:rPr>
        <w:t xml:space="preserve"> revenue.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auto"/>
        </w:rPr>
        <w:t>Operating Expenses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analysis below details the operating expenses and discusses the expenditures of the Company within the major expense categories. For purposes of comparison, the amounts for the years ended September 30, 2025 and 2024 are shown in the tables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(R&amp;D) Expenses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consist of expenses for drug candidate and drug discovery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The Company does not separately track research and development expenses by individual research and development projects, or by individual drug candidates.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details of research and development expenses for the period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 of</w:t>
            </w:r>
          </w:p>
        </w:tc>
        <w:tc>
          <w:tcPr>
            <w:tcW w:w="3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00" w:type="dxa"/>
            <w:vAlign w:val="bottom"/>
          </w:tcPr>
          <w:p>
            <w:pPr>
              <w:spacing w:after="0"/>
              <w:rPr>
                <w:sz w:val="7"/>
                <w:szCs w:val="7"/>
                <w:color w:val="auto"/>
              </w:rPr>
            </w:pPr>
          </w:p>
        </w:tc>
        <w:tc>
          <w:tcPr>
            <w:tcW w:w="116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360" w:type="dxa"/>
            <w:vAlign w:val="bottom"/>
            <w:gridSpan w:val="2"/>
          </w:tcPr>
          <w:p>
            <w:pPr>
              <w:jc w:val="center"/>
              <w:ind w:right="80"/>
              <w:spacing w:after="0" w:line="85" w:lineRule="exact"/>
              <w:rPr>
                <w:sz w:val="20"/>
                <w:szCs w:val="20"/>
                <w:color w:val="auto"/>
              </w:rPr>
            </w:pPr>
            <w:r>
              <w:rPr>
                <w:rFonts w:ascii="Times New Roman" w:cs="Times New Roman" w:eastAsia="Times New Roman" w:hAnsi="Times New Roman"/>
                <w:sz w:val="9"/>
                <w:szCs w:val="9"/>
                <w:b w:val="1"/>
                <w:bCs w:val="1"/>
                <w:color w:val="auto"/>
              </w:rPr>
              <w:t>Expense</w:t>
            </w:r>
          </w:p>
        </w:tc>
        <w:tc>
          <w:tcPr>
            <w:tcW w:w="100" w:type="dxa"/>
            <w:vAlign w:val="bottom"/>
          </w:tcPr>
          <w:p>
            <w:pPr>
              <w:spacing w:after="0"/>
              <w:rPr>
                <w:sz w:val="7"/>
                <w:szCs w:val="7"/>
                <w:color w:val="auto"/>
              </w:rPr>
            </w:pPr>
          </w:p>
        </w:tc>
        <w:tc>
          <w:tcPr>
            <w:tcW w:w="1160" w:type="dxa"/>
            <w:vAlign w:val="bottom"/>
            <w:gridSpan w:val="2"/>
          </w:tcPr>
          <w:p>
            <w:pPr>
              <w:jc w:val="center"/>
              <w:ind w:right="200"/>
              <w:spacing w:after="0" w:line="85" w:lineRule="exact"/>
              <w:rPr>
                <w:sz w:val="20"/>
                <w:szCs w:val="20"/>
                <w:color w:val="auto"/>
              </w:rPr>
            </w:pPr>
            <w:r>
              <w:rPr>
                <w:rFonts w:ascii="Times New Roman" w:cs="Times New Roman" w:eastAsia="Times New Roman" w:hAnsi="Times New Roman"/>
                <w:sz w:val="9"/>
                <w:szCs w:val="9"/>
                <w:b w:val="1"/>
                <w:bCs w:val="1"/>
                <w:color w:val="auto"/>
              </w:rPr>
              <w:t>Year Ended</w:t>
            </w:r>
          </w:p>
        </w:tc>
        <w:tc>
          <w:tcPr>
            <w:tcW w:w="1340" w:type="dxa"/>
            <w:vAlign w:val="bottom"/>
            <w:gridSpan w:val="2"/>
          </w:tcPr>
          <w:p>
            <w:pPr>
              <w:jc w:val="center"/>
              <w:ind w:right="100"/>
              <w:spacing w:after="0" w:line="85" w:lineRule="exact"/>
              <w:rPr>
                <w:sz w:val="20"/>
                <w:szCs w:val="20"/>
                <w:color w:val="auto"/>
              </w:rPr>
            </w:pPr>
            <w:r>
              <w:rPr>
                <w:rFonts w:ascii="Times New Roman" w:cs="Times New Roman" w:eastAsia="Times New Roman" w:hAnsi="Times New Roman"/>
                <w:sz w:val="9"/>
                <w:szCs w:val="9"/>
                <w:b w:val="1"/>
                <w:bCs w:val="1"/>
                <w:color w:val="auto"/>
              </w:rPr>
              <w:t>Expense</w:t>
            </w:r>
          </w:p>
        </w:tc>
        <w:tc>
          <w:tcPr>
            <w:tcW w:w="320" w:type="dxa"/>
            <w:vAlign w:val="bottom"/>
          </w:tcPr>
          <w:p>
            <w:pPr>
              <w:spacing w:after="0"/>
              <w:rPr>
                <w:sz w:val="7"/>
                <w:szCs w:val="7"/>
                <w:color w:val="auto"/>
              </w:rPr>
            </w:pPr>
          </w:p>
        </w:tc>
        <w:tc>
          <w:tcPr>
            <w:tcW w:w="860" w:type="dxa"/>
            <w:vAlign w:val="bottom"/>
            <w:vMerge w:val="restart"/>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restart"/>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Candidate costs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347,571</w:t>
            </w: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259,280</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88,291</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R&amp;D discovery costs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74,150</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109,085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96,418</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12,667</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6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Facilities related</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29,233</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25,782</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0" w:type="dxa"/>
            <w:vAlign w:val="bottom"/>
          </w:tcPr>
          <w:p>
            <w:pPr>
              <w:spacing w:after="0"/>
              <w:rPr>
                <w:sz w:val="1"/>
                <w:szCs w:val="1"/>
                <w:color w:val="auto"/>
              </w:rPr>
            </w:pPr>
          </w:p>
        </w:tc>
      </w:tr>
      <w:tr>
        <w:trPr>
          <w:trHeight w:val="109"/>
        </w:trPr>
        <w:tc>
          <w:tcPr>
            <w:tcW w:w="354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color w:val="auto"/>
              </w:rPr>
              <w:t>Total research and development expense, excluding non-cash</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552,677</w:t>
            </w:r>
          </w:p>
        </w:tc>
        <w:tc>
          <w:tcPr>
            <w:tcW w:w="8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455,630</w:t>
            </w:r>
          </w:p>
        </w:tc>
        <w:tc>
          <w:tcPr>
            <w:tcW w:w="10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97,047</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expense</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32,582</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33,586</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21,900</w:t>
            </w:r>
          </w:p>
        </w:tc>
        <w:tc>
          <w:tcPr>
            <w:tcW w:w="8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5,246</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6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research and development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607,159</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505,870</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101,289</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Candidate costs increased $88.3 million, or 34%, for the year ended September 30, 2025 compared to the same period of 2024. The increase was primarily due to the additional progression of the Company’s pipeline of candidates into and through clinical trials, which resulted in higher manufacturing, outsourced clinical trial, and toxicity study costs.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R&amp;D discovery costs decreased $7.4 million, or (10)%, for the year ended September 30, 2025 compared to the same period of 2024. This decrease was primarily driven by strategic shifts toward clinical development and commercial launch. R&amp;D discovery costs are influenced by the Company’s ongoing discovery efforts, continued advancements into novel therapeutic areas and tissue types.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Salaries consist of salary, bonuses, payroll taxes, and related benefits for the Company’s R&amp;D personnel. Salaries expense increased $12.7 million, or 13%, for the year ended September 30, 2025 compared to the same period of 2024. The increase was primarily due to an increase in headcount that has occurred as the Company has expanded its pipeline of candidates, in addition to annual salary increases.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Facilities-related expense includes lease costs for the Company’s research and development facilities in San Diego, California and Madison and Verona, Wisconsin. These expenses increased $3.5 million, or 13%, for the year ended September 30, 2025 compared to the same period of 2024. The increase was primarily due to full-year expenses such as utilities and repair and maintenance charges associated with the new facilities in Verona, Wisconsin, which completed their build out during the first quarter of fiscal 2024.</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Stock compensation expense, a non-cash expense, is primarily based on the valuation of restricted stock units granted to employees, which is based on the closing stock price on the grant date. Stock compensation expense decreased $1.0 million, or 3%, for the year ended September 30, 2025 compared to the same period of 2024. The decrease was primarily due to the cancellation of awards upon the departure of employees.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Depreciation and amortization expense, a non-cash expense, relates to depreciation on buildings, lab equipment and leasehold improvements. Depreciation and amortization expense increased $5.2 million, or 31% for the year ended September 30, 2025 compared to the same period of 2024. The increase was primarily attributable to completion of the build out of facilities in Verona, Wisconsin, and the commencement of depreciation.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&amp; Administrative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details of general and administrative expenses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 of</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 of</w:t>
            </w:r>
          </w:p>
        </w:tc>
        <w:tc>
          <w:tcPr>
            <w:tcW w:w="320" w:type="dxa"/>
            <w:vAlign w:val="bottom"/>
          </w:tcPr>
          <w:p>
            <w:pPr>
              <w:spacing w:after="0"/>
              <w:rPr>
                <w:sz w:val="11"/>
                <w:szCs w:val="11"/>
                <w:color w:val="auto"/>
              </w:rPr>
            </w:pPr>
          </w:p>
        </w:tc>
        <w:tc>
          <w:tcPr>
            <w:tcW w:w="14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Increase (Decrease)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80"/>
              <w:spacing w:after="0" w:line="95"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36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00" w:type="dxa"/>
            <w:vAlign w:val="bottom"/>
          </w:tcPr>
          <w:p>
            <w:pPr>
              <w:spacing w:after="0"/>
              <w:rPr>
                <w:sz w:val="8"/>
                <w:szCs w:val="8"/>
                <w:color w:val="auto"/>
              </w:rPr>
            </w:pPr>
          </w:p>
        </w:tc>
        <w:tc>
          <w:tcPr>
            <w:tcW w:w="116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Year Ended</w:t>
            </w:r>
          </w:p>
        </w:tc>
        <w:tc>
          <w:tcPr>
            <w:tcW w:w="134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Expense</w:t>
            </w:r>
          </w:p>
        </w:tc>
        <w:tc>
          <w:tcPr>
            <w:tcW w:w="3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gridSpan w:val="3"/>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320" w:type="dxa"/>
            <w:vAlign w:val="bottom"/>
          </w:tcPr>
          <w:p>
            <w:pPr>
              <w:spacing w:after="0"/>
              <w:rPr>
                <w:sz w:val="13"/>
                <w:szCs w:val="13"/>
                <w:color w:val="auto"/>
              </w:rPr>
            </w:pPr>
          </w:p>
        </w:tc>
        <w:tc>
          <w:tcPr>
            <w:tcW w:w="860" w:type="dxa"/>
            <w:vAlign w:val="bottom"/>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jc w:val="right"/>
              <w:ind w:right="517"/>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5"/>
        </w:trPr>
        <w:tc>
          <w:tcPr>
            <w:tcW w:w="3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Salaries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31,916</w:t>
            </w:r>
          </w:p>
        </w:tc>
        <w:tc>
          <w:tcPr>
            <w:tcW w:w="80" w:type="dxa"/>
            <w:vAlign w:val="bottom"/>
            <w:tcBorders>
              <w:top w:val="single" w:sz="8" w:color="CFF0FC"/>
            </w:tcBorders>
            <w:shd w:val="clear" w:color="auto" w:fill="CFF0FC"/>
          </w:tcPr>
          <w:p>
            <w:pPr>
              <w:spacing w:after="0"/>
              <w:rPr>
                <w:sz w:val="14"/>
                <w:szCs w:val="14"/>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27,589</w:t>
            </w:r>
          </w:p>
        </w:tc>
        <w:tc>
          <w:tcPr>
            <w:tcW w:w="10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4,327</w:t>
            </w:r>
          </w:p>
        </w:tc>
        <w:tc>
          <w:tcPr>
            <w:tcW w:w="80" w:type="dxa"/>
            <w:vAlign w:val="bottom"/>
            <w:tcBorders>
              <w:top w:val="single" w:sz="8" w:color="CFF0FC"/>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outside services, and other</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53,589</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24,733</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117 %</w:t>
            </w:r>
          </w:p>
        </w:tc>
        <w:tc>
          <w:tcPr>
            <w:tcW w:w="0" w:type="dxa"/>
            <w:vAlign w:val="bottom"/>
          </w:tcPr>
          <w:p>
            <w:pPr>
              <w:spacing w:after="0"/>
              <w:rPr>
                <w:sz w:val="1"/>
                <w:szCs w:val="1"/>
                <w:color w:val="auto"/>
              </w:rPr>
            </w:pPr>
          </w:p>
        </w:tc>
      </w:tr>
      <w:tr>
        <w:trPr>
          <w:trHeight w:val="172"/>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Facilities related</w:t>
            </w: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80" w:type="dxa"/>
            <w:vAlign w:val="bottom"/>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4,116</w:t>
            </w:r>
          </w:p>
        </w:tc>
        <w:tc>
          <w:tcPr>
            <w:tcW w:w="100" w:type="dxa"/>
            <w:vAlign w:val="bottom"/>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8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158"/>
        </w:trPr>
        <w:tc>
          <w:tcPr>
            <w:tcW w:w="3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w w:val="98"/>
              </w:rPr>
              <w:t>Total general &amp; administrative expense, excluding non-cash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91,130</w:t>
            </w:r>
          </w:p>
        </w:tc>
        <w:tc>
          <w:tcPr>
            <w:tcW w:w="8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56,438</w:t>
            </w:r>
          </w:p>
        </w:tc>
        <w:tc>
          <w:tcPr>
            <w:tcW w:w="1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34,692</w:t>
            </w:r>
          </w:p>
        </w:tc>
        <w:tc>
          <w:tcPr>
            <w:tcW w:w="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0" w:type="dxa"/>
            <w:vAlign w:val="bottom"/>
          </w:tcPr>
          <w:p>
            <w:pPr>
              <w:spacing w:after="0"/>
              <w:rPr>
                <w:sz w:val="1"/>
                <w:szCs w:val="1"/>
                <w:color w:val="auto"/>
              </w:rPr>
            </w:pPr>
          </w:p>
        </w:tc>
      </w:tr>
      <w:tr>
        <w:trPr>
          <w:trHeight w:val="163"/>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30,785</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40,382</w:t>
            </w: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(9,597)</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3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Depreciation/amortization</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1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general &amp; administrative expense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123,943</w:t>
            </w:r>
          </w:p>
        </w:tc>
        <w:tc>
          <w:tcPr>
            <w:tcW w:w="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98,761</w:t>
            </w:r>
          </w:p>
        </w:tc>
        <w:tc>
          <w:tcPr>
            <w:tcW w:w="10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25,182</w:t>
            </w:r>
          </w:p>
        </w:tc>
        <w:tc>
          <w:tcPr>
            <w:tcW w:w="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Salaries expense increased $4.3 million, or 16%, for the year ended September 30, 2025 compared to the same period of 2024. The increase was driven by the combination of annual salary increases and an increase in headcount required to support the Company’s growth as the Company prepares for commercialization.</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Professional, outside services, and other expenses include costs related to legal, audit, consulting, patent filings, business insurance, other external services, as well as travel, communication, and technology expenses. These expenses increased $28.9 million, or 117%, for the year ended September 30, 2025 compared to the same period of 2024. The increase was mainly due to professional services associated with commercialization and business development efforts as the Company prepares for a product launch, including costs for data analytics, marketing and commercial launch support.</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Facilities related expense primarily includes rental costs and other facilities-related costs for the Company’s corporate headquarters in Pasadena, California. These expenses increased $1.5 million, or 37%, for the year ended September 30, 2025 compared to the same periods of 2024. The increase was primarily driven by higher common area maintenance charges, increased staff amenities expenses.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Stock compensation expense, a non-cash expense, is based on the valuation of restricted stock units granted to employees, which is based on the closing stock price on the grant date. This expense decreased by $9.6 million, or 24%, for the year ended September 30, 2025 compared to the same period of 2024. The decrease was primarily due to lower compensation costs related to performance awards, as the timing of these expenses can vary based on the achievement of related performance targets.</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a noncash expense, was primarily related to amortization of leasehold improvements for the Company’s corporate headquarters.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(Expense) Income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Other (expense) income is primarily related to interest income and expense. Other expense increased $35.4 million for the year ended September 30, 2025 compared to the same period of 2024. The increase was primarily due to non-cash interest expense associated with the liability related to the sale of future royalties and the Credit Facility, partially offset by higher income from increased investment yields.</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Net loss attributable to Arrowhead Pharmaceuticals, Inc. was $1.6 million for the year ended September 30, 2025 compared to a net loss attributable to Arrowhead Pharmaceuticals, Inc. of $599.5 million for the year ended September 30, 2024. Net loss per share – diluted was $0.01 for the year ended September 30, 2025 compared to net loss per share – diluted $5.00 for the year ended September 30, 2024. The decrease in net loss attributable to Arrowhead Pharmaceuticals, Inc. for the year ended September 30, 2025 compared to the same period of 2024 was primarily due to an increase in revenue from the Sarepta Collaboration Agreement, partially offset by higher research and development expenses, associated with the expansion of the Company's pipeline and progression through clinical trial phases.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Income Tax Expense (Benefit)</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Income tax expense was $21.4 million for the year ended September 30, 2025, compared to an income tax benefit of $2.8 million for the same period in 2024. The change of $24.2 million was primarily due to higher taxable income in fiscal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resulting from the recognition of $696.8 million in revenue under the Sarepta Collaboration Agreement and $130.0 million in revenue recognized by Visirna.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Non-controlling Interest</w:t>
      </w:r>
    </w:p>
    <w:p>
      <w:pPr>
        <w:spacing w:after="0" w:line="96" w:lineRule="exact"/>
        <w:rPr>
          <w:sz w:val="20"/>
          <w:szCs w:val="20"/>
          <w:color w:val="auto"/>
        </w:rPr>
      </w:pPr>
    </w:p>
    <w:p>
      <w:pPr>
        <w:jc w:val="both"/>
        <w:ind w:right="40" w:firstLine="382"/>
        <w:spacing w:after="0" w:line="270" w:lineRule="auto"/>
        <w:rPr>
          <w:sz w:val="20"/>
          <w:szCs w:val="20"/>
          <w:color w:val="auto"/>
        </w:rPr>
      </w:pPr>
      <w:r>
        <w:rPr>
          <w:rFonts w:ascii="Times New Roman" w:cs="Times New Roman" w:eastAsia="Times New Roman" w:hAnsi="Times New Roman"/>
          <w:sz w:val="14"/>
          <w:szCs w:val="14"/>
          <w:color w:val="auto"/>
        </w:rPr>
        <w:t>Net income attributable to non-controlling interest was $31.7 million for the year ended September 30, 2025, compared to a loss attributable to non-controlling interest of $10.2 million for the same period in 2024. The change of $41.9 million was primarily due to Visirna’s recognition of $130.0 million in revenue during fiscal 2025, resulting in a significant increase in net income, whereas Visirna incurred a net loss in fiscal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September 30, 2024 Compared to Year Ended September 30, 2023</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See “Item 7. Management’s Discussion and Analysis of Financial Condition and Results of Operations” of the Company’s Form 10-K for the year ended September 30, 2024 for a discussion of changes in its results of operations from the year ended September 30, 2024 to the year ended September 30, 2023.</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has historically financed its operations through the sale of its equity securities, credit facility,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including commercialization efforts. For further information on the Company’s capital needs, see the section titled “Risks Related to Our Financial Condition” in “Item 1A. Risk Factors” of this Annual Report on Form 10-K.</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Company’s cash, cash equivalents and restricted cash was $226.5 million at September 30, 2025 compared to $102.7 million at September 30, 2024. Cash invested in available-for-sale securities was $692.8 million at September 30, 2025 compared to $578.3 million at September 30, 2024.</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December 2, 2022, the Company entered into an open market sale agreement (“the Open Market Sale Agreement”), pursuant to which the Company may, from time to time, sell up to $250.0 million in shares of the Company’s common stock through Jefferies LLC, acting as the sales agent and/or principal, in an at-the-market offering. As of September 30, 2025, no shares have been issued under the Open Market Sale Agreement.</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August 2024, the Company entered into the Credit Facility, which provides for a senior secured term loan facility of $500.0 million, which includes $400.0 million funded on the closing date with an additional $100.0 million at the Company’s option during the seven-year term of the agreement. The Company received net proceeds of $388.9 million, after issuance costs as of September 30, 2024.</w:t>
      </w:r>
    </w:p>
    <w:p>
      <w:pPr>
        <w:spacing w:after="0" w:line="51" w:lineRule="exact"/>
        <w:rPr>
          <w:sz w:val="20"/>
          <w:szCs w:val="20"/>
          <w:color w:val="auto"/>
        </w:rPr>
      </w:pPr>
    </w:p>
    <w:p>
      <w:pPr>
        <w:jc w:val="both"/>
        <w:ind w:firstLine="382"/>
        <w:spacing w:after="0" w:line="250" w:lineRule="auto"/>
        <w:rPr>
          <w:sz w:val="20"/>
          <w:szCs w:val="20"/>
          <w:color w:val="auto"/>
        </w:rPr>
      </w:pPr>
      <w:r>
        <w:rPr>
          <w:rFonts w:ascii="Times New Roman" w:cs="Times New Roman" w:eastAsia="Times New Roman" w:hAnsi="Times New Roman"/>
          <w:sz w:val="14"/>
          <w:szCs w:val="14"/>
          <w:color w:val="auto"/>
        </w:rPr>
        <w:t xml:space="preserve">On November 25, 2024, the Company entered into a licensing and collaboration agreement with Sarepta. Upon closing, the Company received $325.0 million for the purchase of 11,926,301 shares of common stock, at a price per share of $27.25, and received $500.0 million as an upfront payment on February 24, 2025. </w:t>
      </w:r>
      <w:r>
        <w:rPr>
          <w:rFonts w:ascii="Times New Roman" w:cs="Times New Roman" w:eastAsia="Times New Roman" w:hAnsi="Times New Roman"/>
          <w:sz w:val="14"/>
          <w:szCs w:val="14"/>
          <w:color w:val="242424"/>
        </w:rPr>
        <w:t>During the fourth quarter of fiscal 2025, a</w:t>
      </w:r>
      <w:r>
        <w:rPr>
          <w:rFonts w:ascii="Times New Roman" w:cs="Times New Roman" w:eastAsia="Times New Roman" w:hAnsi="Times New Roman"/>
          <w:sz w:val="14"/>
          <w:szCs w:val="14"/>
          <w:color w:val="auto"/>
        </w:rPr>
        <w:t xml:space="preserve"> $100.0 million milestone payment from Sarepta was triggered, when the Company reached the first of two prespecified enrollment targets and subsequent authorization to dose escalate in a Phase 1/2 clinical study of ARO-DM1, an investigational RNAi therapeutic for the treatment of type 1 myotonic dystrophy (DM1). The Company received $53.2 million of Arrowhead common stock and $50.0 million cash from Sarepta to satisfy the milestone payment. The Company is eligible to receive additional milestones of up to $250.0 million over the 12 months from the date of this report, inclusive of the second DM1 milestone payment of $200.0 million earned in November 2025.</w:t>
      </w:r>
    </w:p>
    <w:p>
      <w:pPr>
        <w:spacing w:after="0" w:line="55"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On August 29, 2025, the Company entered into a licensing and collaboration agreement with Novartis. Upon closing in October 2025, the Company received $200.0 million as an upfront payment. The Company projects it will be eligible to receive additional milestones of up to $25.0 million over the 12 months from the date of this report.</w:t>
      </w:r>
    </w:p>
    <w:p>
      <w:pPr>
        <w:spacing w:after="0" w:line="5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Based upon the Company's current cash and investment resources and operating plan, the Company expects to have sufficient liquidity to fund its operations through at least the next twelve months from the date of the issuance of these consolidated financial statements.</w:t>
      </w:r>
    </w:p>
    <w:p>
      <w:pPr>
        <w:spacing w:after="0" w:line="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cash flows: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from:</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activities</w:t>
            </w:r>
          </w:p>
        </w:tc>
        <w:tc>
          <w:tcPr>
            <w:tcW w:w="900" w:type="dxa"/>
            <w:vAlign w:val="bottom"/>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179,552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(462,851)</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(153,890)</w:t>
            </w:r>
          </w:p>
        </w:tc>
      </w:tr>
      <w:tr>
        <w:trPr>
          <w:trHeight w:val="172"/>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Investing activities</w:t>
            </w: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(420,072)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(96,155)</w:t>
            </w:r>
          </w:p>
        </w:tc>
      </w:tr>
      <w:tr>
        <w:trPr>
          <w:trHeight w:val="168"/>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Financing activities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74,006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870,520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253,053</w:t>
            </w:r>
          </w:p>
        </w:tc>
      </w:tr>
      <w:tr>
        <w:trPr>
          <w:trHeight w:val="16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3,008</w:t>
            </w:r>
          </w:p>
        </w:tc>
      </w:tr>
      <w:tr>
        <w:trPr>
          <w:trHeight w:val="74"/>
        </w:trPr>
        <w:tc>
          <w:tcPr>
            <w:tcW w:w="6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90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102,685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110,891</w:t>
            </w:r>
          </w:p>
        </w:tc>
      </w:tr>
    </w:tbl>
    <w:p>
      <w:pPr>
        <w:spacing w:after="0" w:line="14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During the year ended September 30, 2025, cash flow provided by operating activities was $179.6 million, which was primarily due to $500.0 million upfront payment and $50.0 million milestone payment received as part of the Sarepta agreement, partially offset by the ongoing expenses related to the Company’s research and development programs and general and administrative expenses. Cash used in investing activities amounted to $129.3 million, which was primarily attributable to capital expenditures of $22.7 million and investment purchases of $796.3 million, partially offset by proceeds from sales and maturities of investments of $689.6 million. Cash provided by financing activities of $74.0 million was related to cash received from the issuance of common stock in the Sarepta agreement, pre-funded warrants, and stock</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4" w:name="page75"/>
    <w:bookmarkEnd w:id="74"/>
    <w:p>
      <w:pPr>
        <w:jc w:val="both"/>
        <w:spacing w:after="0" w:line="287" w:lineRule="auto"/>
        <w:rPr>
          <w:sz w:val="20"/>
          <w:szCs w:val="20"/>
          <w:color w:val="auto"/>
        </w:rPr>
      </w:pPr>
      <w:r>
        <w:rPr>
          <w:rFonts w:ascii="Times New Roman" w:cs="Times New Roman" w:eastAsia="Times New Roman" w:hAnsi="Times New Roman"/>
          <w:sz w:val="14"/>
          <w:szCs w:val="14"/>
          <w:color w:val="auto"/>
        </w:rPr>
        <w:t>option exercises. (See Note 6 — Stockholders' Equity of Notes to Consolidated Financial Statements of Part IV, “Item 15. Exhibits and Financial Statement Schedules.”), partially offset by $201.6 million repayments of the Credit Facility.</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During the year ended September 30, 2024, cash flow used in operating activities was $462.9 million, which was primarily due to the ongoing expenses related to the Company’s research and development programs and general and administrative expenses, Cash used in investing activities amounted to $420.1 million, which was primarily attributable to capital expenditures of $141.5 million and investment purchases of $720.9 million, offset by proceeds from sales and maturities of investments of $442.3 million. Cash provided by financing activities of $870.5 million was related to cash received from the issuance of common stock, the Credit Facility, a milestone payment from Royalty Pharma, and stock option exercises.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See “Item 7. Management’s Discussion and Analysis of Financial Condition and Results of Operations” of the Company’s Form 10-K for the year ended September 30, 2024 for a discussion of cash flows from the year ended September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Contractual Obligations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Based on the Company’s current operating plan, it believes that cash, cash equivalents and short-term investments as of September 30, 2025 will be sufficient to satisfy its near-term capital and operating needs. Recent and expected working and other capital requirements include the items described below.</w:t>
      </w:r>
    </w:p>
    <w:p>
      <w:pPr>
        <w:spacing w:after="0" w:line="39" w:lineRule="exact"/>
        <w:rPr>
          <w:sz w:val="20"/>
          <w:szCs w:val="20"/>
          <w:color w:val="auto"/>
        </w:rPr>
      </w:pPr>
    </w:p>
    <w:p>
      <w:pPr>
        <w:ind w:left="1020" w:hanging="379"/>
        <w:spacing w:after="0" w:line="287"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related to the Company’s future commitments for its collaboration and licensing agreements, see Note 2 of Notes to the Company’s Consolidated Financial Statements of Part IV, “Item 15. Exhibits and Financial Statement Schedules.”</w:t>
      </w:r>
    </w:p>
    <w:p>
      <w:pPr>
        <w:spacing w:after="0" w:line="71" w:lineRule="exact"/>
        <w:rPr>
          <w:rFonts w:ascii="Times New Roman" w:cs="Times New Roman" w:eastAsia="Times New Roman" w:hAnsi="Times New Roman"/>
          <w:sz w:val="14"/>
          <w:szCs w:val="14"/>
          <w:color w:val="auto"/>
        </w:rPr>
      </w:pPr>
    </w:p>
    <w:p>
      <w:pPr>
        <w:ind w:left="1020" w:hanging="379"/>
        <w:spacing w:after="0" w:line="287"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related to future lease payments for operating lease obligations at September 30, 2025 totaled $111.4 million, with $7.3 million expected to be paid within the next 12 months.</w:t>
      </w:r>
    </w:p>
    <w:p>
      <w:pPr>
        <w:spacing w:after="0" w:line="39" w:lineRule="exact"/>
        <w:rPr>
          <w:rFonts w:ascii="Times New Roman" w:cs="Times New Roman" w:eastAsia="Times New Roman" w:hAnsi="Times New Roman"/>
          <w:sz w:val="14"/>
          <w:szCs w:val="14"/>
          <w:color w:val="auto"/>
        </w:rPr>
      </w:pPr>
    </w:p>
    <w:p>
      <w:pPr>
        <w:ind w:left="1020" w:hanging="379"/>
        <w:spacing w:after="0" w:line="287"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outflows for capital expenditures related to the manufacturing facility build-out at Verona, Wisconsin were $12.5 million in 2025 and $136.9 million in 2024. The Company expects to spend an additional $0.1 million to complete the build out of the facilities.</w:t>
      </w:r>
    </w:p>
    <w:p>
      <w:pPr>
        <w:spacing w:after="0" w:line="39" w:lineRule="exact"/>
        <w:rPr>
          <w:rFonts w:ascii="Times New Roman" w:cs="Times New Roman" w:eastAsia="Times New Roman" w:hAnsi="Times New Roman"/>
          <w:sz w:val="14"/>
          <w:szCs w:val="14"/>
          <w:color w:val="auto"/>
        </w:rPr>
      </w:pPr>
    </w:p>
    <w:p>
      <w:pPr>
        <w:jc w:val="both"/>
        <w:ind w:left="1020" w:hanging="379"/>
        <w:spacing w:after="0" w:line="264"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secured term loan facility of $500.0 million, which includes $400.0 million funded on the closing date with an additional $100.0 million at the Company’s option during the seven-year term of the agreement. The Company expects to make $40.0 million of prepayments on the facility within the next 12 months in additional to the $66.7 million prepayment made in November 2025 relating to the receipt of the upfront payment under the terms of the Novartis Collaboration Agreement. See Note 14 of Notes to the Company’s Consolidated Financial Statements of Part IV, “Item 15. Exhibits and Financial Statement Schedules.”</w:t>
      </w:r>
    </w:p>
    <w:p>
      <w:pPr>
        <w:spacing w:after="0" w:line="55" w:lineRule="exact"/>
        <w:rPr>
          <w:rFonts w:ascii="Times New Roman" w:cs="Times New Roman" w:eastAsia="Times New Roman" w:hAnsi="Times New Roman"/>
          <w:sz w:val="14"/>
          <w:szCs w:val="14"/>
          <w:color w:val="auto"/>
        </w:rPr>
      </w:pPr>
    </w:p>
    <w:p>
      <w:pPr>
        <w:ind w:left="1020" w:hanging="379"/>
        <w:spacing w:after="0" w:line="287" w:lineRule="auto"/>
        <w:tabs>
          <w:tab w:leader="none" w:pos="10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related to the Company’s clinical, manufacturing and business operation related agreements totaled $665.5 million as of September 30, 2025. However, many of these agreements are cancellable.</w:t>
      </w:r>
    </w:p>
    <w:p>
      <w:pPr>
        <w:spacing w:after="0" w:line="39" w:lineRule="exact"/>
        <w:rPr>
          <w:rFonts w:ascii="Times New Roman" w:cs="Times New Roman" w:eastAsia="Times New Roman" w:hAnsi="Times New Roman"/>
          <w:sz w:val="14"/>
          <w:szCs w:val="14"/>
          <w:color w:val="auto"/>
        </w:rPr>
      </w:pPr>
    </w:p>
    <w:p>
      <w:pPr>
        <w:ind w:left="1020" w:hanging="379"/>
        <w:spacing w:after="0"/>
        <w:tabs>
          <w:tab w:leader="none" w:pos="10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entered into, nor does it currently have, any off-balance sheet arrangements (as defined under SEC rules).</w:t>
      </w:r>
    </w:p>
    <w:p>
      <w:pPr>
        <w:spacing w:after="0" w:line="26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96"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Company is subject to market risk exposures primarily due to its investing activities. The primary market risk exposure is change in interest rates. Adverse changes to rates may occur due to changes in the liquidity of a market or to changes in market perceptions of creditworthiness and risk tolerance.</w:t>
      </w: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The Company’s investment criteria are governed by its Investment Policy. The Company primarily invests its excess cash in securities of reputable financial institutions, corporations, and US government agencies with strong credit ratings. On September 30, 2023, the Company changed the classification of its investment securities from held-to-maturity to available-for-sale. This change enables the Company to sell securities to diversify its portfolio, reduce exposure to market risks, and provide flexibility to meet cash flow needs and new investment opportunities. Due to the relatively short-term nature of the investments that the Company holds, a hypothetical 100 basis point change in interest rates during any of the periods presented would not have had a material impact on the Company’s investment portfolio as of September 30, 2025.</w:t>
      </w:r>
    </w:p>
    <w:p>
      <w:pPr>
        <w:spacing w:after="0" w:line="2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required by this item is included in Item 15 of this Annual Report on Form 10-K.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5" w:name="page76"/>
    <w:bookmarkEnd w:id="75"/>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period covered by this Annual Report on Form 10-K. Based on the foregoing, the Company’s Chief Executive Officer and Chief Financial Officer concluded that the Company’s disclosure controls and procedures were effective at the reasonable assurance level.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its Consolidated Financial Statements for external purposes in accordance with GAAP.</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This process includes those policies and procedures that:</w:t>
      </w:r>
    </w:p>
    <w:p>
      <w:pPr>
        <w:spacing w:after="0" w:line="94" w:lineRule="exact"/>
        <w:rPr>
          <w:sz w:val="20"/>
          <w:szCs w:val="20"/>
          <w:color w:val="auto"/>
        </w:rPr>
      </w:pPr>
    </w:p>
    <w:p>
      <w:pPr>
        <w:ind w:left="680" w:hanging="166"/>
        <w:spacing w:after="0"/>
        <w:tabs>
          <w:tab w:leader="none" w:pos="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93" w:lineRule="exact"/>
        <w:rPr>
          <w:rFonts w:ascii="Times New Roman" w:cs="Times New Roman" w:eastAsia="Times New Roman" w:hAnsi="Times New Roman"/>
          <w:sz w:val="14"/>
          <w:szCs w:val="14"/>
          <w:color w:val="auto"/>
        </w:rPr>
      </w:pPr>
    </w:p>
    <w:p>
      <w:pPr>
        <w:ind w:left="640" w:hanging="126"/>
        <w:spacing w:after="0" w:line="287" w:lineRule="auto"/>
        <w:tabs>
          <w:tab w:leader="none" w:pos="72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GAAP, and that receipts and expenditures are being made only in accordance with authorizations of the Company’s management and directors; and</w:t>
      </w:r>
    </w:p>
    <w:p>
      <w:pPr>
        <w:spacing w:after="0" w:line="39" w:lineRule="exact"/>
        <w:rPr>
          <w:rFonts w:ascii="Times New Roman" w:cs="Times New Roman" w:eastAsia="Times New Roman" w:hAnsi="Times New Roman"/>
          <w:sz w:val="14"/>
          <w:szCs w:val="14"/>
          <w:color w:val="auto"/>
        </w:rPr>
      </w:pPr>
    </w:p>
    <w:p>
      <w:pPr>
        <w:ind w:left="640" w:hanging="126"/>
        <w:spacing w:after="0" w:line="287" w:lineRule="auto"/>
        <w:tabs>
          <w:tab w:leader="none" w:pos="77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Company’s financial statements.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the internal control over financial reporting to future periods are subject to risk that controls may become inadequate because either conditions change or the degree of compliance with policies or procedures may deteriorate.</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Management has assessed the effectiveness of the Company’s internal control over financial reporting as of September 30, 2025. In making this assessment, the Company used the criteria set forth by the Committee of Sponsoring Organizations of the Treadway Commission (COSO) in Internal Control-Integrated Framework (2013). Based on this assessment, management concluded that the Company’s internal control over financial reporting was effective as of September 30, 2025.</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the Consolidated Financial Statements included in this 2025 Annual Report on Form 10-K, has issued an audit report on the effectiveness of the Company’s internal control over financial reporting as of September 30, 2025, which is included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color w:val="auto"/>
        </w:rPr>
        <w:t>design and effectiveness of established controls and procedures and the remediation of any deficiencies which may be identified during this process.</w:t>
      </w:r>
    </w:p>
    <w:p>
      <w:pPr>
        <w:spacing w:after="0" w:line="26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3"/>
          <w:szCs w:val="13"/>
          <w:b w:val="1"/>
          <w:bCs w:val="1"/>
          <w:color w:val="auto"/>
        </w:rPr>
        <w:t>OTHER INFORMATION</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(b) Trading Plans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the fiscal quarter ended September 30, 2025, the following directors and officers (as defined in Exchange Act Rule 16a-1(f)) adopted certain trading plans intended to satisfy Rule 10b5-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1(c):</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Vesting and</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1"/>
                <w:szCs w:val="11"/>
                <w:b w:val="1"/>
                <w:bCs w:val="1"/>
                <w:color w:val="auto"/>
              </w:rPr>
              <w:t>Other Shares Being</w:t>
            </w:r>
          </w:p>
        </w:tc>
      </w:tr>
      <w:tr>
        <w:trPr>
          <w:trHeight w:val="127"/>
        </w:trPr>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Adoption or</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Sell-To-</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1"/>
                <w:szCs w:val="11"/>
                <w:b w:val="1"/>
                <w:bCs w:val="1"/>
                <w:color w:val="auto"/>
              </w:rPr>
              <w:t>Sold (Subject to</w:t>
            </w:r>
          </w:p>
        </w:tc>
      </w:tr>
      <w:tr>
        <w:trPr>
          <w:trHeight w:val="158"/>
        </w:trPr>
        <w:tc>
          <w:tcPr>
            <w:tcW w:w="16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Borders>
              <w:bottom w:val="single" w:sz="8" w:color="CCEEFF"/>
            </w:tcBorders>
          </w:tcPr>
          <w:p>
            <w:pPr>
              <w:spacing w:after="0"/>
              <w:rPr>
                <w:sz w:val="13"/>
                <w:szCs w:val="13"/>
                <w:color w:val="auto"/>
              </w:rPr>
            </w:pPr>
          </w:p>
        </w:tc>
        <w:tc>
          <w:tcPr>
            <w:tcW w:w="36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Termination Date</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Plan End Date</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xml:space="preserve">Cover </w:t>
            </w:r>
            <w:r>
              <w:rPr>
                <w:rFonts w:ascii="Times New Roman" w:cs="Times New Roman" w:eastAsia="Times New Roman" w:hAnsi="Times New Roman"/>
                <w:sz w:val="7"/>
                <w:szCs w:val="7"/>
                <w:b w:val="1"/>
                <w:bCs w:val="1"/>
                <w:color w:val="auto"/>
              </w:rPr>
              <w:t>(1)</w:t>
            </w:r>
          </w:p>
        </w:tc>
        <w:tc>
          <w:tcPr>
            <w:tcW w:w="11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rPr>
              <w:t>Certain Conditions)</w:t>
            </w:r>
          </w:p>
        </w:tc>
      </w:tr>
      <w:tr>
        <w:trPr>
          <w:trHeight w:val="171"/>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Adeoye Olukotun</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Board Member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09/04/2025</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12/24/2025</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120" w:type="dxa"/>
            <w:vAlign w:val="bottom"/>
            <w:tcBorders>
              <w:bottom w:val="single" w:sz="8" w:color="CCEEFF"/>
            </w:tcBorders>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rPr>
              <w:t>10,000</w:t>
            </w:r>
          </w:p>
        </w:tc>
      </w:tr>
      <w:tr>
        <w:trPr>
          <w:trHeight w:val="16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Christopher Anzalone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09/19/2025</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12/24/2026</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50,000</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5"/>
              </w:rPr>
              <w:t>n/a</w:t>
            </w:r>
          </w:p>
        </w:tc>
      </w:tr>
      <w:tr>
        <w:trPr>
          <w:trHeight w:val="28"/>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1"/>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Daniel Apel</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09/16/2025</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04/30/2026</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25,000</w:t>
            </w:r>
          </w:p>
        </w:tc>
        <w:tc>
          <w:tcPr>
            <w:tcW w:w="1120" w:type="dxa"/>
            <w:vAlign w:val="bottom"/>
            <w:tcBorders>
              <w:bottom w:val="single" w:sz="8" w:color="CCEEFF"/>
            </w:tcBorders>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w w:val="95"/>
              </w:rPr>
              <w:t>n/a</w:t>
            </w:r>
          </w:p>
        </w:tc>
      </w:tr>
      <w:tr>
        <w:trPr>
          <w:trHeight w:val="16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James Hamilton</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Chief Medical Officer, Head of R&amp;D</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09/03/2025</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01/16/2026</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72,500</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5"/>
              </w:rPr>
              <w:t>n/a</w:t>
            </w:r>
          </w:p>
        </w:tc>
      </w:tr>
      <w:tr>
        <w:trPr>
          <w:trHeight w:val="28"/>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1"/>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Mauro Ferrari</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Board Member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09/25/2025</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12/31/2025</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120" w:type="dxa"/>
            <w:vAlign w:val="bottom"/>
            <w:tcBorders>
              <w:bottom w:val="single" w:sz="8" w:color="CCEEFF"/>
            </w:tcBorders>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w w:val="96"/>
              </w:rPr>
              <w:t>7,530</w:t>
            </w:r>
          </w:p>
        </w:tc>
      </w:tr>
      <w:tr>
        <w:trPr>
          <w:trHeight w:val="16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Patrick O'Brien</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Chief Operating Officer &amp; General Counsel</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09/03/2025</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01/07/2026</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77,500</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rPr>
              <w:t>20,000</w:t>
            </w:r>
          </w:p>
        </w:tc>
      </w:tr>
      <w:tr>
        <w:trPr>
          <w:trHeight w:val="28"/>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1"/>
        </w:trPr>
        <w:tc>
          <w:tcPr>
            <w:tcW w:w="1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Victoria Vakiener</w:t>
            </w: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Board Member</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09/03/2025</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12/31/2025</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120" w:type="dxa"/>
            <w:vAlign w:val="bottom"/>
            <w:tcBorders>
              <w:bottom w:val="single" w:sz="8" w:color="CCEEFF"/>
            </w:tcBorders>
            <w:shd w:val="clear" w:color="auto" w:fill="CCEEFF"/>
          </w:tcPr>
          <w:p>
            <w:pPr>
              <w:jc w:val="center"/>
              <w:ind w:left="1"/>
              <w:spacing w:after="0"/>
              <w:rPr>
                <w:sz w:val="20"/>
                <w:szCs w:val="20"/>
                <w:color w:val="auto"/>
              </w:rPr>
            </w:pPr>
            <w:r>
              <w:rPr>
                <w:rFonts w:ascii="Times New Roman" w:cs="Times New Roman" w:eastAsia="Times New Roman" w:hAnsi="Times New Roman"/>
                <w:sz w:val="12"/>
                <w:szCs w:val="12"/>
                <w:color w:val="auto"/>
              </w:rPr>
              <w:t>10,040</w:t>
            </w:r>
          </w:p>
        </w:tc>
      </w:tr>
      <w:tr>
        <w:trPr>
          <w:trHeight w:val="163"/>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William Waddill</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Board Member</w:t>
            </w: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09/03/2025</w:t>
            </w: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12/31/2025</w:t>
            </w: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n/a</w:t>
            </w:r>
          </w:p>
        </w:tc>
        <w:tc>
          <w:tcPr>
            <w:tcW w:w="1120" w:type="dxa"/>
            <w:vAlign w:val="bottom"/>
          </w:tcPr>
          <w:p>
            <w:pPr>
              <w:jc w:val="center"/>
              <w:ind w:left="1"/>
              <w:spacing w:after="0"/>
              <w:rPr>
                <w:sz w:val="20"/>
                <w:szCs w:val="20"/>
                <w:color w:val="auto"/>
              </w:rPr>
            </w:pPr>
            <w:r>
              <w:rPr>
                <w:rFonts w:ascii="Times New Roman" w:cs="Times New Roman" w:eastAsia="Times New Roman" w:hAnsi="Times New Roman"/>
                <w:sz w:val="12"/>
                <w:szCs w:val="12"/>
                <w:color w:val="auto"/>
                <w:w w:val="96"/>
              </w:rPr>
              <w:t>8,367</w:t>
            </w: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(1) This column indicates the total number of shares vesting, but the 10b5-1 Plan provides for the sale of only those shares necessary to satisfy payment of applicable withholding taxes.</w:t>
      </w:r>
    </w:p>
    <w:p>
      <w:pPr>
        <w:spacing w:after="0" w:line="25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information called for by this Item will be incorporated by reference from the Company’s Definitive Proxy Statement, under the headings Proposal One — Election of Directors, Equity Compensation Plan Information, Corporate Governance, Environmental and Social Commitment, Executive Compensation, and, if applicable, Delinquent Section 16(a) Reports — to be filed for the Company’s 2026 Annual Meeting of Stockholders (the “Definitive Proxy Statement”).</w:t>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3"/>
          <w:szCs w:val="13"/>
          <w:b w:val="1"/>
          <w:bCs w:val="1"/>
          <w:color w:val="auto"/>
        </w:rPr>
        <w:t>EXECUTIVE COMPENSATION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called for by this Item will be incorporated by reference from the Definitive Proxy Statement, under the heading Executive Compensation.</w:t>
      </w:r>
    </w:p>
    <w:p>
      <w:pPr>
        <w:spacing w:after="0" w:line="26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called for by this Item will be incorporated by reference from the Definitive Proxy Statement, under the heading Voting Securities of Principal Stockholders and Management.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7" w:name="page78"/>
    <w:bookmarkEnd w:id="77"/>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RELATED TRANSACTIONS AND DIRECTOR INDEPENDENCE</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information called for by this Item will be incorporated by reference from the Definitive Proxy Statement, under the headings Review and Approval of Related-Party Transactions and Certain Relationships and Related Transactions, and Director Independence.</w:t>
      </w:r>
    </w:p>
    <w:p>
      <w:pPr>
        <w:spacing w:after="0" w:line="20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information called for by this Item will be incorporated by reference from the Definitive Proxy Statement, under the heading Audit Fees.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documents are filed as part of this Annual Report on Form 10-K:</w:t>
      </w:r>
    </w:p>
    <w:p>
      <w:pPr>
        <w:spacing w:after="0" w:line="92" w:lineRule="exact"/>
        <w:rPr>
          <w:sz w:val="20"/>
          <w:szCs w:val="20"/>
          <w:color w:val="auto"/>
        </w:rPr>
      </w:pPr>
    </w:p>
    <w:p>
      <w:pPr>
        <w:ind w:left="1020" w:hanging="633"/>
        <w:spacing w:after="0"/>
        <w:tabs>
          <w:tab w:leader="none" w:pos="102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Statements.</w:t>
      </w:r>
    </w:p>
    <w:p>
      <w:pPr>
        <w:spacing w:after="0" w:line="95" w:lineRule="exact"/>
        <w:rPr>
          <w:rFonts w:ascii="Times New Roman" w:cs="Times New Roman" w:eastAsia="Times New Roman" w:hAnsi="Times New Roman"/>
          <w:sz w:val="14"/>
          <w:szCs w:val="14"/>
          <w:b w:val="1"/>
          <w:bCs w:val="1"/>
          <w:color w:val="auto"/>
        </w:rPr>
      </w:pPr>
    </w:p>
    <w:p>
      <w:pPr>
        <w:ind w:left="10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See Index to Financial Statements and Schedule on page F-1.</w:t>
      </w:r>
    </w:p>
    <w:p>
      <w:pPr>
        <w:spacing w:after="0" w:line="91" w:lineRule="exact"/>
        <w:rPr>
          <w:rFonts w:ascii="Times New Roman" w:cs="Times New Roman" w:eastAsia="Times New Roman" w:hAnsi="Times New Roman"/>
          <w:sz w:val="14"/>
          <w:szCs w:val="14"/>
          <w:b w:val="1"/>
          <w:bCs w:val="1"/>
          <w:color w:val="auto"/>
        </w:rPr>
      </w:pPr>
    </w:p>
    <w:p>
      <w:pPr>
        <w:ind w:left="1020" w:hanging="633"/>
        <w:spacing w:after="0"/>
        <w:tabs>
          <w:tab w:leader="none" w:pos="1020"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 Schedules.</w:t>
      </w:r>
    </w:p>
    <w:p>
      <w:pPr>
        <w:spacing w:after="0" w:line="96" w:lineRule="exact"/>
        <w:rPr>
          <w:sz w:val="20"/>
          <w:szCs w:val="20"/>
          <w:color w:val="auto"/>
        </w:rPr>
      </w:pPr>
    </w:p>
    <w:p>
      <w:pPr>
        <w:ind w:left="380" w:firstLine="637"/>
        <w:spacing w:after="0" w:line="287" w:lineRule="auto"/>
        <w:rPr>
          <w:sz w:val="20"/>
          <w:szCs w:val="20"/>
          <w:color w:val="auto"/>
        </w:rPr>
      </w:pPr>
      <w:r>
        <w:rPr>
          <w:rFonts w:ascii="Times New Roman" w:cs="Times New Roman" w:eastAsia="Times New Roman" w:hAnsi="Times New Roman"/>
          <w:sz w:val="14"/>
          <w:szCs w:val="14"/>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37" w:lineRule="exact"/>
        <w:rPr>
          <w:sz w:val="20"/>
          <w:szCs w:val="20"/>
          <w:color w:val="auto"/>
        </w:rPr>
      </w:pPr>
    </w:p>
    <w:p>
      <w:pPr>
        <w:ind w:left="1020" w:hanging="633"/>
        <w:spacing w:after="0"/>
        <w:tabs>
          <w:tab w:leader="none" w:pos="102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w:t>
      </w:r>
    </w:p>
    <w:p>
      <w:pPr>
        <w:spacing w:after="0" w:line="95" w:lineRule="exact"/>
        <w:rPr>
          <w:rFonts w:ascii="Times New Roman" w:cs="Times New Roman" w:eastAsia="Times New Roman" w:hAnsi="Times New Roman"/>
          <w:sz w:val="14"/>
          <w:szCs w:val="14"/>
          <w:b w:val="1"/>
          <w:bCs w:val="1"/>
          <w:color w:val="auto"/>
        </w:rPr>
      </w:pPr>
    </w:p>
    <w:p>
      <w:pPr>
        <w:ind w:left="10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exhibits are filed (or incorporated by reference herein) as part of this Annual Report on Form 10-K: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tc>
        <w:tc>
          <w:tcPr>
            <w:tcW w:w="0" w:type="dxa"/>
            <w:vAlign w:val="bottom"/>
          </w:tcPr>
          <w:p>
            <w:pPr>
              <w:spacing w:after="0"/>
              <w:rPr>
                <w:sz w:val="1"/>
                <w:szCs w:val="1"/>
                <w:color w:val="auto"/>
              </w:rPr>
            </w:pPr>
          </w:p>
        </w:tc>
      </w:tr>
      <w:tr>
        <w:trPr>
          <w:trHeight w:val="97"/>
        </w:trPr>
        <w:tc>
          <w:tcPr>
            <w:tcW w:w="12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8"/>
                <w:szCs w:val="8"/>
                <w:color w:val="auto"/>
              </w:rPr>
            </w:pPr>
          </w:p>
        </w:tc>
        <w:tc>
          <w:tcPr>
            <w:tcW w:w="5840" w:type="dxa"/>
            <w:vAlign w:val="bottom"/>
            <w:gridSpan w:val="14"/>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vMerge w:val="restart"/>
          </w:tcPr>
          <w:p>
            <w:pPr>
              <w:spacing w:after="0"/>
              <w:rPr>
                <w:sz w:val="8"/>
                <w:szCs w:val="8"/>
                <w:color w:val="auto"/>
              </w:rPr>
            </w:pPr>
          </w:p>
        </w:tc>
        <w:tc>
          <w:tcPr>
            <w:tcW w:w="2380" w:type="dxa"/>
            <w:vAlign w:val="bottom"/>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 w:type="dxa"/>
            <w:vAlign w:val="bottom"/>
            <w:vMerge w:val="restart"/>
          </w:tcPr>
          <w:p>
            <w:pPr>
              <w:spacing w:after="0"/>
              <w:rPr>
                <w:sz w:val="8"/>
                <w:szCs w:val="8"/>
                <w:color w:val="auto"/>
              </w:rPr>
            </w:pP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53"/>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40" w:type="dxa"/>
            <w:vAlign w:val="bottom"/>
            <w:tcBorders>
              <w:bottom w:val="single" w:sz="8" w:color="auto"/>
            </w:tcBorders>
            <w:gridSpan w:val="1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23"/>
                <w:szCs w:val="23"/>
                <w:color w:val="auto"/>
              </w:rPr>
            </w:pPr>
          </w:p>
        </w:tc>
        <w:tc>
          <w:tcPr>
            <w:tcW w:w="5920" w:type="dxa"/>
            <w:vAlign w:val="bottom"/>
            <w:gridSpan w:val="15"/>
          </w:tcPr>
          <w:p>
            <w:pPr>
              <w:spacing w:after="0"/>
              <w:rPr>
                <w:rFonts w:ascii="Times New Roman" w:cs="Times New Roman" w:eastAsia="Times New Roman" w:hAnsi="Times New Roman"/>
                <w:sz w:val="13"/>
                <w:szCs w:val="13"/>
                <w:color w:val="0000FF"/>
              </w:rPr>
            </w:pPr>
            <w:hyperlink r:id="rId96">
              <w:r>
                <w:rPr>
                  <w:rFonts w:ascii="Times New Roman" w:cs="Times New Roman" w:eastAsia="Times New Roman" w:hAnsi="Times New Roman"/>
                  <w:sz w:val="13"/>
                  <w:szCs w:val="13"/>
                  <w:color w:val="0000FF"/>
                </w:rPr>
                <w:t>Stock and Asset Purchase Agreement between Arrowhead Research Corporation and Roche entities, dated</w:t>
              </w:r>
            </w:hyperlink>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2.1</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20, 2011</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October 21, 2011</w:t>
              </w:r>
            </w:hyperlink>
          </w:p>
        </w:tc>
        <w:tc>
          <w:tcPr>
            <w:tcW w:w="454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9"/>
                <w:szCs w:val="19"/>
                <w:color w:val="auto"/>
              </w:rPr>
            </w:pPr>
          </w:p>
        </w:tc>
        <w:tc>
          <w:tcPr>
            <w:tcW w:w="5920" w:type="dxa"/>
            <w:vAlign w:val="bottom"/>
            <w:gridSpan w:val="15"/>
          </w:tcPr>
          <w:p>
            <w:pPr>
              <w:spacing w:after="0"/>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Asset Purchase and Exclusive License Agreement between Arrowhead Research Corporation and Novartis</w:t>
              </w:r>
            </w:hyperlink>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May 11, 2015</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4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Institutes for BioMedical Research, Inc., dated March 3, 2015</w:t>
              </w:r>
            </w:hyperlink>
          </w:p>
        </w:tc>
        <w:tc>
          <w:tcPr>
            <w:tcW w:w="3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23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Borders>
              <w:top w:val="single" w:sz="8" w:color="0000FF"/>
            </w:tcBorders>
            <w:gridSpan w:val="7"/>
          </w:tcPr>
          <w:p>
            <w:pPr>
              <w:spacing w:after="0"/>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Amended and Restated Certificate of Incorporation</w:t>
              </w:r>
            </w:hyperlink>
          </w:p>
        </w:tc>
        <w:tc>
          <w:tcPr>
            <w:tcW w:w="2780" w:type="dxa"/>
            <w:vAlign w:val="bottom"/>
            <w:gridSpan w:val="8"/>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3.3</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April 6, 2016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20" w:type="dxa"/>
            <w:vAlign w:val="bottom"/>
            <w:gridSpan w:val="15"/>
          </w:tcPr>
          <w:p>
            <w:pPr>
              <w:spacing w:after="0"/>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Certificate of Amendment to the Amended and Restated Certificate of Incorporation of Arrowhead</w:t>
              </w:r>
            </w:hyperlink>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May 2, 2023</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Pharmaceuticals, Inc.</w:t>
              </w:r>
            </w:hyperlink>
          </w:p>
        </w:tc>
        <w:tc>
          <w:tcPr>
            <w:tcW w:w="700" w:type="dxa"/>
            <w:vAlign w:val="bottom"/>
            <w:gridSpan w:val="3"/>
          </w:tcPr>
          <w:p>
            <w:pPr>
              <w:spacing w:after="0"/>
              <w:rPr>
                <w:sz w:val="9"/>
                <w:szCs w:val="9"/>
                <w:color w:val="auto"/>
              </w:rPr>
            </w:pPr>
          </w:p>
        </w:tc>
        <w:tc>
          <w:tcPr>
            <w:tcW w:w="180" w:type="dxa"/>
            <w:vAlign w:val="bottom"/>
            <w:gridSpan w:val="2"/>
          </w:tcPr>
          <w:p>
            <w:pPr>
              <w:spacing w:after="0"/>
              <w:rPr>
                <w:sz w:val="9"/>
                <w:szCs w:val="9"/>
                <w:color w:val="auto"/>
              </w:rPr>
            </w:pPr>
          </w:p>
        </w:tc>
        <w:tc>
          <w:tcPr>
            <w:tcW w:w="238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0000FF"/>
            </w:tcBorders>
            <w:gridSpan w:val="5"/>
          </w:tcPr>
          <w:p>
            <w:pPr>
              <w:spacing w:after="0"/>
              <w:rPr>
                <w:rFonts w:ascii="Times New Roman" w:cs="Times New Roman" w:eastAsia="Times New Roman" w:hAnsi="Times New Roman"/>
                <w:sz w:val="13"/>
                <w:szCs w:val="13"/>
                <w:color w:val="0000FF"/>
                <w:w w:val="96"/>
              </w:rPr>
            </w:pPr>
            <w:hyperlink r:id="rId100">
              <w:r>
                <w:rPr>
                  <w:rFonts w:ascii="Times New Roman" w:cs="Times New Roman" w:eastAsia="Times New Roman" w:hAnsi="Times New Roman"/>
                  <w:sz w:val="13"/>
                  <w:szCs w:val="13"/>
                  <w:color w:val="0000FF"/>
                  <w:w w:val="96"/>
                </w:rPr>
                <w:t>Second Amended and Restated Bylaws</w:t>
              </w:r>
            </w:hyperlink>
          </w:p>
        </w:tc>
        <w:tc>
          <w:tcPr>
            <w:tcW w:w="3920" w:type="dxa"/>
            <w:vAlign w:val="bottom"/>
            <w:gridSpan w:val="10"/>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3.2</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January 30, 2023</w:t>
            </w: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20" w:type="dxa"/>
            <w:vAlign w:val="bottom"/>
            <w:gridSpan w:val="15"/>
          </w:tcPr>
          <w:p>
            <w:pPr>
              <w:spacing w:after="0"/>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Form of Common Stock Certificate of Arrowhead Pharmaceuticals, Inc.</w:t>
              </w:r>
            </w:hyperlink>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4.1</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April 6, 2016</w:t>
            </w: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Borders>
              <w:top w:val="single" w:sz="8" w:color="0000FF"/>
            </w:tcBorders>
            <w:gridSpan w:val="8"/>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Form of Indenture</w:t>
              </w:r>
            </w:hyperlink>
          </w:p>
        </w:tc>
        <w:tc>
          <w:tcPr>
            <w:tcW w:w="2260" w:type="dxa"/>
            <w:vAlign w:val="bottom"/>
            <w:gridSpan w:val="7"/>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S-3,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 2019</w:t>
            </w:r>
          </w:p>
        </w:tc>
        <w:tc>
          <w:tcPr>
            <w:tcW w:w="0" w:type="dxa"/>
            <w:vAlign w:val="bottom"/>
          </w:tcPr>
          <w:p>
            <w:pPr>
              <w:spacing w:after="0"/>
              <w:rPr>
                <w:sz w:val="1"/>
                <w:szCs w:val="1"/>
                <w:color w:val="auto"/>
              </w:rPr>
            </w:pPr>
          </w:p>
        </w:tc>
      </w:tr>
      <w:tr>
        <w:trPr>
          <w:trHeight w:val="145"/>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Exhibit 4.2</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15"/>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Rights Agreement dated as of March 21, 2017, between the Company and Computershare Trust Company, N.A.,</w:t>
              </w:r>
            </w:hyperlink>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4.1</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March 23, 2017</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74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as rights agent, which includes as Exhibit B the Form of Rights Certificate</w:t>
              </w:r>
            </w:hyperlink>
          </w:p>
        </w:tc>
        <w:tc>
          <w:tcPr>
            <w:tcW w:w="180" w:type="dxa"/>
            <w:vAlign w:val="bottom"/>
            <w:gridSpan w:val="2"/>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3"/>
                <w:szCs w:val="13"/>
                <w:color w:val="0000FF"/>
                <w:w w:val="96"/>
              </w:rPr>
            </w:pPr>
            <w:hyperlink r:id="rId104">
              <w:r>
                <w:rPr>
                  <w:rFonts w:ascii="Times New Roman" w:cs="Times New Roman" w:eastAsia="Times New Roman" w:hAnsi="Times New Roman"/>
                  <w:sz w:val="13"/>
                  <w:szCs w:val="13"/>
                  <w:color w:val="0000FF"/>
                  <w:w w:val="96"/>
                </w:rPr>
                <w:t>Description of Registrant’s Securities</w:t>
              </w:r>
            </w:hyperlink>
          </w:p>
        </w:tc>
        <w:tc>
          <w:tcPr>
            <w:tcW w:w="1880" w:type="dxa"/>
            <w:vAlign w:val="bottom"/>
            <w:tcBorders>
              <w:top w:val="single" w:sz="8" w:color="0000FF"/>
            </w:tcBorders>
            <w:gridSpan w:val="5"/>
          </w:tcPr>
          <w:p>
            <w:pPr>
              <w:spacing w:after="0"/>
              <w:rPr>
                <w:sz w:val="19"/>
                <w:szCs w:val="19"/>
                <w:color w:val="auto"/>
              </w:rPr>
            </w:pPr>
          </w:p>
        </w:tc>
        <w:tc>
          <w:tcPr>
            <w:tcW w:w="2140" w:type="dxa"/>
            <w:vAlign w:val="bottom"/>
            <w:gridSpan w:val="6"/>
          </w:tcPr>
          <w:p>
            <w:pPr>
              <w:spacing w:after="0"/>
              <w:rPr>
                <w:sz w:val="19"/>
                <w:szCs w:val="19"/>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4.4</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25,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78" w:name="page79"/>
    <w:bookmarkEnd w:id="78"/>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5840" w:type="dxa"/>
            <w:vAlign w:val="bottom"/>
            <w:gridSpan w:val="27"/>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5840" w:type="dxa"/>
            <w:vAlign w:val="bottom"/>
            <w:gridSpan w:val="2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840" w:type="dxa"/>
            <w:vAlign w:val="bottom"/>
            <w:tcBorders>
              <w:top w:val="single" w:sz="8" w:color="auto"/>
            </w:tcBorders>
            <w:gridSpan w:val="27"/>
          </w:tcPr>
          <w:p>
            <w:pPr>
              <w:spacing w:after="0"/>
              <w:rPr>
                <w:rFonts w:ascii="Times New Roman" w:cs="Times New Roman" w:eastAsia="Times New Roman" w:hAnsi="Times New Roman"/>
                <w:sz w:val="13"/>
                <w:szCs w:val="13"/>
                <w:color w:val="0000FF"/>
              </w:rPr>
            </w:pPr>
            <w:hyperlink r:id="rId106">
              <w:r>
                <w:rPr>
                  <w:rFonts w:ascii="Times New Roman" w:cs="Times New Roman" w:eastAsia="Times New Roman" w:hAnsi="Times New Roman"/>
                  <w:sz w:val="13"/>
                  <w:szCs w:val="13"/>
                  <w:color w:val="0000FF"/>
                </w:rPr>
                <w:t>Registration Rights Agreement by and between Arrowhead Pharmaceuticals, Inc. and Johnson &amp; Johnson</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106">
              <w:r>
                <w:rPr>
                  <w:rFonts w:ascii="Times New Roman" w:cs="Times New Roman" w:eastAsia="Times New Roman" w:hAnsi="Times New Roman"/>
                  <w:sz w:val="12"/>
                  <w:szCs w:val="12"/>
                  <w:color w:val="0000FF"/>
                </w:rPr>
                <w:t>Innovation-JJDC, Inc., dated October 3, 2018</w:t>
              </w:r>
            </w:hyperlink>
          </w:p>
        </w:tc>
        <w:tc>
          <w:tcPr>
            <w:tcW w:w="3060" w:type="dxa"/>
            <w:vAlign w:val="bottom"/>
            <w:tcBorders>
              <w:top w:val="single" w:sz="8" w:color="0000FF"/>
            </w:tcBorders>
            <w:gridSpan w:val="12"/>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40" w:type="dxa"/>
            <w:vAlign w:val="bottom"/>
            <w:gridSpan w:val="27"/>
          </w:tcPr>
          <w:p>
            <w:pPr>
              <w:spacing w:after="0"/>
              <w:rPr>
                <w:rFonts w:ascii="Times New Roman" w:cs="Times New Roman" w:eastAsia="Times New Roman" w:hAnsi="Times New Roman"/>
                <w:sz w:val="13"/>
                <w:szCs w:val="13"/>
                <w:color w:val="0000FF"/>
                <w:w w:val="98"/>
              </w:rPr>
            </w:pPr>
            <w:hyperlink r:id="rId107">
              <w:r>
                <w:rPr>
                  <w:rFonts w:ascii="Times New Roman" w:cs="Times New Roman" w:eastAsia="Times New Roman" w:hAnsi="Times New Roman"/>
                  <w:sz w:val="13"/>
                  <w:szCs w:val="13"/>
                  <w:color w:val="0000FF"/>
                  <w:w w:val="98"/>
                </w:rPr>
                <w:t>Form of Registration Rights Agreement by and between Company and Avoro Life Sciences Fund LLC (included</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as Exhibit B in Exhibit 10.49)</w:t>
              </w:r>
            </w:hyperlink>
          </w:p>
        </w:tc>
        <w:tc>
          <w:tcPr>
            <w:tcW w:w="4220" w:type="dxa"/>
            <w:vAlign w:val="bottom"/>
            <w:tcBorders>
              <w:top w:val="single" w:sz="8" w:color="0000FF"/>
            </w:tcBorders>
            <w:gridSpan w:val="20"/>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Form of Pre-Funded Warrant for Avoro Life Sciences Fund LLC</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bottom w:val="single" w:sz="8" w:color="0000FF"/>
            </w:tcBorders>
            <w:gridSpan w:val="14"/>
          </w:tcPr>
          <w:p>
            <w:pPr>
              <w:spacing w:after="0"/>
              <w:rPr>
                <w:rFonts w:ascii="Times New Roman" w:cs="Times New Roman" w:eastAsia="Times New Roman" w:hAnsi="Times New Roman"/>
                <w:sz w:val="13"/>
                <w:szCs w:val="13"/>
                <w:color w:val="0000FF"/>
                <w:w w:val="97"/>
              </w:rPr>
            </w:pPr>
            <w:hyperlink r:id="rId109">
              <w:r>
                <w:rPr>
                  <w:rFonts w:ascii="Times New Roman" w:cs="Times New Roman" w:eastAsia="Times New Roman" w:hAnsi="Times New Roman"/>
                  <w:sz w:val="13"/>
                  <w:szCs w:val="13"/>
                  <w:color w:val="0000FF"/>
                  <w:w w:val="97"/>
                </w:rPr>
                <w:t>Arrowhead Research Corporation 2004 Equity Incentive Plan, as amended</w:t>
              </w:r>
            </w:hyperlink>
          </w:p>
        </w:tc>
        <w:tc>
          <w:tcPr>
            <w:tcW w:w="20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Arrowhead Research Corporation 2013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1">
              <w:r>
                <w:rPr>
                  <w:rFonts w:ascii="Times New Roman" w:cs="Times New Roman" w:eastAsia="Times New Roman" w:hAnsi="Times New Roman"/>
                  <w:sz w:val="13"/>
                  <w:szCs w:val="13"/>
                  <w:color w:val="0000FF"/>
                </w:rPr>
                <w:t>Form of Stock Option Agreement for use with the 2013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2">
              <w:r>
                <w:rPr>
                  <w:rFonts w:ascii="Times New Roman" w:cs="Times New Roman" w:eastAsia="Times New Roman" w:hAnsi="Times New Roman"/>
                  <w:sz w:val="13"/>
                  <w:szCs w:val="13"/>
                  <w:color w:val="0000FF"/>
                </w:rPr>
                <w:t>Form of Restricted Stock Unit Agreement for use with the 2013 Incentive Plan</w:t>
              </w:r>
            </w:hyperlink>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3"/>
                <w:szCs w:val="13"/>
                <w:color w:val="0000FF"/>
                <w:w w:val="96"/>
              </w:rPr>
            </w:pPr>
            <w:hyperlink r:id="rId113">
              <w:r>
                <w:rPr>
                  <w:rFonts w:ascii="Times New Roman" w:cs="Times New Roman" w:eastAsia="Times New Roman" w:hAnsi="Times New Roman"/>
                  <w:sz w:val="13"/>
                  <w:szCs w:val="13"/>
                  <w:color w:val="0000FF"/>
                  <w:w w:val="96"/>
                </w:rPr>
                <w:t>Arrowhead Pharmaceuticals, Inc. 2021 Incentive Plan</w:t>
              </w:r>
            </w:hyperlink>
          </w:p>
        </w:tc>
        <w:tc>
          <w:tcPr>
            <w:tcW w:w="1240" w:type="dxa"/>
            <w:vAlign w:val="bottom"/>
            <w:tcBorders>
              <w:top w:val="single" w:sz="8" w:color="0000FF"/>
            </w:tcBorders>
            <w:gridSpan w:val="4"/>
          </w:tcPr>
          <w:p>
            <w:pPr>
              <w:spacing w:after="0"/>
              <w:rPr>
                <w:sz w:val="19"/>
                <w:szCs w:val="19"/>
                <w:color w:val="auto"/>
              </w:rPr>
            </w:pPr>
          </w:p>
        </w:tc>
        <w:tc>
          <w:tcPr>
            <w:tcW w:w="184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Form of RSU Agreement for Officers and Certain Other Employees (Arrowhead Pharmaceuticals, Inc. 2021</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Incentive Plan- Inducement Award)</w:t>
              </w:r>
            </w:hyperlink>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of RSU Agreement for Officers and Certain Other Employees (Arrowhead Pharmaceuticals, Inc. 2021</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Incentive Plan)</w:t>
              </w:r>
            </w:hyperlink>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Form of RSU Agreement for Employees (Arrowhead Pharmaceuticals, Inc. 2021 Incentive Plan - Inducement</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Award)</w:t>
              </w:r>
            </w:hyperlink>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Form of RSU Agreement for Employees (Arrowhead Pharmaceuticals, Inc. 2021 Incentive Plan)</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7"/>
          </w:tcPr>
          <w:p>
            <w:pPr>
              <w:spacing w:after="0"/>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Form of Stock Option Grant (Arrowhead Pharmaceuticals, Inc. 2021 Incentive Plan- Inducement Award)</w:t>
              </w:r>
            </w:hyperlink>
          </w:p>
        </w:tc>
        <w:tc>
          <w:tcPr>
            <w:tcW w:w="0" w:type="dxa"/>
            <w:vAlign w:val="bottom"/>
          </w:tcPr>
          <w:p>
            <w:pPr>
              <w:spacing w:after="0"/>
              <w:rPr>
                <w:sz w:val="1"/>
                <w:szCs w:val="1"/>
                <w:color w:val="auto"/>
              </w:rPr>
            </w:pPr>
          </w:p>
        </w:tc>
      </w:tr>
      <w:tr>
        <w:trPr>
          <w:trHeight w:val="35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3"/>
                <w:szCs w:val="13"/>
                <w:color w:val="0000FF"/>
                <w:w w:val="97"/>
              </w:rPr>
            </w:pPr>
            <w:hyperlink r:id="rId118">
              <w:r>
                <w:rPr>
                  <w:rFonts w:ascii="Times New Roman" w:cs="Times New Roman" w:eastAsia="Times New Roman" w:hAnsi="Times New Roman"/>
                  <w:sz w:val="13"/>
                  <w:szCs w:val="13"/>
                  <w:color w:val="0000FF"/>
                  <w:w w:val="97"/>
                </w:rPr>
                <w:t>Form of Stock Option Grant (Arrowhead Pharmaceuticals, Inc. 2021 Incentive Plan)</w:t>
              </w:r>
            </w:hyperlink>
          </w:p>
        </w:tc>
        <w:tc>
          <w:tcPr>
            <w:tcW w:w="1040" w:type="dxa"/>
            <w:vAlign w:val="bottom"/>
            <w:tcBorders>
              <w:top w:val="single" w:sz="8" w:color="0000FF"/>
            </w:tcBorders>
            <w:gridSpan w:val="3"/>
          </w:tcPr>
          <w:p>
            <w:pPr>
              <w:spacing w:after="0"/>
              <w:rPr>
                <w:sz w:val="24"/>
                <w:szCs w:val="24"/>
                <w:color w:val="auto"/>
              </w:rPr>
            </w:pPr>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7"/>
          </w:tcPr>
          <w:p>
            <w:pPr>
              <w:spacing w:after="0"/>
              <w:rPr>
                <w:rFonts w:ascii="Times New Roman" w:cs="Times New Roman" w:eastAsia="Times New Roman" w:hAnsi="Times New Roman"/>
                <w:sz w:val="13"/>
                <w:szCs w:val="13"/>
                <w:color w:val="0000EE"/>
              </w:rPr>
            </w:pPr>
            <w:hyperlink r:id="rId119">
              <w:r>
                <w:rPr>
                  <w:rFonts w:ascii="Times New Roman" w:cs="Times New Roman" w:eastAsia="Times New Roman" w:hAnsi="Times New Roman"/>
                  <w:sz w:val="13"/>
                  <w:szCs w:val="13"/>
                  <w:color w:val="0000EE"/>
                </w:rPr>
                <w:t>Executive Incentive Plan, adopted December 12, 2006</w:t>
              </w:r>
            </w:hyperlink>
          </w:p>
        </w:tc>
        <w:tc>
          <w:tcPr>
            <w:tcW w:w="0" w:type="dxa"/>
            <w:vAlign w:val="bottom"/>
          </w:tcPr>
          <w:p>
            <w:pPr>
              <w:spacing w:after="0"/>
              <w:rPr>
                <w:sz w:val="1"/>
                <w:szCs w:val="1"/>
                <w:color w:val="auto"/>
              </w:rPr>
            </w:pPr>
          </w:p>
        </w:tc>
      </w:tr>
      <w:tr>
        <w:trPr>
          <w:trHeight w:val="383"/>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top w:val="single" w:sz="8" w:color="0000EE"/>
            </w:tcBorders>
            <w:gridSpan w:val="11"/>
          </w:tcPr>
          <w:p>
            <w:pPr>
              <w:spacing w:after="0"/>
              <w:rPr>
                <w:rFonts w:ascii="Times New Roman" w:cs="Times New Roman" w:eastAsia="Times New Roman" w:hAnsi="Times New Roman"/>
                <w:sz w:val="13"/>
                <w:szCs w:val="13"/>
                <w:color w:val="0000EE"/>
              </w:rPr>
            </w:pPr>
            <w:hyperlink r:id="rId120">
              <w:r>
                <w:rPr>
                  <w:rFonts w:ascii="Times New Roman" w:cs="Times New Roman" w:eastAsia="Times New Roman" w:hAnsi="Times New Roman"/>
                  <w:sz w:val="13"/>
                  <w:szCs w:val="13"/>
                  <w:color w:val="0000EE"/>
                </w:rPr>
                <w:t>Arrowhead Pharmaceuticals, Inc. Inducement Plan</w:t>
              </w:r>
            </w:hyperlink>
          </w:p>
        </w:tc>
        <w:tc>
          <w:tcPr>
            <w:tcW w:w="30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27"/>
          </w:tcPr>
          <w:p>
            <w:pPr>
              <w:spacing w:after="0"/>
              <w:rPr>
                <w:rFonts w:ascii="Times New Roman" w:cs="Times New Roman" w:eastAsia="Times New Roman" w:hAnsi="Times New Roman"/>
                <w:sz w:val="13"/>
                <w:szCs w:val="13"/>
                <w:color w:val="0000EE"/>
              </w:rPr>
            </w:pPr>
            <w:hyperlink r:id="rId121">
              <w:r>
                <w:rPr>
                  <w:rFonts w:ascii="Times New Roman" w:cs="Times New Roman" w:eastAsia="Times New Roman" w:hAnsi="Times New Roman"/>
                  <w:sz w:val="13"/>
                  <w:szCs w:val="13"/>
                  <w:color w:val="0000EE"/>
                </w:rPr>
                <w:t>Employment Agreement between Arrowhead and Dr. Christopher Anzalone, dated June 11, 2008</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27"/>
          </w:tcPr>
          <w:p>
            <w:pPr>
              <w:spacing w:after="0"/>
              <w:rPr>
                <w:rFonts w:ascii="Times New Roman" w:cs="Times New Roman" w:eastAsia="Times New Roman" w:hAnsi="Times New Roman"/>
                <w:sz w:val="13"/>
                <w:szCs w:val="13"/>
                <w:color w:val="0000EE"/>
              </w:rPr>
            </w:pPr>
            <w:hyperlink r:id="rId122">
              <w:r>
                <w:rPr>
                  <w:rFonts w:ascii="Times New Roman" w:cs="Times New Roman" w:eastAsia="Times New Roman" w:hAnsi="Times New Roman"/>
                  <w:sz w:val="13"/>
                  <w:szCs w:val="13"/>
                  <w:color w:val="0000EE"/>
                </w:rPr>
                <w:t>Amendment to Employment Agreement between Arrowhead and Dr. Christopher Anzalone, effective May 12,</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3"/>
                <w:szCs w:val="13"/>
                <w:color w:val="0000EE"/>
                <w:w w:val="84"/>
              </w:rPr>
            </w:pPr>
            <w:hyperlink r:id="rId122">
              <w:r>
                <w:rPr>
                  <w:rFonts w:ascii="Times New Roman" w:cs="Times New Roman" w:eastAsia="Times New Roman" w:hAnsi="Times New Roman"/>
                  <w:sz w:val="13"/>
                  <w:szCs w:val="13"/>
                  <w:color w:val="0000EE"/>
                  <w:w w:val="84"/>
                </w:rPr>
                <w:t>2009</w:t>
              </w:r>
            </w:hyperlink>
          </w:p>
        </w:tc>
        <w:tc>
          <w:tcPr>
            <w:tcW w:w="1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10.16†</w:t>
            </w:r>
          </w:p>
        </w:tc>
        <w:tc>
          <w:tcPr>
            <w:tcW w:w="20" w:type="dxa"/>
            <w:vAlign w:val="bottom"/>
          </w:tcPr>
          <w:p>
            <w:pPr>
              <w:spacing w:after="0"/>
              <w:rPr>
                <w:sz w:val="22"/>
                <w:szCs w:val="22"/>
                <w:color w:val="auto"/>
              </w:rPr>
            </w:pPr>
          </w:p>
        </w:tc>
        <w:tc>
          <w:tcPr>
            <w:tcW w:w="5840" w:type="dxa"/>
            <w:vAlign w:val="bottom"/>
            <w:gridSpan w:val="27"/>
          </w:tcPr>
          <w:p>
            <w:pPr>
              <w:spacing w:after="0"/>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Collaboration Agreement by and among Alnylam Pharmaceuticals, Inc. and F. Hoffmann-La Roche Ltd and</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00" w:type="dxa"/>
            <w:vAlign w:val="bottom"/>
            <w:tcBorders>
              <w:top w:val="single" w:sz="8" w:color="0000EE"/>
            </w:tcBorders>
            <w:gridSpan w:val="22"/>
          </w:tcPr>
          <w:p>
            <w:pPr>
              <w:spacing w:after="0" w:line="129" w:lineRule="exact"/>
              <w:rPr>
                <w:rFonts w:ascii="Times New Roman" w:cs="Times New Roman" w:eastAsia="Times New Roman" w:hAnsi="Times New Roman"/>
                <w:sz w:val="13"/>
                <w:szCs w:val="13"/>
                <w:color w:val="0000EE"/>
              </w:rPr>
            </w:pPr>
            <w:hyperlink r:id="rId123">
              <w:r>
                <w:rPr>
                  <w:rFonts w:ascii="Times New Roman" w:cs="Times New Roman" w:eastAsia="Times New Roman" w:hAnsi="Times New Roman"/>
                  <w:sz w:val="13"/>
                  <w:szCs w:val="13"/>
                  <w:color w:val="0000EE"/>
                </w:rPr>
                <w:t>Hoffman-La Roche Inc., dated October 29, 2009</w:t>
              </w:r>
            </w:hyperlink>
          </w:p>
        </w:tc>
        <w:tc>
          <w:tcPr>
            <w:tcW w:w="240" w:type="dxa"/>
            <w:vAlign w:val="bottom"/>
            <w:gridSpan w:val="4"/>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10.17†</w:t>
            </w:r>
          </w:p>
        </w:tc>
        <w:tc>
          <w:tcPr>
            <w:tcW w:w="20" w:type="dxa"/>
            <w:vAlign w:val="bottom"/>
          </w:tcPr>
          <w:p>
            <w:pPr>
              <w:spacing w:after="0"/>
              <w:rPr>
                <w:sz w:val="22"/>
                <w:szCs w:val="22"/>
                <w:color w:val="auto"/>
              </w:rPr>
            </w:pPr>
          </w:p>
        </w:tc>
        <w:tc>
          <w:tcPr>
            <w:tcW w:w="5840" w:type="dxa"/>
            <w:vAlign w:val="bottom"/>
            <w:gridSpan w:val="27"/>
          </w:tcPr>
          <w:p>
            <w:pPr>
              <w:spacing w:after="0"/>
              <w:rPr>
                <w:rFonts w:ascii="Times New Roman" w:cs="Times New Roman" w:eastAsia="Times New Roman" w:hAnsi="Times New Roman"/>
                <w:sz w:val="13"/>
                <w:szCs w:val="13"/>
                <w:color w:val="0000EE"/>
                <w:w w:val="99"/>
              </w:rPr>
            </w:pPr>
            <w:hyperlink r:id="rId124">
              <w:r>
                <w:rPr>
                  <w:rFonts w:ascii="Times New Roman" w:cs="Times New Roman" w:eastAsia="Times New Roman" w:hAnsi="Times New Roman"/>
                  <w:sz w:val="13"/>
                  <w:szCs w:val="13"/>
                  <w:color w:val="0000EE"/>
                  <w:w w:val="99"/>
                </w:rPr>
                <w:t>Non-Exclusive License Agreement between Arrowhead Research Corporation and Roche entities, dated October</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0000EE"/>
              <w:bottom w:val="single" w:sz="8" w:color="0000EE"/>
            </w:tcBorders>
            <w:gridSpan w:val="3"/>
          </w:tcPr>
          <w:p>
            <w:pPr>
              <w:spacing w:after="0" w:line="129" w:lineRule="exact"/>
              <w:rPr>
                <w:rFonts w:ascii="Times New Roman" w:cs="Times New Roman" w:eastAsia="Times New Roman" w:hAnsi="Times New Roman"/>
                <w:sz w:val="13"/>
                <w:szCs w:val="13"/>
                <w:color w:val="0000EE"/>
                <w:w w:val="92"/>
              </w:rPr>
            </w:pPr>
            <w:hyperlink r:id="rId124">
              <w:r>
                <w:rPr>
                  <w:rFonts w:ascii="Times New Roman" w:cs="Times New Roman" w:eastAsia="Times New Roman" w:hAnsi="Times New Roman"/>
                  <w:sz w:val="13"/>
                  <w:szCs w:val="13"/>
                  <w:color w:val="0000EE"/>
                  <w:w w:val="92"/>
                </w:rPr>
                <w:t>21, 2011</w:t>
              </w:r>
            </w:hyperlink>
          </w:p>
        </w:tc>
        <w:tc>
          <w:tcPr>
            <w:tcW w:w="32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52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10.18†</w:t>
            </w:r>
          </w:p>
        </w:tc>
        <w:tc>
          <w:tcPr>
            <w:tcW w:w="20" w:type="dxa"/>
            <w:vAlign w:val="bottom"/>
          </w:tcPr>
          <w:p>
            <w:pPr>
              <w:spacing w:after="0"/>
              <w:rPr>
                <w:sz w:val="21"/>
                <w:szCs w:val="21"/>
                <w:color w:val="auto"/>
              </w:rPr>
            </w:pPr>
          </w:p>
        </w:tc>
        <w:tc>
          <w:tcPr>
            <w:tcW w:w="5840" w:type="dxa"/>
            <w:vAlign w:val="bottom"/>
            <w:gridSpan w:val="27"/>
          </w:tcPr>
          <w:p>
            <w:pPr>
              <w:spacing w:after="0"/>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License Agreement by and between Alnylam Pharmaceuticals, Inc., Arrowhead Research Corporation and</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20" w:type="dxa"/>
            <w:vAlign w:val="bottom"/>
            <w:tcBorders>
              <w:top w:val="single" w:sz="8" w:color="0000EE"/>
            </w:tcBorders>
            <w:gridSpan w:val="21"/>
          </w:tcPr>
          <w:p>
            <w:pPr>
              <w:spacing w:after="0" w:line="129" w:lineRule="exact"/>
              <w:rPr>
                <w:rFonts w:ascii="Times New Roman" w:cs="Times New Roman" w:eastAsia="Times New Roman" w:hAnsi="Times New Roman"/>
                <w:sz w:val="13"/>
                <w:szCs w:val="13"/>
                <w:color w:val="0000EE"/>
              </w:rPr>
            </w:pPr>
            <w:hyperlink r:id="rId125">
              <w:r>
                <w:rPr>
                  <w:rFonts w:ascii="Times New Roman" w:cs="Times New Roman" w:eastAsia="Times New Roman" w:hAnsi="Times New Roman"/>
                  <w:sz w:val="13"/>
                  <w:szCs w:val="13"/>
                  <w:color w:val="0000EE"/>
                </w:rPr>
                <w:t>Arrowhead Madison, Inc.</w:t>
              </w:r>
            </w:hyperlink>
          </w:p>
        </w:tc>
        <w:tc>
          <w:tcPr>
            <w:tcW w:w="4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58064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0" w:type="dxa"/>
            <w:vAlign w:val="bottom"/>
          </w:tcPr>
          <w:p>
            <w:pPr>
              <w:spacing w:after="0"/>
              <w:rPr>
                <w:sz w:val="13"/>
                <w:szCs w:val="13"/>
                <w:color w:val="auto"/>
              </w:rPr>
            </w:pPr>
          </w:p>
        </w:tc>
        <w:tc>
          <w:tcPr>
            <w:tcW w:w="15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91"/>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7, 2019</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4.7</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26, 2024</w:t>
            </w:r>
          </w:p>
        </w:tc>
      </w:tr>
      <w:tr>
        <w:trPr>
          <w:trHeight w:val="34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4.8</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26, 2024</w:t>
            </w:r>
          </w:p>
        </w:tc>
      </w:tr>
      <w:tr>
        <w:trPr>
          <w:trHeight w:val="23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Schedule 14C, as Annex B</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January 12, 2012</w:t>
            </w:r>
          </w:p>
        </w:tc>
      </w:tr>
      <w:tr>
        <w:trPr>
          <w:trHeight w:val="24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Schedule 14C, as Annex A</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20, 2013</w:t>
            </w:r>
          </w:p>
        </w:tc>
      </w:tr>
      <w:tr>
        <w:trPr>
          <w:trHeight w:val="24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10.1</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12, 2014</w:t>
            </w:r>
          </w:p>
        </w:tc>
      </w:tr>
      <w:tr>
        <w:trPr>
          <w:trHeight w:val="24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10.2</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12, 2014</w:t>
            </w:r>
          </w:p>
        </w:tc>
      </w:tr>
      <w:tr>
        <w:trPr>
          <w:trHeight w:val="24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Schedule 14A, as Exhibit A</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January 28, 2021</w:t>
            </w: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S-8,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22, 2021</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Exhibit 99.1</w:t>
            </w:r>
          </w:p>
        </w:tc>
        <w:tc>
          <w:tcPr>
            <w:tcW w:w="1580" w:type="dxa"/>
            <w:vAlign w:val="bottom"/>
          </w:tcPr>
          <w:p>
            <w:pPr>
              <w:spacing w:after="0"/>
              <w:rPr>
                <w:sz w:val="14"/>
                <w:szCs w:val="14"/>
                <w:color w:val="auto"/>
              </w:rPr>
            </w:pP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S-8,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28, 2024</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Exhibit 99.1</w:t>
            </w:r>
          </w:p>
        </w:tc>
        <w:tc>
          <w:tcPr>
            <w:tcW w:w="1580" w:type="dxa"/>
            <w:vAlign w:val="bottom"/>
          </w:tcPr>
          <w:p>
            <w:pPr>
              <w:spacing w:after="0"/>
              <w:rPr>
                <w:sz w:val="14"/>
                <w:szCs w:val="14"/>
                <w:color w:val="auto"/>
              </w:rPr>
            </w:pP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S-8,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22, 2021</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Exhibit 99.2</w:t>
            </w:r>
          </w:p>
        </w:tc>
        <w:tc>
          <w:tcPr>
            <w:tcW w:w="1580" w:type="dxa"/>
            <w:vAlign w:val="bottom"/>
          </w:tcPr>
          <w:p>
            <w:pPr>
              <w:spacing w:after="0"/>
              <w:rPr>
                <w:sz w:val="14"/>
                <w:szCs w:val="14"/>
                <w:color w:val="auto"/>
              </w:rPr>
            </w:pP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S-8,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28, 2024</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Exhibit 99.2</w:t>
            </w:r>
          </w:p>
        </w:tc>
        <w:tc>
          <w:tcPr>
            <w:tcW w:w="1580" w:type="dxa"/>
            <w:vAlign w:val="bottom"/>
          </w:tcPr>
          <w:p>
            <w:pPr>
              <w:spacing w:after="0"/>
              <w:rPr>
                <w:sz w:val="14"/>
                <w:szCs w:val="14"/>
                <w:color w:val="auto"/>
              </w:rPr>
            </w:pP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Registration Statement on Form S-8, as</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22, 2021</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Exhibit 99.3</w:t>
            </w:r>
          </w:p>
        </w:tc>
        <w:tc>
          <w:tcPr>
            <w:tcW w:w="1580" w:type="dxa"/>
            <w:vAlign w:val="bottom"/>
          </w:tcPr>
          <w:p>
            <w:pPr>
              <w:spacing w:after="0"/>
              <w:rPr>
                <w:sz w:val="14"/>
                <w:szCs w:val="14"/>
                <w:color w:val="auto"/>
              </w:rPr>
            </w:pPr>
          </w:p>
        </w:tc>
      </w:tr>
      <w:tr>
        <w:trPr>
          <w:trHeight w:val="20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29, 2023</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7"/>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14, 2006</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May 9, 2024</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5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Current Report on Form 8-K, as Exhibit 10.1</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June 13, 2008</w:t>
            </w:r>
          </w:p>
        </w:tc>
      </w:tr>
      <w:tr>
        <w:trPr>
          <w:trHeight w:val="2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10.8</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22, 2009</w:t>
            </w:r>
          </w:p>
        </w:tc>
      </w:tr>
      <w:tr>
        <w:trPr>
          <w:trHeight w:val="407"/>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20, 2011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10.36</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5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December 20, 2011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10.33</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August 12, 2014</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7140" w:space="80"/>
            <w:col w:w="4060"/>
          </w:cols>
          <w:pgMar w:left="300" w:top="958" w:right="3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type w:val="continuous"/>
        </w:sectPr>
      </w:pPr>
    </w:p>
    <w:bookmarkStart w:id="79" w:name="page80"/>
    <w:bookmarkEnd w:id="79"/>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5840" w:type="dxa"/>
            <w:vAlign w:val="bottom"/>
            <w:gridSpan w:val="30"/>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584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0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10.19†</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40" w:type="dxa"/>
            <w:vAlign w:val="bottom"/>
            <w:tcBorders>
              <w:top w:val="single" w:sz="8" w:color="auto"/>
            </w:tcBorders>
            <w:gridSpan w:val="30"/>
          </w:tcPr>
          <w:p>
            <w:pPr>
              <w:spacing w:after="0" w:line="133" w:lineRule="exact"/>
              <w:rPr>
                <w:rFonts w:ascii="Times New Roman" w:cs="Times New Roman" w:eastAsia="Times New Roman" w:hAnsi="Times New Roman"/>
                <w:sz w:val="13"/>
                <w:szCs w:val="13"/>
                <w:color w:val="0000EE"/>
                <w:w w:val="97"/>
              </w:rPr>
            </w:pPr>
            <w:hyperlink r:id="rId128">
              <w:r>
                <w:rPr>
                  <w:rFonts w:ascii="Times New Roman" w:cs="Times New Roman" w:eastAsia="Times New Roman" w:hAnsi="Times New Roman"/>
                  <w:sz w:val="13"/>
                  <w:szCs w:val="13"/>
                  <w:color w:val="0000EE"/>
                  <w:w w:val="97"/>
                </w:rPr>
                <w:t>Second Collaboration and Licensing Agreement between Arrowhead Pharmaceuticals, Inc. and Amgen Inc., dated</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top w:val="single" w:sz="8" w:color="0000EE"/>
              <w:bottom w:val="single" w:sz="8" w:color="0000EE"/>
            </w:tcBorders>
            <w:gridSpan w:val="3"/>
          </w:tcPr>
          <w:p>
            <w:pPr>
              <w:spacing w:after="0" w:line="129" w:lineRule="exact"/>
              <w:rPr>
                <w:rFonts w:ascii="Times New Roman" w:cs="Times New Roman" w:eastAsia="Times New Roman" w:hAnsi="Times New Roman"/>
                <w:sz w:val="13"/>
                <w:szCs w:val="13"/>
                <w:color w:val="0000EE"/>
                <w:w w:val="95"/>
              </w:rPr>
            </w:pPr>
            <w:hyperlink r:id="rId128">
              <w:r>
                <w:rPr>
                  <w:rFonts w:ascii="Times New Roman" w:cs="Times New Roman" w:eastAsia="Times New Roman" w:hAnsi="Times New Roman"/>
                  <w:sz w:val="13"/>
                  <w:szCs w:val="13"/>
                  <w:color w:val="0000EE"/>
                  <w:w w:val="95"/>
                </w:rPr>
                <w:t>September 28, 2016</w:t>
              </w:r>
            </w:hyperlink>
          </w:p>
        </w:tc>
        <w:tc>
          <w:tcPr>
            <w:tcW w:w="4800" w:type="dxa"/>
            <w:vAlign w:val="bottom"/>
            <w:tcBorders>
              <w:top w:val="single" w:sz="8" w:color="0000EE"/>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0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w w:val="97"/>
              </w:rPr>
            </w:pPr>
            <w:hyperlink r:id="rId129">
              <w:r>
                <w:rPr>
                  <w:rFonts w:ascii="Times New Roman" w:cs="Times New Roman" w:eastAsia="Times New Roman" w:hAnsi="Times New Roman"/>
                  <w:sz w:val="13"/>
                  <w:szCs w:val="13"/>
                  <w:color w:val="0000EE"/>
                  <w:w w:val="97"/>
                </w:rPr>
                <w:t>Common Stock Purchase Agreement between the Company and Amgen Inc., dated September 28, 2016</w:t>
              </w:r>
            </w:hyperlink>
          </w:p>
        </w:tc>
        <w:tc>
          <w:tcPr>
            <w:tcW w:w="5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10.21†</w:t>
            </w:r>
          </w:p>
        </w:tc>
        <w:tc>
          <w:tcPr>
            <w:tcW w:w="20" w:type="dxa"/>
            <w:vAlign w:val="bottom"/>
          </w:tcPr>
          <w:p>
            <w:pPr>
              <w:spacing w:after="0"/>
              <w:rPr>
                <w:sz w:val="24"/>
                <w:szCs w:val="24"/>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0">
              <w:r>
                <w:rPr>
                  <w:rFonts w:ascii="Times New Roman" w:cs="Times New Roman" w:eastAsia="Times New Roman" w:hAnsi="Times New Roman"/>
                  <w:sz w:val="13"/>
                  <w:szCs w:val="13"/>
                  <w:color w:val="0000EE"/>
                </w:rPr>
                <w:t>License Agreement by and between Arrowhead Pharmaceuticals, Inc. and Janssen Pharmaceuticals, Inc., dated</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0000EE"/>
              <w:bottom w:val="single" w:sz="8" w:color="0000EE"/>
            </w:tcBorders>
            <w:gridSpan w:val="2"/>
          </w:tcPr>
          <w:p>
            <w:pPr>
              <w:spacing w:after="0" w:line="129" w:lineRule="exact"/>
              <w:rPr>
                <w:rFonts w:ascii="Times New Roman" w:cs="Times New Roman" w:eastAsia="Times New Roman" w:hAnsi="Times New Roman"/>
                <w:sz w:val="13"/>
                <w:szCs w:val="13"/>
                <w:color w:val="0000EE"/>
                <w:w w:val="95"/>
              </w:rPr>
            </w:pPr>
            <w:hyperlink r:id="rId130">
              <w:r>
                <w:rPr>
                  <w:rFonts w:ascii="Times New Roman" w:cs="Times New Roman" w:eastAsia="Times New Roman" w:hAnsi="Times New Roman"/>
                  <w:sz w:val="13"/>
                  <w:szCs w:val="13"/>
                  <w:color w:val="0000EE"/>
                  <w:w w:val="95"/>
                </w:rPr>
                <w:t>October 3, 2018</w:t>
              </w:r>
            </w:hyperlink>
          </w:p>
        </w:tc>
        <w:tc>
          <w:tcPr>
            <w:tcW w:w="4820" w:type="dxa"/>
            <w:vAlign w:val="bottom"/>
            <w:tcBorders>
              <w:top w:val="single" w:sz="8" w:color="0000EE"/>
            </w:tcBorders>
            <w:gridSpan w:val="23"/>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10.22†</w:t>
            </w: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1">
              <w:r>
                <w:rPr>
                  <w:rFonts w:ascii="Times New Roman" w:cs="Times New Roman" w:eastAsia="Times New Roman" w:hAnsi="Times New Roman"/>
                  <w:sz w:val="13"/>
                  <w:szCs w:val="13"/>
                  <w:color w:val="0000EE"/>
                </w:rPr>
                <w:t>Amendment No. 1 to License Agreement by and between Arrowhead Pharmaceuticals, Inc. and Janssen</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tcBorders>
              <w:top w:val="single" w:sz="8" w:color="0000EE"/>
              <w:bottom w:val="single" w:sz="8" w:color="0000EE"/>
            </w:tcBorders>
            <w:gridSpan w:val="13"/>
          </w:tcPr>
          <w:p>
            <w:pPr>
              <w:spacing w:after="0" w:line="129" w:lineRule="exact"/>
              <w:rPr>
                <w:rFonts w:ascii="Times New Roman" w:cs="Times New Roman" w:eastAsia="Times New Roman" w:hAnsi="Times New Roman"/>
                <w:sz w:val="13"/>
                <w:szCs w:val="13"/>
                <w:color w:val="0000EE"/>
                <w:w w:val="96"/>
              </w:rPr>
            </w:pPr>
            <w:hyperlink r:id="rId131">
              <w:r>
                <w:rPr>
                  <w:rFonts w:ascii="Times New Roman" w:cs="Times New Roman" w:eastAsia="Times New Roman" w:hAnsi="Times New Roman"/>
                  <w:sz w:val="13"/>
                  <w:szCs w:val="13"/>
                  <w:color w:val="0000EE"/>
                  <w:w w:val="96"/>
                </w:rPr>
                <w:t>Pharmaceuticals, Inc., dated December 18, 2018</w:t>
              </w:r>
            </w:hyperlink>
          </w:p>
        </w:tc>
        <w:tc>
          <w:tcPr>
            <w:tcW w:w="2820" w:type="dxa"/>
            <w:vAlign w:val="bottom"/>
            <w:tcBorders>
              <w:top w:val="single" w:sz="8" w:color="0000EE"/>
            </w:tcBorders>
            <w:gridSpan w:val="7"/>
          </w:tcPr>
          <w:p>
            <w:pPr>
              <w:spacing w:after="0"/>
              <w:rPr>
                <w:sz w:val="11"/>
                <w:szCs w:val="11"/>
                <w:color w:val="auto"/>
              </w:rPr>
            </w:pPr>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10.23†</w:t>
            </w: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Amendment No. 2 to License Agreement by and between Arrowhead Pharmaceuticals, Inc. and Janssen</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80" w:type="dxa"/>
            <w:vAlign w:val="bottom"/>
            <w:tcBorders>
              <w:top w:val="single" w:sz="8" w:color="0000EE"/>
            </w:tcBorders>
            <w:gridSpan w:val="20"/>
          </w:tcPr>
          <w:p>
            <w:pPr>
              <w:spacing w:after="0" w:line="129" w:lineRule="exact"/>
              <w:rPr>
                <w:rFonts w:ascii="Times New Roman" w:cs="Times New Roman" w:eastAsia="Times New Roman" w:hAnsi="Times New Roman"/>
                <w:sz w:val="13"/>
                <w:szCs w:val="13"/>
                <w:color w:val="0000EE"/>
              </w:rPr>
            </w:pPr>
            <w:hyperlink r:id="rId132">
              <w:r>
                <w:rPr>
                  <w:rFonts w:ascii="Times New Roman" w:cs="Times New Roman" w:eastAsia="Times New Roman" w:hAnsi="Times New Roman"/>
                  <w:sz w:val="13"/>
                  <w:szCs w:val="13"/>
                  <w:color w:val="0000EE"/>
                </w:rPr>
                <w:t>Pharmaceuticals, Inc., dated February 4, 2019</w:t>
              </w:r>
            </w:hyperlink>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10.24†</w:t>
            </w: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Amended and Restated License Agreement by and between Arrowhead Pharmaceuticals, Inc. and</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9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133">
              <w:r>
                <w:rPr>
                  <w:rFonts w:ascii="Times New Roman" w:cs="Times New Roman" w:eastAsia="Times New Roman" w:hAnsi="Times New Roman"/>
                  <w:sz w:val="12"/>
                  <w:szCs w:val="12"/>
                  <w:color w:val="0000FF"/>
                </w:rPr>
                <w:t>GlaxoSmithKline Intellectual Property (No. 3) Limited, dated December 11, 2023</w:t>
              </w:r>
            </w:hyperlink>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4">
              <w:r>
                <w:rPr>
                  <w:rFonts w:ascii="Times New Roman" w:cs="Times New Roman" w:eastAsia="Times New Roman" w:hAnsi="Times New Roman"/>
                  <w:sz w:val="13"/>
                  <w:szCs w:val="13"/>
                  <w:color w:val="0000EE"/>
                </w:rPr>
                <w:t>Stock Purchase Agreement by and between Johnson &amp; Johnson Innovation-JJDC, Inc. and Arrowhead</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tcBorders>
              <w:top w:val="single" w:sz="8" w:color="0000EE"/>
              <w:bottom w:val="single" w:sz="8" w:color="0000EE"/>
            </w:tcBorders>
            <w:gridSpan w:val="9"/>
          </w:tcPr>
          <w:p>
            <w:pPr>
              <w:spacing w:after="0" w:line="129" w:lineRule="exact"/>
              <w:rPr>
                <w:rFonts w:ascii="Times New Roman" w:cs="Times New Roman" w:eastAsia="Times New Roman" w:hAnsi="Times New Roman"/>
                <w:sz w:val="13"/>
                <w:szCs w:val="13"/>
                <w:color w:val="0000EE"/>
                <w:w w:val="96"/>
              </w:rPr>
            </w:pPr>
            <w:hyperlink r:id="rId134">
              <w:r>
                <w:rPr>
                  <w:rFonts w:ascii="Times New Roman" w:cs="Times New Roman" w:eastAsia="Times New Roman" w:hAnsi="Times New Roman"/>
                  <w:sz w:val="13"/>
                  <w:szCs w:val="13"/>
                  <w:color w:val="0000EE"/>
                  <w:w w:val="96"/>
                </w:rPr>
                <w:t>Pharmaceuticals, Inc., dated October 3, 2018</w:t>
              </w:r>
            </w:hyperlink>
          </w:p>
        </w:tc>
        <w:tc>
          <w:tcPr>
            <w:tcW w:w="2940" w:type="dxa"/>
            <w:vAlign w:val="bottom"/>
            <w:tcBorders>
              <w:top w:val="single" w:sz="8" w:color="0000EE"/>
            </w:tcBorders>
            <w:gridSpan w:val="10"/>
          </w:tcPr>
          <w:p>
            <w:pPr>
              <w:spacing w:after="0"/>
              <w:rPr>
                <w:sz w:val="11"/>
                <w:szCs w:val="11"/>
                <w:color w:val="auto"/>
              </w:rPr>
            </w:pPr>
          </w:p>
        </w:tc>
        <w:tc>
          <w:tcPr>
            <w:tcW w:w="14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10.26†</w:t>
            </w: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Exclusive License and Co-Funding Agreement by and between Arrowhead Pharmaceuticals, Inc. and Takeda</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60" w:type="dxa"/>
            <w:vAlign w:val="bottom"/>
            <w:tcBorders>
              <w:top w:val="single" w:sz="8" w:color="0000EE"/>
            </w:tcBorders>
            <w:gridSpan w:val="23"/>
          </w:tcPr>
          <w:p>
            <w:pPr>
              <w:spacing w:after="0" w:line="129" w:lineRule="exact"/>
              <w:rPr>
                <w:rFonts w:ascii="Times New Roman" w:cs="Times New Roman" w:eastAsia="Times New Roman" w:hAnsi="Times New Roman"/>
                <w:sz w:val="13"/>
                <w:szCs w:val="13"/>
                <w:color w:val="0000EE"/>
              </w:rPr>
            </w:pPr>
            <w:hyperlink r:id="rId135">
              <w:r>
                <w:rPr>
                  <w:rFonts w:ascii="Times New Roman" w:cs="Times New Roman" w:eastAsia="Times New Roman" w:hAnsi="Times New Roman"/>
                  <w:sz w:val="13"/>
                  <w:szCs w:val="13"/>
                  <w:color w:val="0000EE"/>
                </w:rPr>
                <w:t>Pharmaceuticals U.S.A., Inc., dated October 7, 2020†</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10.27</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30"/>
          </w:tcPr>
          <w:p>
            <w:pPr>
              <w:spacing w:after="0"/>
              <w:rPr>
                <w:rFonts w:ascii="Times New Roman" w:cs="Times New Roman" w:eastAsia="Times New Roman" w:hAnsi="Times New Roman"/>
                <w:sz w:val="13"/>
                <w:szCs w:val="13"/>
                <w:color w:val="0000FF"/>
                <w:w w:val="98"/>
              </w:rPr>
            </w:pPr>
            <w:hyperlink r:id="rId136">
              <w:r>
                <w:rPr>
                  <w:rFonts w:ascii="Times New Roman" w:cs="Times New Roman" w:eastAsia="Times New Roman" w:hAnsi="Times New Roman"/>
                  <w:sz w:val="13"/>
                  <w:szCs w:val="13"/>
                  <w:color w:val="0000FF"/>
                  <w:w w:val="98"/>
                </w:rPr>
                <w:t>First Amendment to Exclusive License and Co-Funding Agreement by and between Arrowhead Pharmaceuticals,</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136">
              <w:r>
                <w:rPr>
                  <w:rFonts w:ascii="Times New Roman" w:cs="Times New Roman" w:eastAsia="Times New Roman" w:hAnsi="Times New Roman"/>
                  <w:sz w:val="12"/>
                  <w:szCs w:val="12"/>
                  <w:color w:val="0000FF"/>
                </w:rPr>
                <w:t>Inc. and Takeda Pharmaceuticals U.S.A., Inc. dated March 15, 2022</w:t>
              </w:r>
            </w:hyperlink>
          </w:p>
        </w:tc>
        <w:tc>
          <w:tcPr>
            <w:tcW w:w="2320" w:type="dxa"/>
            <w:vAlign w:val="bottom"/>
            <w:tcBorders>
              <w:top w:val="single" w:sz="8" w:color="0000FF"/>
            </w:tcBorders>
            <w:gridSpan w:val="13"/>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10.28†</w:t>
            </w:r>
          </w:p>
        </w:tc>
        <w:tc>
          <w:tcPr>
            <w:tcW w:w="20" w:type="dxa"/>
            <w:vAlign w:val="bottom"/>
          </w:tcPr>
          <w:p>
            <w:pPr>
              <w:spacing w:after="0"/>
              <w:rPr>
                <w:sz w:val="20"/>
                <w:szCs w:val="20"/>
                <w:color w:val="auto"/>
              </w:rPr>
            </w:pPr>
          </w:p>
        </w:tc>
        <w:tc>
          <w:tcPr>
            <w:tcW w:w="5840" w:type="dxa"/>
            <w:vAlign w:val="bottom"/>
            <w:gridSpan w:val="30"/>
          </w:tcPr>
          <w:p>
            <w:pPr>
              <w:spacing w:after="0"/>
              <w:rPr>
                <w:rFonts w:ascii="Times New Roman" w:cs="Times New Roman" w:eastAsia="Times New Roman" w:hAnsi="Times New Roman"/>
                <w:sz w:val="13"/>
                <w:szCs w:val="13"/>
                <w:color w:val="0000EE"/>
              </w:rPr>
            </w:pPr>
            <w:hyperlink r:id="rId137">
              <w:r>
                <w:rPr>
                  <w:rFonts w:ascii="Times New Roman" w:cs="Times New Roman" w:eastAsia="Times New Roman" w:hAnsi="Times New Roman"/>
                  <w:sz w:val="13"/>
                  <w:szCs w:val="13"/>
                  <w:color w:val="0000EE"/>
                </w:rPr>
                <w:t>Collaboration and License Agreement by and between Arrowhead Pharmaceuticals, Inc. and Horizon</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tcBorders>
              <w:top w:val="single" w:sz="8" w:color="0000EE"/>
              <w:bottom w:val="single" w:sz="8" w:color="0000EE"/>
            </w:tcBorders>
            <w:gridSpan w:val="12"/>
          </w:tcPr>
          <w:p>
            <w:pPr>
              <w:spacing w:after="0" w:line="129" w:lineRule="exact"/>
              <w:rPr>
                <w:rFonts w:ascii="Times New Roman" w:cs="Times New Roman" w:eastAsia="Times New Roman" w:hAnsi="Times New Roman"/>
                <w:sz w:val="13"/>
                <w:szCs w:val="13"/>
                <w:color w:val="0000EE"/>
                <w:w w:val="97"/>
              </w:rPr>
            </w:pPr>
            <w:hyperlink r:id="rId137">
              <w:r>
                <w:rPr>
                  <w:rFonts w:ascii="Times New Roman" w:cs="Times New Roman" w:eastAsia="Times New Roman" w:hAnsi="Times New Roman"/>
                  <w:sz w:val="13"/>
                  <w:szCs w:val="13"/>
                  <w:color w:val="0000EE"/>
                  <w:w w:val="97"/>
                </w:rPr>
                <w:t>Therapeutics Ireland DAC, dated June 18, 2021</w:t>
              </w:r>
            </w:hyperlink>
          </w:p>
        </w:tc>
        <w:tc>
          <w:tcPr>
            <w:tcW w:w="2720" w:type="dxa"/>
            <w:vAlign w:val="bottom"/>
            <w:tcBorders>
              <w:top w:val="single" w:sz="8" w:color="0000EE"/>
            </w:tcBorders>
            <w:gridSpan w:val="6"/>
          </w:tcPr>
          <w:p>
            <w:pPr>
              <w:spacing w:after="0"/>
              <w:rPr>
                <w:sz w:val="11"/>
                <w:szCs w:val="11"/>
                <w:color w:val="auto"/>
              </w:rPr>
            </w:pPr>
          </w:p>
        </w:tc>
        <w:tc>
          <w:tcPr>
            <w:tcW w:w="200" w:type="dxa"/>
            <w:vAlign w:val="bottom"/>
            <w:gridSpan w:val="4"/>
          </w:tcPr>
          <w:p>
            <w:pPr>
              <w:spacing w:after="0"/>
              <w:rPr>
                <w:sz w:val="11"/>
                <w:szCs w:val="11"/>
                <w:color w:val="auto"/>
              </w:rPr>
            </w:pPr>
          </w:p>
        </w:tc>
        <w:tc>
          <w:tcPr>
            <w:tcW w:w="2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Collaboration and License Agreement by and between Arrowhead Pharmaceuticals, Inc. and Glaxosmithkline</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138">
              <w:r>
                <w:rPr>
                  <w:rFonts w:ascii="Times New Roman" w:cs="Times New Roman" w:eastAsia="Times New Roman" w:hAnsi="Times New Roman"/>
                  <w:sz w:val="12"/>
                  <w:szCs w:val="12"/>
                  <w:color w:val="0000FF"/>
                </w:rPr>
                <w:t>Intellectual Property, dated November 22, 2021</w:t>
              </w:r>
            </w:hyperlink>
          </w:p>
        </w:tc>
        <w:tc>
          <w:tcPr>
            <w:tcW w:w="3160" w:type="dxa"/>
            <w:vAlign w:val="bottom"/>
            <w:tcBorders>
              <w:top w:val="single" w:sz="8" w:color="0000FF"/>
            </w:tcBorders>
            <w:gridSpan w:val="13"/>
          </w:tcPr>
          <w:p>
            <w:pPr>
              <w:spacing w:after="0"/>
              <w:rPr>
                <w:sz w:val="9"/>
                <w:szCs w:val="9"/>
                <w:color w:val="auto"/>
              </w:rPr>
            </w:pPr>
          </w:p>
        </w:tc>
        <w:tc>
          <w:tcPr>
            <w:tcW w:w="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Royalty Purchase Agreement, dated as of November 9, 2022, by and between Arrowhead Pharmaceuticals, Inc.</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139">
              <w:r>
                <w:rPr>
                  <w:rFonts w:ascii="Times New Roman" w:cs="Times New Roman" w:eastAsia="Times New Roman" w:hAnsi="Times New Roman"/>
                  <w:sz w:val="12"/>
                  <w:szCs w:val="12"/>
                  <w:color w:val="0000FF"/>
                </w:rPr>
                <w:t>and Royalty Pharma Investments 2019 ICAV</w:t>
              </w:r>
            </w:hyperlink>
          </w:p>
        </w:tc>
        <w:tc>
          <w:tcPr>
            <w:tcW w:w="3360" w:type="dxa"/>
            <w:vAlign w:val="bottom"/>
            <w:tcBorders>
              <w:top w:val="single" w:sz="8" w:color="0000FF"/>
            </w:tcBorders>
            <w:gridSpan w:val="16"/>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FF"/>
                <w:w w:val="99"/>
              </w:rPr>
            </w:pPr>
            <w:hyperlink r:id="rId140">
              <w:r>
                <w:rPr>
                  <w:rFonts w:ascii="Times New Roman" w:cs="Times New Roman" w:eastAsia="Times New Roman" w:hAnsi="Times New Roman"/>
                  <w:sz w:val="13"/>
                  <w:szCs w:val="13"/>
                  <w:color w:val="0000FF"/>
                  <w:w w:val="99"/>
                </w:rPr>
                <w:t>Lease Agreement between University Research Park, Incorporated and Arrowhead Madison, Inc., dated January</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3"/>
                <w:szCs w:val="13"/>
                <w:color w:val="0000FF"/>
                <w:w w:val="92"/>
              </w:rPr>
            </w:pPr>
            <w:hyperlink r:id="rId140">
              <w:r>
                <w:rPr>
                  <w:rFonts w:ascii="Times New Roman" w:cs="Times New Roman" w:eastAsia="Times New Roman" w:hAnsi="Times New Roman"/>
                  <w:sz w:val="13"/>
                  <w:szCs w:val="13"/>
                  <w:color w:val="0000FF"/>
                  <w:w w:val="92"/>
                </w:rPr>
                <w:t>8, 2016</w:t>
              </w:r>
            </w:hyperlink>
          </w:p>
        </w:tc>
        <w:tc>
          <w:tcPr>
            <w:tcW w:w="4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80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Amendment No. 1 to Lease Agreement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41">
              <w:r>
                <w:rPr>
                  <w:rFonts w:ascii="Times New Roman" w:cs="Times New Roman" w:eastAsia="Times New Roman" w:hAnsi="Times New Roman"/>
                  <w:sz w:val="12"/>
                  <w:szCs w:val="12"/>
                  <w:color w:val="0000FF"/>
                </w:rPr>
                <w:t>Incorporated, dated October 22, 2018</w:t>
              </w:r>
            </w:hyperlink>
          </w:p>
        </w:tc>
        <w:tc>
          <w:tcPr>
            <w:tcW w:w="3440" w:type="dxa"/>
            <w:vAlign w:val="bottom"/>
            <w:tcBorders>
              <w:top w:val="single" w:sz="8" w:color="0000FF"/>
            </w:tcBorders>
            <w:gridSpan w:val="15"/>
          </w:tcPr>
          <w:p>
            <w:pPr>
              <w:spacing w:after="0"/>
              <w:rPr>
                <w:sz w:val="9"/>
                <w:szCs w:val="9"/>
                <w:color w:val="auto"/>
              </w:rPr>
            </w:pPr>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Amendment No. 2 to Lease Agreement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142">
              <w:r>
                <w:rPr>
                  <w:rFonts w:ascii="Times New Roman" w:cs="Times New Roman" w:eastAsia="Times New Roman" w:hAnsi="Times New Roman"/>
                  <w:sz w:val="12"/>
                  <w:szCs w:val="12"/>
                  <w:color w:val="0000FF"/>
                </w:rPr>
                <w:t>Incorporated, dated January 10, 2019</w:t>
              </w:r>
            </w:hyperlink>
          </w:p>
        </w:tc>
        <w:tc>
          <w:tcPr>
            <w:tcW w:w="3460" w:type="dxa"/>
            <w:vAlign w:val="bottom"/>
            <w:tcBorders>
              <w:top w:val="single" w:sz="8" w:color="0000FF"/>
            </w:tcBorders>
            <w:gridSpan w:val="16"/>
          </w:tcPr>
          <w:p>
            <w:pPr>
              <w:spacing w:after="0"/>
              <w:rPr>
                <w:sz w:val="9"/>
                <w:szCs w:val="9"/>
                <w:color w:val="auto"/>
              </w:rPr>
            </w:pPr>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Amendment No. 3 to Lease Agreement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3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143">
              <w:r>
                <w:rPr>
                  <w:rFonts w:ascii="Times New Roman" w:cs="Times New Roman" w:eastAsia="Times New Roman" w:hAnsi="Times New Roman"/>
                  <w:sz w:val="12"/>
                  <w:szCs w:val="12"/>
                  <w:color w:val="0000FF"/>
                </w:rPr>
                <w:t>Incorporated, dated January 11, 2019</w:t>
              </w:r>
            </w:hyperlink>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Amendment No. 4 to Lease Agreement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Incorporated, dated September 19, 2019</w:t>
              </w:r>
            </w:hyperlink>
          </w:p>
        </w:tc>
        <w:tc>
          <w:tcPr>
            <w:tcW w:w="3320" w:type="dxa"/>
            <w:vAlign w:val="bottom"/>
            <w:tcBorders>
              <w:top w:val="single" w:sz="8" w:color="0000FF"/>
            </w:tcBorders>
            <w:gridSpan w:val="14"/>
          </w:tcPr>
          <w:p>
            <w:pPr>
              <w:spacing w:after="0"/>
              <w:rPr>
                <w:sz w:val="9"/>
                <w:szCs w:val="9"/>
                <w:color w:val="auto"/>
              </w:rPr>
            </w:pPr>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30"/>
          </w:tcPr>
          <w:p>
            <w:pPr>
              <w:spacing w:after="0"/>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Amendment No. 5 to Lease Agreement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3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145">
              <w:r>
                <w:rPr>
                  <w:rFonts w:ascii="Times New Roman" w:cs="Times New Roman" w:eastAsia="Times New Roman" w:hAnsi="Times New Roman"/>
                  <w:sz w:val="12"/>
                  <w:szCs w:val="12"/>
                  <w:color w:val="0000FF"/>
                </w:rPr>
                <w:t>Incorporated, dated May 14, 2020</w:t>
              </w:r>
            </w:hyperlink>
          </w:p>
        </w:tc>
        <w:tc>
          <w:tcPr>
            <w:tcW w:w="48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5806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gridSpan w:val="2"/>
          </w:tcPr>
          <w:p>
            <w:pPr>
              <w:ind w:left="10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58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38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3"/>
                <w:szCs w:val="13"/>
                <w:color w:val="auto"/>
              </w:rPr>
              <w:t>Annual Report on Form 10-K, as Exhibit</w:t>
            </w: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3"/>
                <w:szCs w:val="13"/>
                <w:color w:val="auto"/>
              </w:rPr>
              <w:t>December 14, 2016</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Amendment No. 1 to the Registration</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25, 2016</w:t>
            </w:r>
          </w:p>
        </w:tc>
      </w:tr>
      <w:tr>
        <w:trPr>
          <w:trHeight w:val="165"/>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Statement on Form S-3, as Exhibit 10.1)</w:t>
            </w: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7, 2019</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25, 2019</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25, 2019</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10.20</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August 8, 2024</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7, 2019</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4, 2021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May 10, 2022</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August 5, 2021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2, 2022</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6, 2023</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9. 2016</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23, 2020</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23, 2020</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10.24</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23, 2020</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10.25</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23, 2020</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23, 2020</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10.27</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7140" w:space="80"/>
            <w:col w:w="4060"/>
          </w:cols>
          <w:pgMar w:left="300" w:top="958" w:right="3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type w:val="continuous"/>
        </w:sectPr>
      </w:pPr>
    </w:p>
    <w:bookmarkStart w:id="80" w:name="page81"/>
    <w:bookmarkEnd w:id="80"/>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5860" w:type="dxa"/>
            <w:vAlign w:val="bottom"/>
            <w:gridSpan w:val="34"/>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5860" w:type="dxa"/>
            <w:vAlign w:val="bottom"/>
            <w:gridSpan w:val="3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0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10.37</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60" w:type="dxa"/>
            <w:vAlign w:val="bottom"/>
            <w:tcBorders>
              <w:top w:val="single" w:sz="8" w:color="auto"/>
            </w:tcBorders>
            <w:gridSpan w:val="34"/>
          </w:tcPr>
          <w:p>
            <w:pPr>
              <w:spacing w:after="0" w:line="133" w:lineRule="exact"/>
              <w:rPr>
                <w:rFonts w:ascii="Times New Roman" w:cs="Times New Roman" w:eastAsia="Times New Roman" w:hAnsi="Times New Roman"/>
                <w:sz w:val="13"/>
                <w:szCs w:val="13"/>
                <w:color w:val="0000EE"/>
                <w:w w:val="99"/>
              </w:rPr>
            </w:pPr>
            <w:hyperlink r:id="rId148">
              <w:r>
                <w:rPr>
                  <w:rFonts w:ascii="Times New Roman" w:cs="Times New Roman" w:eastAsia="Times New Roman" w:hAnsi="Times New Roman"/>
                  <w:sz w:val="13"/>
                  <w:szCs w:val="13"/>
                  <w:color w:val="0000EE"/>
                  <w:w w:val="99"/>
                </w:rPr>
                <w:t>Amendment No. 6 to Lease Agreement by and between Arrowhead Madison</w:t>
              </w:r>
              <w:r>
                <w:rPr>
                  <w:rFonts w:ascii="Times New Roman" w:cs="Times New Roman" w:eastAsia="Times New Roman" w:hAnsi="Times New Roman"/>
                  <w:sz w:val="13"/>
                  <w:szCs w:val="13"/>
                  <w:color w:val="0000EE"/>
                  <w:highlight w:val="white"/>
                  <w:w w:val="99"/>
                </w:rPr>
                <w:t>,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0000EE"/>
            </w:tcBorders>
            <w:gridSpan w:val="8"/>
          </w:tcPr>
          <w:p>
            <w:pPr>
              <w:spacing w:after="0" w:line="107" w:lineRule="exact"/>
              <w:rPr>
                <w:rFonts w:ascii="Times New Roman" w:cs="Times New Roman" w:eastAsia="Times New Roman" w:hAnsi="Times New Roman"/>
                <w:sz w:val="12"/>
                <w:szCs w:val="12"/>
                <w:color w:val="0000EE"/>
                <w:highlight w:val="white"/>
              </w:rPr>
            </w:pPr>
            <w:hyperlink r:id="rId148">
              <w:r>
                <w:rPr>
                  <w:rFonts w:ascii="Times New Roman" w:cs="Times New Roman" w:eastAsia="Times New Roman" w:hAnsi="Times New Roman"/>
                  <w:sz w:val="12"/>
                  <w:szCs w:val="12"/>
                  <w:color w:val="0000EE"/>
                  <w:highlight w:val="white"/>
                </w:rPr>
                <w:t>dated November 23, 2020</w:t>
              </w:r>
            </w:hyperlink>
          </w:p>
        </w:tc>
        <w:tc>
          <w:tcPr>
            <w:tcW w:w="20" w:type="dxa"/>
            <w:vAlign w:val="bottom"/>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00" w:type="dxa"/>
            <w:vAlign w:val="bottom"/>
            <w:tcBorders>
              <w:top w:val="single" w:sz="8" w:color="0000EE"/>
            </w:tcBorders>
          </w:tcPr>
          <w:p>
            <w:pPr>
              <w:spacing w:after="0"/>
              <w:rPr>
                <w:sz w:val="9"/>
                <w:szCs w:val="9"/>
                <w:color w:val="auto"/>
              </w:rPr>
            </w:pPr>
          </w:p>
        </w:tc>
        <w:tc>
          <w:tcPr>
            <w:tcW w:w="220" w:type="dxa"/>
            <w:vAlign w:val="bottom"/>
            <w:tcBorders>
              <w:top w:val="single" w:sz="8" w:color="0000EE"/>
            </w:tcBorders>
          </w:tcPr>
          <w:p>
            <w:pPr>
              <w:spacing w:after="0"/>
              <w:rPr>
                <w:sz w:val="9"/>
                <w:szCs w:val="9"/>
                <w:color w:val="auto"/>
              </w:rPr>
            </w:pPr>
          </w:p>
        </w:tc>
        <w:tc>
          <w:tcPr>
            <w:tcW w:w="820" w:type="dxa"/>
            <w:vAlign w:val="bottom"/>
            <w:tcBorders>
              <w:top w:val="single" w:sz="8" w:color="0000EE"/>
            </w:tcBorders>
          </w:tcPr>
          <w:p>
            <w:pPr>
              <w:spacing w:after="0"/>
              <w:rPr>
                <w:sz w:val="9"/>
                <w:szCs w:val="9"/>
                <w:color w:val="auto"/>
              </w:rPr>
            </w:pPr>
          </w:p>
        </w:tc>
        <w:tc>
          <w:tcPr>
            <w:tcW w:w="104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60" w:type="dxa"/>
            <w:vAlign w:val="bottom"/>
            <w:gridSpan w:val="34"/>
          </w:tcPr>
          <w:p>
            <w:pPr>
              <w:spacing w:after="0"/>
              <w:rPr>
                <w:rFonts w:ascii="Times New Roman" w:cs="Times New Roman" w:eastAsia="Times New Roman" w:hAnsi="Times New Roman"/>
                <w:sz w:val="13"/>
                <w:szCs w:val="13"/>
                <w:color w:val="0000FF"/>
                <w:w w:val="99"/>
              </w:rPr>
            </w:pPr>
            <w:hyperlink r:id="rId149">
              <w:r>
                <w:rPr>
                  <w:rFonts w:ascii="Times New Roman" w:cs="Times New Roman" w:eastAsia="Times New Roman" w:hAnsi="Times New Roman"/>
                  <w:sz w:val="13"/>
                  <w:szCs w:val="13"/>
                  <w:color w:val="0000FF"/>
                  <w:w w:val="99"/>
                </w:rPr>
                <w:t>Amendment No. 7 to Lease Agreement by and between Arrowhead Madison</w:t>
              </w:r>
              <w:r>
                <w:rPr>
                  <w:rFonts w:ascii="Times New Roman" w:cs="Times New Roman" w:eastAsia="Times New Roman" w:hAnsi="Times New Roman"/>
                  <w:sz w:val="13"/>
                  <w:szCs w:val="13"/>
                  <w:color w:val="0000FF"/>
                  <w:highlight w:val="white"/>
                  <w:w w:val="99"/>
                </w:rPr>
                <w:t>,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Borders>
              <w:bottom w:val="single" w:sz="8" w:color="0000FF"/>
            </w:tcBorders>
            <w:gridSpan w:val="6"/>
          </w:tcPr>
          <w:p>
            <w:pPr>
              <w:spacing w:after="0" w:line="107" w:lineRule="exact"/>
              <w:rPr>
                <w:rFonts w:ascii="Times New Roman" w:cs="Times New Roman" w:eastAsia="Times New Roman" w:hAnsi="Times New Roman"/>
                <w:sz w:val="12"/>
                <w:szCs w:val="12"/>
                <w:color w:val="0000FF"/>
                <w:highlight w:val="white"/>
              </w:rPr>
            </w:pPr>
            <w:hyperlink r:id="rId149">
              <w:r>
                <w:rPr>
                  <w:rFonts w:ascii="Times New Roman" w:cs="Times New Roman" w:eastAsia="Times New Roman" w:hAnsi="Times New Roman"/>
                  <w:sz w:val="12"/>
                  <w:szCs w:val="12"/>
                  <w:color w:val="0000FF"/>
                  <w:highlight w:val="white"/>
                </w:rPr>
                <w:t>dated December 9, 2020</w:t>
              </w:r>
            </w:hyperlink>
          </w:p>
        </w:tc>
        <w:tc>
          <w:tcPr>
            <w:tcW w:w="20" w:type="dxa"/>
            <w:vAlign w:val="bottom"/>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gridSpan w:val="2"/>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104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34"/>
          </w:tcPr>
          <w:p>
            <w:pPr>
              <w:spacing w:after="0"/>
              <w:rPr>
                <w:rFonts w:ascii="Times New Roman" w:cs="Times New Roman" w:eastAsia="Times New Roman" w:hAnsi="Times New Roman"/>
                <w:sz w:val="13"/>
                <w:szCs w:val="13"/>
                <w:color w:val="0000EE"/>
                <w:w w:val="99"/>
              </w:rPr>
            </w:pPr>
            <w:r>
              <w:rPr>
                <w:rFonts w:ascii="Times New Roman" w:cs="Times New Roman" w:eastAsia="Times New Roman" w:hAnsi="Times New Roman"/>
                <w:sz w:val="13"/>
                <w:szCs w:val="13"/>
                <w:color w:val="0000EE"/>
                <w:w w:val="99"/>
              </w:rPr>
              <w:t xml:space="preserve">Amendment No. 8 to Lease Agreement by and between Arrowhead </w:t>
            </w:r>
            <w:hyperlink r:id="rId140">
              <w:r>
                <w:rPr>
                  <w:rFonts w:ascii="Times New Roman" w:cs="Times New Roman" w:eastAsia="Times New Roman" w:hAnsi="Times New Roman"/>
                  <w:sz w:val="13"/>
                  <w:szCs w:val="13"/>
                  <w:color w:val="0000EE"/>
                  <w:w w:val="99"/>
                </w:rPr>
                <w:t xml:space="preserve">Madison, </w:t>
              </w:r>
            </w:hyperlink>
            <w:r>
              <w:rPr>
                <w:rFonts w:ascii="Times New Roman" w:cs="Times New Roman" w:eastAsia="Times New Roman" w:hAnsi="Times New Roman"/>
                <w:sz w:val="13"/>
                <w:szCs w:val="13"/>
                <w:color w:val="0000EE"/>
                <w:w w:val="99"/>
              </w:rPr>
              <w:t>Inc. and University Research Park,</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740" w:type="dxa"/>
            <w:vAlign w:val="bottom"/>
            <w:tcBorders>
              <w:top w:val="single" w:sz="8" w:color="0000EE"/>
            </w:tcBorders>
            <w:gridSpan w:val="28"/>
          </w:tcPr>
          <w:p>
            <w:pPr>
              <w:spacing w:after="0" w:line="107" w:lineRule="exact"/>
              <w:rPr>
                <w:sz w:val="20"/>
                <w:szCs w:val="20"/>
                <w:color w:val="auto"/>
              </w:rPr>
            </w:pPr>
            <w:r>
              <w:rPr>
                <w:rFonts w:ascii="Times New Roman" w:cs="Times New Roman" w:eastAsia="Times New Roman" w:hAnsi="Times New Roman"/>
                <w:sz w:val="12"/>
                <w:szCs w:val="12"/>
                <w:color w:val="0000EE"/>
              </w:rPr>
              <w:t>dated August 26, 2022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34"/>
          </w:tcPr>
          <w:p>
            <w:pPr>
              <w:spacing w:after="0"/>
              <w:rPr>
                <w:rFonts w:ascii="Times New Roman" w:cs="Times New Roman" w:eastAsia="Times New Roman" w:hAnsi="Times New Roman"/>
                <w:sz w:val="13"/>
                <w:szCs w:val="13"/>
                <w:color w:val="0000EE"/>
                <w:w w:val="99"/>
              </w:rPr>
            </w:pPr>
            <w:r>
              <w:rPr>
                <w:rFonts w:ascii="Times New Roman" w:cs="Times New Roman" w:eastAsia="Times New Roman" w:hAnsi="Times New Roman"/>
                <w:sz w:val="13"/>
                <w:szCs w:val="13"/>
                <w:color w:val="0000EE"/>
                <w:w w:val="99"/>
              </w:rPr>
              <w:t xml:space="preserve">Amendment No. 9 to Lease Agreement by and between Arrowhead </w:t>
            </w:r>
            <w:hyperlink r:id="rId140">
              <w:r>
                <w:rPr>
                  <w:rFonts w:ascii="Times New Roman" w:cs="Times New Roman" w:eastAsia="Times New Roman" w:hAnsi="Times New Roman"/>
                  <w:sz w:val="13"/>
                  <w:szCs w:val="13"/>
                  <w:color w:val="0000EE"/>
                  <w:w w:val="99"/>
                </w:rPr>
                <w:t xml:space="preserve">Madison, </w:t>
              </w:r>
            </w:hyperlink>
            <w:r>
              <w:rPr>
                <w:rFonts w:ascii="Times New Roman" w:cs="Times New Roman" w:eastAsia="Times New Roman" w:hAnsi="Times New Roman"/>
                <w:sz w:val="13"/>
                <w:szCs w:val="13"/>
                <w:color w:val="0000EE"/>
                <w:w w:val="99"/>
              </w:rPr>
              <w:t>Inc. and University Research Park,</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740" w:type="dxa"/>
            <w:vAlign w:val="bottom"/>
            <w:tcBorders>
              <w:top w:val="single" w:sz="8" w:color="0000EE"/>
            </w:tcBorders>
            <w:gridSpan w:val="28"/>
          </w:tcPr>
          <w:p>
            <w:pPr>
              <w:spacing w:after="0" w:line="107" w:lineRule="exact"/>
              <w:rPr>
                <w:sz w:val="20"/>
                <w:szCs w:val="20"/>
                <w:color w:val="auto"/>
              </w:rPr>
            </w:pPr>
            <w:r>
              <w:rPr>
                <w:rFonts w:ascii="Times New Roman" w:cs="Times New Roman" w:eastAsia="Times New Roman" w:hAnsi="Times New Roman"/>
                <w:sz w:val="12"/>
                <w:szCs w:val="12"/>
                <w:color w:val="0000EE"/>
              </w:rPr>
              <w:t>dated April 3, 2023</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34"/>
          </w:tcPr>
          <w:p>
            <w:pPr>
              <w:spacing w:after="0"/>
              <w:rPr>
                <w:rFonts w:ascii="Times New Roman" w:cs="Times New Roman" w:eastAsia="Times New Roman" w:hAnsi="Times New Roman"/>
                <w:sz w:val="13"/>
                <w:szCs w:val="13"/>
                <w:color w:val="0000EE"/>
                <w:w w:val="98"/>
              </w:rPr>
            </w:pPr>
            <w:r>
              <w:rPr>
                <w:rFonts w:ascii="Times New Roman" w:cs="Times New Roman" w:eastAsia="Times New Roman" w:hAnsi="Times New Roman"/>
                <w:sz w:val="13"/>
                <w:szCs w:val="13"/>
                <w:color w:val="0000EE"/>
                <w:w w:val="98"/>
              </w:rPr>
              <w:t xml:space="preserve">Amendment No. 10 to Lease Agreement by and between Arrowhead </w:t>
            </w:r>
            <w:hyperlink r:id="rId140">
              <w:r>
                <w:rPr>
                  <w:rFonts w:ascii="Times New Roman" w:cs="Times New Roman" w:eastAsia="Times New Roman" w:hAnsi="Times New Roman"/>
                  <w:sz w:val="13"/>
                  <w:szCs w:val="13"/>
                  <w:color w:val="0000EE"/>
                  <w:w w:val="98"/>
                </w:rPr>
                <w:t xml:space="preserve">Madison, </w:t>
              </w:r>
            </w:hyperlink>
            <w:r>
              <w:rPr>
                <w:rFonts w:ascii="Times New Roman" w:cs="Times New Roman" w:eastAsia="Times New Roman" w:hAnsi="Times New Roman"/>
                <w:sz w:val="13"/>
                <w:szCs w:val="13"/>
                <w:color w:val="0000EE"/>
                <w:w w:val="98"/>
              </w:rPr>
              <w:t>Inc. and University Research Park,</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0000EE"/>
              <w:bottom w:val="single" w:sz="8" w:color="0000EE"/>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EE"/>
              </w:rPr>
              <w:t>dated June 28, 2023</w:t>
            </w:r>
          </w:p>
        </w:tc>
        <w:tc>
          <w:tcPr>
            <w:tcW w:w="4800" w:type="dxa"/>
            <w:vAlign w:val="bottom"/>
            <w:tcBorders>
              <w:top w:val="single" w:sz="8" w:color="0000EE"/>
            </w:tcBorders>
            <w:gridSpan w:val="2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34"/>
          </w:tcPr>
          <w:p>
            <w:pPr>
              <w:spacing w:after="0"/>
              <w:rPr>
                <w:rFonts w:ascii="Times New Roman" w:cs="Times New Roman" w:eastAsia="Times New Roman" w:hAnsi="Times New Roman"/>
                <w:sz w:val="13"/>
                <w:szCs w:val="13"/>
                <w:color w:val="0000EE"/>
                <w:w w:val="98"/>
              </w:rPr>
            </w:pPr>
            <w:r>
              <w:rPr>
                <w:rFonts w:ascii="Times New Roman" w:cs="Times New Roman" w:eastAsia="Times New Roman" w:hAnsi="Times New Roman"/>
                <w:sz w:val="13"/>
                <w:szCs w:val="13"/>
                <w:color w:val="0000EE"/>
                <w:w w:val="98"/>
              </w:rPr>
              <w:t xml:space="preserve">Amendment No. 11 to Lease Agreement by and between Arrowhead </w:t>
            </w:r>
            <w:hyperlink r:id="rId140">
              <w:r>
                <w:rPr>
                  <w:rFonts w:ascii="Times New Roman" w:cs="Times New Roman" w:eastAsia="Times New Roman" w:hAnsi="Times New Roman"/>
                  <w:sz w:val="13"/>
                  <w:szCs w:val="13"/>
                  <w:color w:val="0000EE"/>
                  <w:w w:val="98"/>
                </w:rPr>
                <w:t xml:space="preserve">Madison, </w:t>
              </w:r>
            </w:hyperlink>
            <w:r>
              <w:rPr>
                <w:rFonts w:ascii="Times New Roman" w:cs="Times New Roman" w:eastAsia="Times New Roman" w:hAnsi="Times New Roman"/>
                <w:sz w:val="13"/>
                <w:szCs w:val="13"/>
                <w:color w:val="0000EE"/>
                <w:w w:val="98"/>
              </w:rPr>
              <w:t>Inc. and University Research Park,</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top w:val="single" w:sz="8" w:color="0000EE"/>
              <w:bottom w:val="single" w:sz="8" w:color="0000EE"/>
            </w:tcBorders>
            <w:gridSpan w:val="10"/>
          </w:tcPr>
          <w:p>
            <w:pPr>
              <w:spacing w:after="0" w:line="107" w:lineRule="exact"/>
              <w:rPr>
                <w:sz w:val="20"/>
                <w:szCs w:val="20"/>
                <w:color w:val="auto"/>
              </w:rPr>
            </w:pPr>
            <w:r>
              <w:rPr>
                <w:rFonts w:ascii="Times New Roman" w:cs="Times New Roman" w:eastAsia="Times New Roman" w:hAnsi="Times New Roman"/>
                <w:sz w:val="12"/>
                <w:szCs w:val="12"/>
                <w:color w:val="0000EE"/>
              </w:rPr>
              <w:t>dated September 13, 2024</w:t>
            </w:r>
          </w:p>
        </w:tc>
        <w:tc>
          <w:tcPr>
            <w:tcW w:w="4440" w:type="dxa"/>
            <w:vAlign w:val="bottom"/>
            <w:tcBorders>
              <w:top w:val="single" w:sz="8" w:color="0000EE"/>
            </w:tcBorders>
            <w:gridSpan w:val="21"/>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gridSpan w:val="34"/>
          </w:tcPr>
          <w:p>
            <w:pPr>
              <w:spacing w:after="0"/>
              <w:rPr>
                <w:rFonts w:ascii="Times New Roman" w:cs="Times New Roman" w:eastAsia="Times New Roman" w:hAnsi="Times New Roman"/>
                <w:sz w:val="13"/>
                <w:szCs w:val="13"/>
                <w:color w:val="0000FF"/>
                <w:w w:val="98"/>
              </w:rPr>
            </w:pPr>
            <w:hyperlink r:id="rId150">
              <w:r>
                <w:rPr>
                  <w:rFonts w:ascii="Times New Roman" w:cs="Times New Roman" w:eastAsia="Times New Roman" w:hAnsi="Times New Roman"/>
                  <w:sz w:val="13"/>
                  <w:szCs w:val="13"/>
                  <w:color w:val="0000FF"/>
                  <w:w w:val="98"/>
                </w:rPr>
                <w:t>Amendment No. 12 to Lease Agreement by and between Arrowhead Madison, Inc. and University Research Park,</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40" w:type="dxa"/>
            <w:vAlign w:val="bottom"/>
            <w:tcBorders>
              <w:top w:val="single" w:sz="8" w:color="0000FF"/>
            </w:tcBorders>
            <w:gridSpan w:val="33"/>
          </w:tcPr>
          <w:p>
            <w:pPr>
              <w:spacing w:after="0" w:line="107" w:lineRule="exact"/>
              <w:rPr>
                <w:rFonts w:ascii="Times New Roman" w:cs="Times New Roman" w:eastAsia="Times New Roman" w:hAnsi="Times New Roman"/>
                <w:sz w:val="12"/>
                <w:szCs w:val="12"/>
                <w:color w:val="0000FF"/>
              </w:rPr>
            </w:pPr>
            <w:hyperlink r:id="rId150">
              <w:r>
                <w:rPr>
                  <w:rFonts w:ascii="Times New Roman" w:cs="Times New Roman" w:eastAsia="Times New Roman" w:hAnsi="Times New Roman"/>
                  <w:sz w:val="12"/>
                  <w:szCs w:val="12"/>
                  <w:color w:val="0000FF"/>
                </w:rPr>
                <w:t>dated June 11, 2025</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60" w:type="dxa"/>
            <w:vAlign w:val="bottom"/>
            <w:gridSpan w:val="34"/>
          </w:tcPr>
          <w:p>
            <w:pPr>
              <w:spacing w:after="0"/>
              <w:rPr>
                <w:rFonts w:ascii="Times New Roman" w:cs="Times New Roman" w:eastAsia="Times New Roman" w:hAnsi="Times New Roman"/>
                <w:sz w:val="13"/>
                <w:szCs w:val="13"/>
                <w:color w:val="0000EE"/>
              </w:rPr>
            </w:pPr>
            <w:hyperlink r:id="rId151">
              <w:r>
                <w:rPr>
                  <w:rFonts w:ascii="Times New Roman" w:cs="Times New Roman" w:eastAsia="Times New Roman" w:hAnsi="Times New Roman"/>
                  <w:sz w:val="13"/>
                  <w:szCs w:val="13"/>
                  <w:color w:val="0000EE"/>
                </w:rPr>
                <w:t>Office Lease by and between 177 Colorado Owner LLC and Arrowhead Pharmaceuticals, Inc., dated April 17,</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0000EE"/>
              <w:bottom w:val="single" w:sz="8" w:color="0000EE"/>
            </w:tcBorders>
          </w:tcPr>
          <w:p>
            <w:pPr>
              <w:spacing w:after="0" w:line="129" w:lineRule="exact"/>
              <w:rPr>
                <w:rFonts w:ascii="Times New Roman" w:cs="Times New Roman" w:eastAsia="Times New Roman" w:hAnsi="Times New Roman"/>
                <w:sz w:val="13"/>
                <w:szCs w:val="13"/>
                <w:color w:val="0000EE"/>
                <w:w w:val="84"/>
              </w:rPr>
            </w:pPr>
            <w:hyperlink r:id="rId151">
              <w:r>
                <w:rPr>
                  <w:rFonts w:ascii="Times New Roman" w:cs="Times New Roman" w:eastAsia="Times New Roman" w:hAnsi="Times New Roman"/>
                  <w:sz w:val="13"/>
                  <w:szCs w:val="13"/>
                  <w:color w:val="0000EE"/>
                  <w:w w:val="84"/>
                </w:rPr>
                <w:t>2019</w:t>
              </w:r>
            </w:hyperlink>
          </w:p>
        </w:tc>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20" w:type="dxa"/>
            <w:vAlign w:val="bottom"/>
            <w:tcBorders>
              <w:top w:val="single" w:sz="8" w:color="0000EE"/>
            </w:tcBorders>
          </w:tcPr>
          <w:p>
            <w:pPr>
              <w:spacing w:after="0"/>
              <w:rPr>
                <w:sz w:val="11"/>
                <w:szCs w:val="11"/>
                <w:color w:val="auto"/>
              </w:rPr>
            </w:pPr>
          </w:p>
        </w:tc>
        <w:tc>
          <w:tcPr>
            <w:tcW w:w="10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60" w:type="dxa"/>
            <w:vAlign w:val="bottom"/>
            <w:gridSpan w:val="34"/>
          </w:tcPr>
          <w:p>
            <w:pPr>
              <w:spacing w:after="0"/>
              <w:rPr>
                <w:rFonts w:ascii="Times New Roman" w:cs="Times New Roman" w:eastAsia="Times New Roman" w:hAnsi="Times New Roman"/>
                <w:sz w:val="13"/>
                <w:szCs w:val="13"/>
                <w:color w:val="0000EE"/>
              </w:rPr>
            </w:pPr>
            <w:hyperlink r:id="rId152">
              <w:r>
                <w:rPr>
                  <w:rFonts w:ascii="Times New Roman" w:cs="Times New Roman" w:eastAsia="Times New Roman" w:hAnsi="Times New Roman"/>
                  <w:sz w:val="13"/>
                  <w:szCs w:val="13"/>
                  <w:color w:val="0000EE"/>
                </w:rPr>
                <w:t>First Amendment to Office Lease by and between Arrowhead Pharmaceuticals, Inc. and 177 Colorado Owner</w:t>
              </w:r>
            </w:hyperlink>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0" w:type="dxa"/>
            <w:vAlign w:val="bottom"/>
            <w:tcBorders>
              <w:top w:val="single" w:sz="8" w:color="0000EE"/>
            </w:tcBorders>
            <w:gridSpan w:val="21"/>
          </w:tcPr>
          <w:p>
            <w:pPr>
              <w:spacing w:after="0" w:line="129" w:lineRule="exact"/>
              <w:rPr>
                <w:rFonts w:ascii="Times New Roman" w:cs="Times New Roman" w:eastAsia="Times New Roman" w:hAnsi="Times New Roman"/>
                <w:sz w:val="13"/>
                <w:szCs w:val="13"/>
                <w:color w:val="0000EE"/>
              </w:rPr>
            </w:pPr>
            <w:hyperlink r:id="rId152">
              <w:r>
                <w:rPr>
                  <w:rFonts w:ascii="Times New Roman" w:cs="Times New Roman" w:eastAsia="Times New Roman" w:hAnsi="Times New Roman"/>
                  <w:sz w:val="13"/>
                  <w:szCs w:val="13"/>
                  <w:color w:val="0000EE"/>
                </w:rPr>
                <w:t>LLC., dated October 23,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60" w:type="dxa"/>
            <w:vAlign w:val="bottom"/>
            <w:gridSpan w:val="34"/>
          </w:tcPr>
          <w:p>
            <w:pPr>
              <w:spacing w:after="0"/>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Lease Agreement by and between Arrowhead Pharmaceuticals, Inc. and ARE-SD Region No. 72, LLC, dated</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58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153">
              <w:r>
                <w:rPr>
                  <w:rFonts w:ascii="Times New Roman" w:cs="Times New Roman" w:eastAsia="Times New Roman" w:hAnsi="Times New Roman"/>
                  <w:sz w:val="12"/>
                  <w:szCs w:val="12"/>
                  <w:color w:val="0000FF"/>
                </w:rPr>
                <w:t>November 19,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10.47</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34"/>
          </w:tcPr>
          <w:p>
            <w:pPr>
              <w:spacing w:after="0"/>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First Amendment to Lease Agreement by and between Arrowhead Pharmaceuticals, Inc. and ARE-SD Region</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top w:val="single" w:sz="8" w:color="0000FF"/>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154">
              <w:r>
                <w:rPr>
                  <w:rFonts w:ascii="Times New Roman" w:cs="Times New Roman" w:eastAsia="Times New Roman" w:hAnsi="Times New Roman"/>
                  <w:sz w:val="12"/>
                  <w:szCs w:val="12"/>
                  <w:color w:val="0000FF"/>
                </w:rPr>
                <w:t>No. 72, LLC, dated September 26, 2023</w:t>
              </w:r>
            </w:hyperlink>
          </w:p>
        </w:tc>
        <w:tc>
          <w:tcPr>
            <w:tcW w:w="360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34"/>
          </w:tcPr>
          <w:p>
            <w:pPr>
              <w:spacing w:after="0"/>
              <w:rPr>
                <w:rFonts w:ascii="Times New Roman" w:cs="Times New Roman" w:eastAsia="Times New Roman" w:hAnsi="Times New Roman"/>
                <w:sz w:val="13"/>
                <w:szCs w:val="13"/>
                <w:color w:val="0000FF"/>
              </w:rPr>
            </w:pPr>
            <w:hyperlink r:id="rId155">
              <w:r>
                <w:rPr>
                  <w:rFonts w:ascii="Times New Roman" w:cs="Times New Roman" w:eastAsia="Times New Roman" w:hAnsi="Times New Roman"/>
                  <w:sz w:val="13"/>
                  <w:szCs w:val="13"/>
                  <w:color w:val="0000FF"/>
                </w:rPr>
                <w:t>Open Market Sale Agreement, dated as of December 2, 2022, by and between Arrowhead Pharmaceuticals, Inc.</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70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155">
              <w:r>
                <w:rPr>
                  <w:rFonts w:ascii="Times New Roman" w:cs="Times New Roman" w:eastAsia="Times New Roman" w:hAnsi="Times New Roman"/>
                  <w:sz w:val="12"/>
                  <w:szCs w:val="12"/>
                  <w:color w:val="0000FF"/>
                </w:rPr>
                <w:t>and Jefferies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10.49</w:t>
            </w:r>
            <w:r>
              <w:rPr>
                <w:rFonts w:ascii="Times New Roman" w:cs="Times New Roman" w:eastAsia="Times New Roman" w:hAnsi="Times New Roman"/>
                <w:sz w:val="14"/>
                <w:szCs w:val="14"/>
                <w:color w:val="auto"/>
              </w:rPr>
              <w:t>†</w:t>
            </w: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34"/>
            <w:vMerge w:val="restart"/>
          </w:tcPr>
          <w:p>
            <w:pPr>
              <w:spacing w:after="0"/>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Financing Agreement by and between Company and Sixth Street Lending Partners, dated August 7, 2024</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60" w:type="dxa"/>
            <w:vAlign w:val="bottom"/>
            <w:gridSpan w:val="3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5"/>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10.50</w:t>
            </w: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5620" w:type="dxa"/>
            <w:vAlign w:val="bottom"/>
            <w:tcBorders>
              <w:bottom w:val="single" w:sz="8" w:color="0000FF"/>
            </w:tcBorders>
            <w:gridSpan w:val="22"/>
          </w:tcPr>
          <w:p>
            <w:pPr>
              <w:spacing w:after="0"/>
              <w:rPr>
                <w:rFonts w:ascii="Times New Roman" w:cs="Times New Roman" w:eastAsia="Times New Roman" w:hAnsi="Times New Roman"/>
                <w:sz w:val="13"/>
                <w:szCs w:val="13"/>
                <w:color w:val="0000FF"/>
                <w:w w:val="97"/>
              </w:rPr>
            </w:pPr>
            <w:hyperlink r:id="rId157">
              <w:r>
                <w:rPr>
                  <w:rFonts w:ascii="Times New Roman" w:cs="Times New Roman" w:eastAsia="Times New Roman" w:hAnsi="Times New Roman"/>
                  <w:sz w:val="13"/>
                  <w:szCs w:val="13"/>
                  <w:color w:val="0000FF"/>
                  <w:w w:val="97"/>
                </w:rPr>
                <w:t>First Amendment to Financing Agreement by and between Company and Sixth Street Lending Partners, dated</w:t>
              </w:r>
            </w:hyperlink>
          </w:p>
        </w:tc>
        <w:tc>
          <w:tcPr>
            <w:tcW w:w="4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20" w:type="dxa"/>
            <w:vAlign w:val="bottom"/>
            <w:gridSpan w:val="22"/>
          </w:tcPr>
          <w:p>
            <w:pPr>
              <w:spacing w:after="0" w:line="107" w:lineRule="exact"/>
              <w:rPr>
                <w:rFonts w:ascii="Times New Roman" w:cs="Times New Roman" w:eastAsia="Times New Roman" w:hAnsi="Times New Roman"/>
                <w:sz w:val="12"/>
                <w:szCs w:val="12"/>
                <w:color w:val="0000FF"/>
              </w:rPr>
            </w:pPr>
            <w:hyperlink r:id="rId157">
              <w:r>
                <w:rPr>
                  <w:rFonts w:ascii="Times New Roman" w:cs="Times New Roman" w:eastAsia="Times New Roman" w:hAnsi="Times New Roman"/>
                  <w:sz w:val="12"/>
                  <w:szCs w:val="12"/>
                  <w:color w:val="0000FF"/>
                </w:rPr>
                <w:t>November 26, 2024</w:t>
              </w:r>
            </w:hyperlink>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10.51</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660" w:type="dxa"/>
            <w:vAlign w:val="bottom"/>
            <w:tcBorders>
              <w:bottom w:val="single" w:sz="8" w:color="0000FF"/>
            </w:tcBorders>
            <w:gridSpan w:val="24"/>
          </w:tcPr>
          <w:p>
            <w:pPr>
              <w:spacing w:after="0"/>
              <w:rPr>
                <w:rFonts w:ascii="Times New Roman" w:cs="Times New Roman" w:eastAsia="Times New Roman" w:hAnsi="Times New Roman"/>
                <w:sz w:val="13"/>
                <w:szCs w:val="13"/>
                <w:color w:val="0000FF"/>
                <w:w w:val="98"/>
              </w:rPr>
            </w:pPr>
            <w:hyperlink r:id="rId158">
              <w:r>
                <w:rPr>
                  <w:rFonts w:ascii="Times New Roman" w:cs="Times New Roman" w:eastAsia="Times New Roman" w:hAnsi="Times New Roman"/>
                  <w:sz w:val="13"/>
                  <w:szCs w:val="13"/>
                  <w:color w:val="0000FF"/>
                  <w:w w:val="98"/>
                </w:rPr>
                <w:t>Exclusive License and Collaboration Agreement by and between the Company and Sarepta Therapeutics, Inc.,</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158">
              <w:r>
                <w:rPr>
                  <w:rFonts w:ascii="Times New Roman" w:cs="Times New Roman" w:eastAsia="Times New Roman" w:hAnsi="Times New Roman"/>
                  <w:sz w:val="12"/>
                  <w:szCs w:val="12"/>
                  <w:color w:val="0000FF"/>
                </w:rPr>
                <w:t>dated November 25, 2024</w:t>
              </w:r>
            </w:hyperlink>
          </w:p>
        </w:tc>
        <w:tc>
          <w:tcPr>
            <w:tcW w:w="4340" w:type="dxa"/>
            <w:vAlign w:val="bottom"/>
            <w:gridSpan w:val="16"/>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10.52*</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57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3"/>
                <w:szCs w:val="13"/>
                <w:color w:val="0000FF"/>
                <w:w w:val="97"/>
              </w:rPr>
              <w:t>Exclusive License and Collaboration Agreement by and between Arrowhead Pharmaceuticals, Inc. and Novartis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bottom w:val="single" w:sz="8" w:color="0000FF"/>
            </w:tcBorders>
            <w:gridSpan w:val="12"/>
          </w:tcPr>
          <w:p>
            <w:pPr>
              <w:spacing w:after="0" w:line="107" w:lineRule="exact"/>
              <w:rPr>
                <w:sz w:val="20"/>
                <w:szCs w:val="20"/>
                <w:color w:val="auto"/>
              </w:rPr>
            </w:pPr>
            <w:r>
              <w:rPr>
                <w:rFonts w:ascii="Times New Roman" w:cs="Times New Roman" w:eastAsia="Times New Roman" w:hAnsi="Times New Roman"/>
                <w:sz w:val="12"/>
                <w:szCs w:val="12"/>
                <w:color w:val="0000FF"/>
              </w:rPr>
              <w:t>Pharma AG, dated August 29, 2025</w:t>
            </w:r>
          </w:p>
        </w:tc>
        <w:tc>
          <w:tcPr>
            <w:tcW w:w="3900" w:type="dxa"/>
            <w:vAlign w:val="bottom"/>
            <w:gridSpan w:val="1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gridSpan w:val="34"/>
          </w:tcPr>
          <w:p>
            <w:pPr>
              <w:spacing w:after="0"/>
              <w:rPr>
                <w:rFonts w:ascii="Times New Roman" w:cs="Times New Roman" w:eastAsia="Times New Roman" w:hAnsi="Times New Roman"/>
                <w:sz w:val="13"/>
                <w:szCs w:val="13"/>
                <w:color w:val="0000FF"/>
                <w:w w:val="99"/>
              </w:rPr>
            </w:pPr>
            <w:hyperlink r:id="rId159">
              <w:r>
                <w:rPr>
                  <w:rFonts w:ascii="Times New Roman" w:cs="Times New Roman" w:eastAsia="Times New Roman" w:hAnsi="Times New Roman"/>
                  <w:sz w:val="13"/>
                  <w:szCs w:val="13"/>
                  <w:color w:val="0000FF"/>
                  <w:w w:val="99"/>
                </w:rPr>
                <w:t>Severance and Change of Control Agreement by and between Company and Christopher Anzalone, dated May 9,</w:t>
              </w:r>
            </w:hyperlink>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1"/>
              </w:rPr>
            </w:pPr>
            <w:hyperlink r:id="rId159">
              <w:r>
                <w:rPr>
                  <w:rFonts w:ascii="Times New Roman" w:cs="Times New Roman" w:eastAsia="Times New Roman" w:hAnsi="Times New Roman"/>
                  <w:sz w:val="12"/>
                  <w:szCs w:val="12"/>
                  <w:color w:val="0000FF"/>
                  <w:w w:val="91"/>
                </w:rPr>
                <w:t>2025</w:t>
              </w:r>
            </w:hyperlink>
          </w:p>
        </w:tc>
        <w:tc>
          <w:tcPr>
            <w:tcW w:w="6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10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78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6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w w:val="97"/>
              </w:rPr>
            </w:pPr>
            <w:hyperlink r:id="rId160">
              <w:r>
                <w:rPr>
                  <w:rFonts w:ascii="Times New Roman" w:cs="Times New Roman" w:eastAsia="Times New Roman" w:hAnsi="Times New Roman"/>
                  <w:sz w:val="13"/>
                  <w:szCs w:val="13"/>
                  <w:color w:val="0000FF"/>
                  <w:w w:val="97"/>
                </w:rPr>
                <w:t>Severance and Change of Control Agreement by and between Company and Daniel Apel, dated May 8, 2025</w:t>
              </w:r>
            </w:hyperlink>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28"/>
          </w:tcPr>
          <w:p>
            <w:pPr>
              <w:spacing w:after="0"/>
              <w:rPr>
                <w:rFonts w:ascii="Times New Roman" w:cs="Times New Roman" w:eastAsia="Times New Roman" w:hAnsi="Times New Roman"/>
                <w:sz w:val="13"/>
                <w:szCs w:val="13"/>
                <w:color w:val="0000FF"/>
                <w:w w:val="97"/>
              </w:rPr>
            </w:pPr>
            <w:hyperlink r:id="rId161">
              <w:r>
                <w:rPr>
                  <w:rFonts w:ascii="Times New Roman" w:cs="Times New Roman" w:eastAsia="Times New Roman" w:hAnsi="Times New Roman"/>
                  <w:sz w:val="13"/>
                  <w:szCs w:val="13"/>
                  <w:color w:val="0000FF"/>
                  <w:w w:val="97"/>
                </w:rPr>
                <w:t>Severance and Change of Control Agreement by and between Company and Patrick O'Brien, dated May 9, 2025</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29"/>
          </w:tcPr>
          <w:p>
            <w:pPr>
              <w:spacing w:after="0"/>
              <w:rPr>
                <w:rFonts w:ascii="Times New Roman" w:cs="Times New Roman" w:eastAsia="Times New Roman" w:hAnsi="Times New Roman"/>
                <w:sz w:val="13"/>
                <w:szCs w:val="13"/>
                <w:color w:val="0000FF"/>
                <w:w w:val="97"/>
              </w:rPr>
            </w:pPr>
            <w:hyperlink r:id="rId162">
              <w:r>
                <w:rPr>
                  <w:rFonts w:ascii="Times New Roman" w:cs="Times New Roman" w:eastAsia="Times New Roman" w:hAnsi="Times New Roman"/>
                  <w:sz w:val="13"/>
                  <w:szCs w:val="13"/>
                  <w:color w:val="0000FF"/>
                  <w:w w:val="97"/>
                </w:rPr>
                <w:t>Severance and Change of Control Agreement by and between Company and James Hamilton, dated May 8, 2025</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10.57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w w:val="97"/>
              </w:rPr>
            </w:pPr>
            <w:hyperlink r:id="rId163">
              <w:r>
                <w:rPr>
                  <w:rFonts w:ascii="Times New Roman" w:cs="Times New Roman" w:eastAsia="Times New Roman" w:hAnsi="Times New Roman"/>
                  <w:sz w:val="13"/>
                  <w:szCs w:val="13"/>
                  <w:color w:val="0000FF"/>
                  <w:w w:val="97"/>
                </w:rPr>
                <w:t>CFO Retirement Letter by and between Company and Ken Myszkowski, dated May 9, 2025</w:t>
              </w:r>
            </w:hyperlink>
          </w:p>
        </w:tc>
        <w:tc>
          <w:tcPr>
            <w:tcW w:w="11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34"/>
          </w:tcPr>
          <w:p>
            <w:pPr>
              <w:spacing w:after="0"/>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Arrowhead Pharmaceuticals, Inc. Insider Trading Policy</w:t>
              </w:r>
            </w:hyperlink>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3"/>
                <w:szCs w:val="13"/>
                <w:color w:val="0000FF"/>
              </w:rPr>
              <w:t>List of Subsidiaries</w:t>
            </w:r>
          </w:p>
        </w:tc>
        <w:tc>
          <w:tcPr>
            <w:tcW w:w="300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5806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80" w:type="dxa"/>
            <w:vAlign w:val="bottom"/>
            <w:gridSpan w:val="2"/>
          </w:tcPr>
          <w:p>
            <w:pPr>
              <w:ind w:left="10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58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148"/>
        </w:trPr>
        <w:tc>
          <w:tcPr>
            <w:tcW w:w="2380" w:type="dxa"/>
            <w:vAlign w:val="bottom"/>
            <w:tcBorders>
              <w:top w:val="single" w:sz="8" w:color="auto"/>
            </w:tcBorders>
          </w:tcPr>
          <w:p>
            <w:pPr>
              <w:ind w:left="20"/>
              <w:spacing w:after="0" w:line="149" w:lineRule="exact"/>
              <w:rPr>
                <w:sz w:val="20"/>
                <w:szCs w:val="20"/>
                <w:color w:val="auto"/>
              </w:rPr>
            </w:pPr>
            <w:r>
              <w:rPr>
                <w:rFonts w:ascii="Times New Roman" w:cs="Times New Roman" w:eastAsia="Times New Roman" w:hAnsi="Times New Roman"/>
                <w:sz w:val="13"/>
                <w:szCs w:val="13"/>
                <w:color w:val="auto"/>
              </w:rPr>
              <w:t>Quarterly Report on Form 10-Q, as Exhibit</w:t>
            </w: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3"/>
                <w:szCs w:val="13"/>
                <w:color w:val="auto"/>
              </w:rPr>
              <w:t>February 4, 2021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Quarterly Report on Form 10-Q, as Exhibit</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February 4, 2021</w:t>
            </w:r>
          </w:p>
        </w:tc>
      </w:tr>
      <w:tr>
        <w:trPr>
          <w:trHeight w:val="16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August 7,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10.6</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August 5, 2019</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w:t>
      </w:r>
    </w:p>
    <w:p>
      <w:pPr>
        <w:spacing w:after="0" w:line="102"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February 4, 2021</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10.2</w:t>
      </w:r>
    </w:p>
    <w:p>
      <w:pPr>
        <w:spacing w:after="0" w:line="102"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February 2, 2022</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10.2</w:t>
      </w:r>
    </w:p>
    <w:p>
      <w:pPr>
        <w:spacing w:after="0" w:line="91"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Annual Report on Form 10-K, as Exhibit</w:t>
      </w:r>
      <w:r>
        <w:rPr>
          <w:sz w:val="20"/>
          <w:szCs w:val="20"/>
          <w:color w:val="auto"/>
        </w:rPr>
        <w:tab/>
      </w:r>
      <w:r>
        <w:rPr>
          <w:rFonts w:ascii="Times New Roman" w:cs="Times New Roman" w:eastAsia="Times New Roman" w:hAnsi="Times New Roman"/>
          <w:sz w:val="12"/>
          <w:szCs w:val="12"/>
          <w:color w:val="auto"/>
        </w:rPr>
        <w:t>November 29, 2023</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10.39</w:t>
      </w:r>
    </w:p>
    <w:p>
      <w:pPr>
        <w:spacing w:after="0" w:line="59"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Current Report on Form 8-K as Exhibit 1.1</w:t>
      </w:r>
      <w:r>
        <w:rPr>
          <w:sz w:val="20"/>
          <w:szCs w:val="20"/>
          <w:color w:val="auto"/>
        </w:rPr>
        <w:tab/>
      </w:r>
      <w:r>
        <w:rPr>
          <w:rFonts w:ascii="Times New Roman" w:cs="Times New Roman" w:eastAsia="Times New Roman" w:hAnsi="Times New Roman"/>
          <w:sz w:val="12"/>
          <w:szCs w:val="12"/>
          <w:color w:val="auto"/>
        </w:rPr>
        <w:t>December 2, 2022</w:t>
      </w:r>
    </w:p>
    <w:p>
      <w:pPr>
        <w:spacing w:after="0" w:line="148"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Annual Report on Form 10-K, as Exhibit</w:t>
      </w:r>
      <w:r>
        <w:rPr>
          <w:sz w:val="20"/>
          <w:szCs w:val="20"/>
          <w:color w:val="auto"/>
        </w:rPr>
        <w:tab/>
      </w:r>
      <w:r>
        <w:rPr>
          <w:rFonts w:ascii="Times New Roman" w:cs="Times New Roman" w:eastAsia="Times New Roman" w:hAnsi="Times New Roman"/>
          <w:sz w:val="12"/>
          <w:szCs w:val="12"/>
          <w:color w:val="auto"/>
        </w:rPr>
        <w:t>November 26, 2024</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10.47</w:t>
      </w:r>
    </w:p>
    <w:p>
      <w:pPr>
        <w:spacing w:after="0" w:line="59"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February 10,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10.4</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February 10,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10.3</w:t>
      </w:r>
    </w:p>
    <w:p>
      <w:pPr>
        <w:spacing w:after="0" w:line="314"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May 12,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May 12,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10.2</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May 12,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10.3</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May 12,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10.4</w:t>
      </w:r>
    </w:p>
    <w:p>
      <w:pPr>
        <w:spacing w:after="0" w:line="17"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Quarterly Report on Form 10-Q, as Exhibit</w:t>
      </w:r>
      <w:r>
        <w:rPr>
          <w:sz w:val="20"/>
          <w:szCs w:val="20"/>
          <w:color w:val="auto"/>
        </w:rPr>
        <w:tab/>
      </w:r>
      <w:r>
        <w:rPr>
          <w:rFonts w:ascii="Times New Roman" w:cs="Times New Roman" w:eastAsia="Times New Roman" w:hAnsi="Times New Roman"/>
          <w:sz w:val="12"/>
          <w:szCs w:val="12"/>
          <w:color w:val="auto"/>
        </w:rPr>
        <w:t>May 12, 2025</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10.5</w:t>
      </w:r>
    </w:p>
    <w:p>
      <w:pPr>
        <w:spacing w:after="0" w:line="59" w:lineRule="exact"/>
        <w:rPr>
          <w:sz w:val="20"/>
          <w:szCs w:val="20"/>
          <w:color w:val="auto"/>
        </w:rPr>
      </w:pPr>
    </w:p>
    <w:p>
      <w:pPr>
        <w:ind w:left="20"/>
        <w:spacing w:after="0"/>
        <w:tabs>
          <w:tab w:leader="none" w:pos="2460" w:val="left"/>
        </w:tabs>
        <w:rPr>
          <w:sz w:val="20"/>
          <w:szCs w:val="20"/>
          <w:color w:val="auto"/>
        </w:rPr>
      </w:pPr>
      <w:r>
        <w:rPr>
          <w:rFonts w:ascii="Times New Roman" w:cs="Times New Roman" w:eastAsia="Times New Roman" w:hAnsi="Times New Roman"/>
          <w:sz w:val="13"/>
          <w:szCs w:val="13"/>
          <w:color w:val="auto"/>
        </w:rPr>
        <w:t>Annual Report on Form 10-K, as Exhibit 19.1</w:t>
      </w:r>
      <w:r>
        <w:rPr>
          <w:sz w:val="20"/>
          <w:szCs w:val="20"/>
          <w:color w:val="auto"/>
        </w:rPr>
        <w:tab/>
      </w:r>
      <w:r>
        <w:rPr>
          <w:rFonts w:ascii="Times New Roman" w:cs="Times New Roman" w:eastAsia="Times New Roman" w:hAnsi="Times New Roman"/>
          <w:sz w:val="12"/>
          <w:szCs w:val="12"/>
          <w:color w:val="auto"/>
        </w:rPr>
        <w:t>November 26, 2024</w:t>
      </w:r>
    </w:p>
    <w:p>
      <w:pPr>
        <w:spacing w:after="0" w:line="464" w:lineRule="exact"/>
        <w:rPr>
          <w:sz w:val="20"/>
          <w:szCs w:val="20"/>
          <w:color w:val="auto"/>
        </w:rPr>
      </w:pPr>
    </w:p>
    <w:p>
      <w:pPr>
        <w:sectPr>
          <w:pgSz w:w="11900" w:h="16838" w:orient="portrait"/>
          <w:cols w:equalWidth="0" w:num="2">
            <w:col w:w="7140" w:space="80"/>
            <w:col w:w="4060"/>
          </w:cols>
          <w:pgMar w:left="300" w:top="958" w:right="3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58"/>
        </w:trPr>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1"/>
                <w:szCs w:val="11"/>
                <w:b w:val="1"/>
                <w:bCs w:val="1"/>
                <w:color w:val="auto"/>
              </w:rPr>
              <w:t>Incorporated by Reference Herein</w:t>
            </w:r>
          </w:p>
        </w:tc>
        <w:tc>
          <w:tcPr>
            <w:tcW w:w="0" w:type="dxa"/>
            <w:vAlign w:val="bottom"/>
          </w:tcPr>
          <w:p>
            <w:pPr>
              <w:spacing w:after="0"/>
              <w:rPr>
                <w:sz w:val="1"/>
                <w:szCs w:val="1"/>
                <w:color w:val="auto"/>
              </w:rPr>
            </w:pPr>
          </w:p>
        </w:tc>
      </w:tr>
      <w:tr>
        <w:trPr>
          <w:trHeight w:val="97"/>
        </w:trPr>
        <w:tc>
          <w:tcPr>
            <w:tcW w:w="128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8"/>
                <w:szCs w:val="8"/>
                <w:color w:val="auto"/>
              </w:rPr>
            </w:pPr>
          </w:p>
        </w:tc>
        <w:tc>
          <w:tcPr>
            <w:tcW w:w="5920" w:type="dxa"/>
            <w:vAlign w:val="bottom"/>
            <w:gridSpan w:val="9"/>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580" w:type="dxa"/>
            <w:vAlign w:val="bottom"/>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5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5920" w:type="dxa"/>
            <w:vAlign w:val="bottom"/>
            <w:gridSpan w:val="9"/>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00" w:type="dxa"/>
            <w:vAlign w:val="bottom"/>
            <w:tcBorders>
              <w:top w:val="single" w:sz="8" w:color="auto"/>
            </w:tcBorders>
          </w:tcPr>
          <w:p>
            <w:pPr>
              <w:ind w:left="20"/>
              <w:spacing w:after="0" w:line="133" w:lineRule="exact"/>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60" w:type="dxa"/>
            <w:vAlign w:val="bottom"/>
            <w:tcBorders>
              <w:top w:val="single" w:sz="8" w:color="auto"/>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3"/>
                <w:szCs w:val="13"/>
                <w:color w:val="0000FF"/>
                <w:w w:val="97"/>
              </w:rPr>
              <w:t>Consent of Independent Public Registered Accounting Firm</w:t>
            </w:r>
          </w:p>
        </w:tc>
        <w:tc>
          <w:tcPr>
            <w:tcW w:w="2780" w:type="dxa"/>
            <w:vAlign w:val="bottom"/>
            <w:tcBorders>
              <w:top w:val="single" w:sz="8" w:color="auto"/>
            </w:tcBorders>
            <w:gridSpan w:val="6"/>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0000FF"/>
              </w:rPr>
              <w:t>Consent of Independent Public Registered Accounting Firm</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7"/>
              </w:rPr>
              <w:t>Certification of Chief Executive Officer pursuant to Section 302 of the Sarbanes-Oxley Act of 2002</w:t>
            </w:r>
          </w:p>
        </w:tc>
        <w:tc>
          <w:tcPr>
            <w:tcW w:w="840" w:type="dxa"/>
            <w:vAlign w:val="bottom"/>
            <w:gridSpan w:val="4"/>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7"/>
              </w:rPr>
              <w:t>Certification of Chief Financial Officer pursuant to Section 302 of the Sarbanes-Oxley Act of 2002</w:t>
            </w:r>
          </w:p>
        </w:tc>
        <w:tc>
          <w:tcPr>
            <w:tcW w:w="880" w:type="dxa"/>
            <w:vAlign w:val="bottom"/>
            <w:gridSpan w:val="6"/>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w w:val="97"/>
              </w:rPr>
              <w:t>Certification by Chief Executive Officer pursuant to Section 906 of the Sarbanes-Oxley Act of 2002</w:t>
            </w:r>
          </w:p>
        </w:tc>
        <w:tc>
          <w:tcPr>
            <w:tcW w:w="820" w:type="dxa"/>
            <w:vAlign w:val="bottom"/>
            <w:gridSpan w:val="3"/>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0000EE"/>
              </w:rPr>
              <w:t>Certification by Chief Financial Officer pursuant to Section 906 of the Sarbanes-Oxley Act of 2002</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0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w w:val="97"/>
              </w:rPr>
            </w:pPr>
            <w:hyperlink r:id="rId167">
              <w:r>
                <w:rPr>
                  <w:rFonts w:ascii="Times New Roman" w:cs="Times New Roman" w:eastAsia="Times New Roman" w:hAnsi="Times New Roman"/>
                  <w:sz w:val="13"/>
                  <w:szCs w:val="13"/>
                  <w:color w:val="0000FF"/>
                  <w:w w:val="97"/>
                </w:rPr>
                <w:t>Arrowhead Pharmaceuticals, Inc. Compensation Recoupment (Clawback) Policy, dated November 20, 2023</w:t>
              </w:r>
            </w:hyperlink>
          </w:p>
        </w:tc>
        <w:tc>
          <w:tcPr>
            <w:tcW w:w="420" w:type="dxa"/>
            <w:vAlign w:val="bottom"/>
            <w:gridSpan w:val="2"/>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Annual Report on Form 10-K, as Exhibit 97</w:t>
            </w:r>
          </w:p>
        </w:tc>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November 29, 2023</w:t>
            </w:r>
          </w:p>
        </w:tc>
        <w:tc>
          <w:tcPr>
            <w:tcW w:w="0" w:type="dxa"/>
            <w:vAlign w:val="bottom"/>
          </w:tcPr>
          <w:p>
            <w:pPr>
              <w:spacing w:after="0"/>
              <w:rPr>
                <w:sz w:val="1"/>
                <w:szCs w:val="1"/>
                <w:color w:val="auto"/>
              </w:rPr>
            </w:pPr>
          </w:p>
        </w:tc>
      </w:tr>
      <w:tr>
        <w:trPr>
          <w:trHeight w:val="273"/>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Instance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Pr>
          <w:p>
            <w:pPr>
              <w:spacing w:after="0"/>
              <w:rPr>
                <w:sz w:val="23"/>
                <w:szCs w:val="23"/>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212529"/>
              </w:rPr>
              <w:t>The cover page from the Company’s Annual Report on Form 10-K for the year ended September 30, 2024,</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3"/>
                <w:szCs w:val="13"/>
                <w:color w:val="212529"/>
              </w:rPr>
              <w:t>formatted in Inline XBRL (included as Exhibit 101)</w:t>
            </w: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3" w:lineRule="exact"/>
        <w:rPr>
          <w:sz w:val="20"/>
          <w:szCs w:val="20"/>
          <w:color w:val="auto"/>
        </w:rPr>
      </w:pPr>
    </w:p>
    <w:p>
      <w:pPr>
        <w:ind w:left="280" w:hanging="275"/>
        <w:spacing w:after="0"/>
        <w:tabs>
          <w:tab w:leader="none" w:pos="2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compensation plan, contract or arrangement.</w:t>
      </w:r>
    </w:p>
    <w:p>
      <w:pPr>
        <w:spacing w:after="0" w:line="8" w:lineRule="exact"/>
        <w:rPr>
          <w:rFonts w:ascii="Times New Roman" w:cs="Times New Roman" w:eastAsia="Times New Roman" w:hAnsi="Times New Roman"/>
          <w:sz w:val="14"/>
          <w:szCs w:val="14"/>
          <w:color w:val="auto"/>
        </w:rPr>
      </w:pPr>
    </w:p>
    <w:p>
      <w:pPr>
        <w:ind w:left="360" w:hanging="355"/>
        <w:spacing w:after="0"/>
        <w:tabs>
          <w:tab w:leader="none" w:pos="3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9" w:lineRule="exact"/>
        <w:rPr>
          <w:sz w:val="20"/>
          <w:szCs w:val="20"/>
          <w:color w:val="auto"/>
        </w:rPr>
      </w:pPr>
    </w:p>
    <w:p>
      <w:pPr>
        <w:ind w:left="520" w:right="120" w:hanging="515"/>
        <w:spacing w:after="0" w:line="266" w:lineRule="auto"/>
        <w:tabs>
          <w:tab w:leader="none" w:pos="223"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were redacted by means of marking such portions with asterisks because the identified portions are (i) not material and (ii) treated as private or confidential by the Company.</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FORM 10-K SUMMARY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8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on Form 10-K to be signed on its behalf by the undersigned, thereunto duly authorized.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November 25, 2025</w:t>
      </w:r>
    </w:p>
    <w:p>
      <w:pPr>
        <w:spacing w:after="0" w:line="21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color w:val="auto"/>
        </w:rPr>
        <w:t>ARROWHEAD PHARMACEUTICALS, INC.</w:t>
      </w:r>
    </w:p>
    <w:p>
      <w:pPr>
        <w:spacing w:after="0" w:line="232" w:lineRule="exact"/>
        <w:rPr>
          <w:sz w:val="20"/>
          <w:szCs w:val="20"/>
          <w:color w:val="auto"/>
        </w:rPr>
      </w:pPr>
    </w:p>
    <w:tbl>
      <w:tblPr>
        <w:tblLayout w:type="fixed"/>
        <w:tblInd w:w="640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Anzalone</w:t>
            </w:r>
          </w:p>
        </w:tc>
      </w:tr>
      <w:tr>
        <w:trPr>
          <w:trHeight w:val="167"/>
        </w:trPr>
        <w:tc>
          <w:tcPr>
            <w:tcW w:w="440" w:type="dxa"/>
            <w:vAlign w:val="bottom"/>
          </w:tcPr>
          <w:p>
            <w:pPr>
              <w:spacing w:after="0"/>
              <w:rPr>
                <w:sz w:val="14"/>
                <w:szCs w:val="1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Anzalone</w:t>
            </w:r>
          </w:p>
        </w:tc>
      </w:tr>
      <w:tr>
        <w:trPr>
          <w:trHeight w:val="184"/>
        </w:trPr>
        <w:tc>
          <w:tcPr>
            <w:tcW w:w="440" w:type="dxa"/>
            <w:vAlign w:val="bottom"/>
          </w:tcPr>
          <w:p>
            <w:pPr>
              <w:spacing w:after="0"/>
              <w:rPr>
                <w:sz w:val="16"/>
                <w:szCs w:val="16"/>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2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4"/>
          <w:szCs w:val="14"/>
          <w:b w:val="1"/>
          <w:bCs w:val="1"/>
          <w:u w:val="single" w:color="auto"/>
          <w:color w:val="auto"/>
        </w:rPr>
        <w:t>POWER OF ATTORNEY</w:t>
      </w:r>
    </w:p>
    <w:p>
      <w:pPr>
        <w:spacing w:after="0" w:line="96"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Christopher Anzalone and Daniel Apel, and each of them, as true and lawful attorneys-in-fact and agents, with full powers of substitution and resubstitution, for them and in their name, place and stead, in any and all capacities, to sign in any and all capacities (including, without limitation, the capacities listed below), this Annual Report on Form 10-K, any and all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Exchange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4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on Form 10-K has been signed below by the following persons on behalf of the Registrant and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29"/>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Christopher Anzalone</w:t>
            </w:r>
          </w:p>
        </w:tc>
        <w:tc>
          <w:tcPr>
            <w:tcW w:w="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 President and Director, Chairman of the Board of</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81"/>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Anzalone</w:t>
            </w:r>
          </w:p>
        </w:tc>
        <w:tc>
          <w:tcPr>
            <w:tcW w:w="80" w:type="dxa"/>
            <w:vAlign w:val="bottom"/>
          </w:tcPr>
          <w:p>
            <w:pPr>
              <w:spacing w:after="0"/>
              <w:rPr>
                <w:sz w:val="15"/>
                <w:szCs w:val="15"/>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Directors (Principal Executive Officer)</w:t>
            </w:r>
          </w:p>
        </w:tc>
        <w:tc>
          <w:tcPr>
            <w:tcW w:w="3420" w:type="dxa"/>
            <w:vAlign w:val="bottom"/>
          </w:tcPr>
          <w:p>
            <w:pPr>
              <w:spacing w:after="0"/>
              <w:rPr>
                <w:sz w:val="15"/>
                <w:szCs w:val="15"/>
                <w:color w:val="auto"/>
              </w:rPr>
            </w:pPr>
          </w:p>
        </w:tc>
      </w:tr>
      <w:tr>
        <w:trPr>
          <w:trHeight w:val="255"/>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Apel</w:t>
            </w:r>
          </w:p>
        </w:tc>
        <w:tc>
          <w:tcPr>
            <w:tcW w:w="8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81"/>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 Apel</w:t>
            </w:r>
          </w:p>
        </w:tc>
        <w:tc>
          <w:tcPr>
            <w:tcW w:w="80" w:type="dxa"/>
            <w:vAlign w:val="bottom"/>
          </w:tcPr>
          <w:p>
            <w:pPr>
              <w:spacing w:after="0"/>
              <w:rPr>
                <w:sz w:val="15"/>
                <w:szCs w:val="15"/>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and Accounting Officer)</w:t>
            </w:r>
          </w:p>
        </w:tc>
        <w:tc>
          <w:tcPr>
            <w:tcW w:w="3420" w:type="dxa"/>
            <w:vAlign w:val="bottom"/>
          </w:tcPr>
          <w:p>
            <w:pPr>
              <w:spacing w:after="0"/>
              <w:rPr>
                <w:sz w:val="15"/>
                <w:szCs w:val="15"/>
                <w:color w:val="auto"/>
              </w:rPr>
            </w:pPr>
          </w:p>
        </w:tc>
      </w:tr>
      <w:tr>
        <w:trPr>
          <w:trHeight w:val="223"/>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Mauro Ferrari</w:t>
            </w:r>
          </w:p>
        </w:tc>
        <w:tc>
          <w:tcPr>
            <w:tcW w:w="80" w:type="dxa"/>
            <w:vAlign w:val="bottom"/>
          </w:tcPr>
          <w:p>
            <w:pPr>
              <w:spacing w:after="0"/>
              <w:rPr>
                <w:sz w:val="19"/>
                <w:szCs w:val="19"/>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Mauro Ferrari</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Douglass Ingram</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Douglass Ingram</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Hongbo Lu</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Hongbo Lu</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Adeoye Olukotun</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Adeoye Olukotun</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S. Perry</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S. Perry</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Victoria Vakiener</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Victoria Vakiener</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217"/>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Waddill</w:t>
            </w: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25, 2025</w:t>
            </w:r>
          </w:p>
        </w:tc>
      </w:tr>
      <w:tr>
        <w:trPr>
          <w:trHeight w:val="177"/>
        </w:trPr>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William Waddill</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705"/>
        </w:trPr>
        <w:tc>
          <w:tcPr>
            <w:tcW w:w="3400" w:type="dxa"/>
            <w:vAlign w:val="bottom"/>
          </w:tcPr>
          <w:p>
            <w:pPr>
              <w:spacing w:after="0"/>
              <w:rPr>
                <w:sz w:val="24"/>
                <w:szCs w:val="24"/>
                <w:color w:val="auto"/>
              </w:rPr>
            </w:pPr>
          </w:p>
        </w:tc>
        <w:tc>
          <w:tcPr>
            <w:tcW w:w="4380" w:type="dxa"/>
            <w:vAlign w:val="bottom"/>
            <w:gridSpan w:val="2"/>
          </w:tcPr>
          <w:p>
            <w:pPr>
              <w:jc w:val="center"/>
              <w:ind w:left="49"/>
              <w:spacing w:after="0"/>
              <w:rPr>
                <w:sz w:val="20"/>
                <w:szCs w:val="20"/>
                <w:color w:val="auto"/>
              </w:rPr>
            </w:pPr>
            <w:r>
              <w:rPr>
                <w:rFonts w:ascii="Times New Roman" w:cs="Times New Roman" w:eastAsia="Times New Roman" w:hAnsi="Times New Roman"/>
                <w:sz w:val="14"/>
                <w:szCs w:val="14"/>
                <w:color w:val="auto"/>
                <w:w w:val="99"/>
              </w:rPr>
              <w:t>80</w:t>
            </w: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76"/>
        </w:trPr>
        <w:tc>
          <w:tcPr>
            <w:tcW w:w="3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80" w:type="dxa"/>
            <w:vAlign w:val="bottom"/>
            <w:gridSpan w:val="4"/>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INDEX TO FINANCIAL STATEMENTS AND SCHEDULE</w:t>
            </w:r>
          </w:p>
        </w:tc>
        <w:tc>
          <w:tcPr>
            <w:tcW w:w="2300" w:type="dxa"/>
            <w:vAlign w:val="bottom"/>
          </w:tcPr>
          <w:p>
            <w:pPr>
              <w:spacing w:after="0"/>
              <w:rPr>
                <w:sz w:val="16"/>
                <w:szCs w:val="16"/>
                <w:color w:val="auto"/>
              </w:rPr>
            </w:pPr>
          </w:p>
        </w:tc>
      </w:tr>
      <w:tr>
        <w:trPr>
          <w:trHeight w:val="351"/>
        </w:trPr>
        <w:tc>
          <w:tcPr>
            <w:tcW w:w="20" w:type="dxa"/>
            <w:vAlign w:val="bottom"/>
          </w:tcPr>
          <w:p>
            <w:pPr>
              <w:spacing w:after="0"/>
              <w:rPr>
                <w:sz w:val="24"/>
                <w:szCs w:val="24"/>
                <w:color w:val="auto"/>
              </w:rPr>
            </w:pPr>
          </w:p>
        </w:tc>
        <w:tc>
          <w:tcPr>
            <w:tcW w:w="89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Reports of Independent Registered Public Accounting Firm </w:t>
            </w:r>
            <w:r>
              <w:rPr>
                <w:rFonts w:ascii="Times New Roman" w:cs="Times New Roman" w:eastAsia="Times New Roman" w:hAnsi="Times New Roman"/>
                <w:sz w:val="14"/>
                <w:szCs w:val="14"/>
                <w:color w:val="000000"/>
              </w:rPr>
              <w:t>(PCAOB ID: 185)</w:t>
            </w: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F-2</w:t>
            </w:r>
          </w:p>
        </w:tc>
      </w:tr>
      <w:tr>
        <w:trPr>
          <w:trHeight w:val="182"/>
        </w:trPr>
        <w:tc>
          <w:tcPr>
            <w:tcW w:w="20" w:type="dxa"/>
            <w:vAlign w:val="bottom"/>
          </w:tcPr>
          <w:p>
            <w:pPr>
              <w:spacing w:after="0"/>
              <w:rPr>
                <w:sz w:val="15"/>
                <w:szCs w:val="15"/>
                <w:color w:val="auto"/>
              </w:rPr>
            </w:pPr>
          </w:p>
        </w:tc>
        <w:tc>
          <w:tcPr>
            <w:tcW w:w="33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40" w:type="dxa"/>
            <w:vAlign w:val="bottom"/>
            <w:tcBorders>
              <w:top w:val="single" w:sz="8" w:color="0000FF"/>
            </w:tcBorders>
          </w:tcPr>
          <w:p>
            <w:pPr>
              <w:spacing w:after="0"/>
              <w:rPr>
                <w:sz w:val="15"/>
                <w:szCs w:val="15"/>
                <w:color w:val="auto"/>
              </w:rPr>
            </w:pPr>
          </w:p>
        </w:tc>
        <w:tc>
          <w:tcPr>
            <w:tcW w:w="5600" w:type="dxa"/>
            <w:vAlign w:val="bottom"/>
            <w:gridSpan w:val="5"/>
          </w:tcPr>
          <w:p>
            <w:pPr>
              <w:spacing w:after="0"/>
              <w:rPr>
                <w:sz w:val="15"/>
                <w:szCs w:val="15"/>
                <w:color w:val="auto"/>
              </w:rPr>
            </w:pP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F-5</w:t>
            </w:r>
          </w:p>
        </w:tc>
      </w:tr>
      <w:tr>
        <w:trPr>
          <w:trHeight w:val="182"/>
        </w:trPr>
        <w:tc>
          <w:tcPr>
            <w:tcW w:w="20" w:type="dxa"/>
            <w:vAlign w:val="bottom"/>
          </w:tcPr>
          <w:p>
            <w:pPr>
              <w:spacing w:after="0"/>
              <w:rPr>
                <w:sz w:val="15"/>
                <w:szCs w:val="15"/>
                <w:color w:val="auto"/>
              </w:rPr>
            </w:pPr>
          </w:p>
        </w:tc>
        <w:tc>
          <w:tcPr>
            <w:tcW w:w="3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September 30, 2025 and 2024</w:t>
            </w:r>
          </w:p>
        </w:tc>
        <w:tc>
          <w:tcPr>
            <w:tcW w:w="5280" w:type="dxa"/>
            <w:vAlign w:val="bottom"/>
            <w:gridSpan w:val="4"/>
          </w:tcPr>
          <w:p>
            <w:pPr>
              <w:spacing w:after="0"/>
              <w:rPr>
                <w:sz w:val="15"/>
                <w:szCs w:val="15"/>
                <w:color w:val="auto"/>
              </w:rPr>
            </w:pP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F-6</w:t>
            </w:r>
          </w:p>
        </w:tc>
      </w:tr>
      <w:tr>
        <w:trPr>
          <w:trHeight w:val="182"/>
        </w:trPr>
        <w:tc>
          <w:tcPr>
            <w:tcW w:w="20" w:type="dxa"/>
            <w:vAlign w:val="bottom"/>
          </w:tcPr>
          <w:p>
            <w:pPr>
              <w:spacing w:after="0"/>
              <w:rPr>
                <w:sz w:val="15"/>
                <w:szCs w:val="15"/>
                <w:color w:val="auto"/>
              </w:rPr>
            </w:pPr>
          </w:p>
        </w:tc>
        <w:tc>
          <w:tcPr>
            <w:tcW w:w="89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 (Loss) for the years ended September 30, 2025, 2024 and 2023</w:t>
            </w: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F-7</w:t>
            </w:r>
          </w:p>
        </w:tc>
      </w:tr>
      <w:tr>
        <w:trPr>
          <w:trHeight w:val="182"/>
        </w:trPr>
        <w:tc>
          <w:tcPr>
            <w:tcW w:w="20" w:type="dxa"/>
            <w:vAlign w:val="bottom"/>
          </w:tcPr>
          <w:p>
            <w:pPr>
              <w:spacing w:after="0"/>
              <w:rPr>
                <w:sz w:val="15"/>
                <w:szCs w:val="15"/>
                <w:color w:val="auto"/>
              </w:rPr>
            </w:pPr>
          </w:p>
        </w:tc>
        <w:tc>
          <w:tcPr>
            <w:tcW w:w="7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September 30, 2025, 2024 and 2023</w:t>
            </w:r>
          </w:p>
        </w:tc>
        <w:tc>
          <w:tcPr>
            <w:tcW w:w="1540" w:type="dxa"/>
            <w:vAlign w:val="bottom"/>
          </w:tcPr>
          <w:p>
            <w:pPr>
              <w:spacing w:after="0"/>
              <w:rPr>
                <w:sz w:val="15"/>
                <w:szCs w:val="15"/>
                <w:color w:val="auto"/>
              </w:rPr>
            </w:pP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F-8</w:t>
            </w:r>
          </w:p>
        </w:tc>
      </w:tr>
      <w:tr>
        <w:trPr>
          <w:trHeight w:val="182"/>
        </w:trPr>
        <w:tc>
          <w:tcPr>
            <w:tcW w:w="20" w:type="dxa"/>
            <w:vAlign w:val="bottom"/>
          </w:tcPr>
          <w:p>
            <w:pPr>
              <w:spacing w:after="0"/>
              <w:rPr>
                <w:sz w:val="15"/>
                <w:szCs w:val="15"/>
                <w:color w:val="auto"/>
              </w:rPr>
            </w:pPr>
          </w:p>
        </w:tc>
        <w:tc>
          <w:tcPr>
            <w:tcW w:w="59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September 30, 2025, 2024 and 2023</w:t>
            </w:r>
          </w:p>
        </w:tc>
        <w:tc>
          <w:tcPr>
            <w:tcW w:w="2980" w:type="dxa"/>
            <w:vAlign w:val="bottom"/>
            <w:gridSpan w:val="2"/>
          </w:tcPr>
          <w:p>
            <w:pPr>
              <w:spacing w:after="0"/>
              <w:rPr>
                <w:sz w:val="15"/>
                <w:szCs w:val="15"/>
                <w:color w:val="auto"/>
              </w:rPr>
            </w:pP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F-9</w:t>
            </w:r>
          </w:p>
        </w:tc>
      </w:tr>
      <w:tr>
        <w:trPr>
          <w:trHeight w:val="182"/>
        </w:trPr>
        <w:tc>
          <w:tcPr>
            <w:tcW w:w="20" w:type="dxa"/>
            <w:vAlign w:val="bottom"/>
          </w:tcPr>
          <w:p>
            <w:pPr>
              <w:spacing w:after="0"/>
              <w:rPr>
                <w:sz w:val="15"/>
                <w:szCs w:val="15"/>
                <w:color w:val="auto"/>
              </w:rPr>
            </w:pPr>
          </w:p>
        </w:tc>
        <w:tc>
          <w:tcPr>
            <w:tcW w:w="5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520" w:type="dxa"/>
            <w:vAlign w:val="bottom"/>
            <w:gridSpan w:val="3"/>
          </w:tcPr>
          <w:p>
            <w:pPr>
              <w:spacing w:after="0"/>
              <w:rPr>
                <w:sz w:val="15"/>
                <w:szCs w:val="15"/>
                <w:color w:val="auto"/>
              </w:rPr>
            </w:pPr>
          </w:p>
        </w:tc>
        <w:tc>
          <w:tcPr>
            <w:tcW w:w="230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F-10</w:t>
            </w:r>
          </w:p>
        </w:tc>
      </w:tr>
      <w:tr>
        <w:trPr>
          <w:trHeight w:val="733"/>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52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F-1</w:t>
            </w:r>
          </w:p>
        </w:tc>
        <w:tc>
          <w:tcPr>
            <w:tcW w:w="23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Arrowhead Pharmaceuticals, Inc.:</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Arrowhead Pharmaceuticals, Inc. and subsidiaries (the Company) as of September 30, 2025 and 2024, the related consolidated statements of operations and comprehensive income (loss), stockholders’ equity, and cash flows for each of the years in the two-year period ended September 30, 2025, and the related notes (collectively, the consolidated financial statements). In our opinion, the consolidated financial statements present fairly, in all material respects, the financial position of the Company as of September 30, 2025 and 2024, and the results of its operations and its cash flows for each of the years in the two-year period ended September 30, 2025, in conformity with U.S. generally accepted accounting principles.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September 30, 2025, based on criteria established in Internal Control – Integrated Framework (2013) issued by the Committee of Sponsoring Organizations of the Treadway Commission, and our report dated November 25, 2025 expressed an unqualified opinion on the effectiveness of the Company’s internal control over financial reporting.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Sufficiency of audit evidence over valuation of future royalty sales liability</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discussed in Note 13 to the consolidated financial statements, the Company records the obligations under the Royalty Pharma Agreement with Royalty Pharma Investments (RPI) at carrying value using the effective interest method. The Company amortizes the sale of future royalties utilizing the prospective method to estimate future royalties to be paid by the Company to RPI over the life of the arrangement. The Company periodically assesses the amount and timing of expected royalty payments using a combination of internal projections and forecasts from external sources. To the extent such payments differ from the Company’s initial estimates, the Company will prospectively adjust the amortization of the royalty obligation and the effective interest rate. The estimate of the carrying value of the liability related to the sale of future royalties is derived from the estimate of future sales of olpasiran and the probability of success assumption. The estimate of future sales of olpasiran is based on key assumptions such as patient population, market penetration, olpasiran sales price, and the comparable guideline drug. The liability related to the sale of future royalties was $367,397 thousand as of September 30,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85" w:name="page86"/>
    <w:bookmarkEnd w:id="85"/>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the determination of the carrying value of the liability related to the sale of future royalties as a critical audit matter. Subjective auditor judgment was required to evaluate the sufficiency of audit evidence obtained because of the level of audit effort associated with evaluating the carrying value of the liability related to the sale of future royalties.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the evaluation of the carrying value of the liability related to the sale of future royalties. We evaluated the design and tested the operating effectiveness of certain internal controls related to management’s valuation process, including the determination of the key assumptions into the carrying value of the liability related to the sale of future royalties as described above. We assessed the patient population and market penetration assumptions by comparing to independently sourced external market and industry data. We performed sensitivity analyses over the estimated olpasiran sales price and probability of success using independently sourced external market and industry data and evaluated the impact of changes in those assumptions on the carrying value of the liability related to the sale of future royalties. We assessed the reasonableness of the comparable guideline drug by evaluating against drugs similar to olpasiran in the marketplace. We evaluated the sufficiency of audit evidence obtained by assessing the cumulative results of the audit procedures performed and potential bias in the accounting estimate, including the appropriateness of the nature and extent of such evidence.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distinct performance obligations related to the license and collaboration agreement with Sarepta Therapeutics, Inc</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discussed in Notes 1 and 2 to the consolidated financial statements, the Company entered into an Exclusive License and Collaboration Agreement with Sarepta Therapeutics, Inc. (Sarepta). At contract inception, the Company assesses whether the goods or services promised within the contract are distinct and, therefore, represent a separate performance obligation, or whether they are not distinct and are combined with other goods and services until a distinct bundle is identified. The Company then determines the transaction price and allocates it to each performance obligation. The Company identified 17 performance obligations under the license and collaboration agreement with Sarepta. Fixed consideration of $833.6 million and an estimated variable consideration of $71.2 million were allocated to all performance obligations based on their relative standalone selling price.</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identified the evaluation of distinct performance obligations, including understanding the nature and significance of the contractual obligations and their standalone selling prices, related to the license and collaboration agreement with Sarepta as a critical audit matter. Subjective and complex auditor judgment was required to assess the Company’s identification of distinct performance obligations, including evaluating the rights and obligations described in the agreement, their benefit to the customer, and the level of modification or customization among the performance obligations. In addition, subjective auditor judgment was required to evaluate certain significant assumptions in the discounted cash flow model used by management to determine the standalone selling prices of the distinct performance obligations, including the discount rate and certain forecasted expenses. The audit effort associated with assessing the discount rate assumption required specialized skills and knowledge.</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revenue recognition process, including management’s identification of distinct performance obligations in the license and collaboration agreement and determination of the standalone selling prices. We evaluated management’s identification of distinct performance obligations and the significance of the contractual obligations by obtaining and reading the license and collaboration agreement to gain an understanding of the contractual terms and conditions and the commitments being made in the agreement. We conducted inquiries with personnel responsible for clinical development to understand the nature of the research and development activities specific to the clinical, preclinical, and discovery stage programs to evaluate the nature of the commitments made to the customer. We evaluated certain forecasted expenses within the discounted cash flow model by comparing such amounts to external market and industry data. We involved valuation professionals with specialized skills and knowledge, who assisted in the assessment of the discount rate within the discounted cash flow model by comparing it to a discount rate that was independently developed using publicly available market data for comparable companies.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25, 2025</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Arrowhead Pharmaceuticals,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audited Arrowhead Pharmaceuticals, Inc. and subsidiaries' (the Company) internal control over financial reporting as of September 30, 2025, based on criteria established in Internal Control</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Integrated Framework (2013) issued by the Committee of Sponsoring Organizations of the Treadway Commission. In our opinion, the Company maintained, in all material respects, effective internal control over financial reporting as of September 30, 2025, based on criteria established in Internal Control – Integrated Framework (2013) issued by the Committee of Sponsoring Organizations of the Treadway Commission.</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September 30, 2025 and 2024, the related consolidated statements of operations and comprehensive income (loss), stockholders’ equity, and cash flows for each of the years in the two-year period ended September 30, 2025, and the related notes (collectively, the consolidated financial statements), and our report dated November 25, 2025 expressed an unqualified opinion on those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25,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of Arrowhead Pharmaceuticals,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have audited the accompanying consolidated statements of operations and comprehensive income (loss), stockholders’ equity, and cash flows for period ended September 30, 2023 of Arrowhead Pharmaceuticals, Inc. and Subsidiaries (the Company), and the related notes (collectively referred to as the financial statements). In our opinion, the consolidated financial statements present fairly, in all material respects, the consolidated results of the Company’s operations and cash flows for the period ended September 30, 2023,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Basis for Opinion</w:t>
      </w:r>
    </w:p>
    <w:p>
      <w:pPr>
        <w:spacing w:after="0" w:line="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Rose, Snyder &amp; Jacobs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from 2004 to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Encino,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29, 2023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88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88,706</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76,208</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at variable interest entity</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137,842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26,477</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 securities, at fair value</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692,818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578,276</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Prepaid expenses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10,933</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9,537</w:t>
            </w:r>
          </w:p>
        </w:tc>
      </w:tr>
      <w:tr>
        <w:trPr>
          <w:trHeight w:val="168"/>
        </w:trPr>
        <w:tc>
          <w:tcPr>
            <w:tcW w:w="8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Other current assets</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13,516</w:t>
            </w:r>
          </w:p>
        </w:tc>
        <w:tc>
          <w:tcPr>
            <w:tcW w:w="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4,973</w:t>
            </w:r>
          </w:p>
        </w:tc>
      </w:tr>
      <w:tr>
        <w:trPr>
          <w:trHeight w:val="163"/>
        </w:trPr>
        <w:tc>
          <w:tcPr>
            <w:tcW w:w="8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950,639</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695,471</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382,515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386,032</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8,562</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43,891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45,255</w:t>
            </w:r>
          </w:p>
        </w:tc>
      </w:tr>
      <w:tr>
        <w:trPr>
          <w:trHeight w:val="17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8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4,482</w:t>
            </w:r>
          </w:p>
        </w:tc>
      </w:tr>
      <w:tr>
        <w:trPr>
          <w:trHeight w:val="163"/>
        </w:trPr>
        <w:tc>
          <w:tcPr>
            <w:tcW w:w="82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1,385,295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1,139,802</w:t>
            </w:r>
          </w:p>
        </w:tc>
      </w:tr>
      <w:tr>
        <w:trPr>
          <w:trHeight w:val="24"/>
        </w:trPr>
        <w:tc>
          <w:tcPr>
            <w:tcW w:w="822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NONCONTROLLING INTEREST AND STOCKHOLDERS’ EQUITY</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880" w:type="dxa"/>
            <w:vAlign w:val="bottom"/>
          </w:tcPr>
          <w:p>
            <w:pPr>
              <w:jc w:val="right"/>
              <w:ind w:right="73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17,674</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11,388</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Accrued expenses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90,419</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63,017</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payroll and benefits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21,989</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7,289</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6,342</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Credit facility</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22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10,811</w:t>
            </w:r>
          </w:p>
        </w:tc>
        <w:tc>
          <w:tcPr>
            <w:tcW w:w="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163"/>
        </w:trPr>
        <w:tc>
          <w:tcPr>
            <w:tcW w:w="82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195,487</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103,168</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Lease liabilities, net of current portion</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104,112</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111,027</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Liability related to the sale of future royalties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367,397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341,361</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Credit facility, net of current portion</w:t>
            </w:r>
          </w:p>
        </w:tc>
        <w:tc>
          <w:tcPr>
            <w:tcW w:w="8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214,883</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393,183</w:t>
            </w:r>
          </w:p>
        </w:tc>
      </w:tr>
      <w:tr>
        <w:trPr>
          <w:trHeight w:val="158"/>
        </w:trPr>
        <w:tc>
          <w:tcPr>
            <w:tcW w:w="82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8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686,392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845,571</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and stockholders' equity:</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 $0.001 par value: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91"/>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Authorized 290,000 shares; issued and outstanding 135,702 and 124,376 shares at September 30, 2025 and 2024, respectively</w:t>
            </w:r>
          </w:p>
        </w:tc>
        <w:tc>
          <w:tcPr>
            <w:tcW w:w="8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2,139,725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1,806,000</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6,443</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4,750</w:t>
            </w:r>
          </w:p>
        </w:tc>
      </w:tr>
      <w:tr>
        <w:trPr>
          <w:trHeight w:val="168"/>
        </w:trPr>
        <w:tc>
          <w:tcPr>
            <w:tcW w:w="82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Accumulated deficit</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(1,627,154)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(1,625,523)</w:t>
            </w:r>
          </w:p>
        </w:tc>
      </w:tr>
      <w:tr>
        <w:trPr>
          <w:trHeight w:val="172"/>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Treasury stock; at cost; 2,661 and 0 shares of common stock at September 30, 2025 and 2024, respectively</w:t>
            </w:r>
          </w:p>
        </w:tc>
        <w:tc>
          <w:tcPr>
            <w:tcW w:w="8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(53,193)</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2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3"/>
                <w:szCs w:val="13"/>
                <w:color w:val="auto"/>
              </w:rPr>
              <w:t>Total Arrowhead Pharmaceuticals, Inc. stockholders' equity</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466,052</w:t>
            </w: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185,444</w:t>
            </w:r>
          </w:p>
        </w:tc>
      </w:tr>
      <w:tr>
        <w:trPr>
          <w:trHeight w:val="163"/>
        </w:trPr>
        <w:tc>
          <w:tcPr>
            <w:tcW w:w="8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Noncontrolling interest</w:t>
            </w:r>
          </w:p>
        </w:tc>
        <w:tc>
          <w:tcPr>
            <w:tcW w:w="8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37,364</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5,619</w:t>
            </w:r>
          </w:p>
        </w:tc>
      </w:tr>
      <w:tr>
        <w:trPr>
          <w:trHeight w:val="158"/>
        </w:trPr>
        <w:tc>
          <w:tcPr>
            <w:tcW w:w="822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3"/>
                <w:szCs w:val="13"/>
                <w:color w:val="auto"/>
              </w:rPr>
              <w:t>Total noncontrolling interest and stockholders' equity</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503,416</w:t>
            </w: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191,063</w:t>
            </w:r>
          </w:p>
        </w:tc>
      </w:tr>
      <w:tr>
        <w:trPr>
          <w:trHeight w:val="188"/>
        </w:trPr>
        <w:tc>
          <w:tcPr>
            <w:tcW w:w="822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Noncontrolling Interest and Stockholders' Equity</w:t>
            </w:r>
          </w:p>
        </w:tc>
        <w:tc>
          <w:tcPr>
            <w:tcW w:w="880" w:type="dxa"/>
            <w:vAlign w:val="bottom"/>
            <w:tcBorders>
              <w:bottom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1,385,295</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1,139,802</w:t>
            </w: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6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94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829,448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240,735</w:t>
            </w: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607,159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505,870</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353,188</w:t>
            </w:r>
          </w:p>
        </w:tc>
      </w:tr>
      <w:tr>
        <w:trPr>
          <w:trHeight w:val="168"/>
        </w:trPr>
        <w:tc>
          <w:tcPr>
            <w:tcW w:w="66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123,943</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98,761</w:t>
            </w: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92,549</w:t>
            </w:r>
          </w:p>
        </w:tc>
      </w:tr>
      <w:tr>
        <w:trPr>
          <w:trHeight w:val="163"/>
        </w:trPr>
        <w:tc>
          <w:tcPr>
            <w:tcW w:w="66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731,102</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604,631</w:t>
            </w:r>
          </w:p>
        </w:tc>
        <w:tc>
          <w:tcPr>
            <w:tcW w:w="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445,737</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(601,080)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(205,002)</w:t>
            </w:r>
          </w:p>
        </w:tc>
      </w:tr>
      <w:tr>
        <w:trPr>
          <w:trHeight w:val="76"/>
        </w:trPr>
        <w:tc>
          <w:tcPr>
            <w:tcW w:w="666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 income:</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37,289</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22,720</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15,299</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(18,326)</w:t>
            </w:r>
          </w:p>
        </w:tc>
      </w:tr>
      <w:tr>
        <w:trPr>
          <w:trHeight w:val="172"/>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Other, net</w:t>
            </w:r>
          </w:p>
        </w:tc>
        <w:tc>
          <w:tcPr>
            <w:tcW w:w="9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5,259</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w:t>
            </w:r>
          </w:p>
        </w:tc>
      </w:tr>
      <w:tr>
        <w:trPr>
          <w:trHeight w:val="220"/>
        </w:trPr>
        <w:tc>
          <w:tcPr>
            <w:tcW w:w="66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3"/>
                <w:szCs w:val="13"/>
                <w:color w:val="auto"/>
              </w:rPr>
              <w:t>Total other expense</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(46,813)</w:t>
            </w: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(11,380)</w:t>
            </w: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(1,489)</w:t>
            </w:r>
          </w:p>
        </w:tc>
      </w:tr>
      <w:tr>
        <w:trPr>
          <w:trHeight w:val="168"/>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 expense and noncontrolling interest</w:t>
            </w:r>
          </w:p>
        </w:tc>
        <w:tc>
          <w:tcPr>
            <w:tcW w:w="94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51,533</w:t>
            </w: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(612,460)</w:t>
            </w:r>
          </w:p>
        </w:tc>
        <w:tc>
          <w:tcPr>
            <w:tcW w:w="8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(206,491)</w:t>
            </w:r>
          </w:p>
        </w:tc>
      </w:tr>
      <w:tr>
        <w:trPr>
          <w:trHeight w:val="172"/>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21,419</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2,784</w:t>
            </w:r>
          </w:p>
        </w:tc>
      </w:tr>
      <w:tr>
        <w:trPr>
          <w:trHeight w:val="158"/>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including noncontrolling interest</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(609,693)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(209,275)</w:t>
            </w:r>
          </w:p>
        </w:tc>
      </w:tr>
      <w:tr>
        <w:trPr>
          <w:trHeight w:val="17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 net of tax</w:t>
            </w:r>
          </w:p>
        </w:tc>
        <w:tc>
          <w:tcPr>
            <w:tcW w:w="9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31,745</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(10,200)</w:t>
            </w:r>
          </w:p>
        </w:tc>
        <w:tc>
          <w:tcPr>
            <w:tcW w:w="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63"/>
        </w:trPr>
        <w:tc>
          <w:tcPr>
            <w:tcW w:w="6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Arrowhead Pharmaceuticals, Inc.</w:t>
            </w:r>
          </w:p>
        </w:tc>
        <w:tc>
          <w:tcPr>
            <w:tcW w:w="94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(599,493)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(205,275)</w:t>
            </w:r>
          </w:p>
        </w:tc>
      </w:tr>
      <w:tr>
        <w:trPr>
          <w:trHeight w:val="60"/>
        </w:trPr>
        <w:tc>
          <w:tcPr>
            <w:tcW w:w="6660" w:type="dxa"/>
            <w:vAlign w:val="bottom"/>
            <w:tcBorders>
              <w:bottom w:val="single" w:sz="8" w:color="CFF0FC"/>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CFF0FC"/>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68"/>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Arrowhead Pharmaceuticals, Inc.:</w:t>
            </w:r>
          </w:p>
        </w:tc>
        <w:tc>
          <w:tcPr>
            <w:tcW w:w="940" w:type="dxa"/>
            <w:vAlign w:val="bottom"/>
            <w:tcBorders>
              <w:top w:val="single" w:sz="8" w:color="CFF0FC"/>
            </w:tcBorders>
          </w:tcPr>
          <w:p>
            <w:pPr>
              <w:spacing w:after="0"/>
              <w:rPr>
                <w:sz w:val="14"/>
                <w:szCs w:val="14"/>
                <w:color w:val="auto"/>
              </w:rPr>
            </w:pPr>
          </w:p>
        </w:tc>
        <w:tc>
          <w:tcPr>
            <w:tcW w:w="5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360" w:type="dxa"/>
            <w:vAlign w:val="bottom"/>
            <w:tcBorders>
              <w:top w:val="single" w:sz="8" w:color="CFF0FC"/>
            </w:tcBorders>
          </w:tcPr>
          <w:p>
            <w:pPr>
              <w:spacing w:after="0"/>
              <w:rPr>
                <w:sz w:val="14"/>
                <w:szCs w:val="14"/>
                <w:color w:val="auto"/>
              </w:rPr>
            </w:pPr>
          </w:p>
        </w:tc>
        <w:tc>
          <w:tcPr>
            <w:tcW w:w="1120" w:type="dxa"/>
            <w:vAlign w:val="bottom"/>
            <w:tcBorders>
              <w:top w:val="single" w:sz="8" w:color="CFF0FC"/>
            </w:tcBorders>
          </w:tcPr>
          <w:p>
            <w:pPr>
              <w:spacing w:after="0"/>
              <w:rPr>
                <w:sz w:val="14"/>
                <w:szCs w:val="14"/>
                <w:color w:val="auto"/>
              </w:rPr>
            </w:pPr>
          </w:p>
        </w:tc>
      </w:tr>
      <w:tr>
        <w:trPr>
          <w:trHeight w:val="172"/>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94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940" w:type="dxa"/>
            <w:vAlign w:val="bottom"/>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172"/>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Weighted-average shares used in calculating</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106,750</w:t>
            </w:r>
          </w:p>
        </w:tc>
      </w:tr>
      <w:tr>
        <w:trPr>
          <w:trHeight w:val="172"/>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133,758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119,784</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106,750</w:t>
            </w:r>
          </w:p>
        </w:tc>
      </w:tr>
      <w:tr>
        <w:trPr>
          <w:trHeight w:val="202"/>
        </w:trPr>
        <w:tc>
          <w:tcPr>
            <w:tcW w:w="6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68"/>
        </w:trPr>
        <w:tc>
          <w:tcPr>
            <w:tcW w:w="6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gains (losses) on available-for-sale securities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r>
      <w:tr>
        <w:trPr>
          <w:trHeight w:val="172"/>
        </w:trPr>
        <w:tc>
          <w:tcPr>
            <w:tcW w:w="6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4,197</w:t>
            </w: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66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Comprehensive income (loss) attributed to noncontrolling interest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31,745</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(10,200)</w:t>
            </w:r>
          </w:p>
        </w:tc>
        <w:tc>
          <w:tcPr>
            <w:tcW w:w="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(4,000)</w:t>
            </w:r>
          </w:p>
        </w:tc>
      </w:tr>
      <w:tr>
        <w:trPr>
          <w:trHeight w:val="188"/>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31,807</w:t>
            </w:r>
          </w:p>
        </w:tc>
        <w:tc>
          <w:tcPr>
            <w:tcW w:w="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(601,721)</w:t>
            </w: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(212,361)</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9"/>
                <w:szCs w:val="9"/>
                <w:color w:val="auto"/>
              </w:rPr>
            </w:pPr>
          </w:p>
        </w:tc>
        <w:tc>
          <w:tcPr>
            <w:tcW w:w="80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Common Stock in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controlling</w:t>
            </w:r>
          </w:p>
        </w:tc>
        <w:tc>
          <w:tcPr>
            <w:tcW w:w="180" w:type="dxa"/>
            <w:vAlign w:val="bottom"/>
          </w:tcPr>
          <w:p>
            <w:pPr>
              <w:spacing w:after="0"/>
              <w:rPr>
                <w:sz w:val="9"/>
                <w:szCs w:val="9"/>
                <w:color w:val="auto"/>
              </w:rPr>
            </w:pPr>
          </w:p>
        </w:tc>
        <w:tc>
          <w:tcPr>
            <w:tcW w:w="66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2022</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105,960</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198</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1,219,213</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(136)</w:t>
            </w: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(820,755)</w:t>
            </w:r>
          </w:p>
        </w:tc>
        <w:tc>
          <w:tcPr>
            <w:tcW w:w="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19,819</w:t>
            </w: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418,339</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78,130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78,130</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3,053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3,054</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Unrealized losses on available-for-sale securities</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(2,964)</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(2,964)</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(205,275)</w:t>
            </w: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(209,275)</w:t>
            </w:r>
          </w:p>
        </w:tc>
        <w:tc>
          <w:tcPr>
            <w:tcW w:w="0" w:type="dxa"/>
            <w:vAlign w:val="bottom"/>
          </w:tcPr>
          <w:p>
            <w:pPr>
              <w:spacing w:after="0"/>
              <w:rPr>
                <w:sz w:val="1"/>
                <w:szCs w:val="1"/>
                <w:color w:val="auto"/>
              </w:rPr>
            </w:pPr>
          </w:p>
        </w:tc>
      </w:tr>
      <w:tr>
        <w:trPr>
          <w:trHeight w:val="129"/>
        </w:trPr>
        <w:tc>
          <w:tcPr>
            <w:tcW w:w="32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107,312</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200</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1,300,395</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(3,222)</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(1,026,030)</w:t>
            </w:r>
          </w:p>
        </w:tc>
        <w:tc>
          <w:tcPr>
            <w:tcW w:w="60" w:type="dxa"/>
            <w:vAlign w:val="bottom"/>
          </w:tcPr>
          <w:p>
            <w:pPr>
              <w:spacing w:after="0"/>
              <w:rPr>
                <w:sz w:val="11"/>
                <w:szCs w:val="11"/>
                <w:color w:val="auto"/>
              </w:rPr>
            </w:pPr>
          </w:p>
        </w:tc>
        <w:tc>
          <w:tcPr>
            <w:tcW w:w="8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15,819</w:t>
            </w: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287,162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23"/>
                <w:szCs w:val="23"/>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3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9"/>
                <w:szCs w:val="9"/>
                <w:color w:val="auto"/>
              </w:rPr>
            </w:pPr>
          </w:p>
        </w:tc>
        <w:tc>
          <w:tcPr>
            <w:tcW w:w="80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Common Stock in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controlling</w:t>
            </w:r>
          </w:p>
        </w:tc>
        <w:tc>
          <w:tcPr>
            <w:tcW w:w="180" w:type="dxa"/>
            <w:vAlign w:val="bottom"/>
          </w:tcPr>
          <w:p>
            <w:pPr>
              <w:spacing w:after="0"/>
              <w:rPr>
                <w:sz w:val="9"/>
                <w:szCs w:val="9"/>
                <w:color w:val="auto"/>
              </w:rPr>
            </w:pPr>
          </w:p>
        </w:tc>
        <w:tc>
          <w:tcPr>
            <w:tcW w:w="66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9"/>
              </w:rPr>
              <w:t>(Loss) Income</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2023</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107,312</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200</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1,300,395</w:t>
            </w: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(3,222)</w:t>
            </w:r>
          </w:p>
        </w:tc>
        <w:tc>
          <w:tcPr>
            <w:tcW w:w="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(1,026,030)</w:t>
            </w:r>
          </w:p>
        </w:tc>
        <w:tc>
          <w:tcPr>
            <w:tcW w:w="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15,819</w:t>
            </w: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287,162</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73,968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73,968</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2,389</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2,389</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Common stock issued, net of offering costs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15,790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429,249</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429,265</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Unrealized gains on available-for-sale securities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3,775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3,775</w:t>
            </w:r>
          </w:p>
        </w:tc>
        <w:tc>
          <w:tcPr>
            <w:tcW w:w="0" w:type="dxa"/>
            <w:vAlign w:val="bottom"/>
          </w:tcPr>
          <w:p>
            <w:pPr>
              <w:spacing w:after="0"/>
              <w:rPr>
                <w:sz w:val="1"/>
                <w:szCs w:val="1"/>
                <w:color w:val="auto"/>
              </w:rPr>
            </w:pPr>
          </w:p>
        </w:tc>
      </w:tr>
      <w:tr>
        <w:trPr>
          <w:trHeight w:val="143"/>
        </w:trPr>
        <w:tc>
          <w:tcPr>
            <w:tcW w:w="3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color w:val="auto"/>
              </w:rPr>
              <w:t>4,197</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4,197</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(599,493)</w:t>
            </w:r>
          </w:p>
        </w:tc>
        <w:tc>
          <w:tcPr>
            <w:tcW w:w="6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(609,693)</w:t>
            </w:r>
          </w:p>
        </w:tc>
        <w:tc>
          <w:tcPr>
            <w:tcW w:w="0" w:type="dxa"/>
            <w:vAlign w:val="bottom"/>
          </w:tcPr>
          <w:p>
            <w:pPr>
              <w:spacing w:after="0"/>
              <w:rPr>
                <w:sz w:val="1"/>
                <w:szCs w:val="1"/>
                <w:color w:val="auto"/>
              </w:rPr>
            </w:pPr>
          </w:p>
        </w:tc>
      </w:tr>
      <w:tr>
        <w:trPr>
          <w:trHeight w:val="158"/>
        </w:trPr>
        <w:tc>
          <w:tcPr>
            <w:tcW w:w="32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2024</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124,376</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217</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1,806,000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4,750</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(1,625,523)</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5,619</w:t>
            </w: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rPr>
              <w:t>191,063</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6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21"/>
                <w:szCs w:val="2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9"/>
                <w:szCs w:val="9"/>
                <w:color w:val="auto"/>
              </w:rPr>
            </w:pPr>
          </w:p>
        </w:tc>
        <w:tc>
          <w:tcPr>
            <w:tcW w:w="80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900" w:type="dxa"/>
            <w:vAlign w:val="bottom"/>
            <w:gridSpan w:val="2"/>
          </w:tcPr>
          <w:p>
            <w:pPr>
              <w:jc w:val="center"/>
              <w:ind w:right="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Common Stock in</w:t>
            </w:r>
          </w:p>
        </w:tc>
        <w:tc>
          <w:tcPr>
            <w:tcW w:w="1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 ($)</w:t>
            </w:r>
          </w:p>
        </w:tc>
        <w:tc>
          <w:tcPr>
            <w:tcW w:w="120" w:type="dxa"/>
            <w:vAlign w:val="bottom"/>
          </w:tcPr>
          <w:p>
            <w:pPr>
              <w:spacing w:after="0"/>
              <w:rPr>
                <w:sz w:val="9"/>
                <w:szCs w:val="9"/>
                <w:color w:val="auto"/>
              </w:rPr>
            </w:pPr>
          </w:p>
        </w:tc>
        <w:tc>
          <w:tcPr>
            <w:tcW w:w="78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controlling</w:t>
            </w:r>
          </w:p>
        </w:tc>
        <w:tc>
          <w:tcPr>
            <w:tcW w:w="180" w:type="dxa"/>
            <w:vAlign w:val="bottom"/>
          </w:tcPr>
          <w:p>
            <w:pPr>
              <w:spacing w:after="0"/>
              <w:rPr>
                <w:sz w:val="9"/>
                <w:szCs w:val="9"/>
                <w:color w:val="auto"/>
              </w:rPr>
            </w:pPr>
          </w:p>
        </w:tc>
        <w:tc>
          <w:tcPr>
            <w:tcW w:w="66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Totals</w:t>
            </w:r>
          </w:p>
        </w:tc>
        <w:tc>
          <w:tcPr>
            <w:tcW w:w="0" w:type="dxa"/>
            <w:vAlign w:val="bottom"/>
          </w:tcPr>
          <w:p>
            <w:pPr>
              <w:spacing w:after="0"/>
              <w:rPr>
                <w:sz w:val="1"/>
                <w:szCs w:val="1"/>
                <w:color w:val="auto"/>
              </w:rPr>
            </w:pPr>
          </w:p>
        </w:tc>
      </w:tr>
      <w:tr>
        <w:trPr>
          <w:trHeight w:val="134"/>
        </w:trPr>
        <w:tc>
          <w:tcPr>
            <w:tcW w:w="3240" w:type="dxa"/>
            <w:vAlign w:val="bottom"/>
          </w:tcPr>
          <w:p>
            <w:pPr>
              <w:spacing w:after="0"/>
              <w:rPr>
                <w:sz w:val="11"/>
                <w:szCs w:val="11"/>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0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124,376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1,806,000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4,750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(1,625,523)</w:t>
            </w: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5,619</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191,063</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63,366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63,366</w:t>
            </w:r>
          </w:p>
        </w:tc>
        <w:tc>
          <w:tcPr>
            <w:tcW w:w="0" w:type="dxa"/>
            <w:vAlign w:val="bottom"/>
          </w:tcPr>
          <w:p>
            <w:pPr>
              <w:spacing w:after="0"/>
              <w:rPr>
                <w:sz w:val="1"/>
                <w:szCs w:val="1"/>
                <w:color w:val="auto"/>
              </w:rPr>
            </w:pPr>
          </w:p>
        </w:tc>
      </w:tr>
      <w:tr>
        <w:trPr>
          <w:trHeight w:val="1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3,983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3,983</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 - restricted stock units vesting</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Common stock issued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241,376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241,388</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Common stock - repurchase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(2,661)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360"/>
              <w:spacing w:after="0"/>
              <w:rPr>
                <w:sz w:val="20"/>
                <w:szCs w:val="20"/>
                <w:color w:val="auto"/>
              </w:rPr>
            </w:pPr>
            <w:r>
              <w:rPr>
                <w:rFonts w:ascii="Times New Roman" w:cs="Times New Roman" w:eastAsia="Times New Roman" w:hAnsi="Times New Roman"/>
                <w:sz w:val="10"/>
                <w:szCs w:val="10"/>
                <w:color w:val="auto"/>
                <w:w w:val="99"/>
              </w:rPr>
              <w:t>(53,193)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(53,193)</w:t>
            </w:r>
          </w:p>
        </w:tc>
        <w:tc>
          <w:tcPr>
            <w:tcW w:w="0" w:type="dxa"/>
            <w:vAlign w:val="bottom"/>
          </w:tcPr>
          <w:p>
            <w:pPr>
              <w:spacing w:after="0"/>
              <w:rPr>
                <w:sz w:val="1"/>
                <w:szCs w:val="1"/>
                <w:color w:val="auto"/>
              </w:rPr>
            </w:pPr>
          </w:p>
        </w:tc>
      </w:tr>
      <w:tr>
        <w:trPr>
          <w:trHeight w:val="1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Issuance of pre-funded warrants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Unrealized gains on available-for-sale securities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2,125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2,125</w:t>
            </w:r>
          </w:p>
        </w:tc>
        <w:tc>
          <w:tcPr>
            <w:tcW w:w="0" w:type="dxa"/>
            <w:vAlign w:val="bottom"/>
          </w:tcPr>
          <w:p>
            <w:pPr>
              <w:spacing w:after="0"/>
              <w:rPr>
                <w:sz w:val="1"/>
                <w:szCs w:val="1"/>
                <w:color w:val="auto"/>
              </w:rPr>
            </w:pPr>
          </w:p>
        </w:tc>
      </w:tr>
      <w:tr>
        <w:trPr>
          <w:trHeight w:val="14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Foreign currency translation adjustments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(432)</w:t>
            </w:r>
          </w:p>
        </w:tc>
        <w:tc>
          <w:tcPr>
            <w:tcW w:w="0" w:type="dxa"/>
            <w:vAlign w:val="bottom"/>
          </w:tcPr>
          <w:p>
            <w:pPr>
              <w:spacing w:after="0"/>
              <w:rPr>
                <w:sz w:val="1"/>
                <w:szCs w:val="1"/>
                <w:color w:val="auto"/>
              </w:rPr>
            </w:pPr>
          </w:p>
        </w:tc>
      </w:tr>
      <w:tr>
        <w:trPr>
          <w:trHeight w:val="133"/>
        </w:trPr>
        <w:tc>
          <w:tcPr>
            <w:tcW w:w="3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(loss)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(1,631)</w:t>
            </w:r>
          </w:p>
        </w:tc>
        <w:tc>
          <w:tcPr>
            <w:tcW w:w="60" w:type="dxa"/>
            <w:vAlign w:val="bottom"/>
          </w:tcPr>
          <w:p>
            <w:pPr>
              <w:spacing w:after="0"/>
              <w:rPr>
                <w:sz w:val="11"/>
                <w:szCs w:val="11"/>
                <w:color w:val="auto"/>
              </w:rPr>
            </w:pPr>
          </w:p>
        </w:tc>
        <w:tc>
          <w:tcPr>
            <w:tcW w:w="900" w:type="dxa"/>
            <w:vAlign w:val="bottom"/>
            <w:gridSpan w:val="2"/>
          </w:tcPr>
          <w:p>
            <w:pPr>
              <w:ind w:left="7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ind w:left="5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31,745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30,114</w:t>
            </w:r>
          </w:p>
        </w:tc>
        <w:tc>
          <w:tcPr>
            <w:tcW w:w="0" w:type="dxa"/>
            <w:vAlign w:val="bottom"/>
          </w:tcPr>
          <w:p>
            <w:pPr>
              <w:spacing w:after="0"/>
              <w:rPr>
                <w:sz w:val="1"/>
                <w:szCs w:val="1"/>
                <w:color w:val="auto"/>
              </w:rPr>
            </w:pPr>
          </w:p>
        </w:tc>
      </w:tr>
      <w:tr>
        <w:trPr>
          <w:trHeight w:val="15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at September 30,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138,363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231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2,139,725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6,443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(1,627,154)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0"/>
                <w:szCs w:val="10"/>
                <w:b w:val="1"/>
                <w:bCs w:val="1"/>
                <w:color w:val="auto"/>
              </w:rPr>
              <w:t>(2,661)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0"/>
                <w:szCs w:val="10"/>
                <w:b w:val="1"/>
                <w:bCs w:val="1"/>
                <w:color w:val="auto"/>
                <w:w w:val="99"/>
              </w:rPr>
              <w:t>(53,193)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37,364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503,416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71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r>
      <w:tr>
        <w:trPr>
          <w:trHeight w:val="157"/>
        </w:trPr>
        <w:tc>
          <w:tcPr>
            <w:tcW w:w="7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30,114</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(609,693)</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(209,275)</w:t>
            </w:r>
          </w:p>
        </w:tc>
      </w:tr>
      <w:tr>
        <w:trPr>
          <w:trHeight w:val="161"/>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Adjustments to reconcile net income (loss) to net cash flow from operating activities: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Stock-based compensation</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78,130</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23,928</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18,595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12,493</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Accretion of note premiums/discounts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(2,017)</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Non-cash interest expense on liability related to the sale of future royalties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26,036</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23,035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18,326</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Non-cash interest expense on credit facility</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2"/>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Non-cash gain on treasury stock received</w:t>
            </w:r>
          </w:p>
        </w:tc>
        <w:tc>
          <w:tcPr>
            <w:tcW w:w="8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(3,193)</w:t>
            </w: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Realized loss on investments</w:t>
            </w:r>
          </w:p>
        </w:tc>
        <w:tc>
          <w:tcPr>
            <w:tcW w:w="8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7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Accounts receivable</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(56,967)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(9,939)</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(1,664)</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11,603</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Accounts payable</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32,998</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Accrued expenses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41,497</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32,117</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(14,965)</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Deferred revenue</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(129,183)</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Operating lease, net</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(4,605)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46,590</w:t>
            </w:r>
          </w:p>
        </w:tc>
      </w:tr>
      <w:tr>
        <w:trPr>
          <w:trHeight w:val="157"/>
        </w:trPr>
        <w:tc>
          <w:tcPr>
            <w:tcW w:w="71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2"/>
                <w:szCs w:val="12"/>
                <w:color w:val="auto"/>
              </w:rPr>
              <w:t>Other</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3,094</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2"/>
        </w:trPr>
        <w:tc>
          <w:tcPr>
            <w:tcW w:w="7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Net cash provided by (used in) operating activities</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179,552</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(462,851)</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(153,890)</w:t>
            </w:r>
          </w:p>
        </w:tc>
      </w:tr>
      <w:tr>
        <w:trPr>
          <w:trHeight w:val="117"/>
        </w:trPr>
        <w:tc>
          <w:tcPr>
            <w:tcW w:w="7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Purchases of property, plant and equipment</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(141,469)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(176,737)</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Purchases of investments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(796,258)</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(720,947)</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(246,141)</w:t>
            </w:r>
          </w:p>
        </w:tc>
      </w:tr>
      <w:tr>
        <w:trPr>
          <w:trHeight w:val="157"/>
        </w:trPr>
        <w:tc>
          <w:tcPr>
            <w:tcW w:w="716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2"/>
                <w:szCs w:val="12"/>
                <w:color w:val="auto"/>
              </w:rPr>
              <w:t>Proceeds from sales and maturities of investments</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689,630</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442,344</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326,723</w:t>
            </w:r>
          </w:p>
        </w:tc>
      </w:tr>
      <w:tr>
        <w:trPr>
          <w:trHeight w:val="152"/>
        </w:trPr>
        <w:tc>
          <w:tcPr>
            <w:tcW w:w="7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w w:val="99"/>
              </w:rPr>
              <w:t>Net cash used in investing activities</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(129,294)</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(420,072)</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(96,155)</w:t>
            </w:r>
          </w:p>
        </w:tc>
      </w:tr>
      <w:tr>
        <w:trPr>
          <w:trHeight w:val="117"/>
        </w:trPr>
        <w:tc>
          <w:tcPr>
            <w:tcW w:w="7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5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Proceeds from the exercises of stock options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3,053</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Proceeds from the issuance of common stock, net of offering costs</w:t>
            </w:r>
          </w:p>
        </w:tc>
        <w:tc>
          <w:tcPr>
            <w:tcW w:w="8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429,265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Proceeds from the sale of future royalties</w:t>
            </w:r>
          </w:p>
        </w:tc>
        <w:tc>
          <w:tcPr>
            <w:tcW w:w="8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Proceeds from the issuance of warrants</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Proceeds from the issuance of common stock</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241,388</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Proceeds from credit facility</w:t>
            </w:r>
          </w:p>
        </w:tc>
        <w:tc>
          <w:tcPr>
            <w:tcW w:w="8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392,000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7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2"/>
                <w:szCs w:val="12"/>
                <w:color w:val="auto"/>
              </w:rPr>
              <w:t>Repayments of credit facility</w:t>
            </w:r>
          </w:p>
        </w:tc>
        <w:tc>
          <w:tcPr>
            <w:tcW w:w="8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(201,625)</w:t>
            </w: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Proceeds from Visirna credit agreement</w:t>
            </w:r>
          </w:p>
        </w:tc>
        <w:tc>
          <w:tcPr>
            <w:tcW w:w="8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2"/>
        </w:trPr>
        <w:tc>
          <w:tcPr>
            <w:tcW w:w="716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8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74,006</w:t>
            </w:r>
          </w:p>
        </w:tc>
        <w:tc>
          <w:tcPr>
            <w:tcW w:w="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870,520</w:t>
            </w:r>
          </w:p>
        </w:tc>
        <w:tc>
          <w:tcPr>
            <w:tcW w:w="8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253,053</w:t>
            </w:r>
          </w:p>
        </w:tc>
      </w:tr>
      <w:tr>
        <w:trPr>
          <w:trHeight w:val="85"/>
        </w:trPr>
        <w:tc>
          <w:tcPr>
            <w:tcW w:w="7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5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124,264</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(12,403)</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3,008</w:t>
            </w:r>
          </w:p>
        </w:tc>
      </w:tr>
      <w:tr>
        <w:trPr>
          <w:trHeight w:val="74"/>
        </w:trPr>
        <w:tc>
          <w:tcPr>
            <w:tcW w:w="7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r>
      <w:tr>
        <w:trPr>
          <w:trHeight w:val="159"/>
        </w:trPr>
        <w:tc>
          <w:tcPr>
            <w:tcW w:w="7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Effect of exchange rate on cash, cash equivalents and restricted cash</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4,197</w:t>
            </w: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85"/>
        </w:trPr>
        <w:tc>
          <w:tcPr>
            <w:tcW w:w="7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5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w:t>
            </w:r>
          </w:p>
        </w:tc>
        <w:tc>
          <w:tcPr>
            <w:tcW w:w="8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57"/>
        </w:trPr>
        <w:tc>
          <w:tcPr>
            <w:tcW w:w="716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2"/>
                <w:szCs w:val="12"/>
                <w:color w:val="auto"/>
              </w:rPr>
              <w:t>BEGINNING OF PERIOD</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102,685</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110,891</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108,005</w:t>
            </w:r>
          </w:p>
        </w:tc>
      </w:tr>
      <w:tr>
        <w:trPr>
          <w:trHeight w:val="177"/>
        </w:trPr>
        <w:tc>
          <w:tcPr>
            <w:tcW w:w="71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END OF PERIOD</w:t>
            </w:r>
          </w:p>
        </w:tc>
        <w:tc>
          <w:tcPr>
            <w:tcW w:w="800" w:type="dxa"/>
            <w:vAlign w:val="bottom"/>
            <w:tcBorders>
              <w:bottom w:val="single" w:sz="8" w:color="auto"/>
            </w:tcBorders>
            <w:shd w:val="clear" w:color="auto" w:fill="CFF0FC"/>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226,548</w:t>
            </w: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102,685</w:t>
            </w: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110,891</w:t>
            </w: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r>
        <w:trPr>
          <w:trHeight w:val="26"/>
        </w:trPr>
        <w:tc>
          <w:tcPr>
            <w:tcW w:w="7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5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disclosure of cash flows: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5"/>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Interest paid</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Income taxes (refund) paid</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Treasury stock received to settle accounts receivable</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49"/>
        </w:trPr>
        <w:tc>
          <w:tcPr>
            <w:tcW w:w="7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15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Supplementary disclosure of non-cash investing activities: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5"/>
        </w:trPr>
        <w:tc>
          <w:tcPr>
            <w:tcW w:w="716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Capital expenditures included in accrued expenses</w:t>
            </w: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3"/>
                <w:szCs w:val="13"/>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14,044</w:t>
            </w: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Arrowhead Pharmaceuticals,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 AND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6"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Company’s current pipeline:</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540" w:type="dxa"/>
            <w:vAlign w:val="bottom"/>
            <w:tcBorders>
              <w:top w:val="single" w:sz="8" w:color="auto"/>
              <w:left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Therapeutic Area</w:t>
            </w:r>
          </w:p>
        </w:tc>
        <w:tc>
          <w:tcPr>
            <w:tcW w:w="260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Stage</w:t>
            </w:r>
          </w:p>
        </w:tc>
        <w:tc>
          <w:tcPr>
            <w:tcW w:w="302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3"/>
                <w:szCs w:val="13"/>
                <w:b w:val="1"/>
                <w:bCs w:val="1"/>
                <w:color w:val="auto"/>
              </w:rPr>
              <w:t>Product Rights</w:t>
            </w:r>
          </w:p>
        </w:tc>
      </w:tr>
      <w:tr>
        <w:trPr>
          <w:trHeight w:val="246"/>
        </w:trPr>
        <w:tc>
          <w:tcPr>
            <w:tcW w:w="2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Cardiometabolic</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plozasiran</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3</w:t>
            </w:r>
          </w:p>
        </w:tc>
        <w:tc>
          <w:tcPr>
            <w:tcW w:w="1440" w:type="dxa"/>
            <w:vAlign w:val="bottom"/>
          </w:tcPr>
          <w:p>
            <w:pPr>
              <w:spacing w:after="0"/>
              <w:rPr>
                <w:sz w:val="21"/>
                <w:szCs w:val="21"/>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r>
              <w:rPr>
                <w:rFonts w:ascii="Times New Roman" w:cs="Times New Roman" w:eastAsia="Times New Roman" w:hAnsi="Times New Roman"/>
                <w:sz w:val="16"/>
                <w:szCs w:val="16"/>
                <w:color w:val="auto"/>
                <w:vertAlign w:val="superscript"/>
              </w:rPr>
              <w:t>(1)</w:t>
            </w:r>
          </w:p>
        </w:tc>
      </w:tr>
      <w:tr>
        <w:trPr>
          <w:trHeight w:val="165"/>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zodasiran</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3</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olpasiran</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3</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Amgen</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ARO-PNPLA3</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GSK4532990</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2b</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GSK</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ARO-INHBE</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ARO-ALK7</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2"/>
        </w:trPr>
        <w:tc>
          <w:tcPr>
            <w:tcW w:w="254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ARO-DIMERPA</w:t>
            </w: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Borders>
              <w:bottom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60"/>
        </w:trPr>
        <w:tc>
          <w:tcPr>
            <w:tcW w:w="2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Pulmonary</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ARO-RAGE</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3"/>
                <w:szCs w:val="13"/>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0"/>
        </w:trPr>
        <w:tc>
          <w:tcPr>
            <w:tcW w:w="254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SRP-1002 (ARO-MMP7)</w:t>
            </w: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Borders>
              <w:bottom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Sarepta</w:t>
            </w:r>
          </w:p>
        </w:tc>
      </w:tr>
      <w:tr>
        <w:trPr>
          <w:trHeight w:val="160"/>
        </w:trPr>
        <w:tc>
          <w:tcPr>
            <w:tcW w:w="2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Liver</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fazirsiran</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3</w:t>
            </w:r>
          </w:p>
        </w:tc>
        <w:tc>
          <w:tcPr>
            <w:tcW w:w="1440" w:type="dxa"/>
            <w:vAlign w:val="bottom"/>
          </w:tcPr>
          <w:p>
            <w:pPr>
              <w:spacing w:after="0"/>
              <w:rPr>
                <w:sz w:val="13"/>
                <w:szCs w:val="13"/>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Takeda and Arrowhead</w:t>
            </w:r>
          </w:p>
        </w:tc>
      </w:tr>
      <w:tr>
        <w:trPr>
          <w:trHeight w:val="170"/>
        </w:trPr>
        <w:tc>
          <w:tcPr>
            <w:tcW w:w="254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daplusiran/tomligisiran</w:t>
            </w: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Phase 2</w:t>
            </w:r>
          </w:p>
        </w:tc>
        <w:tc>
          <w:tcPr>
            <w:tcW w:w="1440" w:type="dxa"/>
            <w:vAlign w:val="bottom"/>
            <w:tcBorders>
              <w:bottom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GSK</w:t>
            </w:r>
          </w:p>
        </w:tc>
      </w:tr>
      <w:tr>
        <w:trPr>
          <w:trHeight w:val="160"/>
        </w:trPr>
        <w:tc>
          <w:tcPr>
            <w:tcW w:w="2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Neuromuscular</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SRP-1001 (ARO-DUX4)</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3"/>
                <w:szCs w:val="13"/>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Sarepta</w:t>
            </w:r>
          </w:p>
        </w:tc>
      </w:tr>
      <w:tr>
        <w:trPr>
          <w:trHeight w:val="168"/>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SRP-1003 (ARO-DM1)</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Sarepta</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SRP-1004 (ARO-ATXN2)</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Sarepta</w:t>
            </w:r>
          </w:p>
        </w:tc>
      </w:tr>
      <w:tr>
        <w:trPr>
          <w:trHeight w:val="170"/>
        </w:trPr>
        <w:tc>
          <w:tcPr>
            <w:tcW w:w="2540" w:type="dxa"/>
            <w:vAlign w:val="bottom"/>
            <w:tcBorders>
              <w:left w:val="single" w:sz="8" w:color="auto"/>
            </w:tcBorders>
          </w:tcPr>
          <w:p>
            <w:pPr>
              <w:spacing w:after="0"/>
              <w:rPr>
                <w:sz w:val="14"/>
                <w:szCs w:val="14"/>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ARO-SNCA</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Pre-clinical</w:t>
            </w:r>
          </w:p>
        </w:tc>
        <w:tc>
          <w:tcPr>
            <w:tcW w:w="1440" w:type="dxa"/>
            <w:vAlign w:val="bottom"/>
          </w:tcPr>
          <w:p>
            <w:pPr>
              <w:spacing w:after="0"/>
              <w:rPr>
                <w:sz w:val="14"/>
                <w:szCs w:val="14"/>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Novartis</w:t>
            </w:r>
          </w:p>
        </w:tc>
      </w:tr>
      <w:tr>
        <w:trPr>
          <w:trHeight w:val="172"/>
        </w:trPr>
        <w:tc>
          <w:tcPr>
            <w:tcW w:w="254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ARO-MAPT</w:t>
            </w: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Borders>
              <w:bottom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60"/>
        </w:trPr>
        <w:tc>
          <w:tcPr>
            <w:tcW w:w="25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ARO-C3</w:t>
            </w:r>
          </w:p>
        </w:tc>
        <w:tc>
          <w:tcPr>
            <w:tcW w:w="170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Pr>
          <w:p>
            <w:pPr>
              <w:spacing w:after="0"/>
              <w:rPr>
                <w:sz w:val="13"/>
                <w:szCs w:val="13"/>
                <w:color w:val="auto"/>
              </w:rPr>
            </w:pPr>
          </w:p>
        </w:tc>
        <w:tc>
          <w:tcPr>
            <w:tcW w:w="30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r>
        <w:trPr>
          <w:trHeight w:val="170"/>
        </w:trPr>
        <w:tc>
          <w:tcPr>
            <w:tcW w:w="2540" w:type="dxa"/>
            <w:vAlign w:val="bottom"/>
            <w:tcBorders>
              <w:left w:val="single" w:sz="8" w:color="auto"/>
              <w:bottom w:val="single" w:sz="8" w:color="auto"/>
            </w:tcBorders>
          </w:tcPr>
          <w:p>
            <w:pPr>
              <w:spacing w:after="0"/>
              <w:rPr>
                <w:sz w:val="14"/>
                <w:szCs w:val="14"/>
                <w:color w:val="auto"/>
              </w:rPr>
            </w:pPr>
          </w:p>
        </w:tc>
        <w:tc>
          <w:tcPr>
            <w:tcW w:w="26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ARO-CFB</w:t>
            </w:r>
          </w:p>
        </w:tc>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Phase 1/2a</w:t>
            </w:r>
          </w:p>
        </w:tc>
        <w:tc>
          <w:tcPr>
            <w:tcW w:w="1440" w:type="dxa"/>
            <w:vAlign w:val="bottom"/>
            <w:tcBorders>
              <w:bottom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Arrowhead</w:t>
            </w:r>
          </w:p>
        </w:tc>
      </w:tr>
    </w:tbl>
    <w:p>
      <w:pPr>
        <w:spacing w:after="0" w:line="101" w:lineRule="exact"/>
        <w:rPr>
          <w:sz w:val="20"/>
          <w:szCs w:val="20"/>
          <w:color w:val="auto"/>
        </w:rPr>
      </w:pPr>
    </w:p>
    <w:p>
      <w:pPr>
        <w:ind w:left="520" w:hanging="133"/>
        <w:spacing w:after="0"/>
        <w:tabs>
          <w:tab w:leader="none" w:pos="520" w:val="left"/>
        </w:tabs>
        <w:numPr>
          <w:ilvl w:val="0"/>
          <w:numId w:val="55"/>
        </w:numPr>
        <w:rPr>
          <w:rFonts w:ascii="Times New Roman" w:cs="Times New Roman" w:eastAsia="Times New Roman" w:hAnsi="Times New Roman"/>
          <w:sz w:val="8"/>
          <w:szCs w:val="8"/>
          <w:i w:val="1"/>
          <w:iCs w:val="1"/>
          <w:color w:val="auto"/>
        </w:rPr>
      </w:pPr>
      <w:r>
        <w:rPr>
          <w:rFonts w:ascii="Times New Roman" w:cs="Times New Roman" w:eastAsia="Times New Roman" w:hAnsi="Times New Roman"/>
          <w:sz w:val="10"/>
          <w:szCs w:val="10"/>
          <w:i w:val="1"/>
          <w:iCs w:val="1"/>
          <w:color w:val="auto"/>
        </w:rPr>
        <w:t>Greater China rights for plozasiran are out-licensed to Sanofi.</w:t>
      </w:r>
    </w:p>
    <w:p>
      <w:pPr>
        <w:spacing w:after="0" w:line="98" w:lineRule="exact"/>
        <w:rPr>
          <w:sz w:val="20"/>
          <w:szCs w:val="20"/>
          <w:color w:val="auto"/>
        </w:rPr>
      </w:pPr>
    </w:p>
    <w:p>
      <w:pPr>
        <w:jc w:val="both"/>
        <w:ind w:right="20" w:firstLine="382"/>
        <w:spacing w:after="0" w:line="280" w:lineRule="auto"/>
        <w:rPr>
          <w:sz w:val="20"/>
          <w:szCs w:val="20"/>
          <w:color w:val="auto"/>
        </w:rPr>
      </w:pPr>
      <w:r>
        <w:rPr>
          <w:rFonts w:ascii="Times New Roman" w:cs="Times New Roman" w:eastAsia="Times New Roman" w:hAnsi="Times New Roman"/>
          <w:sz w:val="14"/>
          <w:szCs w:val="14"/>
          <w:color w:val="auto"/>
        </w:rPr>
        <w:t>The Company operates lab facilities in California and Wisconsin, where its research and development activities, including the development of RNAi therapeutics, take place. The Company also operates an active pharmaceutical ingredient manufacturing and supporting laboratory facility in Verona, Wisconsin. The Company’s principal executive offices are located in Pasadena, California.</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Consolidation and Basis of Presentation</w:t>
      </w:r>
    </w:p>
    <w:p>
      <w:pPr>
        <w:spacing w:after="0" w:line="96" w:lineRule="exact"/>
        <w:rPr>
          <w:sz w:val="20"/>
          <w:szCs w:val="20"/>
          <w:color w:val="auto"/>
        </w:rPr>
      </w:pPr>
    </w:p>
    <w:p>
      <w:pPr>
        <w:jc w:val="both"/>
        <w:ind w:right="20" w:firstLine="382"/>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Arrowhead Pharmaceuticals, Inc. and its subsidiaries (wholly-owned subsidiaries and a variable interest entity for which the Company is the primary beneficiary). Subsidiaries refer to Arrowhead Madison, Inc., Arrowhead Australia Pty Ltd., Arrowhead Pharmaceuticals Ireland Limited, Arrowhead Pharmaceuticals NZ Limited, and Visirna Therapeutics, Inc. (“Visirna”).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spacing w:after="0" w:line="56"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conformity with U.S. generally accepted accounting principles (“GAAP”). All intercompany transactions and balances have been eliminated.</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099" w:right="299" w:bottom="1440" w:gutter="0" w:footer="0" w:header="0"/>
        </w:sectPr>
      </w:pPr>
    </w:p>
    <w:bookmarkStart w:id="93" w:name="page94"/>
    <w:bookmarkEnd w:id="93"/>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 xml:space="preserve">The Company operates as a single segment as the chief operating decision maker, or CODM, reviews operating results on an aggregate basis and manages the operations as a single operating segment. Refer to Note 16,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further details on the segment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Company’s primary sources of financing have been through the sale of its equity securities, credit facility, revenue from its licensing and collaboration agreements and the sale of certain future royalties. Research and development activities have required significant investment since the Company’s inception and are expected to continue to require significant cash expenditure in the future, particularly as the Company’s pipeline of drug candidates and its headcount have both expanded. Additionally, significant investment will be required as the Company’s pipeline matures into later stage clinical trials and commercialization efforts.</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As of September 30, 2025, the Company had $226.5 million in cash, cash equivalents and restricted cash ($1.9 million in restricted cash) and $692.8 million in available-for-sale securities to fund operations. During the year ended September 30, 2025, the Company’s cash, cash equivalents and restricted cash and investments balance increased by $238.4 million, which was primarily due to the $500.0 million as an upfront payment under the Sarepta agreement and $325.0 million in the form of an equity investment under the Sarepta agreement, $100.0 million relating to the achievement of partnership milestone achievement of which $50.0 million was settled in cash and the remaining $50.0 million was settled through the repurchase of Company's common stock , $37.3 million interest income earned on investments, and $25.0 million in the form of pre-funded warrants, partially offset by ongoing expenses related to the Company’s research and development programs, $201.6 million payments on its credit facility and $22.7 million relating to capital expenditure.</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total, the Company is eligible to receive up to $13.4 billion in additional developmental, regulatory and sales milestones, and may receive various royalties on net sales from its licensing and collaboration agreements, subject to the terms and conditions of those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Significant Accounting Policies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Use of Estimates</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an ongoing basis, the Company evaluates its estimates, judgments and assumptions. The Company bases its estimates on historical experience and on various other assumptions that it believes are reasonable, the results of which form the basis for making judgments about the carrying values of assets, liabilities and equity and the amount of revenue and expense. Actual results could materially differ from those estimates.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Cash Equivalents and Restricted Cash</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All highly liquid interest-bearing investments are classified as cash equivalents. These investments mainly include term deposits, money market instruments, corporate debt securities, and certificate of deposits with maturities of three months or less when purchased. The carrying value of these cash equivalents approximate fair value.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There was $1.9 million and $3.5 million restricted cash at September 30, 2025 and 2024, respectively, that is primarily held as collateral associated with letters of credit for the Company’s facility leases.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Investments</w:t>
      </w:r>
    </w:p>
    <w:p>
      <w:pPr>
        <w:spacing w:after="0" w:line="94" w:lineRule="exact"/>
        <w:rPr>
          <w:sz w:val="20"/>
          <w:szCs w:val="20"/>
          <w:color w:val="auto"/>
        </w:rPr>
      </w:pPr>
    </w:p>
    <w:p>
      <w:pPr>
        <w:jc w:val="both"/>
        <w:ind w:firstLine="382"/>
        <w:spacing w:after="0" w:line="276" w:lineRule="auto"/>
        <w:rPr>
          <w:sz w:val="20"/>
          <w:szCs w:val="20"/>
          <w:color w:val="auto"/>
        </w:rPr>
      </w:pPr>
      <w:r>
        <w:rPr>
          <w:rFonts w:ascii="Times New Roman" w:cs="Times New Roman" w:eastAsia="Times New Roman" w:hAnsi="Times New Roman"/>
          <w:sz w:val="14"/>
          <w:szCs w:val="14"/>
          <w:color w:val="auto"/>
        </w:rPr>
        <w:t>The Company classified all of its investments in debt securities as available-for-sale and as current assets as they represent the investment of funds available for current operations as of September 30, 2025 and 2024. The available-for-sale investments may consist of investment-grade interest bearing instruments, primarily corporate debt securities, U.S. government and agency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securities, commercial notes, certificate of deposits, and municipal securities, which are accounted for at fair value. Dividends from these funds were automatically re-invested. Changes in fair values are reported as unrealized gains or losses and are recorded in the Company’s consolidated statement of operations and comprehensive income (loss).</w:t>
      </w:r>
    </w:p>
    <w:p>
      <w:pPr>
        <w:spacing w:after="0" w:line="39"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The Company evaluates its investments for impairment based on a security-specific analysis as of each balance sheet date. If the fair value of a security is below its amortized cost, the Company first assesses whether it intends to sell the security or is more likely than not required to sell it before recovery of its amortized cost. If neither condition is met, the Company evaluates whether a portion of the decline is attributable to credit loss. Any credit-related impairment is recorded as an allowance for credit losses through earnings, with non-credit-related unrealized losses recorded in other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94" w:name="page95"/>
    <w:bookmarkEnd w:id="94"/>
    <w:p>
      <w:pPr>
        <w:ind w:right="2160"/>
        <w:spacing w:after="0" w:line="379" w:lineRule="auto"/>
        <w:rPr>
          <w:sz w:val="20"/>
          <w:szCs w:val="20"/>
          <w:color w:val="auto"/>
        </w:rPr>
      </w:pPr>
      <w:r>
        <w:rPr>
          <w:rFonts w:ascii="Times New Roman" w:cs="Times New Roman" w:eastAsia="Times New Roman" w:hAnsi="Times New Roman"/>
          <w:sz w:val="14"/>
          <w:szCs w:val="14"/>
          <w:color w:val="auto"/>
        </w:rPr>
        <w:t xml:space="preserve">comprehensive income (loss). The Company did not recognize any credit loss relating to its investment for the years ended September 30, 2025, 2024, and 2023. </w:t>
      </w:r>
      <w:r>
        <w:rPr>
          <w:rFonts w:ascii="Times New Roman" w:cs="Times New Roman" w:eastAsia="Times New Roman" w:hAnsi="Times New Roman"/>
          <w:sz w:val="14"/>
          <w:szCs w:val="14"/>
          <w:u w:val="single" w:color="auto"/>
          <w:color w:val="auto"/>
        </w:rPr>
        <w:t>Concentration of Credit Risk</w:t>
      </w:r>
    </w:p>
    <w:p>
      <w:pPr>
        <w:spacing w:after="0" w:line="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expose the Company to concentration of credit risk primarily consist of cash, cash equivalents and restricted cash and investments. As of September 30, 2025 and 2024, the Company’s investments were primarily invested in money market funds, U.S. Government, commercial paper, and corporate debt securities and term deposit through highly rated financial institutions. The Company has established guidelines relative to diversification and maturities that maintain safety and liquidity. The Company periodically reviews and modifies these guidelines to maximize trends in yields and interest rates without compromising safety and liquidity. The Company also maintains several bank accounts at two financial institutions for its operations. These accounts are insured by the Federal Deposit Insurance Corporation (FDIC) for up to $250,000 per institution.</w:t>
      </w:r>
    </w:p>
    <w:p>
      <w:pPr>
        <w:spacing w:after="0" w:line="5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addition, Visirna maintains several deposit and term accounts in mainland China, Hong Kong, and Singapore. Cash balances are held with various local and international financial institutions, which are subject to their respective jurisdictional deposit insurance programs. The Deposit Insurance Fund Management Corporation in China provides coverage of up to RMB 500,000 per depositor per institution, and the Hong Kong Deposit Protection Scheme provides protection of up to HKD 800,000 per depositor per bank, and the Singapore Deposit Insurance Corporation provides coverage of up to SGD 100,000 per depositor per member bank.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Property, Plant and Equipment</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Property, plant and equipment are recorded at cost, net of accumulated depreciation. Depreciation expense is recorded on a straight-line basis over the estimated useful lives of the assets. Leasehold improvements are amortized over the shorter of the asset life or lease term. Construction in progress reflects amounts incurred for construction or improvements of property, plant and equipment that have not been placed in service. Upon disposition, the cost and accumulated depreciation of assets retired or sold are removed from the respective asset category, and any gain or loss is recognized in the Company’s consolidated statement of operations and comprehensive income (loss).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estimated useful lives of property, plant and equipment are as follows (in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00" w:type="dxa"/>
            <w:vAlign w:val="bottom"/>
            <w:tcBorders>
              <w:bottom w:val="single" w:sz="8" w:color="CCEEFF"/>
            </w:tcBorders>
          </w:tcPr>
          <w:p>
            <w:pPr>
              <w:spacing w:after="0"/>
              <w:rPr>
                <w:sz w:val="13"/>
                <w:szCs w:val="13"/>
                <w:color w:val="auto"/>
              </w:rPr>
            </w:pP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Estimated Useful Lives</w:t>
            </w:r>
          </w:p>
        </w:tc>
      </w:tr>
      <w:tr>
        <w:trPr>
          <w:trHeight w:val="17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4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39</w:t>
            </w:r>
          </w:p>
        </w:tc>
      </w:tr>
      <w:tr>
        <w:trPr>
          <w:trHeight w:val="16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equipment</w:t>
            </w:r>
          </w:p>
        </w:tc>
        <w:tc>
          <w:tcPr>
            <w:tcW w:w="4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5</w:t>
            </w:r>
          </w:p>
        </w:tc>
      </w:tr>
      <w:tr>
        <w:trPr>
          <w:trHeight w:val="17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Manufacturing equipment</w:t>
            </w:r>
          </w:p>
        </w:tc>
        <w:tc>
          <w:tcPr>
            <w:tcW w:w="4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 to 10</w:t>
            </w:r>
          </w:p>
        </w:tc>
      </w:tr>
      <w:tr>
        <w:trPr>
          <w:trHeight w:val="16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w:t>
            </w:r>
          </w:p>
        </w:tc>
        <w:tc>
          <w:tcPr>
            <w:tcW w:w="4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r>
      <w:tr>
        <w:trPr>
          <w:trHeight w:val="17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Computers and software</w:t>
            </w:r>
          </w:p>
        </w:tc>
        <w:tc>
          <w:tcPr>
            <w:tcW w:w="4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 to 5</w:t>
            </w:r>
          </w:p>
        </w:tc>
      </w:tr>
      <w:tr>
        <w:trPr>
          <w:trHeight w:val="165"/>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498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Shorter of asset life or lease term</w:t>
            </w:r>
          </w:p>
        </w:tc>
      </w:tr>
    </w:tbl>
    <w:p>
      <w:pPr>
        <w:spacing w:after="0" w:line="14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periodically assesses long-lived assets or asset groups, including property, plant and equipment, for recoverability when events or changes in circumstances indicate that their carrying amounts may not be recoverable. If the Company identifies an indicator of impairment, the Company assesses recoverability by comparing the carrying amount of the asset to the sum of the undiscounted cash flows expected to result from the use and the eventual disposal of the asset. An impairment loss is recognized when the carrying amount is not recoverable and is measured as the excess of carrying value over fair value. There were no impairment charges during the years ended September 30, 2025, 2024, and 2023.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Intangible Assets Subject to Amortization</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Intangible assets subject to amortization include certain patents and license agreements. The Company evaluates intangible assets for impairment annually or whenever events or changes in circumstances indicate that it is more likely than not that the carrying amount of intangible assets may exceed their implied fair values. No impairment charges were recorded during the years ended September 30, 2025, 2024, and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Leases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Company determines whether a contract is, or contains, a lease at inception. All of the Company’s leases are classified as operating leases. Leases with terms greater than one-year are recognized on the Company’s consolidated balance sheets as right-of-use assets that represent the Company’s right to use an underlying asset for the lease term, and lease liabilities that represent its obligation to make lease payments arising from the lease. Lease assets and liabilities are recognized at the lease commencement date based on the estimated present value of lease payments over the expected lease term. As of September 30, 2025 and 2024, the Company is not reasonably certain that it will exercise renewal options for any lease facilities. Therefore, these options are not included in the right-of-use assets and liabilities.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5" w:name="page96"/>
    <w:bookmarkEnd w:id="95"/>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lease payments on a straight-line basis over the expected lease term. Costs determined to be variable and not based on an index or rate are not included in the measurement of the lease liability and are expensed as incurred.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Clinical Accruals</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accrues liabilities for products received or services incurred, particularly for ongoing clinical trials, where service providers have not yet billed or where billing terms do not align with the timing of the work performed as of the period-end. These costs mainly include third-party clinical management or clinical research organization (CRO), laboratory analysis, and investigator fees. Accrual estimates may be based on vendor communications to obtain pending invoices and/or estimates for services performed during the period. In some cases, these estimates require significant judgment, drawing on an understanding of research and development programs, services provided during the period, prior experience, and, where applicable, the expected duration of third-party contracts. Actual costs upon settlement may differ significantly from the accrued amounts in the Company’s consolidated financial statements, though historical estimates have not differed materially from actual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 Recognition</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it determines are within the scope of the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it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6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4"/>
          <w:szCs w:val="14"/>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its milestones and royalties, and, if necessary, adjusts its estimate of the overall transaction price. Any such adjustments are recorded on a cumulative catch-up basis, which would affect revenues and net income in the Company’s consolidated statements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color w:val="auto"/>
        </w:rPr>
        <w:t>recognized as revenue to the extent performance had been completed at that point, and the remaining balance would be recorded as deferred revenue.</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Further, 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and costs, reimbursement rates for personnel costs, discount rates and probabilities of technical and regulatory success.</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input method;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its consolidated balance sheets.</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Certain judgments affect the application of the Company’s revenue recognition policy. For example, the Company records short-term (less than one year) and long-term (over one year) deferred revenue based on its best estimate of when such revenue will be recognized. This estimate is based on the Company’s current operating plan and, the Company may recognize a different amount of deferred revenue over the next 12-month period if its plan changes in the future.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Collaborative Arrangements</w:t>
      </w:r>
    </w:p>
    <w:p>
      <w:pPr>
        <w:spacing w:after="0" w:line="94"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 xml:space="preserve">The Company analyzes its collaborative arrangements to assess whether such arrangements involve joint operating activities performed by parties that are both active participants in the activities and exposed to significant risks and rewards, and therefore are within the scope of Financial Accounting Standards Board (“FASB”) Topic 808 -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For collaborative arrangements that contain multiple elements, the Company determines which units of account are deemed to be within the scope of Topic 808 and which units of account are more reflective of a vendor-customer relationship, and therefore are within the scope of Topic 606 - </w:t>
      </w:r>
      <w:r>
        <w:rPr>
          <w:rFonts w:ascii="Times New Roman" w:cs="Times New Roman" w:eastAsia="Times New Roman" w:hAnsi="Times New Roman"/>
          <w:sz w:val="14"/>
          <w:szCs w:val="14"/>
          <w:i w:val="1"/>
          <w:iCs w:val="1"/>
          <w:color w:val="auto"/>
        </w:rPr>
        <w:t>Revenue for Contracts from Customers</w:t>
      </w:r>
      <w:r>
        <w:rPr>
          <w:rFonts w:ascii="Times New Roman" w:cs="Times New Roman" w:eastAsia="Times New Roman" w:hAnsi="Times New Roman"/>
          <w:sz w:val="14"/>
          <w:szCs w:val="14"/>
          <w:color w:val="auto"/>
        </w:rPr>
        <w:t>. For units of account that are accounted for pursuant to Topic 808, an appropriate recognition method is determined and applied consistently, either by analogy to appropriate accounting literature or by applying a reasonable accounting policy election. For collaborative arrangements that are within the scope of Topic 808,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Research and Development Expenses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Research and development costs are charged to expense as incurred.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Share-based compensation expense for all stock grants are based on their estimated grant-date fair value. The fair value of stock option awards is estimated using the Black-Scholes option valuation model which requires the input of subjective assumptions to calculate the value of stock options. The Company uses historical data and other information to estimate the expected price volatility and the expected forfeiture rate for stock option awards. For restricted stock units, the value of the award is based on the Company’s stock price at the grant date. For performance-based restricted stock unit awards, the value of the award is based on the Company’s stock price at the grant date, with consideration given to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7" w:name="page98"/>
    <w:bookmarkEnd w:id="97"/>
    <w:p>
      <w:pPr>
        <w:jc w:val="both"/>
        <w:spacing w:after="0" w:line="287" w:lineRule="auto"/>
        <w:rPr>
          <w:sz w:val="20"/>
          <w:szCs w:val="20"/>
          <w:color w:val="auto"/>
        </w:rPr>
      </w:pPr>
      <w:r>
        <w:rPr>
          <w:rFonts w:ascii="Times New Roman" w:cs="Times New Roman" w:eastAsia="Times New Roman" w:hAnsi="Times New Roman"/>
          <w:sz w:val="14"/>
          <w:szCs w:val="14"/>
          <w:color w:val="auto"/>
        </w:rPr>
        <w:t>probability of the performance condition being achieved.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Income Taxes</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estimated future tax consequences attributable to differences between the financial reporting basis and the respective tax basis of the Company’s assets and liabilities, and expected benefits of utilizing net operating loss, capital loss, and tax-credit carryforwards. The Company assesses the likelihood that its deferred tax assets will be realized and, to the extent management does not believe these assets are more likely than not to be realized, a valuation allowance is established. Deferred tax assets and liabilities are measured using enacted tax rates expected to apply to taxable income in the years in which those temporary differences are expected to be recovered or settled. The effect on deferred tax assets and liabilities of a change in tax rates or laws is recognized in earnings in the period that includes the enactment date.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Variable Interest Entity (“VIE”)</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 VIE is an entity that, by design, either (i) lacks sufficient equity to permit the entity to finance its activities without additional subordinated financial support from other parties; or (ii) has equity investors that do not have the ability to make significant decisions relating to the entity’s operations through voting rights, or do not have the obligation to absorb the expected losses, or do not have the right to receive the residual returns of the entity. The primary beneficiary of a VIE is required to consolidate the assets and liabilities of the VIE. The primary beneficiary is the party that has both (i) the power to direct the activities of the VIE that most significantly impact the VIE’s economic performance, and (ii) the obligation to absorb losses or the right to receive benefits from the VIE that could potentially be significant to the VIE through its interest in the VIE.</w:t>
      </w:r>
    </w:p>
    <w:p>
      <w:pPr>
        <w:spacing w:after="0" w:line="5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April 25, 2022, the Company entered into a license agreement with Visirna (Note 2) and consolidated Visirna’s financial statements in which the Company has a direct controlling financial interest based on the VIE model.</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considers all the facts and circumstances, including its role in establishing Visirna and its ongoing rights and responsibilities to assess whether the Company has the power to direct the activities of Visirna. In general, the parties that make the most significant decisions affecting a VIE and have the right to unilaterally remove those decision-makers are deemed to have the power to direct the activities of a VIE.</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also considers all of its economic interests to assess whether the Company has the obligation to absorb losses of Visirna or the right to receive benefits from it that could potentially be significant to Visirna. This assessment requires the Company to apply judgment in determining whether these interests, in the aggregate, are considered potentially significant to Visirna. Factors considered in assessing the significance include: the design of Visirna, including its capitalization structure, subordination of interests, payment priority, and the reasons why the interests are held by the Company.</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At Visirna’s inception, the Company determined it was the primary beneficiary and that Visirna should be consolidated based on the facts and circumstances. The Company performs ongoing reassessments of the VIE based on reconsideration events and reevaluates whether a change to the consolidation conclusion is required. As of September 30, 2025, there were no events to be reconsidered in the consolidation.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Net Loss per Share</w:t>
      </w:r>
    </w:p>
    <w:p>
      <w:pPr>
        <w:spacing w:after="0" w:line="94" w:lineRule="exact"/>
        <w:rPr>
          <w:sz w:val="20"/>
          <w:szCs w:val="20"/>
          <w:color w:val="auto"/>
        </w:rPr>
      </w:pPr>
    </w:p>
    <w:p>
      <w:pPr>
        <w:jc w:val="both"/>
        <w:ind w:firstLine="382"/>
        <w:spacing w:after="0" w:line="280" w:lineRule="auto"/>
        <w:rPr>
          <w:sz w:val="20"/>
          <w:szCs w:val="20"/>
          <w:color w:val="auto"/>
        </w:rPr>
      </w:pPr>
      <w:r>
        <w:rPr>
          <w:rFonts w:ascii="Times New Roman" w:cs="Times New Roman" w:eastAsia="Times New Roman" w:hAnsi="Times New Roman"/>
          <w:sz w:val="14"/>
          <w:szCs w:val="14"/>
          <w:color w:val="auto"/>
        </w:rPr>
        <w:t>Net loss per share is computed using the weighted-average number of common shares outstanding during the period. Diluted earnings per share is computed using the weighted-average number of common shares and dilutive potential common shares outstanding during the period. Dilutive potential common shares primarily consist of stock options and restricted stock units outstanding.</w:t>
      </w:r>
    </w:p>
    <w:p>
      <w:pPr>
        <w:spacing w:after="0" w:line="21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years ended September 30, 2025, 2024 and 2023, the calculation of the effect of dilutive stock options and restricted stock units excluded all stock options and restricted stock units outstanding during the period due to their anti-dilutive effect.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Foreign Currency Translation Adjustments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Three of the Company’s wholly-owned subsidiaries’ functional currencies is not the United States dollar, which is the Company’s reporting currency. Assets and liabilities are translated at the exchange rate in effect at the balance sheet date. Revenues and expenses are translated at the average rate of exchange prevailing during the reporting period. Translation adjustments arising from the use of different exchange rates from period to period are included in the accumulated other comprehensive income (loss).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auto"/>
        </w:rPr>
        <w:t>Segment Information</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operates as a single segment because its CODM reviews operating results on an aggregate basis and manages its operations as a single operating segment.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4"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 xml:space="preserve">In January 2025, the Financial Accounting Standards Board (“FASB”) issued Accounting Standard Update (“ASU”) 2024-03, </w:t>
      </w:r>
      <w:r>
        <w:rPr>
          <w:rFonts w:ascii="Times New Roman" w:cs="Times New Roman" w:eastAsia="Times New Roman" w:hAnsi="Times New Roman"/>
          <w:sz w:val="14"/>
          <w:szCs w:val="14"/>
          <w:i w:val="1"/>
          <w:iCs w:val="1"/>
          <w:color w:val="auto"/>
        </w:rPr>
        <w:t>Income Statement—Reporting Comprehensive Income—Expense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Disaggregation Disclosures (Subtopic 220-40): Disaggregation of Income Statement Expenses, </w:t>
      </w:r>
      <w:r>
        <w:rPr>
          <w:rFonts w:ascii="Times New Roman" w:cs="Times New Roman" w:eastAsia="Times New Roman" w:hAnsi="Times New Roman"/>
          <w:sz w:val="14"/>
          <w:szCs w:val="14"/>
          <w:color w:val="auto"/>
        </w:rPr>
        <w:t>in November 2024, and ASU 2025-01,</w:t>
      </w:r>
      <w:r>
        <w:rPr>
          <w:rFonts w:ascii="Times New Roman" w:cs="Times New Roman" w:eastAsia="Times New Roman" w:hAnsi="Times New Roman"/>
          <w:sz w:val="14"/>
          <w:szCs w:val="14"/>
          <w:i w:val="1"/>
          <w:iCs w:val="1"/>
          <w:color w:val="auto"/>
        </w:rPr>
        <w:t xml:space="preserve"> Clarifying the Effective Date</w:t>
      </w:r>
      <w:r>
        <w:rPr>
          <w:rFonts w:ascii="Times New Roman" w:cs="Times New Roman" w:eastAsia="Times New Roman" w:hAnsi="Times New Roman"/>
          <w:sz w:val="14"/>
          <w:szCs w:val="14"/>
          <w:color w:val="auto"/>
        </w:rPr>
        <w:t>. These updates require entities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 disaggregated disclosures of income statement expenses. The ASUs do not affect the expense captions presented on the face of the income statement but instead require the disaggregation of certain expense captions into specified categories within the footnotes to the financial statements. The ASUs will become effective for the Company beginning October 1, 2027, and the Company is currently evaluating the impact on its consolidated financial statements and related disclosures.</w:t>
      </w:r>
    </w:p>
    <w:p>
      <w:pPr>
        <w:spacing w:after="0" w:line="55" w:lineRule="exact"/>
        <w:rPr>
          <w:sz w:val="20"/>
          <w:szCs w:val="20"/>
          <w:color w:val="auto"/>
        </w:rPr>
      </w:pPr>
    </w:p>
    <w:p>
      <w:pPr>
        <w:jc w:val="both"/>
        <w:ind w:firstLine="382"/>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Accounting Standard Update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to improve its income tax disclosure requirements. Under the guidance, entities must annually (1) disclose specific categories in the rate reconciliation and (2) provide additional information for reconciling items that meet a quantitative threshold. This guidance became effective for the Company beginning on October 1, 2025. The Company does not expect any material impact on its consolidated financial statements and related disclosures resulting from applying this ASU.</w:t>
      </w:r>
    </w:p>
    <w:p>
      <w:pPr>
        <w:spacing w:after="0" w:line="53"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which is intended to improve reportable segment disclosure requirements, primarily through additional disclosures about significant segment expenses. The guidance requires public companies with a single reportable segment to provide all disclosures required under ASC 280. In addition, the guidance requires public companies to include in interim reports all disclosures related to a reportable segment’s profit or loss and assets that are currently required in annual reports. The standard is effective for fiscal years beginning after December 15, 2023, and interim periods within fiscal years beginning after December 15, 2024, with early adoption permitted. The amendments should be applied retrospectively to all prior periods presented in the financial statements. This ASU is applicable to the Company’s Annual Report on Form 10-K for the year ending September 30, 2025, and subsequent interim periods. Refer to Note 16,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further details on segment information.</w:t>
      </w:r>
    </w:p>
    <w:p>
      <w:pPr>
        <w:spacing w:after="0" w:line="5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 xml:space="preserve">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ASC 740, "Income Taxes", requires the effects of changes in tax rates and laws to be recognized in the period in which the legislation is enacted. The Company has implemented OBBBA in the fourth quarter of fiscal 2025. Refer to Note 11,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further details.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COLLABORATION AND LICENSE AGREEMENTS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summary of revenue recognized: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54"/>
        </w:trPr>
        <w:tc>
          <w:tcPr>
            <w:tcW w:w="4360" w:type="dxa"/>
            <w:vAlign w:val="bottom"/>
          </w:tcPr>
          <w:p>
            <w:pPr>
              <w:spacing w:after="0"/>
              <w:rPr>
                <w:sz w:val="13"/>
                <w:szCs w:val="13"/>
                <w:color w:val="auto"/>
              </w:rPr>
            </w:pPr>
          </w:p>
        </w:tc>
        <w:tc>
          <w:tcPr>
            <w:tcW w:w="15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4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7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GSK</w:t>
            </w:r>
          </w:p>
        </w:tc>
        <w:tc>
          <w:tcPr>
            <w:tcW w:w="1520" w:type="dxa"/>
            <w:vAlign w:val="bottom"/>
            <w:shd w:val="clear" w:color="auto" w:fill="CCEEFF"/>
          </w:tcPr>
          <w:p>
            <w:pPr>
              <w:jc w:val="right"/>
              <w:ind w:right="137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29,657</w:t>
            </w:r>
          </w:p>
        </w:tc>
      </w:tr>
      <w:tr>
        <w:trPr>
          <w:trHeight w:val="168"/>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Horizon</w:t>
            </w:r>
          </w:p>
        </w:tc>
        <w:tc>
          <w:tcPr>
            <w:tcW w:w="15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23,206</w:t>
            </w:r>
          </w:p>
        </w:tc>
      </w:tr>
      <w:tr>
        <w:trPr>
          <w:trHeight w:val="17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Takeda</w:t>
            </w:r>
          </w:p>
        </w:tc>
        <w:tc>
          <w:tcPr>
            <w:tcW w:w="15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162,516</w:t>
            </w:r>
          </w:p>
        </w:tc>
      </w:tr>
      <w:tr>
        <w:trPr>
          <w:trHeight w:val="168"/>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Janssen</w:t>
            </w:r>
          </w:p>
        </w:tc>
        <w:tc>
          <w:tcPr>
            <w:tcW w:w="15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72"/>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Amgen</w:t>
            </w:r>
          </w:p>
        </w:tc>
        <w:tc>
          <w:tcPr>
            <w:tcW w:w="15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68"/>
        </w:trPr>
        <w:tc>
          <w:tcPr>
            <w:tcW w:w="4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Sarepta</w:t>
            </w:r>
          </w:p>
        </w:tc>
        <w:tc>
          <w:tcPr>
            <w:tcW w:w="1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696,803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Sanofi</w:t>
            </w:r>
          </w:p>
        </w:tc>
        <w:tc>
          <w:tcPr>
            <w:tcW w:w="1520" w:type="dxa"/>
            <w:vAlign w:val="bottom"/>
            <w:shd w:val="clear" w:color="auto" w:fill="CCEEFF"/>
          </w:tcPr>
          <w:p>
            <w:pPr>
              <w:jc w:val="right"/>
              <w:ind w:right="137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2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20" w:type="dxa"/>
            <w:vAlign w:val="bottom"/>
            <w:tcBorders>
              <w:top w:val="single" w:sz="8" w:color="auto"/>
              <w:bottom w:val="single" w:sz="8" w:color="auto"/>
            </w:tcBorders>
          </w:tcPr>
          <w:p>
            <w:pPr>
              <w:jc w:val="right"/>
              <w:ind w:right="1378"/>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829,448</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240,735</w:t>
            </w:r>
          </w:p>
        </w:tc>
      </w:tr>
      <w:tr>
        <w:trPr>
          <w:trHeight w:val="20"/>
        </w:trPr>
        <w:tc>
          <w:tcPr>
            <w:tcW w:w="4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balance of receivables and contract liabilities related to the Company’s collaboration and license agreements: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460" w:type="dxa"/>
            <w:vAlign w:val="bottom"/>
            <w:tcBorders>
              <w:bottom w:val="single" w:sz="8" w:color="auto"/>
            </w:tcBorders>
          </w:tcPr>
          <w:p>
            <w:pPr>
              <w:spacing w:after="0"/>
              <w:rPr>
                <w:sz w:val="13"/>
                <w:szCs w:val="13"/>
                <w:color w:val="auto"/>
              </w:rPr>
            </w:pPr>
          </w:p>
        </w:tc>
      </w:tr>
      <w:tr>
        <w:trPr>
          <w:trHeight w:val="154"/>
        </w:trPr>
        <w:tc>
          <w:tcPr>
            <w:tcW w:w="70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7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80" w:type="dxa"/>
            <w:vAlign w:val="bottom"/>
            <w:gridSpan w:val="2"/>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60" w:type="dxa"/>
            <w:vAlign w:val="bottom"/>
          </w:tcPr>
          <w:p>
            <w:pPr>
              <w:spacing w:after="0"/>
              <w:rPr>
                <w:sz w:val="13"/>
                <w:szCs w:val="13"/>
                <w:color w:val="auto"/>
              </w:rPr>
            </w:pPr>
          </w:p>
        </w:tc>
      </w:tr>
      <w:tr>
        <w:trPr>
          <w:trHeight w:val="17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 included in accounts receivable</w:t>
            </w: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6,824</w:t>
            </w:r>
          </w:p>
        </w:tc>
        <w:tc>
          <w:tcPr>
            <w:tcW w:w="68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7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liabilities included in deferred revenue</w:t>
            </w:r>
          </w:p>
        </w:tc>
        <w:tc>
          <w:tcPr>
            <w:tcW w:w="50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2,399</w:t>
            </w: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GlaxoSmithKline Intellectual Property (No. 3) Limited (“GSK”)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GSK-HSD License Agreement</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completed its performance obligation related to this agreement, and the upfront payment of $120.0 million was fully recognized in the year ended September 30, 2022.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GSK dosed the first patient in a Phase 2b trial in March 2023 and paid a $30.0 million milestone payment to the Company in the third quarter of fiscal 2023.</w:t>
      </w:r>
    </w:p>
    <w:p>
      <w:pPr>
        <w:spacing w:after="0" w:line="7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GSK-HBV Agreement</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the terms of the GSK-HBV Agreement, the Company received $2.7 million in December 2023, upon signing the amended GSK-HBV Agreement. Further, GSK dosed the fifth patient in a Phase 2 trial in December 2024, triggering a $2.5 million milestone payment to the Company which was paid in the second quarter of fiscal 2025. The Company is eligible to receive up to $830.0 million in development and sales milestone payments under the GSK-HBV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contract assets and liabilities recorded as of September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Horizon Therapeutics Ireland DAC (“Horizon”)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June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October 6, 2023, Amgen completed its acquisition of Horizon and subsequently notified the Company of Amgen’s intent to terminate the HZN-457 license. Horizon exercised its right to terminate the Horizon License Agreement for convenience, which took effect on December 21,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Takeda Pharmaceutical Company Limited (“Takeda”)</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50/50 profit sharing structure. Outside the United States, Takeda received an exclusive license to commercialize fazirsiran and will lead the global commercialization strategy, while the Company will be eligible to receive tiered royalties of 20% to 25% on net sales.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00" w:name="page101"/>
    <w:bookmarkEnd w:id="100"/>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determined that the key deliverables included the license and certain research and development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Takeda is responsible for managing clinical development and commercialization outside the United States. Within the United States, the Company and Takeda are responsible in the co-development and co-commercialization efforts.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w:t>
      </w:r>
    </w:p>
    <w:p>
      <w:pPr>
        <w:spacing w:after="0" w:line="23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allocated the total $300.0 million initial transaction price to its one distinct performance obligation for the fazirsiran license and the associated Takeda R&amp;D Services. The Company has substantially completed its performance obligation under the Takeda License Agreement by December 31, 2023. As such, all revenue has been fully recognized as of December 31, 2023. There were no further deferred revenue and contract liabilities as of September 30, 2025.</w:t>
      </w:r>
    </w:p>
    <w:p>
      <w:pPr>
        <w:spacing w:after="0" w:line="51" w:lineRule="exact"/>
        <w:rPr>
          <w:sz w:val="20"/>
          <w:szCs w:val="20"/>
          <w:color w:val="auto"/>
        </w:rPr>
      </w:pPr>
    </w:p>
    <w:p>
      <w:pPr>
        <w:ind w:right="1440" w:firstLine="382"/>
        <w:spacing w:after="0" w:line="411" w:lineRule="auto"/>
        <w:rPr>
          <w:sz w:val="20"/>
          <w:szCs w:val="20"/>
          <w:color w:val="auto"/>
        </w:rPr>
      </w:pPr>
      <w:r>
        <w:rPr>
          <w:rFonts w:ascii="Times New Roman" w:cs="Times New Roman" w:eastAsia="Times New Roman" w:hAnsi="Times New Roman"/>
          <w:sz w:val="14"/>
          <w:szCs w:val="14"/>
          <w:color w:val="auto"/>
        </w:rPr>
        <w:t xml:space="preserve">The Company recorded $31.3 million as accrued expenses as of September 30, 2025 that was primarily driven by co-development and co-commercialization activities. </w:t>
      </w:r>
      <w:r>
        <w:rPr>
          <w:rFonts w:ascii="Times New Roman" w:cs="Times New Roman" w:eastAsia="Times New Roman" w:hAnsi="Times New Roman"/>
          <w:sz w:val="14"/>
          <w:szCs w:val="14"/>
          <w:b w:val="1"/>
          <w:bCs w:val="1"/>
          <w:i w:val="1"/>
          <w:iCs w:val="1"/>
          <w:color w:val="auto"/>
        </w:rPr>
        <w:t>Janssen Pharmaceuticals, Inc. (“Janssen”)</w:t>
      </w: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April 7, 2023, Janssen voluntarily terminated its collaboration agreement with the Company and the Company regained full rights to ARO-PNPLA3, formerly called JNJ-75220795. There are no currently active trials for ARO-PNPLA3.</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Further, on December 11, 2023, the Company entered into the GSK-HBV Agreement, as discussed above, pursuant to which GSK received an exclusive license for JNJ-3989 (formerly ARO-HBV). JNJ-3989 had previously been licensed to Janssen in October 2018.</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Amgen Inc. (“Amgen”)</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substantially completed its performance obligations under the Olpasiran Agreement. There were no contract assets and liabilities recorded as of September 30, 2025.</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November 2022, Royalty Pharma Investments 2019 ICAV (“Royalty Pharma”) and the Company entered into a Royalty Purchase Agreement with Royalty Pharma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 13.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Sarepta Therapeutics, Inc.</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On November 25, 2024, the Company entered into an Exclusive License and Collaboration Agreement (the “Sarepta Collaboration Agreement”) with Sarepta for the development and commercialization of multiple clinical and preclinical programs in rare, genetic diseases of the muscle, central nervous system, and lungs. The Company concurrently entered into a Stock Purchase Agreement (the “Stock Purchase Agreement”) with Sarepta (see Note 6).</w:t>
      </w:r>
    </w:p>
    <w:p>
      <w:pPr>
        <w:spacing w:after="0" w:line="51"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Under the Sarepta Collaboration Agreement, Sarepta received an exclusive sublicensable worldwide license to SRP-1001 (formerly ARO-DUX4), SRP-1003 (formerly ARO-DM1), SRP-1002 (formerly ARO-MMP7), and SRP-1004 (formerly ARO-ATXN2) clinical stage programs (the “C1” programs). Sarepta also received an exclusive sublicensable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1" w:name="page102"/>
    <w:bookmarkEnd w:id="101"/>
    <w:p>
      <w:pPr>
        <w:jc w:val="both"/>
        <w:spacing w:after="0" w:line="271" w:lineRule="auto"/>
        <w:rPr>
          <w:sz w:val="20"/>
          <w:szCs w:val="20"/>
          <w:color w:val="auto"/>
        </w:rPr>
      </w:pPr>
      <w:r>
        <w:rPr>
          <w:rFonts w:ascii="Times New Roman" w:cs="Times New Roman" w:eastAsia="Times New Roman" w:hAnsi="Times New Roman"/>
          <w:sz w:val="14"/>
          <w:szCs w:val="14"/>
          <w:color w:val="auto"/>
        </w:rPr>
        <w:t>worldwide license to the Company’s ARO-HTT, ARO-ATXN1, and ARO-ATXN3 preclinical stage programs (the “C2” programs). The Company will perform certain research and development activities for the C1 and C2 programs.</w:t>
      </w:r>
    </w:p>
    <w:p>
      <w:pPr>
        <w:spacing w:after="0" w:line="5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Further, Sarepta may select up to six gene targets for which the Company will perform discovery, optimization and preclinical development activities to identify RNAi compounds against each selected target (the “C3” programs). Upon target acceptance, Sarepta will receive an exclusive license to the Company’s intellectual property rights to exploit compounds directed to those targets and is wholly responsible for clinical development and commercialization of each compound after the Company delivers a Clinical Trial Application ready data package (the "CTA package").</w:t>
      </w:r>
    </w:p>
    <w:p>
      <w:pPr>
        <w:spacing w:after="0" w:line="62"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The Company identified 17 performance obligations under the Sarepta Collaboration Agreement. The four C1 licenses are distinct performance obligations from the four C1 research and development performance obligations since the customer can use and benefit from the licenses separately. The performance obligations for the licenses were satisfied in the second quarter of fiscal 2025 upon delivery and the research and development performance obligations will be satisfied as the work is performed. The remaining nine performance obligations include three C2 preclinical stage program licenses and research and development activities, and six C3 unidentified discovery target licenses and research and development activity. Each of the three C2 programs and the six C3 programs were determined to represent one performance obligation, as the customer cannot benefit from the use of the product license at the point of transfer until the specified research and development activities are performed. As such, each of the C2 and C3 product licenses and respective research and development work will be combined to form one performance obligation. For these nine performance obligations, revenue is recognized over time as the work is performed.</w:t>
      </w:r>
    </w:p>
    <w:p>
      <w:pPr>
        <w:spacing w:after="0" w:line="56"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color w:val="auto"/>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spacing w:after="0" w:line="67"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Under the terms of the Sarepta Collaboration Agreement, the Company received an upfront payment of $500.0 million on February 14, 2025. In addition, on February 7, 2025, the Company received $325.0 million in the form of an equity investment under the Stock Purchase Agreement. Based upon the Company's share price on February 7, 2025, (the “Closing Date”), the difference between the $325.0 million and the fair value of the shares on the Closing date resulted in a premium of $83.6 million. The premium is included as part of the total consideration of the Sarepta Collaboration Agreement for revenue recognition purposes. The Company is entitled to receive $250.0 million to be paid in annual installments of $50.0 million over the first five years of the agreement. The Company is also eligible receive reimbursement of certain costs related to carrying out the research and development activities for the C1 programs. The fixed consideration of $833.6 million and an estimated variable consideration of $71.2 million for a total of $904.9 million were allocated to all performance obligations based on their relative standalone selling price. Standalone selling prices for the product licenses were determined using an adjusted market-based approach through the net present value of the expected future cash flows for each program. The standalone selling prices for the research and development work were determined based on an expected cost plus margin approach.</w:t>
      </w:r>
    </w:p>
    <w:p>
      <w:pPr>
        <w:spacing w:after="0" w:line="59"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and expenses,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discount based on the difference between the aggregate stand-alone selling price and the transaction price for accounting revenue recognition purposes. The Company allocated the discount proportionally to each of the performance obligations based upon their standalone selling price.</w:t>
      </w:r>
    </w:p>
    <w:p>
      <w:pPr>
        <w:spacing w:after="0" w:line="53"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The Company receives reimbursement of certain costs related to carrying out the research and development activities for the C1 programs and may receive development milestone payments of up to $300.0 million. Further, for each of the 13 programs, the Company is eligible to receive regulatory milestone payments between $110.0 million and $180.0 million per program. Variable consideration associated with the milestones that may be achieved will be allocated to the performance obligation to which it is determined to be related, which will be the respective development work that is being reimbursed and the respective programs to which the milestones relate. ARO-DM1 development milestones were allocated between the license and development work based on the allocation of the standalone selling price. The Company will recognize the ARO-DM1 development milestones and other development milestones as revenue in the periods the underlying milestone events are achieved as achievement of the milestone events are highly susceptible to factors outside of the entity's influence and therefore there is a possibility that the milestone event will not be achieved.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2" w:name="page103"/>
    <w:bookmarkEnd w:id="102"/>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The Company is also eligible to receive sales milestone payments between $500.0 million and $700.0 million per program as well as tiered royalties on net sales of licensed products of up to the low double digits, subject to the terms and conditions of the Sarepta Collaboration Agreement. The Company has applied the sales-based scope exception to the sales milestones and the royalty-based payments.</w:t>
      </w:r>
    </w:p>
    <w:p>
      <w:pPr>
        <w:spacing w:after="0" w:line="46" w:lineRule="exact"/>
        <w:rPr>
          <w:sz w:val="20"/>
          <w:szCs w:val="20"/>
          <w:color w:val="auto"/>
        </w:rPr>
      </w:pPr>
    </w:p>
    <w:p>
      <w:pPr>
        <w:jc w:val="both"/>
        <w:ind w:firstLine="382"/>
        <w:spacing w:after="0" w:line="262" w:lineRule="auto"/>
        <w:rPr>
          <w:sz w:val="20"/>
          <w:szCs w:val="20"/>
          <w:color w:val="auto"/>
        </w:rPr>
      </w:pPr>
      <w:r>
        <w:rPr>
          <w:rFonts w:ascii="Times New Roman" w:cs="Times New Roman" w:eastAsia="Times New Roman" w:hAnsi="Times New Roman"/>
          <w:sz w:val="14"/>
          <w:szCs w:val="14"/>
          <w:color w:val="auto"/>
        </w:rPr>
        <w:t>The Sarepta Collaboration Agreement commenced in February 2025 and may be terminated by either party in the event of a material breach as defined therein. In addition, Sarepta may voluntarily terminate the Sarepta Collaboration Agreement with 30 days' written notice to the Company if terminated prior to any regulatory approval of a licensed product. Unless earlier terminated, the Sarepta Collaboration Agreement expires on a product-by-product and country-by-country basis, upon the date of expiration of the relevant royalty term for such product in such country.</w:t>
      </w:r>
    </w:p>
    <w:p>
      <w:pPr>
        <w:spacing w:after="0" w:line="4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August 2025, the Company repurchased 2,660,989 shares of its common stock from Sarepta in connection with the $100.0 million DM1 first development milestone under the Sarepta Collaboration Agreement. The repurchase satisfied $50.0 million of the milestone payment through delivery of the Company’s common stock, with the remaining $50.0 million settled in cash. The shares were recorded as treasury stock at their fair value of $53.2 million, resulting in a $3.2 million gain on settlement. The repurchased shares are presented as a reduction to total stockholders’ equity in accordance with ASC 505-30.</w:t>
      </w:r>
    </w:p>
    <w:p>
      <w:pPr>
        <w:spacing w:after="0" w:line="56"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As of September 30, 2025, the Company recorded $696.8 million in revenue from Sarepta and $6.8 million in accounts receivable. The recognition of the remaining revenue for the performance obligations is dependent upon the time it takes to complete the respective research and development activities and in consideration of the timing of the selection of the C3 programs.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Visirna Therapeutics Inc. (“Visirna”) and Genzyme Corporation (“Sanofi”)</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August 1, 2025, Visirna Therapeutics HK Limited (“Visirna HK”), a wholly owned subsidiary of Visirna Therapeutics, Inc, a majority owned subsidiary of the Company, entered into an Asset Purchase Agreement (the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Asset Purchase Agreement, the Company consented to the partial assignment of the Visirna License Agreement by Visirna HK to Sanofi (as so assigned, the “Sanofi License Agreement”), amongst other agreements between the Company and Visirna, effective as of the closing of the Asset Purchase Agreement. This agreement was not deemed a legal sale of intellectual property from the consolidated perspective of the Company. After giving effect to the Asset Purchase Agreement, Visirna HK retains rights to develop and commercialize in Greater China three other cardiometabolic drugs licensed to it pursuant to the Visirna License Agreement.</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Upon closing of the Asset Purchase Agreement, Visirna received an upfront payment of $130.0 million from Sanofi and is eligible to receive further development milestone payments of up to $265.0 million upon approval of plozasiran across various indications in mainland China. The Company is also eligible to receive royalties from Sanofi on net commercial product sales in Greater China under the Sanofi License Agreement. During the year ended September 30, 2025, the Company recorded $130.0 million in revenue.</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Visirna identified the licenses as defined in the agreement as the performance obligations under the Asset Purchase Agreement. The performance obligations for the licenses was satisfied in the fourth quarter of fiscal 2025 upon delivery. The fixed consideration of $130.0 million was allocated to the performance obligations. The Company will recognize the development milestones as revenue in the periods the underlying milestone events are achieved as achievement of the milestone events are highly susceptible to factors outside of the entity's influence and therefore there is a possibility that the milestone events will not be achieved. The Company has also applied the sales-based scope exception to the royalty-based payments.</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Sanofi License Agreement may be terminated by either party in the event of a material breach as defined therein. Unless earlier terminated, the Sanofi License Agreement expires on a product-by-product basis, upon the date of expiration of the relevant royalty term for such product in Greater China.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NOTE 3. BALANCE SHEET ACCOUNTS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major classes of property, plant and equipment: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4"/>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r>
      <w:tr>
        <w:trPr>
          <w:trHeight w:val="175"/>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36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2,996</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2,996</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251,317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75,988</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Research equipment</w:t>
            </w: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62,758</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65,353</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Manufacturing equipment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Furniture</w:t>
            </w: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5,594</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Computers and software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104,425</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104,410</w:t>
            </w:r>
          </w:p>
        </w:tc>
      </w:tr>
      <w:tr>
        <w:trPr>
          <w:trHeight w:val="168"/>
        </w:trPr>
        <w:tc>
          <w:tcPr>
            <w:tcW w:w="8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15,942</w:t>
            </w:r>
          </w:p>
        </w:tc>
        <w:tc>
          <w:tcPr>
            <w:tcW w:w="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188,731</w:t>
            </w:r>
          </w:p>
        </w:tc>
      </w:tr>
      <w:tr>
        <w:trPr>
          <w:trHeight w:val="163"/>
        </w:trPr>
        <w:tc>
          <w:tcPr>
            <w:tcW w:w="82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462,684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444,053</w:t>
            </w:r>
          </w:p>
        </w:tc>
      </w:tr>
      <w:tr>
        <w:trPr>
          <w:trHeight w:val="168"/>
        </w:trPr>
        <w:tc>
          <w:tcPr>
            <w:tcW w:w="82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(80,169)</w:t>
            </w:r>
          </w:p>
        </w:tc>
        <w:tc>
          <w:tcPr>
            <w:tcW w:w="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(58,021)</w:t>
            </w:r>
          </w:p>
        </w:tc>
      </w:tr>
      <w:tr>
        <w:trPr>
          <w:trHeight w:val="188"/>
        </w:trPr>
        <w:tc>
          <w:tcPr>
            <w:tcW w:w="82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60" w:type="dxa"/>
            <w:vAlign w:val="bottom"/>
            <w:tcBorders>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382,515</w:t>
            </w:r>
          </w:p>
        </w:tc>
        <w:tc>
          <w:tcPr>
            <w:tcW w:w="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386,032</w:t>
            </w: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property, plant and equipment for the years ended September 30, 2025, 2024, and 2023 was $22.2 million, $16.9 million and $10.7 million, respectively.</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During the first quarter of fiscal 2025, the Company substantially completed the build out of its manufacturing facility in Verona, Wisconsin, leading to the reclassification of $162.7 million from construction in progress to buildings and $2.6 million from construction in progress to manufacturing equipment. The Company subsequently incurred and capitalized $10.6 million to buildings and $16.0 million to manufacturing equipment during the remainder of fiscal 2025. Furthermore, the Company began depreciating the newly completed manufacturing facility over a 39-year period and the manufacturing equipment over 7- or 10-year periods.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During the first quarter of fiscal 2024, the Company completed the build out of its laboratory and office facilities in Verona, Wisconsin, which resulted in the reclassification of $71.8 million from construction in progress to buildings. The Company subsequently incurred and capitalized $4.2 million from construction in progress to buildings in fiscal 2024.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Accrued expenses consisted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4"/>
        </w:trPr>
        <w:tc>
          <w:tcPr>
            <w:tcW w:w="8220" w:type="dxa"/>
            <w:vAlign w:val="bottom"/>
          </w:tcPr>
          <w:p>
            <w:pPr>
              <w:spacing w:after="0"/>
              <w:rPr>
                <w:sz w:val="13"/>
                <w:szCs w:val="13"/>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r>
      <w:tr>
        <w:trPr>
          <w:trHeight w:val="175"/>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Accrued research and development expenses</w:t>
            </w:r>
          </w:p>
        </w:tc>
        <w:tc>
          <w:tcPr>
            <w:tcW w:w="98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30,330</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28,069</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research and development expenses; co-development</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23,351</w:t>
            </w:r>
          </w:p>
        </w:tc>
      </w:tr>
      <w:tr>
        <w:trPr>
          <w:trHeight w:val="172"/>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Accrued capital expenditures</w:t>
            </w:r>
          </w:p>
        </w:tc>
        <w:tc>
          <w:tcPr>
            <w:tcW w:w="9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4,206</w:t>
            </w: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income taxes (benefits)</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20,799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7,717</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7,391</w:t>
            </w:r>
          </w:p>
        </w:tc>
      </w:tr>
      <w:tr>
        <w:trPr>
          <w:trHeight w:val="163"/>
        </w:trPr>
        <w:tc>
          <w:tcPr>
            <w:tcW w:w="82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accrued expenses</w:t>
            </w:r>
          </w:p>
        </w:tc>
        <w:tc>
          <w:tcPr>
            <w:tcW w:w="9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90,419</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63,017</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September 30, 2025, the Company’s accrued research and development expenses was primarily attributable to ongoing clinical trial operations, preclinical animal studies, and associated toxicology assessments. In addition, accrued research and development expenses; co-development relates to the co-development and co-commercialization activities under the Takeda License Agreement (see Note 2).</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NOTE 4. INVESTMENTS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investments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left="641"/>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center"/>
              <w:ind w:left="66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gridSpan w:val="3"/>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Adjusted Basis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80" w:type="dxa"/>
            <w:vAlign w:val="bottom"/>
          </w:tcPr>
          <w:p>
            <w:pPr>
              <w:spacing w:after="0"/>
              <w:rPr>
                <w:sz w:val="12"/>
                <w:szCs w:val="12"/>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80" w:type="dxa"/>
            <w:vAlign w:val="bottom"/>
          </w:tcPr>
          <w:p>
            <w:pPr>
              <w:spacing w:after="0"/>
              <w:rPr>
                <w:sz w:val="12"/>
                <w:szCs w:val="1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30"/>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3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689,882</w:t>
            </w:r>
          </w:p>
        </w:tc>
        <w:tc>
          <w:tcPr>
            <w:tcW w:w="38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2,956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692,818</w:t>
            </w:r>
          </w:p>
        </w:tc>
        <w:tc>
          <w:tcPr>
            <w:tcW w:w="0" w:type="dxa"/>
            <w:vAlign w:val="bottom"/>
          </w:tcPr>
          <w:p>
            <w:pPr>
              <w:spacing w:after="0"/>
              <w:rPr>
                <w:sz w:val="1"/>
                <w:szCs w:val="1"/>
                <w:color w:val="auto"/>
              </w:rPr>
            </w:pPr>
          </w:p>
        </w:tc>
      </w:tr>
      <w:tr>
        <w:trPr>
          <w:trHeight w:val="160"/>
        </w:trPr>
        <w:tc>
          <w:tcPr>
            <w:tcW w:w="36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investments</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689,882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2,956</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692,818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left="641"/>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4"/>
          </w:tcPr>
          <w:p>
            <w:pPr>
              <w:jc w:val="center"/>
              <w:ind w:left="66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vMerge w:val="restart"/>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Adjusted Basis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380"/>
              <w:spacing w:after="0" w:line="119" w:lineRule="exact"/>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gridSpan w:val="3"/>
          </w:tcPr>
          <w:p>
            <w:pPr>
              <w:jc w:val="center"/>
              <w:ind w:right="720"/>
              <w:spacing w:after="0" w:line="119" w:lineRule="exact"/>
              <w:rPr>
                <w:sz w:val="20"/>
                <w:szCs w:val="20"/>
                <w:color w:val="auto"/>
              </w:rPr>
            </w:pPr>
            <w:r>
              <w:rPr>
                <w:rFonts w:ascii="Times New Roman" w:cs="Times New Roman" w:eastAsia="Times New Roman" w:hAnsi="Times New Roman"/>
                <w:sz w:val="11"/>
                <w:szCs w:val="11"/>
                <w:b w:val="1"/>
                <w:bCs w:val="1"/>
                <w:color w:val="auto"/>
              </w:rPr>
              <w:t>Gross</w:t>
            </w:r>
          </w:p>
        </w:tc>
        <w:tc>
          <w:tcPr>
            <w:tcW w:w="280" w:type="dxa"/>
            <w:vAlign w:val="bottom"/>
          </w:tcPr>
          <w:p>
            <w:pPr>
              <w:spacing w:after="0"/>
              <w:rPr>
                <w:sz w:val="10"/>
                <w:szCs w:val="10"/>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3"/>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Unrealized Gains</w:t>
            </w:r>
          </w:p>
        </w:tc>
        <w:tc>
          <w:tcPr>
            <w:tcW w:w="80" w:type="dxa"/>
            <w:vAlign w:val="bottom"/>
          </w:tcPr>
          <w:p>
            <w:pPr>
              <w:spacing w:after="0"/>
              <w:rPr>
                <w:sz w:val="13"/>
                <w:szCs w:val="13"/>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2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577,465</w:t>
            </w:r>
          </w:p>
        </w:tc>
        <w:tc>
          <w:tcPr>
            <w:tcW w:w="38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837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578,276</w:t>
            </w:r>
          </w:p>
        </w:tc>
        <w:tc>
          <w:tcPr>
            <w:tcW w:w="0" w:type="dxa"/>
            <w:vAlign w:val="bottom"/>
          </w:tcPr>
          <w:p>
            <w:pPr>
              <w:spacing w:after="0"/>
              <w:rPr>
                <w:sz w:val="1"/>
                <w:szCs w:val="1"/>
                <w:color w:val="auto"/>
              </w:rPr>
            </w:pPr>
          </w:p>
        </w:tc>
      </w:tr>
      <w:tr>
        <w:trPr>
          <w:trHeight w:val="160"/>
        </w:trPr>
        <w:tc>
          <w:tcPr>
            <w:tcW w:w="36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current investments</w:t>
            </w: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577,465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837</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578,276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920" w:type="dxa"/>
            <w:vAlign w:val="bottom"/>
            <w:gridSpan w:val="8"/>
          </w:tcPr>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contract maturity of the available-for-sale securities as of:</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242424"/>
              </w:rPr>
              <w:t>September 30, 2025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1"/>
                <w:szCs w:val="11"/>
                <w:b w:val="1"/>
                <w:bCs w:val="1"/>
                <w:color w:val="242424"/>
              </w:rPr>
              <w:t>September 30, 2024</w:t>
            </w:r>
          </w:p>
        </w:tc>
        <w:tc>
          <w:tcPr>
            <w:tcW w:w="0" w:type="dxa"/>
            <w:vAlign w:val="bottom"/>
          </w:tcPr>
          <w:p>
            <w:pPr>
              <w:spacing w:after="0"/>
              <w:rPr>
                <w:sz w:val="1"/>
                <w:szCs w:val="1"/>
                <w:color w:val="auto"/>
              </w:rPr>
            </w:pPr>
          </w:p>
        </w:tc>
      </w:tr>
      <w:tr>
        <w:trPr>
          <w:trHeight w:val="151"/>
        </w:trPr>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Within one year</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224,328</w:t>
            </w:r>
          </w:p>
        </w:tc>
        <w:tc>
          <w:tcPr>
            <w:tcW w:w="9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After one to two years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468,490</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After two to three years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692,818</w:t>
            </w:r>
          </w:p>
        </w:tc>
        <w:tc>
          <w:tcPr>
            <w:tcW w:w="60" w:type="dxa"/>
            <w:vAlign w:val="bottom"/>
          </w:tcPr>
          <w:p>
            <w:pPr>
              <w:spacing w:after="0"/>
              <w:rPr>
                <w:sz w:val="13"/>
                <w:szCs w:val="13"/>
                <w:color w:val="auto"/>
              </w:rPr>
            </w:pPr>
          </w:p>
        </w:tc>
        <w:tc>
          <w:tcPr>
            <w:tcW w:w="8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578,276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firstLine="382"/>
        <w:spacing w:after="0" w:line="271" w:lineRule="auto"/>
        <w:rPr>
          <w:sz w:val="20"/>
          <w:szCs w:val="20"/>
          <w:color w:val="auto"/>
        </w:rPr>
      </w:pPr>
      <w:r>
        <w:rPr>
          <w:rFonts w:ascii="Times New Roman" w:cs="Times New Roman" w:eastAsia="Times New Roman" w:hAnsi="Times New Roman"/>
          <w:sz w:val="14"/>
          <w:szCs w:val="14"/>
          <w:color w:val="auto"/>
        </w:rPr>
        <w:t>As of September 30, 2025, the gross unrealized losses were immaterial. The Company has determined that the available-for-sale securities that were in an unrealized loss position did not have any credit loss impairment as of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0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NOTE 5. INTANGIBLE ASSETS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subject to amortization include patents and a license agreement capitalized as part of the Novartis RNAi asset acquisition in March 2015. The following table presents the components of intangible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Useful Lives</w:t>
            </w:r>
          </w:p>
        </w:tc>
      </w:tr>
      <w:tr>
        <w:trPr>
          <w:trHeight w:val="154"/>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gridSpan w:val="3"/>
          </w:tcPr>
          <w:p>
            <w:pPr>
              <w:jc w:val="right"/>
              <w:ind w:right="938"/>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years)</w:t>
            </w:r>
          </w:p>
        </w:tc>
      </w:tr>
      <w:tr>
        <w:trPr>
          <w:trHeight w:val="175"/>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68"/>
        </w:trPr>
        <w:tc>
          <w:tcPr>
            <w:tcW w:w="2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16,426</w:t>
            </w:r>
          </w:p>
        </w:tc>
        <w:tc>
          <w:tcPr>
            <w:tcW w:w="200" w:type="dxa"/>
            <w:vAlign w:val="bottom"/>
          </w:tcPr>
          <w:p>
            <w:pPr>
              <w:spacing w:after="0"/>
              <w:rPr>
                <w:sz w:val="14"/>
                <w:szCs w:val="14"/>
                <w:color w:val="auto"/>
              </w:rPr>
            </w:pPr>
          </w:p>
        </w:tc>
        <w:tc>
          <w:tcPr>
            <w:tcW w:w="1240" w:type="dxa"/>
            <w:vAlign w:val="bottom"/>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5,302</w:t>
            </w:r>
          </w:p>
        </w:tc>
        <w:tc>
          <w:tcPr>
            <w:tcW w:w="1380" w:type="dxa"/>
            <w:vAlign w:val="bottom"/>
            <w:gridSpan w:val="2"/>
          </w:tcPr>
          <w:p>
            <w:pPr>
              <w:jc w:val="center"/>
              <w:ind w:left="156"/>
              <w:spacing w:after="0"/>
              <w:rPr>
                <w:sz w:val="20"/>
                <w:szCs w:val="20"/>
                <w:color w:val="auto"/>
              </w:rPr>
            </w:pPr>
            <w:r>
              <w:rPr>
                <w:rFonts w:ascii="Times New Roman" w:cs="Times New Roman" w:eastAsia="Times New Roman" w:hAnsi="Times New Roman"/>
                <w:sz w:val="13"/>
                <w:szCs w:val="13"/>
                <w:color w:val="auto"/>
                <w:w w:val="91"/>
              </w:rPr>
              <w:t>14</w:t>
            </w:r>
          </w:p>
        </w:tc>
      </w:tr>
      <w:tr>
        <w:trPr>
          <w:trHeight w:val="172"/>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38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1"/>
              </w:rPr>
              <w:t>21</w:t>
            </w:r>
          </w:p>
        </w:tc>
      </w:tr>
      <w:tr>
        <w:trPr>
          <w:trHeight w:val="160"/>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intangible assets, net</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17,996</w:t>
            </w:r>
          </w:p>
        </w:tc>
        <w:tc>
          <w:tcPr>
            <w:tcW w:w="2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73"/>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2024</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2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Patents</w:t>
            </w: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21,728</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14,873</w:t>
            </w:r>
          </w:p>
        </w:tc>
        <w:tc>
          <w:tcPr>
            <w:tcW w:w="200" w:type="dxa"/>
            <w:vAlign w:val="bottom"/>
          </w:tcPr>
          <w:p>
            <w:pPr>
              <w:spacing w:after="0"/>
              <w:rPr>
                <w:sz w:val="14"/>
                <w:szCs w:val="14"/>
                <w:color w:val="auto"/>
              </w:rPr>
            </w:pPr>
          </w:p>
        </w:tc>
        <w:tc>
          <w:tcPr>
            <w:tcW w:w="1240" w:type="dxa"/>
            <w:vAlign w:val="bottom"/>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6,855</w:t>
            </w:r>
          </w:p>
        </w:tc>
        <w:tc>
          <w:tcPr>
            <w:tcW w:w="1380" w:type="dxa"/>
            <w:vAlign w:val="bottom"/>
            <w:gridSpan w:val="2"/>
          </w:tcPr>
          <w:p>
            <w:pPr>
              <w:jc w:val="center"/>
              <w:ind w:left="156"/>
              <w:spacing w:after="0"/>
              <w:rPr>
                <w:sz w:val="20"/>
                <w:szCs w:val="20"/>
                <w:color w:val="auto"/>
              </w:rPr>
            </w:pPr>
            <w:r>
              <w:rPr>
                <w:rFonts w:ascii="Times New Roman" w:cs="Times New Roman" w:eastAsia="Times New Roman" w:hAnsi="Times New Roman"/>
                <w:sz w:val="13"/>
                <w:szCs w:val="13"/>
                <w:color w:val="auto"/>
                <w:w w:val="91"/>
              </w:rPr>
              <w:t>14</w:t>
            </w:r>
          </w:p>
        </w:tc>
      </w:tr>
      <w:tr>
        <w:trPr>
          <w:trHeight w:val="172"/>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License</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1,707</w:t>
            </w:r>
          </w:p>
        </w:tc>
        <w:tc>
          <w:tcPr>
            <w:tcW w:w="1380" w:type="dxa"/>
            <w:vAlign w:val="bottom"/>
            <w:gridSpan w:val="2"/>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1"/>
              </w:rPr>
              <w:t>21</w:t>
            </w:r>
          </w:p>
        </w:tc>
      </w:tr>
      <w:tr>
        <w:trPr>
          <w:trHeight w:val="160"/>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intangible assets, net</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24,857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16,295</w:t>
            </w:r>
          </w:p>
        </w:tc>
        <w:tc>
          <w:tcPr>
            <w:tcW w:w="20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8,562</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assets are reviewed annually for impairment and more frequently if potential impairment indicators exist. No impairment indicators were identified during fiscal 2025 and 2024.</w:t>
      </w:r>
    </w:p>
    <w:p>
      <w:pPr>
        <w:spacing w:after="0" w:line="9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Intangible assets with definite useful lives are amortized on a straight-line basis over their useful lives. Intangible assets amortization expense in each of fiscal 2025, 2024, and 2023 was $1.7 million. None of the intangible assets with definite useful lives are anticipated to have a residual value.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estimated future amortization expense related to intangible assets as of September 30, 2025:</w:t>
      </w:r>
    </w:p>
    <w:p>
      <w:pPr>
        <w:spacing w:after="0" w:line="195" w:lineRule="exact"/>
        <w:rPr>
          <w:sz w:val="20"/>
          <w:szCs w:val="20"/>
          <w:color w:val="auto"/>
        </w:rPr>
      </w:pPr>
    </w:p>
    <w:tbl>
      <w:tblPr>
        <w:tblLayout w:type="fixed"/>
        <w:tblInd w:w="158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Amortization Expense</w:t>
            </w:r>
          </w:p>
        </w:tc>
      </w:tr>
      <w:tr>
        <w:trPr>
          <w:trHeight w:val="154"/>
        </w:trPr>
        <w:tc>
          <w:tcPr>
            <w:tcW w:w="5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 Ending September 30,</w:t>
            </w:r>
          </w:p>
        </w:tc>
        <w:tc>
          <w:tcPr>
            <w:tcW w:w="440" w:type="dxa"/>
            <w:vAlign w:val="bottom"/>
          </w:tcPr>
          <w:p>
            <w:pPr>
              <w:spacing w:after="0"/>
              <w:rPr>
                <w:sz w:val="13"/>
                <w:szCs w:val="13"/>
                <w:color w:val="auto"/>
              </w:rPr>
            </w:pPr>
          </w:p>
        </w:tc>
        <w:tc>
          <w:tcPr>
            <w:tcW w:w="2280" w:type="dxa"/>
            <w:vAlign w:val="bottom"/>
          </w:tcPr>
          <w:p>
            <w:pPr>
              <w:jc w:val="right"/>
              <w:ind w:right="958"/>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75"/>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44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168"/>
        </w:trPr>
        <w:tc>
          <w:tcPr>
            <w:tcW w:w="522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44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2028</w:t>
            </w:r>
          </w:p>
        </w:tc>
        <w:tc>
          <w:tcPr>
            <w:tcW w:w="44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168"/>
        </w:trPr>
        <w:tc>
          <w:tcPr>
            <w:tcW w:w="522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44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172"/>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2030</w:t>
            </w:r>
          </w:p>
        </w:tc>
        <w:tc>
          <w:tcPr>
            <w:tcW w:w="44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68"/>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4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w:t>
            </w:r>
          </w:p>
        </w:tc>
      </w:tr>
      <w:tr>
        <w:trPr>
          <w:trHeight w:val="188"/>
        </w:trPr>
        <w:tc>
          <w:tcPr>
            <w:tcW w:w="5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NOTE 6. STOCKHOLDERS’ EQUITY</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shares of common stock and preferred stock:</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540" w:type="dxa"/>
            <w:vAlign w:val="bottom"/>
            <w:tcBorders>
              <w:bottom w:val="single" w:sz="8" w:color="auto"/>
            </w:tcBorders>
          </w:tcPr>
          <w:p>
            <w:pPr>
              <w:spacing w:after="0"/>
              <w:rPr>
                <w:sz w:val="13"/>
                <w:szCs w:val="13"/>
                <w:color w:val="auto"/>
              </w:rPr>
            </w:pPr>
          </w:p>
        </w:tc>
      </w:tr>
      <w:tr>
        <w:trPr>
          <w:trHeight w:val="154"/>
        </w:trPr>
        <w:tc>
          <w:tcPr>
            <w:tcW w:w="3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2080" w:type="dxa"/>
            <w:vAlign w:val="bottom"/>
          </w:tcPr>
          <w:p>
            <w:pPr>
              <w:jc w:val="right"/>
              <w:ind w:right="838"/>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86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1540" w:type="dxa"/>
            <w:vAlign w:val="bottom"/>
          </w:tcPr>
          <w:p>
            <w:pPr>
              <w:jc w:val="right"/>
              <w:ind w:right="558"/>
              <w:spacing w:after="0"/>
              <w:rPr>
                <w:sz w:val="20"/>
                <w:szCs w:val="20"/>
                <w:color w:val="auto"/>
              </w:rPr>
            </w:pPr>
            <w:r>
              <w:rPr>
                <w:rFonts w:ascii="Times New Roman" w:cs="Times New Roman" w:eastAsia="Times New Roman" w:hAnsi="Times New Roman"/>
                <w:sz w:val="11"/>
                <w:szCs w:val="11"/>
                <w:b w:val="1"/>
                <w:bCs w:val="1"/>
                <w:color w:val="auto"/>
              </w:rPr>
              <w:t>Outstanding</w:t>
            </w:r>
          </w:p>
        </w:tc>
      </w:tr>
      <w:tr>
        <w:trPr>
          <w:trHeight w:val="145"/>
        </w:trPr>
        <w:tc>
          <w:tcPr>
            <w:tcW w:w="35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40" w:type="dxa"/>
            <w:vAlign w:val="bottom"/>
            <w:tcBorders>
              <w:top w:val="single" w:sz="8" w:color="auto"/>
            </w:tcBorders>
          </w:tcPr>
          <w:p>
            <w:pPr>
              <w:spacing w:after="0"/>
              <w:rPr>
                <w:sz w:val="12"/>
                <w:szCs w:val="12"/>
                <w:color w:val="auto"/>
              </w:rPr>
            </w:pPr>
          </w:p>
        </w:tc>
      </w:tr>
      <w:tr>
        <w:trPr>
          <w:trHeight w:val="17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2"/>
        </w:trPr>
        <w:tc>
          <w:tcPr>
            <w:tcW w:w="3520" w:type="dxa"/>
            <w:vAlign w:val="bottom"/>
            <w:shd w:val="clear" w:color="auto" w:fill="CCEEFF"/>
          </w:tcPr>
          <w:p>
            <w:pPr>
              <w:ind w:left="200"/>
              <w:spacing w:after="0" w:line="172" w:lineRule="exact"/>
              <w:rPr>
                <w:sz w:val="20"/>
                <w:szCs w:val="20"/>
                <w:color w:val="auto"/>
              </w:rPr>
            </w:pPr>
            <w:r>
              <w:rPr>
                <w:rFonts w:ascii="Times New Roman" w:cs="Times New Roman" w:eastAsia="Times New Roman" w:hAnsi="Times New Roman"/>
                <w:sz w:val="13"/>
                <w:szCs w:val="13"/>
                <w:color w:val="auto"/>
              </w:rPr>
              <w:t xml:space="preserve">Common stock </w:t>
            </w:r>
            <w:r>
              <w:rPr>
                <w:rFonts w:ascii="Times New Roman" w:cs="Times New Roman" w:eastAsia="Times New Roman" w:hAnsi="Times New Roman"/>
                <w:sz w:val="16"/>
                <w:szCs w:val="16"/>
                <w:color w:val="auto"/>
                <w:vertAlign w:val="superscript"/>
              </w:rPr>
              <w:t>(1)</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290,000</w:t>
            </w:r>
          </w:p>
        </w:tc>
        <w:tc>
          <w:tcPr>
            <w:tcW w:w="18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135,702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135,702</w:t>
            </w:r>
          </w:p>
        </w:tc>
      </w:tr>
      <w:tr>
        <w:trPr>
          <w:trHeight w:val="165"/>
        </w:trPr>
        <w:tc>
          <w:tcPr>
            <w:tcW w:w="35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80" w:type="dxa"/>
            <w:vAlign w:val="bottom"/>
          </w:tcPr>
          <w:p>
            <w:pPr>
              <w:spacing w:after="0"/>
              <w:rPr>
                <w:sz w:val="14"/>
                <w:szCs w:val="14"/>
                <w:color w:val="auto"/>
              </w:rPr>
            </w:pPr>
          </w:p>
        </w:tc>
        <w:tc>
          <w:tcPr>
            <w:tcW w:w="2080" w:type="dxa"/>
            <w:vAlign w:val="bottom"/>
          </w:tcPr>
          <w:p>
            <w:pPr>
              <w:jc w:val="right"/>
              <w:ind w:right="238"/>
              <w:spacing w:after="0"/>
              <w:rPr>
                <w:sz w:val="20"/>
                <w:szCs w:val="20"/>
                <w:color w:val="auto"/>
              </w:rPr>
            </w:pPr>
            <w:r>
              <w:rPr>
                <w:rFonts w:ascii="Times New Roman" w:cs="Times New Roman" w:eastAsia="Times New Roman" w:hAnsi="Times New Roman"/>
                <w:sz w:val="13"/>
                <w:szCs w:val="13"/>
                <w:color w:val="auto"/>
              </w:rPr>
              <w:t>5,000</w:t>
            </w:r>
          </w:p>
        </w:tc>
        <w:tc>
          <w:tcPr>
            <w:tcW w:w="186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57"/>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2024</w:t>
            </w:r>
          </w:p>
        </w:tc>
        <w:tc>
          <w:tcPr>
            <w:tcW w:w="3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172"/>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Common stock</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8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3"/>
                <w:szCs w:val="13"/>
                <w:color w:val="auto"/>
              </w:rPr>
              <w:t>290,000</w:t>
            </w:r>
          </w:p>
        </w:tc>
        <w:tc>
          <w:tcPr>
            <w:tcW w:w="18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rPr>
              <w:t>124,376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124,376</w:t>
            </w:r>
          </w:p>
        </w:tc>
      </w:tr>
      <w:tr>
        <w:trPr>
          <w:trHeight w:val="165"/>
        </w:trPr>
        <w:tc>
          <w:tcPr>
            <w:tcW w:w="35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Preferred stock</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0.001</w:t>
            </w:r>
          </w:p>
        </w:tc>
        <w:tc>
          <w:tcPr>
            <w:tcW w:w="80" w:type="dxa"/>
            <w:vAlign w:val="bottom"/>
          </w:tcPr>
          <w:p>
            <w:pPr>
              <w:spacing w:after="0"/>
              <w:rPr>
                <w:sz w:val="14"/>
                <w:szCs w:val="14"/>
                <w:color w:val="auto"/>
              </w:rPr>
            </w:pPr>
          </w:p>
        </w:tc>
        <w:tc>
          <w:tcPr>
            <w:tcW w:w="2080" w:type="dxa"/>
            <w:vAlign w:val="bottom"/>
          </w:tcPr>
          <w:p>
            <w:pPr>
              <w:jc w:val="right"/>
              <w:ind w:right="238"/>
              <w:spacing w:after="0"/>
              <w:rPr>
                <w:sz w:val="20"/>
                <w:szCs w:val="20"/>
                <w:color w:val="auto"/>
              </w:rPr>
            </w:pPr>
            <w:r>
              <w:rPr>
                <w:rFonts w:ascii="Times New Roman" w:cs="Times New Roman" w:eastAsia="Times New Roman" w:hAnsi="Times New Roman"/>
                <w:sz w:val="13"/>
                <w:szCs w:val="13"/>
                <w:color w:val="auto"/>
              </w:rPr>
              <w:t>5,000</w:t>
            </w:r>
          </w:p>
        </w:tc>
        <w:tc>
          <w:tcPr>
            <w:tcW w:w="1860" w:type="dxa"/>
            <w:vAlign w:val="bottom"/>
          </w:tcPr>
          <w:p>
            <w:pPr>
              <w:jc w:val="right"/>
              <w:ind w:right="279"/>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(1) Does not include shares of common stock into which the Avoro Pre-Funded Warrants may be exercised.</w:t>
      </w:r>
    </w:p>
    <w:p>
      <w:pPr>
        <w:spacing w:after="0" w:line="96" w:lineRule="exact"/>
        <w:rPr>
          <w:sz w:val="20"/>
          <w:szCs w:val="20"/>
          <w:color w:val="auto"/>
        </w:rPr>
      </w:pPr>
    </w:p>
    <w:p>
      <w:pPr>
        <w:jc w:val="both"/>
        <w:ind w:right="20" w:firstLine="382"/>
        <w:spacing w:after="0" w:line="287" w:lineRule="auto"/>
        <w:rPr>
          <w:sz w:val="20"/>
          <w:szCs w:val="20"/>
          <w:color w:val="auto"/>
        </w:rPr>
      </w:pPr>
      <w:r>
        <w:rPr>
          <w:rFonts w:ascii="Times New Roman" w:cs="Times New Roman" w:eastAsia="Times New Roman" w:hAnsi="Times New Roman"/>
          <w:sz w:val="14"/>
          <w:szCs w:val="14"/>
          <w:color w:val="auto"/>
        </w:rPr>
        <w:t>As of September 30, 2025 and 2024, respectively, 9,851,400 and 11,492,293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w:t>
      </w:r>
    </w:p>
    <w:p>
      <w:pPr>
        <w:spacing w:after="0" w:line="12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On November 25, 2024, the Company entered into a Securities Purchase Agreement (the “Securities Purchase Agreement”) with an institutional and accredited investor for a private placement of pre-funded warrants to purchase shares of common stock with an exercise price of $0.001 per share (“Avoro Pre-Funded Warrants”). Pursuant to the Securities Purchase Agreement, the Company sold pre-funded warrants to purchase up to 917,441 shares of common stock at a purchase price of $27.25 per pre-funded warrant, for an aggregate value of approximately $25.0 million. The outstanding Avoro Pre-Funded Warrants are exercisable at any time and do not have an expiration date.</w:t>
      </w:r>
    </w:p>
    <w:p>
      <w:pPr>
        <w:spacing w:after="0" w:line="56" w:lineRule="exact"/>
        <w:rPr>
          <w:sz w:val="20"/>
          <w:szCs w:val="20"/>
          <w:color w:val="auto"/>
        </w:rPr>
      </w:pPr>
    </w:p>
    <w:p>
      <w:pPr>
        <w:jc w:val="both"/>
        <w:ind w:right="20" w:firstLine="382"/>
        <w:spacing w:after="0" w:line="246" w:lineRule="auto"/>
        <w:rPr>
          <w:sz w:val="20"/>
          <w:szCs w:val="20"/>
          <w:color w:val="auto"/>
        </w:rPr>
      </w:pPr>
      <w:r>
        <w:rPr>
          <w:rFonts w:ascii="Times New Roman" w:cs="Times New Roman" w:eastAsia="Times New Roman" w:hAnsi="Times New Roman"/>
          <w:sz w:val="14"/>
          <w:szCs w:val="14"/>
          <w:color w:val="auto"/>
        </w:rPr>
        <w:t>The Company determined that the Avoro Pre-Funded Warrants are freestanding financial instruments because they (i) are immediately exercisable, (ii) do not embody an obligation for the Company to repurchase its shares, (iii) permit the holders to receive a fixed number of shares of common stock upon exercise, and (iv) are indexed to the Company’s common stock. As such, the Company evaluated the Avoro Pre-Funded Warrants to determine whether they represent instruments that require liability classification pursuant to the guidance in ASC 480. However, the Company concluded that the Avoro Pre-Funded Warrants are not a liability within the scope of ASC 480 due to their characteristics. Further, the Company determined that the Avoro Pre-Funded Warrants do not meet the definition of a derivative under ASC 815 because they do not meet the criteria regarding no or little initial net investment. Accordingly, the Company assessed the Avoro Pre-Funded Warrants relative to the guidance in ASC 815-40, Contracts in Entity's Own Equity, to determine the appropriate treatment. The Company concluded that the Avoro Pre-funded Warrants are both indexed to its own stock and meet all other conditions for equity classification. Accordingly, the Company has classified the Avoro Pre-funded Warrants as permanent equity. As of September 30, 2025, no shares underlying the Avoro Pre-Funded Warrants had been exercised.</w:t>
      </w:r>
    </w:p>
    <w:p>
      <w:pPr>
        <w:spacing w:after="0" w:line="59" w:lineRule="exact"/>
        <w:rPr>
          <w:sz w:val="20"/>
          <w:szCs w:val="20"/>
          <w:color w:val="auto"/>
        </w:rPr>
      </w:pPr>
    </w:p>
    <w:p>
      <w:pPr>
        <w:jc w:val="both"/>
        <w:ind w:right="20" w:firstLine="382"/>
        <w:spacing w:after="0" w:line="250" w:lineRule="auto"/>
        <w:rPr>
          <w:sz w:val="20"/>
          <w:szCs w:val="20"/>
          <w:color w:val="auto"/>
        </w:rPr>
      </w:pPr>
      <w:r>
        <w:rPr>
          <w:rFonts w:ascii="Times New Roman" w:cs="Times New Roman" w:eastAsia="Times New Roman" w:hAnsi="Times New Roman"/>
          <w:sz w:val="14"/>
          <w:szCs w:val="14"/>
          <w:color w:val="auto"/>
        </w:rPr>
        <w:t>In connection with the Sarepta Collaboration Agreement, on November 25, 2024, the Company entered into the Stock Purchase Agreement with an affiliate of Sarepta for a private placement of shares of common stock of the Company (the “Private Placement”). Pursuant to the Stock Purchase Agreement, the Company sold 11,926,301 shares of common stock, at a price per share of $27.25, for an aggregate value of approximately $325.0 million. The Private Placement closed on February 7, 2025. On August 13, 2025, the Company subsequently entered into an agreement with Sarepta to repurchase 2,660,989 common stock of the Company from Sarepta at a price per share of $18.79 for an aggregate value of approximately $50.0 million and approximately $50.0 million in cash to satisfy the milestone payment of $100.0 million due from Sarepta. The shares were recorded as treasury stock at their fair value of $53.2 million, resulting in a $3.2 million gain on settlement. As of the end of fiscal 2025, Sarepta no longer holds an equity position in the Company.</w:t>
      </w:r>
    </w:p>
    <w:p>
      <w:pPr>
        <w:spacing w:after="0" w:line="55" w:lineRule="exact"/>
        <w:rPr>
          <w:sz w:val="20"/>
          <w:szCs w:val="20"/>
          <w:color w:val="auto"/>
        </w:rPr>
      </w:pPr>
    </w:p>
    <w:p>
      <w:pPr>
        <w:jc w:val="both"/>
        <w:ind w:right="20" w:firstLine="382"/>
        <w:spacing w:after="0" w:line="250" w:lineRule="auto"/>
        <w:rPr>
          <w:sz w:val="20"/>
          <w:szCs w:val="20"/>
          <w:color w:val="auto"/>
        </w:rPr>
      </w:pPr>
      <w:r>
        <w:rPr>
          <w:rFonts w:ascii="Times New Roman" w:cs="Times New Roman" w:eastAsia="Times New Roman" w:hAnsi="Times New Roman"/>
          <w:sz w:val="14"/>
          <w:szCs w:val="14"/>
          <w:color w:val="auto"/>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Open Market Sale Agreement and (ii) the termination of the Open Market Sale Agreement as permitted therein. The Company and Jefferies may each terminate the Open Market Sale Agreement at any time upon prior notice. As of September 30, 2025, no shares have been issued under the Open Market Sale Agreement.</w:t>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014"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NOTE 7.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September 30, 2025 and 2024.</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September 10, 2025, the Company filed a Complaint for Declaratory Judgment in the United States District Court for the District of Delaware against Ionis Pharmaceuticals, Inc. (“Ionis”) to declare that the United States Patent No. 9,593,333 (“the ’333 patent”) is invalid and not infringed by the Company’s planned commercialization of investigational plozasiran. On September 11, 2025, Ionis filed a Complaint for Patent Infringement against the Company in the United States District Court for the Central District of California alleging patent infringement of the ’333 patent by the Company’s planned commercialization of investigational plozasiran and seeking damages. There were no contingent liabilities recorded related to this litigation.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owns land in the Verona Technology Park in Verona, Wisconsin, where it has constructed an approximately 160,000 square foot drug manufacturing facility and an approximately 140,000 square foot laboratory and office facility to support the Company’s manufacturing, process development, and analytical activities.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September 30, 2025, the build-out of these facilities was substantially completed, with total costs incurred of $296.4 million. These costs included $173.4 million capitalized to building related to the drug manufacturing facility, $78.0 million capitalized to building related to the laboratory and office facility, $18.6 million capitalized to manufacturing equipment, $15.9 million in construction in progress and $7.9 million capitalized to research equipment and $2.6 million capitalized to furniture.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LEASES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u w:val="single" w:color="auto"/>
          <w:color w:val="auto"/>
        </w:rPr>
        <w:t>Pasadena, California</w:t>
      </w:r>
      <w:r>
        <w:rPr>
          <w:rFonts w:ascii="Times New Roman" w:cs="Times New Roman" w:eastAsia="Times New Roman" w:hAnsi="Times New Roman"/>
          <w:sz w:val="14"/>
          <w:szCs w:val="14"/>
          <w:color w:val="auto"/>
        </w:rPr>
        <w:t>: The Company leases 49,000 square feet of office space located at 177 East Colorado Blvd. for its corporate headquarters from 177 Colorado Owner, LLC, which lease expires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April 30, 2027. The lease contains an option to renew for one additional five-year term. The Company is not reasonably certain that it will exercise this option to renew and therefore it is not included in right-of-use assets and liabilities as of September 30, 2025.</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u w:val="single" w:color="auto"/>
          <w:color w:val="auto"/>
        </w:rPr>
        <w:t>San Diego, California</w:t>
      </w:r>
      <w:r>
        <w:rPr>
          <w:rFonts w:ascii="Times New Roman" w:cs="Times New Roman" w:eastAsia="Times New Roman" w:hAnsi="Times New Roman"/>
          <w:sz w:val="14"/>
          <w:szCs w:val="14"/>
          <w:color w:val="auto"/>
        </w:rPr>
        <w:t>: The Company leases 144,000 square feet of office and research and development laboratory space located at 10102 Hoyt Park from 11404 &amp; 11408 Sorrento Valley Owner,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September 30, 2025.</w:t>
      </w:r>
    </w:p>
    <w:p>
      <w:pPr>
        <w:spacing w:after="0" w:line="5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lease agreement, as amended, granted the Company the right to receive an Additional Tenant Improvement Allowance (“ATIA”) funded by the lessor. The Company received $30.8 million in ATIA, including a final payment of $3.1 million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u w:val="single" w:color="auto"/>
          <w:color w:val="auto"/>
        </w:rPr>
        <w:t>Madison, Wisconsin</w:t>
      </w:r>
      <w:r>
        <w:rPr>
          <w:rFonts w:ascii="Times New Roman" w:cs="Times New Roman" w:eastAsia="Times New Roman" w:hAnsi="Times New Roman"/>
          <w:sz w:val="14"/>
          <w:szCs w:val="14"/>
          <w:color w:val="auto"/>
        </w:rPr>
        <w:t>: The Company leases 110,956 square feet space, which it increased from 107,000 square feet on June 30, 2025, located at 502 South Rosa Road for its office and laboratory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facilities, which lease expires on September 30, 2031. The lease contains options to renew for two terms of five years. The Company is not reasonably certain that it will exercise this option and therefore it is not included in right-of-use assets and liabilities as of September 30, 2025.</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08" w:name="page109"/>
    <w:bookmarkEnd w:id="108"/>
    <w:p>
      <w:pPr>
        <w:ind w:left="380"/>
        <w:spacing w:after="0"/>
        <w:rPr>
          <w:sz w:val="20"/>
          <w:szCs w:val="20"/>
          <w:color w:val="auto"/>
        </w:rPr>
      </w:pPr>
      <w:r>
        <w:rPr>
          <w:rFonts w:ascii="Times New Roman" w:cs="Times New Roman" w:eastAsia="Times New Roman" w:hAnsi="Times New Roman"/>
          <w:sz w:val="14"/>
          <w:szCs w:val="14"/>
          <w:color w:val="auto"/>
        </w:rPr>
        <w:t>The components of lease assets and liabilities along with their classification on the Company’s consolidated balance sheets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4"/>
        </w:trPr>
        <w:tc>
          <w:tcPr>
            <w:tcW w:w="40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1"/>
                <w:szCs w:val="11"/>
                <w:b w:val="1"/>
                <w:bCs w:val="1"/>
                <w:color w:val="auto"/>
              </w:rPr>
              <w:t>Lease Assets and Liabilities</w:t>
            </w:r>
          </w:p>
        </w:tc>
        <w:tc>
          <w:tcPr>
            <w:tcW w:w="39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1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5"/>
        </w:trPr>
        <w:tc>
          <w:tcPr>
            <w:tcW w:w="40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(in thousands)</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3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Right-of-use assets</w:t>
            </w:r>
          </w:p>
        </w:tc>
        <w:tc>
          <w:tcPr>
            <w:tcW w:w="1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43,891</w:t>
            </w: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45,255</w:t>
            </w: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3980" w:type="dxa"/>
            <w:vAlign w:val="bottom"/>
          </w:tcPr>
          <w:p>
            <w:pPr>
              <w:ind w:left="980"/>
              <w:spacing w:after="0"/>
              <w:rPr>
                <w:sz w:val="20"/>
                <w:szCs w:val="20"/>
                <w:color w:val="auto"/>
              </w:rPr>
            </w:pPr>
            <w:r>
              <w:rPr>
                <w:rFonts w:ascii="Times New Roman" w:cs="Times New Roman" w:eastAsia="Times New Roman" w:hAnsi="Times New Roman"/>
                <w:sz w:val="13"/>
                <w:szCs w:val="13"/>
                <w:color w:val="auto"/>
              </w:rPr>
              <w:t>Lease liabilities</w:t>
            </w:r>
          </w:p>
        </w:tc>
        <w:tc>
          <w:tcPr>
            <w:tcW w:w="1660" w:type="dxa"/>
            <w:vAlign w:val="bottom"/>
          </w:tcPr>
          <w:p>
            <w:pPr>
              <w:spacing w:after="0"/>
              <w:rPr>
                <w:sz w:val="14"/>
                <w:szCs w:val="14"/>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7,289</w:t>
            </w: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6,342</w:t>
            </w:r>
          </w:p>
        </w:tc>
      </w:tr>
      <w:tr>
        <w:trPr>
          <w:trHeight w:val="17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39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3"/>
                <w:szCs w:val="13"/>
                <w:color w:val="auto"/>
              </w:rPr>
              <w:t>Lease liabilities, net of current portion</w:t>
            </w: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104,112</w:t>
            </w: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111,027</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b w:val="1"/>
                <w:bCs w:val="1"/>
                <w:color w:val="auto"/>
              </w:rPr>
              <w:t>Lease Cost</w:t>
            </w:r>
          </w:p>
        </w:tc>
        <w:tc>
          <w:tcPr>
            <w:tcW w:w="3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3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10,483</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10,350</w:t>
            </w: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1,730</w:t>
            </w:r>
          </w:p>
        </w:tc>
        <w:tc>
          <w:tcPr>
            <w:tcW w:w="0" w:type="dxa"/>
            <w:vAlign w:val="bottom"/>
          </w:tcPr>
          <w:p>
            <w:pPr>
              <w:spacing w:after="0"/>
              <w:rPr>
                <w:sz w:val="1"/>
                <w:szCs w:val="1"/>
                <w:color w:val="auto"/>
              </w:rPr>
            </w:pPr>
          </w:p>
        </w:tc>
      </w:tr>
      <w:tr>
        <w:trPr>
          <w:trHeight w:val="79"/>
        </w:trPr>
        <w:tc>
          <w:tcPr>
            <w:tcW w:w="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3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7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Variable lease cost</w:t>
            </w:r>
            <w:r>
              <w:rPr>
                <w:rFonts w:ascii="Times New Roman" w:cs="Times New Roman" w:eastAsia="Times New Roman" w:hAnsi="Times New Roman"/>
                <w:sz w:val="16"/>
                <w:szCs w:val="16"/>
                <w:color w:val="auto"/>
                <w:vertAlign w:val="superscript"/>
              </w:rPr>
              <w:t>(1)</w:t>
            </w:r>
          </w:p>
        </w:tc>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1,179</w:t>
            </w: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General and administrative expense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8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13,259</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3"/>
                <w:szCs w:val="13"/>
                <w:i w:val="1"/>
                <w:iCs w:val="1"/>
                <w:color w:val="auto"/>
              </w:rPr>
              <w:t>(1) Variable lease cost is primarily related to operating expenses associated with the Company’s operating leases.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4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120" w:type="dxa"/>
            <w:vAlign w:val="bottom"/>
          </w:tcPr>
          <w:p>
            <w:pPr>
              <w:spacing w:after="0"/>
              <w:rPr>
                <w:sz w:val="24"/>
                <w:szCs w:val="24"/>
                <w:color w:val="auto"/>
              </w:rPr>
            </w:pPr>
          </w:p>
        </w:tc>
        <w:tc>
          <w:tcPr>
            <w:tcW w:w="7960" w:type="dxa"/>
            <w:vAlign w:val="bottom"/>
            <w:gridSpan w:val="5"/>
          </w:tcPr>
          <w:p>
            <w:pPr>
              <w:ind w:left="260"/>
              <w:spacing w:after="0"/>
              <w:rPr>
                <w:sz w:val="20"/>
                <w:szCs w:val="20"/>
                <w:color w:val="auto"/>
              </w:rPr>
            </w:pPr>
            <w:r>
              <w:rPr>
                <w:rFonts w:ascii="Times New Roman" w:cs="Times New Roman" w:eastAsia="Times New Roman" w:hAnsi="Times New Roman"/>
                <w:sz w:val="14"/>
                <w:szCs w:val="14"/>
                <w:color w:val="auto"/>
              </w:rPr>
              <w:t>There was $0, $0 and $1.4 million in short-term lease cost during the years ended September 30, 2025, 2024, and 2023, respectively.</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71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The following table presents maturities of operating lease liabilities on an undiscounted basis as of September 30, 2025:</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2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3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2026</w:t>
            </w:r>
          </w:p>
        </w:tc>
        <w:tc>
          <w:tcPr>
            <w:tcW w:w="3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2027</w:t>
            </w: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2028</w:t>
            </w:r>
          </w:p>
        </w:tc>
        <w:tc>
          <w:tcPr>
            <w:tcW w:w="3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2029</w:t>
            </w: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2030</w:t>
            </w:r>
          </w:p>
        </w:tc>
        <w:tc>
          <w:tcPr>
            <w:tcW w:w="3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2031 and thereafter</w:t>
            </w:r>
          </w:p>
        </w:tc>
        <w:tc>
          <w:tcPr>
            <w:tcW w:w="386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w:t>
            </w:r>
          </w:p>
        </w:tc>
        <w:tc>
          <w:tcPr>
            <w:tcW w:w="38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386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(62,157)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operating lease liabilities</w:t>
            </w:r>
          </w:p>
        </w:tc>
        <w:tc>
          <w:tcPr>
            <w:tcW w:w="386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111,401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Supplemental cash flow and other information related to leases was as follows:</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5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7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received for amounts included in the measurement of lease liabilities: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6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4"/>
              </w:rPr>
              <w:t>48,391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Right-of-use assets adjusted in exchange for new/amended operating lease liabilities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4"/>
              </w:rPr>
              <w:t>17,071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cash flows from operating leases</w:t>
            </w:r>
          </w:p>
        </w:tc>
        <w:tc>
          <w:tcPr>
            <w:tcW w:w="3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15,474</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38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4"/>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Weighted-average remaining lease term (in years)</w:t>
            </w:r>
          </w:p>
        </w:tc>
        <w:tc>
          <w:tcPr>
            <w:tcW w:w="3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240" w:type="dxa"/>
            <w:vAlign w:val="bottom"/>
            <w:shd w:val="clear" w:color="auto" w:fill="CCEEFF"/>
          </w:tcPr>
          <w:p>
            <w:pPr>
              <w:spacing w:after="0"/>
              <w:rPr>
                <w:sz w:val="14"/>
                <w:szCs w:val="14"/>
                <w:color w:val="auto"/>
              </w:rPr>
            </w:pPr>
          </w:p>
        </w:tc>
        <w:tc>
          <w:tcPr>
            <w:tcW w:w="1180" w:type="dxa"/>
            <w:vAlign w:val="bottom"/>
            <w:gridSpan w:val="4"/>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12.5</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3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8"/>
              </w:rPr>
              <w:t>8.0 %</w:t>
            </w:r>
          </w:p>
        </w:tc>
        <w:tc>
          <w:tcPr>
            <w:tcW w:w="240" w:type="dxa"/>
            <w:vAlign w:val="bottom"/>
          </w:tcPr>
          <w:p>
            <w:pPr>
              <w:spacing w:after="0"/>
              <w:rPr>
                <w:sz w:val="14"/>
                <w:szCs w:val="14"/>
                <w:color w:val="auto"/>
              </w:rPr>
            </w:pPr>
          </w:p>
        </w:tc>
        <w:tc>
          <w:tcPr>
            <w:tcW w:w="1180" w:type="dxa"/>
            <w:vAlign w:val="bottom"/>
            <w:gridSpan w:val="4"/>
          </w:tcPr>
          <w:p>
            <w:pPr>
              <w:jc w:val="right"/>
              <w:ind w:right="36"/>
              <w:spacing w:after="0"/>
              <w:rPr>
                <w:sz w:val="20"/>
                <w:szCs w:val="20"/>
                <w:color w:val="auto"/>
              </w:rPr>
            </w:pPr>
            <w:r>
              <w:rPr>
                <w:rFonts w:ascii="Times New Roman" w:cs="Times New Roman" w:eastAsia="Times New Roman" w:hAnsi="Times New Roman"/>
                <w:sz w:val="13"/>
                <w:szCs w:val="13"/>
                <w:color w:val="auto"/>
              </w:rPr>
              <w:t>8.0 %</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5"/>
        </w:trPr>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6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F-26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9A9A9A"/>
            </w:tcBorders>
          </w:tcPr>
          <w:p>
            <w:pPr>
              <w:spacing w:after="0"/>
              <w:rPr>
                <w:sz w:val="6"/>
                <w:szCs w:val="6"/>
                <w:color w:val="auto"/>
              </w:rPr>
            </w:pPr>
          </w:p>
        </w:tc>
        <w:tc>
          <w:tcPr>
            <w:tcW w:w="2580" w:type="dxa"/>
            <w:vAlign w:val="bottom"/>
            <w:tcBorders>
              <w:bottom w:val="single" w:sz="8" w:color="9A9A9A"/>
            </w:tcBorders>
          </w:tcPr>
          <w:p>
            <w:pPr>
              <w:spacing w:after="0"/>
              <w:rPr>
                <w:sz w:val="6"/>
                <w:szCs w:val="6"/>
                <w:color w:val="auto"/>
              </w:rPr>
            </w:pPr>
          </w:p>
        </w:tc>
        <w:tc>
          <w:tcPr>
            <w:tcW w:w="38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NOTE 9. STOCK-BASED COMPENSATION</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has three plans that provide for equity-based compensation.</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Under the 2013 Incentive Plan (the “2013 Plan”), 2,276,279 awards are granted and outstanding, relating to stock options and restricted stock awards to employees and directors as of September 30, 2025.</w:t>
      </w:r>
    </w:p>
    <w:p>
      <w:pPr>
        <w:spacing w:after="0" w:line="39"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Under the 2021 Incentive Plan (the “2021 Plan”), 8,000,000 shares (subject to certain adjustments) of the Company’s common stock are authorized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September 30, 2025, 6,231,559 shares have been granted under the 2021 Plan. The total number of shares available for issuance was 2,378,770 shares, which includes 170,898 and 439,431 shares that were forfeited under the 2013 and 2021 Plans, respectively.</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Under the Company’s Inducement Plan (the “Inducement Plan”), 832,950 shares of the Company’s common stock are authorized for issuance pursuant to grants of stock options, stock appreciation rights, restricted and unrestricted stock, stock units (including restricted stock units), performance awards, cash awards, and other awards convertible into or otherwise based on shares of the Company’s common stock. Awards under the Inducement Plan may only be granted to new employees of the Company in accordance with the provisions of Rule 5635(c)(4) of the Nasdaq Listing Rules. As of September 30, 2025, 660,020 shares have been granted under the Inducement Plan. The total number of shares remaining available for issuance was 255,244 shares.</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prior to adoption of the Inducement Plan, the Company previously granted stand-alone inducement awards in the form of stock options and restricted stock units outside of the Company’s equity plans to new employees under Rule 5635(c)(4) of the Nasdaq Listing Rules. As of September 30, 2025, there were 598,605 and 53,713 shares underlying outstanding stand-alone inducement options and restricted stock units, respectively.</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awards outstanding attributable to Arrowhead Pharmaceuticals, Inc.: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2"/>
          </w:tcPr>
          <w:p>
            <w:pPr>
              <w:jc w:val="right"/>
              <w:ind w:right="1738"/>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1500" w:type="dxa"/>
            <w:vAlign w:val="bottom"/>
            <w:tcBorders>
              <w:bottom w:val="single" w:sz="8" w:color="auto"/>
            </w:tcBorders>
          </w:tcPr>
          <w:p>
            <w:pPr>
              <w:spacing w:after="0"/>
              <w:rPr>
                <w:sz w:val="13"/>
                <w:szCs w:val="13"/>
                <w:color w:val="auto"/>
              </w:rPr>
            </w:pPr>
          </w:p>
        </w:tc>
      </w:tr>
      <w:tr>
        <w:trPr>
          <w:trHeight w:val="154"/>
        </w:trPr>
        <w:tc>
          <w:tcPr>
            <w:tcW w:w="36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1"/>
                <w:szCs w:val="11"/>
                <w:b w:val="1"/>
                <w:bCs w:val="1"/>
                <w:color w:val="auto"/>
              </w:rPr>
              <w:t>2013 Plan</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2021 Plan</w:t>
            </w:r>
          </w:p>
        </w:tc>
        <w:tc>
          <w:tcPr>
            <w:tcW w:w="8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1"/>
                <w:szCs w:val="11"/>
                <w:b w:val="1"/>
                <w:bCs w:val="1"/>
                <w:color w:val="auto"/>
              </w:rPr>
              <w:t>Inducement Awards</w:t>
            </w:r>
          </w:p>
        </w:tc>
        <w:tc>
          <w:tcPr>
            <w:tcW w:w="150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Granted and outstanding awards:</w:t>
            </w:r>
          </w:p>
        </w:tc>
        <w:tc>
          <w:tcPr>
            <w:tcW w:w="11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1940" w:type="dxa"/>
            <w:vAlign w:val="bottom"/>
          </w:tcPr>
          <w:p>
            <w:pPr>
              <w:jc w:val="right"/>
              <w:ind w:right="1318"/>
              <w:spacing w:after="0"/>
              <w:rPr>
                <w:sz w:val="20"/>
                <w:szCs w:val="20"/>
                <w:color w:val="auto"/>
              </w:rPr>
            </w:pPr>
            <w:r>
              <w:rPr>
                <w:rFonts w:ascii="Times New Roman" w:cs="Times New Roman" w:eastAsia="Times New Roman" w:hAnsi="Times New Roman"/>
                <w:sz w:val="13"/>
                <w:szCs w:val="13"/>
                <w:color w:val="auto"/>
              </w:rPr>
              <w:t>776,279</w:t>
            </w:r>
          </w:p>
        </w:tc>
        <w:tc>
          <w:tcPr>
            <w:tcW w:w="88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32,151</w:t>
            </w:r>
          </w:p>
        </w:tc>
        <w:tc>
          <w:tcPr>
            <w:tcW w:w="2160" w:type="dxa"/>
            <w:vAlign w:val="bottom"/>
          </w:tcPr>
          <w:p>
            <w:pPr>
              <w:jc w:val="right"/>
              <w:ind w:right="458"/>
              <w:spacing w:after="0"/>
              <w:rPr>
                <w:sz w:val="20"/>
                <w:szCs w:val="20"/>
                <w:color w:val="auto"/>
              </w:rPr>
            </w:pPr>
            <w:r>
              <w:rPr>
                <w:rFonts w:ascii="Times New Roman" w:cs="Times New Roman" w:eastAsia="Times New Roman" w:hAnsi="Times New Roman"/>
                <w:sz w:val="13"/>
                <w:szCs w:val="13"/>
                <w:color w:val="auto"/>
              </w:rPr>
              <w:t>598,605</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1,407,035</w:t>
            </w:r>
          </w:p>
        </w:tc>
      </w:tr>
      <w:tr>
        <w:trPr>
          <w:trHeight w:val="170"/>
        </w:trPr>
        <w:tc>
          <w:tcPr>
            <w:tcW w:w="3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 units</w:t>
            </w:r>
          </w:p>
        </w:tc>
        <w:tc>
          <w:tcPr>
            <w:tcW w:w="114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1318"/>
              <w:spacing w:after="0"/>
              <w:rPr>
                <w:sz w:val="20"/>
                <w:szCs w:val="20"/>
                <w:color w:val="auto"/>
              </w:rPr>
            </w:pPr>
            <w:r>
              <w:rPr>
                <w:rFonts w:ascii="Times New Roman" w:cs="Times New Roman" w:eastAsia="Times New Roman" w:hAnsi="Times New Roman"/>
                <w:sz w:val="13"/>
                <w:szCs w:val="13"/>
                <w:color w:val="auto"/>
              </w:rPr>
              <w:t>1,500,000</w:t>
            </w:r>
          </w:p>
        </w:tc>
        <w:tc>
          <w:tcPr>
            <w:tcW w:w="88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3"/>
                <w:szCs w:val="13"/>
                <w:color w:val="auto"/>
              </w:rPr>
              <w:t>3,750,071</w:t>
            </w:r>
          </w:p>
        </w:tc>
        <w:tc>
          <w:tcPr>
            <w:tcW w:w="2160" w:type="dxa"/>
            <w:vAlign w:val="bottom"/>
            <w:tcBorders>
              <w:bottom w:val="single" w:sz="8" w:color="auto"/>
            </w:tcBorders>
            <w:shd w:val="clear" w:color="auto" w:fill="CCEEFF"/>
          </w:tcPr>
          <w:p>
            <w:pPr>
              <w:jc w:val="right"/>
              <w:ind w:right="458"/>
              <w:spacing w:after="0"/>
              <w:rPr>
                <w:sz w:val="20"/>
                <w:szCs w:val="20"/>
                <w:color w:val="auto"/>
              </w:rPr>
            </w:pPr>
            <w:r>
              <w:rPr>
                <w:rFonts w:ascii="Times New Roman" w:cs="Times New Roman" w:eastAsia="Times New Roman" w:hAnsi="Times New Roman"/>
                <w:sz w:val="13"/>
                <w:szCs w:val="13"/>
                <w:color w:val="auto"/>
              </w:rPr>
              <w:t>560,280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5,810,351</w:t>
            </w:r>
          </w:p>
        </w:tc>
      </w:tr>
      <w:tr>
        <w:trPr>
          <w:trHeight w:val="16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940" w:type="dxa"/>
            <w:vAlign w:val="bottom"/>
          </w:tcPr>
          <w:p>
            <w:pPr>
              <w:jc w:val="right"/>
              <w:ind w:right="1318"/>
              <w:spacing w:after="0"/>
              <w:rPr>
                <w:sz w:val="20"/>
                <w:szCs w:val="20"/>
                <w:color w:val="auto"/>
              </w:rPr>
            </w:pPr>
            <w:r>
              <w:rPr>
                <w:rFonts w:ascii="Times New Roman" w:cs="Times New Roman" w:eastAsia="Times New Roman" w:hAnsi="Times New Roman"/>
                <w:sz w:val="13"/>
                <w:szCs w:val="13"/>
                <w:color w:val="auto"/>
              </w:rPr>
              <w:t>2,276,279</w:t>
            </w:r>
          </w:p>
        </w:tc>
        <w:tc>
          <w:tcPr>
            <w:tcW w:w="880" w:type="dxa"/>
            <w:vAlign w:val="bottom"/>
          </w:tcPr>
          <w:p>
            <w:pPr>
              <w:jc w:val="right"/>
              <w:ind w:right="258"/>
              <w:spacing w:after="0"/>
              <w:rPr>
                <w:sz w:val="20"/>
                <w:szCs w:val="20"/>
                <w:color w:val="auto"/>
              </w:rPr>
            </w:pPr>
            <w:r>
              <w:rPr>
                <w:rFonts w:ascii="Times New Roman" w:cs="Times New Roman" w:eastAsia="Times New Roman" w:hAnsi="Times New Roman"/>
                <w:sz w:val="13"/>
                <w:szCs w:val="13"/>
                <w:color w:val="auto"/>
              </w:rPr>
              <w:t>3,782,222</w:t>
            </w:r>
          </w:p>
        </w:tc>
        <w:tc>
          <w:tcPr>
            <w:tcW w:w="2160" w:type="dxa"/>
            <w:vAlign w:val="bottom"/>
          </w:tcPr>
          <w:p>
            <w:pPr>
              <w:jc w:val="right"/>
              <w:ind w:right="458"/>
              <w:spacing w:after="0"/>
              <w:rPr>
                <w:sz w:val="20"/>
                <w:szCs w:val="20"/>
                <w:color w:val="auto"/>
              </w:rPr>
            </w:pPr>
            <w:r>
              <w:rPr>
                <w:rFonts w:ascii="Times New Roman" w:cs="Times New Roman" w:eastAsia="Times New Roman" w:hAnsi="Times New Roman"/>
                <w:sz w:val="13"/>
                <w:szCs w:val="13"/>
                <w:color w:val="auto"/>
              </w:rPr>
              <w:t>1,158,885</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7,217,386</w:t>
            </w:r>
          </w:p>
        </w:tc>
      </w:tr>
      <w:tr>
        <w:trPr>
          <w:trHeight w:val="20"/>
        </w:trPr>
        <w:tc>
          <w:tcPr>
            <w:tcW w:w="3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expenses included in operating expenses attributable to Arrowhead Pharmaceuticals, Inc.:</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346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4"/>
        </w:trPr>
        <w:tc>
          <w:tcPr>
            <w:tcW w:w="3460" w:type="dxa"/>
            <w:vAlign w:val="bottom"/>
          </w:tcPr>
          <w:p>
            <w:pPr>
              <w:spacing w:after="0"/>
              <w:rPr>
                <w:sz w:val="13"/>
                <w:szCs w:val="13"/>
                <w:color w:val="auto"/>
              </w:rPr>
            </w:pPr>
          </w:p>
        </w:tc>
        <w:tc>
          <w:tcPr>
            <w:tcW w:w="16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3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75"/>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4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27,320</w:t>
            </w: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1901"/>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29,527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34,332</w:t>
            </w:r>
          </w:p>
        </w:tc>
      </w:tr>
      <w:tr>
        <w:trPr>
          <w:trHeight w:val="168"/>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27,528</w:t>
            </w:r>
          </w:p>
        </w:tc>
        <w:tc>
          <w:tcPr>
            <w:tcW w:w="8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37,570</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43,798</w:t>
            </w:r>
          </w:p>
        </w:tc>
      </w:tr>
      <w:tr>
        <w:trPr>
          <w:trHeight w:val="18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4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54,848</w:t>
            </w:r>
          </w:p>
        </w:tc>
        <w:tc>
          <w:tcPr>
            <w:tcW w:w="8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ind w:right="1901"/>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78,130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Awards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a summary of the stock option activity for the year ended September 30,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left="341"/>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ind w:left="223"/>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restart"/>
          </w:tcPr>
          <w:p>
            <w:pPr>
              <w:jc w:val="center"/>
              <w:ind w:right="221"/>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left="341"/>
              <w:spacing w:after="0" w:line="108"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ind w:left="223"/>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220" w:type="dxa"/>
            <w:vAlign w:val="bottom"/>
          </w:tcPr>
          <w:p>
            <w:pPr>
              <w:spacing w:after="0"/>
              <w:rPr>
                <w:sz w:val="9"/>
                <w:szCs w:val="9"/>
                <w:color w:val="auto"/>
              </w:rPr>
            </w:pPr>
          </w:p>
        </w:tc>
        <w:tc>
          <w:tcPr>
            <w:tcW w:w="880" w:type="dxa"/>
            <w:vAlign w:val="bottom"/>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left="341"/>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ind w:left="223"/>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jc w:val="center"/>
              <w:ind w:right="221"/>
              <w:spacing w:after="0" w:line="115"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Term (Years)</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5"/>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Outstanding at September 30, 2024</w:t>
            </w:r>
          </w:p>
        </w:tc>
        <w:tc>
          <w:tcPr>
            <w:tcW w:w="8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1,978,516</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23.39</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4"/>
                <w:szCs w:val="14"/>
                <w:color w:val="auto"/>
              </w:rPr>
            </w:pPr>
          </w:p>
        </w:tc>
        <w:tc>
          <w:tcPr>
            <w:tcW w:w="1660" w:type="dxa"/>
            <w:vAlign w:val="bottom"/>
            <w:gridSpan w:val="3"/>
          </w:tcPr>
          <w:p>
            <w:pPr>
              <w:jc w:val="right"/>
              <w:ind w:right="1243"/>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Cancelled or expired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(36,341)</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45.44</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(535,140)</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Outstanding at September 30, 2025</w:t>
            </w: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1,407,035</w:t>
            </w:r>
          </w:p>
        </w:tc>
        <w:tc>
          <w:tcPr>
            <w:tcW w:w="10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tcBorders>
              <w:top w:val="single" w:sz="8" w:color="CFF0FC"/>
            </w:tcBorders>
            <w:shd w:val="clear" w:color="auto" w:fill="CFF0FC"/>
          </w:tcPr>
          <w:p>
            <w:pPr>
              <w:spacing w:after="0"/>
              <w:rPr>
                <w:sz w:val="13"/>
                <w:szCs w:val="13"/>
                <w:color w:val="auto"/>
              </w:rPr>
            </w:pPr>
          </w:p>
        </w:tc>
        <w:tc>
          <w:tcPr>
            <w:tcW w:w="1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19,099,141</w:t>
            </w:r>
          </w:p>
        </w:tc>
        <w:tc>
          <w:tcPr>
            <w:tcW w:w="0" w:type="dxa"/>
            <w:vAlign w:val="bottom"/>
          </w:tcPr>
          <w:p>
            <w:pPr>
              <w:spacing w:after="0"/>
              <w:rPr>
                <w:sz w:val="1"/>
                <w:szCs w:val="1"/>
                <w:color w:val="auto"/>
              </w:rPr>
            </w:pPr>
          </w:p>
        </w:tc>
      </w:tr>
      <w:tr>
        <w:trPr>
          <w:trHeight w:val="16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Exercisable at September 30, 2025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1,407,035</w:t>
            </w:r>
          </w:p>
        </w:tc>
        <w:tc>
          <w:tcPr>
            <w:tcW w:w="100" w:type="dxa"/>
            <w:vAlign w:val="bottom"/>
          </w:tcPr>
          <w:p>
            <w:pPr>
              <w:spacing w:after="0"/>
              <w:rPr>
                <w:sz w:val="14"/>
                <w:szCs w:val="14"/>
                <w:color w:val="auto"/>
              </w:rPr>
            </w:pPr>
          </w:p>
        </w:tc>
        <w:tc>
          <w:tcPr>
            <w:tcW w:w="1040" w:type="dxa"/>
            <w:vAlign w:val="bottom"/>
          </w:tcPr>
          <w:p>
            <w:pPr>
              <w:jc w:val="right"/>
              <w:ind w:right="901"/>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19,099,141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aggregate intrinsic values represent the amount by which the market price of the underlying stock exceeds the exercise price of the option. The total intrinsic value of the options exercised during the years ended September 30, 2025, 2024, and 2023 was $6.4 million, $4.2 million and $12.2 million,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 related to stock options outstanding for the years ended September 30, 2025, 2024, and 2023 was $0.1 million, $2.8 million and $8.4 million, respectively.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September 30, 2025, the pre-tax compensation expense for all outstanding unvested stock options is considered nominal.</w:t>
      </w:r>
    </w:p>
    <w:p>
      <w:pPr>
        <w:spacing w:after="0" w:line="94" w:lineRule="exact"/>
        <w:rPr>
          <w:sz w:val="20"/>
          <w:szCs w:val="20"/>
          <w:color w:val="auto"/>
        </w:rPr>
      </w:pPr>
    </w:p>
    <w:p>
      <w:pPr>
        <w:jc w:val="both"/>
        <w:ind w:firstLine="382"/>
        <w:spacing w:after="0" w:line="267" w:lineRule="auto"/>
        <w:rPr>
          <w:sz w:val="20"/>
          <w:szCs w:val="20"/>
          <w:color w:val="auto"/>
        </w:rPr>
      </w:pPr>
      <w:r>
        <w:rPr>
          <w:rFonts w:ascii="Times New Roman" w:cs="Times New Roman" w:eastAsia="Times New Roman" w:hAnsi="Times New Roman"/>
          <w:sz w:val="14"/>
          <w:szCs w:val="14"/>
          <w:color w:val="auto"/>
        </w:rPr>
        <w:t>The fair value of each stock option award is estimated on the date of grant using the Black-Scholes option pricing model. The Black-Scholes option pricing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No options were granted during the years ended September 30, 2025 and 2024.</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the assumptions used in the calculation of grant-date fair values of these stock options based on the Black-Scholes option pricing model: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1560" w:type="dxa"/>
            <w:vAlign w:val="bottom"/>
            <w:tcBorders>
              <w:bottom w:val="single" w:sz="8" w:color="auto"/>
            </w:tcBorders>
          </w:tcPr>
          <w:p>
            <w:pPr>
              <w:spacing w:after="0"/>
              <w:rPr>
                <w:sz w:val="13"/>
                <w:szCs w:val="13"/>
                <w:color w:val="auto"/>
              </w:rPr>
            </w:pPr>
          </w:p>
        </w:tc>
      </w:tr>
      <w:tr>
        <w:trPr>
          <w:trHeight w:val="159"/>
        </w:trPr>
        <w:tc>
          <w:tcPr>
            <w:tcW w:w="64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23"/>
              <w:spacing w:after="0" w:line="159" w:lineRule="exact"/>
              <w:rPr>
                <w:sz w:val="20"/>
                <w:szCs w:val="20"/>
                <w:color w:val="auto"/>
              </w:rPr>
            </w:pPr>
            <w:r>
              <w:rPr>
                <w:rFonts w:ascii="Times New Roman" w:cs="Times New Roman" w:eastAsia="Times New Roman" w:hAnsi="Times New Roman"/>
                <w:sz w:val="11"/>
                <w:szCs w:val="11"/>
                <w:b w:val="1"/>
                <w:bCs w:val="1"/>
                <w:color w:val="auto"/>
              </w:rPr>
              <w:t>2025</w:t>
            </w:r>
            <w:r>
              <w:rPr>
                <w:rFonts w:ascii="Times New Roman" w:cs="Times New Roman" w:eastAsia="Times New Roman" w:hAnsi="Times New Roman"/>
                <w:sz w:val="14"/>
                <w:szCs w:val="14"/>
                <w:b w:val="1"/>
                <w:bCs w:val="1"/>
                <w:color w:val="auto"/>
                <w:vertAlign w:val="superscript"/>
              </w:rPr>
              <w:t>(5)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60" w:type="dxa"/>
            <w:vAlign w:val="bottom"/>
            <w:tcBorders>
              <w:bottom w:val="single" w:sz="8" w:color="auto"/>
            </w:tcBorders>
          </w:tcPr>
          <w:p>
            <w:pPr>
              <w:jc w:val="right"/>
              <w:ind w:right="518"/>
              <w:spacing w:after="0" w:line="159"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4"/>
                <w:szCs w:val="14"/>
                <w:b w:val="1"/>
                <w:bCs w:val="1"/>
                <w:color w:val="auto"/>
                <w:vertAlign w:val="superscript"/>
              </w:rPr>
              <w:t>(5)</w:t>
            </w:r>
          </w:p>
        </w:tc>
        <w:tc>
          <w:tcPr>
            <w:tcW w:w="8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644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3"/>
                <w:szCs w:val="13"/>
                <w:color w:val="auto"/>
              </w:rPr>
              <w:t>Expected dividend yield</w:t>
            </w:r>
            <w:r>
              <w:rPr>
                <w:rFonts w:ascii="Times New Roman" w:cs="Times New Roman" w:eastAsia="Times New Roman" w:hAnsi="Times New Roman"/>
                <w:sz w:val="16"/>
                <w:szCs w:val="16"/>
                <w:color w:val="auto"/>
                <w:vertAlign w:val="superscript"/>
              </w:rPr>
              <w:t>(1)</w:t>
            </w:r>
          </w:p>
        </w:tc>
        <w:tc>
          <w:tcPr>
            <w:tcW w:w="1060" w:type="dxa"/>
            <w:vAlign w:val="bottom"/>
            <w:shd w:val="clear" w:color="auto" w:fill="CFF0FC"/>
          </w:tcPr>
          <w:p>
            <w:pPr>
              <w:spacing w:after="0"/>
              <w:rPr>
                <w:sz w:val="13"/>
                <w:szCs w:val="13"/>
                <w:color w:val="auto"/>
              </w:rPr>
            </w:pPr>
          </w:p>
        </w:tc>
        <w:tc>
          <w:tcPr>
            <w:tcW w:w="400" w:type="dxa"/>
            <w:vAlign w:val="bottom"/>
            <w:shd w:val="clear" w:color="auto" w:fill="CFF0FC"/>
          </w:tcPr>
          <w:p>
            <w:pPr>
              <w:jc w:val="center"/>
              <w:ind w:left="96"/>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3"/>
                <w:szCs w:val="13"/>
                <w:color w:val="auto"/>
              </w:rPr>
            </w:pPr>
          </w:p>
        </w:tc>
        <w:tc>
          <w:tcPr>
            <w:tcW w:w="1460" w:type="dxa"/>
            <w:vAlign w:val="bottom"/>
            <w:shd w:val="clear" w:color="auto" w:fill="CFF0FC"/>
          </w:tcPr>
          <w:p>
            <w:pPr>
              <w:jc w:val="center"/>
              <w:ind w:left="1158"/>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FF0FC"/>
          </w:tcPr>
          <w:p>
            <w:pPr>
              <w:spacing w:after="0"/>
              <w:rPr>
                <w:sz w:val="13"/>
                <w:szCs w:val="13"/>
                <w:color w:val="auto"/>
              </w:rPr>
            </w:pPr>
          </w:p>
        </w:tc>
        <w:tc>
          <w:tcPr>
            <w:tcW w:w="15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5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Risk-free interest rate</w:t>
            </w:r>
            <w:r>
              <w:rPr>
                <w:rFonts w:ascii="Times New Roman" w:cs="Times New Roman" w:eastAsia="Times New Roman" w:hAnsi="Times New Roman"/>
                <w:sz w:val="16"/>
                <w:szCs w:val="16"/>
                <w:color w:val="auto"/>
                <w:vertAlign w:val="superscript"/>
              </w:rPr>
              <w:t>(2)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540" w:type="dxa"/>
            <w:vAlign w:val="bottom"/>
            <w:gridSpan w:val="2"/>
          </w:tcPr>
          <w:p>
            <w:pPr>
              <w:jc w:val="center"/>
              <w:ind w:left="1058"/>
              <w:spacing w:after="0"/>
              <w:rPr>
                <w:sz w:val="20"/>
                <w:szCs w:val="20"/>
                <w:color w:val="auto"/>
              </w:rPr>
            </w:pPr>
            <w:r>
              <w:rPr>
                <w:rFonts w:ascii="Times New Roman" w:cs="Times New Roman" w:eastAsia="Times New Roman" w:hAnsi="Times New Roman"/>
                <w:sz w:val="13"/>
                <w:szCs w:val="13"/>
                <w:color w:val="auto"/>
                <w:w w:val="98"/>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 – 4.57%</w:t>
            </w:r>
          </w:p>
        </w:tc>
      </w:tr>
      <w:tr>
        <w:trPr>
          <w:trHeight w:val="170"/>
        </w:trPr>
        <w:tc>
          <w:tcPr>
            <w:tcW w:w="7500" w:type="dxa"/>
            <w:vAlign w:val="bottom"/>
            <w:gridSpan w:val="2"/>
            <w:shd w:val="clear" w:color="auto" w:fill="CFF0FC"/>
          </w:tcPr>
          <w:p>
            <w:pPr>
              <w:ind w:left="20"/>
              <w:spacing w:after="0" w:line="170" w:lineRule="exact"/>
              <w:rPr>
                <w:sz w:val="20"/>
                <w:szCs w:val="20"/>
                <w:color w:val="auto"/>
              </w:rPr>
            </w:pPr>
            <w:r>
              <w:rPr>
                <w:rFonts w:ascii="Times New Roman" w:cs="Times New Roman" w:eastAsia="Times New Roman" w:hAnsi="Times New Roman"/>
                <w:sz w:val="13"/>
                <w:szCs w:val="13"/>
                <w:color w:val="auto"/>
              </w:rPr>
              <w:t>Expected volatility</w:t>
            </w:r>
            <w:r>
              <w:rPr>
                <w:rFonts w:ascii="Times New Roman" w:cs="Times New Roman" w:eastAsia="Times New Roman" w:hAnsi="Times New Roman"/>
                <w:sz w:val="16"/>
                <w:szCs w:val="16"/>
                <w:color w:val="auto"/>
                <w:vertAlign w:val="superscript"/>
              </w:rPr>
              <w:t>(3)</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540" w:type="dxa"/>
            <w:vAlign w:val="bottom"/>
            <w:gridSpan w:val="2"/>
            <w:shd w:val="clear" w:color="auto" w:fill="CFF0FC"/>
          </w:tcPr>
          <w:p>
            <w:pPr>
              <w:jc w:val="center"/>
              <w:ind w:left="1058"/>
              <w:spacing w:after="0"/>
              <w:rPr>
                <w:sz w:val="20"/>
                <w:szCs w:val="20"/>
                <w:color w:val="auto"/>
              </w:rPr>
            </w:pPr>
            <w:r>
              <w:rPr>
                <w:rFonts w:ascii="Times New Roman" w:cs="Times New Roman" w:eastAsia="Times New Roman" w:hAnsi="Times New Roman"/>
                <w:sz w:val="13"/>
                <w:szCs w:val="13"/>
                <w:color w:val="auto"/>
                <w:w w:val="98"/>
              </w:rPr>
              <w:t>N/A</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86.4 %</w:t>
            </w:r>
          </w:p>
        </w:tc>
      </w:tr>
      <w:tr>
        <w:trPr>
          <w:trHeight w:val="170"/>
        </w:trPr>
        <w:tc>
          <w:tcPr>
            <w:tcW w:w="75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Expected term (in years)</w:t>
            </w:r>
            <w:r>
              <w:rPr>
                <w:rFonts w:ascii="Times New Roman" w:cs="Times New Roman" w:eastAsia="Times New Roman" w:hAnsi="Times New Roman"/>
                <w:sz w:val="16"/>
                <w:szCs w:val="16"/>
                <w:color w:val="auto"/>
                <w:vertAlign w:val="superscript"/>
              </w:rPr>
              <w:t>(4)</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540" w:type="dxa"/>
            <w:vAlign w:val="bottom"/>
            <w:gridSpan w:val="2"/>
          </w:tcPr>
          <w:p>
            <w:pPr>
              <w:jc w:val="center"/>
              <w:ind w:left="1058"/>
              <w:spacing w:after="0"/>
              <w:rPr>
                <w:sz w:val="20"/>
                <w:szCs w:val="20"/>
                <w:color w:val="auto"/>
              </w:rPr>
            </w:pPr>
            <w:r>
              <w:rPr>
                <w:rFonts w:ascii="Times New Roman" w:cs="Times New Roman" w:eastAsia="Times New Roman" w:hAnsi="Times New Roman"/>
                <w:sz w:val="13"/>
                <w:szCs w:val="13"/>
                <w:color w:val="auto"/>
                <w:w w:val="98"/>
              </w:rPr>
              <w:t>N/A</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70"/>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Weighted-average grant date fair value per share</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540" w:type="dxa"/>
            <w:vAlign w:val="bottom"/>
            <w:gridSpan w:val="2"/>
            <w:shd w:val="clear" w:color="auto" w:fill="CFF0FC"/>
          </w:tcPr>
          <w:p>
            <w:pPr>
              <w:jc w:val="center"/>
              <w:ind w:left="1058"/>
              <w:spacing w:after="0"/>
              <w:rPr>
                <w:sz w:val="20"/>
                <w:szCs w:val="20"/>
                <w:color w:val="auto"/>
              </w:rPr>
            </w:pPr>
            <w:r>
              <w:rPr>
                <w:rFonts w:ascii="Times New Roman" w:cs="Times New Roman" w:eastAsia="Times New Roman" w:hAnsi="Times New Roman"/>
                <w:sz w:val="13"/>
                <w:szCs w:val="13"/>
                <w:color w:val="auto"/>
                <w:w w:val="98"/>
              </w:rPr>
              <w:t>N/A</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25.61</w:t>
            </w:r>
          </w:p>
        </w:tc>
      </w:tr>
    </w:tbl>
    <w:p>
      <w:pPr>
        <w:spacing w:after="0" w:line="136" w:lineRule="exact"/>
        <w:rPr>
          <w:sz w:val="20"/>
          <w:szCs w:val="20"/>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dividend yield is zero as the Company currently does not pay a dividend.</w:t>
      </w:r>
    </w:p>
    <w:p>
      <w:pPr>
        <w:spacing w:after="0" w:line="17"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risk-free interest rate is based on that of the U.S. Treasury yields with equivalent terms in effect at the time of the grant.</w:t>
      </w:r>
    </w:p>
    <w:p>
      <w:pPr>
        <w:spacing w:after="0" w:line="6"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Volatility is estimated based on volatility average of the Company’s common stock price.</w:t>
      </w:r>
    </w:p>
    <w:p>
      <w:pPr>
        <w:ind w:left="180" w:hanging="175"/>
        <w:spacing w:after="0"/>
        <w:tabs>
          <w:tab w:leader="none" w:pos="18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computation of expected term was determined based on safe harbor rules, considering the contractual terms of the awards and vesting schedules.</w:t>
      </w:r>
    </w:p>
    <w:p>
      <w:pPr>
        <w:spacing w:after="0" w:line="1"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5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 options were granted during the year ended September 30, 2025 and September 30, 2024.</w:t>
      </w:r>
    </w:p>
    <w:p>
      <w:pPr>
        <w:spacing w:after="0" w:line="114"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b w:val="1"/>
          <w:bCs w:val="1"/>
          <w:u w:val="single" w:color="auto"/>
          <w:color w:val="auto"/>
        </w:rPr>
        <w:t>Visirna ESOP</w:t>
      </w:r>
      <w:r>
        <w:rPr>
          <w:rFonts w:ascii="Times New Roman" w:cs="Times New Roman" w:eastAsia="Times New Roman" w:hAnsi="Times New Roman"/>
          <w:sz w:val="14"/>
          <w:szCs w:val="14"/>
          <w:color w:val="auto"/>
        </w:rPr>
        <w:t>: As of September 30, 2025, Visirna, a subsidiary of the Company, granted 14,612,000 stock options to its employees from the Employee Stock Option Plan (the “Visirna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ESOP”), which authorizes 20,000,000 shares for issuance. The Visirna ESOP is independently managed by Visirna, including the valuation process. For the years ended September 30, 2025 and 2024, stock-based compensation expense related to the Visirna ESOP was $8.5 million and $6.9 million,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Restricted Stock Units (“RSUs”), including market-based, time-based and performance-based awards, have been granted under the Company’s 2013 and 2021 Plans, the Inducement Plan and as inducements awards granted outside of the Company’s equity-based compensation plans. At vesting, each outstanding RSU will be exchanged for one share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1" w:name="page112"/>
    <w:bookmarkEnd w:id="111"/>
    <w:p>
      <w:pPr>
        <w:jc w:val="both"/>
        <w:spacing w:after="0" w:line="287" w:lineRule="auto"/>
        <w:rPr>
          <w:sz w:val="20"/>
          <w:szCs w:val="20"/>
          <w:color w:val="auto"/>
        </w:rPr>
      </w:pPr>
      <w:r>
        <w:rPr>
          <w:rFonts w:ascii="Times New Roman" w:cs="Times New Roman" w:eastAsia="Times New Roman" w:hAnsi="Times New Roman"/>
          <w:sz w:val="14"/>
          <w:szCs w:val="14"/>
          <w:color w:val="auto"/>
        </w:rPr>
        <w:t>Company’s common stock. RSU awards generally vest subject to the satisfaction of service requirements or the satisfaction of both service requirements and achievement of certain performance targets.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activity of the Company’s RSUs: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5"/>
        </w:trPr>
        <w:tc>
          <w:tcPr>
            <w:tcW w:w="80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0" w:type="dxa"/>
            <w:vAlign w:val="bottom"/>
          </w:tcPr>
          <w:p>
            <w:pPr>
              <w:spacing w:after="0"/>
              <w:rPr>
                <w:sz w:val="1"/>
                <w:szCs w:val="1"/>
                <w:color w:val="auto"/>
              </w:rPr>
            </w:pPr>
          </w:p>
        </w:tc>
      </w:tr>
      <w:tr>
        <w:trPr>
          <w:trHeight w:val="108"/>
        </w:trPr>
        <w:tc>
          <w:tcPr>
            <w:tcW w:w="8060" w:type="dxa"/>
            <w:vAlign w:val="bottom"/>
          </w:tcPr>
          <w:p>
            <w:pPr>
              <w:spacing w:after="0"/>
              <w:rPr>
                <w:sz w:val="9"/>
                <w:szCs w:val="9"/>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80" w:type="dxa"/>
            <w:vAlign w:val="bottom"/>
          </w:tcPr>
          <w:p>
            <w:pPr>
              <w:spacing w:after="0"/>
              <w:rPr>
                <w:sz w:val="9"/>
                <w:szCs w:val="9"/>
                <w:color w:val="auto"/>
              </w:rPr>
            </w:pPr>
          </w:p>
        </w:tc>
        <w:tc>
          <w:tcPr>
            <w:tcW w:w="1180" w:type="dxa"/>
            <w:vAlign w:val="bottom"/>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Grant</w:t>
            </w:r>
          </w:p>
        </w:tc>
        <w:tc>
          <w:tcPr>
            <w:tcW w:w="0" w:type="dxa"/>
            <w:vAlign w:val="bottom"/>
          </w:tcPr>
          <w:p>
            <w:pPr>
              <w:spacing w:after="0"/>
              <w:rPr>
                <w:sz w:val="1"/>
                <w:szCs w:val="1"/>
                <w:color w:val="auto"/>
              </w:rPr>
            </w:pPr>
          </w:p>
        </w:tc>
      </w:tr>
      <w:tr>
        <w:trPr>
          <w:trHeight w:val="117"/>
        </w:trPr>
        <w:tc>
          <w:tcPr>
            <w:tcW w:w="80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53"/>
        </w:trPr>
        <w:tc>
          <w:tcPr>
            <w:tcW w:w="806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RSUs</w:t>
            </w:r>
          </w:p>
        </w:tc>
        <w:tc>
          <w:tcPr>
            <w:tcW w:w="280" w:type="dxa"/>
            <w:vAlign w:val="bottom"/>
          </w:tcPr>
          <w:p>
            <w:pPr>
              <w:spacing w:after="0"/>
              <w:rPr>
                <w:sz w:val="13"/>
                <w:szCs w:val="13"/>
                <w:color w:val="auto"/>
              </w:rPr>
            </w:pPr>
          </w:p>
        </w:tc>
        <w:tc>
          <w:tcPr>
            <w:tcW w:w="1180" w:type="dxa"/>
            <w:vAlign w:val="bottom"/>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0" w:type="dxa"/>
            <w:vAlign w:val="bottom"/>
          </w:tcPr>
          <w:p>
            <w:pPr>
              <w:spacing w:after="0"/>
              <w:rPr>
                <w:sz w:val="1"/>
                <w:szCs w:val="1"/>
                <w:color w:val="auto"/>
              </w:rPr>
            </w:pPr>
          </w:p>
        </w:tc>
      </w:tr>
      <w:tr>
        <w:trPr>
          <w:trHeight w:val="165"/>
        </w:trPr>
        <w:tc>
          <w:tcPr>
            <w:tcW w:w="8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Outstanding as of September 30, 2024</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4,913,312</w:t>
            </w:r>
          </w:p>
        </w:tc>
        <w:tc>
          <w:tcPr>
            <w:tcW w:w="8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49.61</w:t>
            </w:r>
          </w:p>
        </w:tc>
        <w:tc>
          <w:tcPr>
            <w:tcW w:w="0" w:type="dxa"/>
            <w:vAlign w:val="bottom"/>
          </w:tcPr>
          <w:p>
            <w:pPr>
              <w:spacing w:after="0"/>
              <w:rPr>
                <w:sz w:val="1"/>
                <w:szCs w:val="1"/>
                <w:color w:val="auto"/>
              </w:rPr>
            </w:pPr>
          </w:p>
        </w:tc>
      </w:tr>
      <w:tr>
        <w:trPr>
          <w:trHeight w:val="168"/>
        </w:trPr>
        <w:tc>
          <w:tcPr>
            <w:tcW w:w="8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2,779,689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0" w:type="dxa"/>
            <w:vAlign w:val="bottom"/>
          </w:tcPr>
          <w:p>
            <w:pPr>
              <w:spacing w:after="0"/>
              <w:rPr>
                <w:sz w:val="1"/>
                <w:szCs w:val="1"/>
                <w:color w:val="auto"/>
              </w:rPr>
            </w:pPr>
          </w:p>
        </w:tc>
      </w:tr>
      <w:tr>
        <w:trPr>
          <w:trHeight w:val="172"/>
        </w:trPr>
        <w:tc>
          <w:tcPr>
            <w:tcW w:w="8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(1,525,693)</w:t>
            </w: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47.15</w:t>
            </w:r>
          </w:p>
        </w:tc>
        <w:tc>
          <w:tcPr>
            <w:tcW w:w="0" w:type="dxa"/>
            <w:vAlign w:val="bottom"/>
          </w:tcPr>
          <w:p>
            <w:pPr>
              <w:spacing w:after="0"/>
              <w:rPr>
                <w:sz w:val="1"/>
                <w:szCs w:val="1"/>
                <w:color w:val="auto"/>
              </w:rPr>
            </w:pPr>
          </w:p>
        </w:tc>
      </w:tr>
      <w:tr>
        <w:trPr>
          <w:trHeight w:val="168"/>
        </w:trPr>
        <w:tc>
          <w:tcPr>
            <w:tcW w:w="80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(356,957)</w:t>
            </w: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Outstanding as of September 30, 2025</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5,810,351</w:t>
            </w: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36.97</w:t>
            </w:r>
          </w:p>
        </w:tc>
        <w:tc>
          <w:tcPr>
            <w:tcW w:w="0" w:type="dxa"/>
            <w:vAlign w:val="bottom"/>
          </w:tcPr>
          <w:p>
            <w:pPr>
              <w:spacing w:after="0"/>
              <w:rPr>
                <w:sz w:val="1"/>
                <w:szCs w:val="1"/>
                <w:color w:val="auto"/>
              </w:rPr>
            </w:pP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fair value of RSUs was determined based on the closing price of the Company’s common stock on the grant date, with consideration given to the probability of achieving service and/or performance conditions for awards.</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For the years ended September 30, 2025, 2024 and 2023, the Company recorded stock-based compensation expense of $54.9 million, $64.3 million and $69.7 million, respectively, related to shares of RSUs. As of September 30, 2025, there was $73.3 million of total unrecognized compensation cost related to RSUs that is expected to be recognized over a weighted-average period of 1.7 years.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NOTE 10. FAIR VALUE MEASUREMENTS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Assets and liabilities recorded at fair value on the consolidated balance sheets are categorized based on the level of judgment associated with inputs used to measure their fair values and the level of market price observability, as follows:</w:t>
      </w:r>
    </w:p>
    <w:p>
      <w:pPr>
        <w:spacing w:after="0" w:line="145"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1</w:t>
        <w:tab/>
        <w:t>Unadjusted quoted prices are available in active markets for identical assets or liabilities as of the reporting date.</w:t>
      </w:r>
    </w:p>
    <w:p>
      <w:pPr>
        <w:spacing w:after="0" w:line="94"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2</w:t>
        <w:tab/>
        <w:t>Pricing inputs are other than quoted prices in active markets, which are based on the following:</w:t>
      </w:r>
    </w:p>
    <w:p>
      <w:pPr>
        <w:spacing w:after="0" w:line="94" w:lineRule="exact"/>
        <w:rPr>
          <w:sz w:val="20"/>
          <w:szCs w:val="20"/>
          <w:color w:val="auto"/>
        </w:rPr>
      </w:pPr>
    </w:p>
    <w:p>
      <w:pPr>
        <w:ind w:left="1100" w:hanging="77"/>
        <w:spacing w:after="0"/>
        <w:tabs>
          <w:tab w:leader="none" w:pos="1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similar assets or liabilities in active markets;</w:t>
      </w:r>
    </w:p>
    <w:p>
      <w:pPr>
        <w:spacing w:after="0" w:line="23" w:lineRule="exact"/>
        <w:rPr>
          <w:rFonts w:ascii="Times New Roman" w:cs="Times New Roman" w:eastAsia="Times New Roman" w:hAnsi="Times New Roman"/>
          <w:sz w:val="14"/>
          <w:szCs w:val="14"/>
          <w:color w:val="auto"/>
        </w:rPr>
      </w:pPr>
    </w:p>
    <w:p>
      <w:pPr>
        <w:ind w:left="1100" w:hanging="77"/>
        <w:spacing w:after="0"/>
        <w:tabs>
          <w:tab w:leader="none" w:pos="1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identical or similar assets or liabilities in non-active markets; or</w:t>
      </w:r>
    </w:p>
    <w:p>
      <w:pPr>
        <w:spacing w:after="0" w:line="8" w:lineRule="exact"/>
        <w:rPr>
          <w:rFonts w:ascii="Times New Roman" w:cs="Times New Roman" w:eastAsia="Times New Roman" w:hAnsi="Times New Roman"/>
          <w:sz w:val="14"/>
          <w:szCs w:val="14"/>
          <w:color w:val="auto"/>
        </w:rPr>
      </w:pPr>
    </w:p>
    <w:p>
      <w:pPr>
        <w:ind w:left="1100" w:hanging="77"/>
        <w:spacing w:after="0"/>
        <w:tabs>
          <w:tab w:leader="none" w:pos="11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directly or indirectly observable inputs as of the reporting date.</w:t>
      </w:r>
    </w:p>
    <w:p>
      <w:pPr>
        <w:spacing w:after="0" w:line="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3</w:t>
        <w:tab/>
        <w:t>Pricing inputs are unobservable and significant to the overall fair value measurement, and the determination of fair value requires significant management judgment or estimation.</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spacing w:after="0" w:line="5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September 30, 2025 and 2024, the Company did not have any financial assets or financial liabilities based on Level 3 measurements.</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measured at fair value on a recurring basis, and indicate the fair value hierarchy of the valuation techniques utilized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158"/>
        </w:trPr>
        <w:tc>
          <w:tcPr>
            <w:tcW w:w="38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54"/>
        </w:trPr>
        <w:tc>
          <w:tcPr>
            <w:tcW w:w="3820" w:type="dxa"/>
            <w:vAlign w:val="bottom"/>
          </w:tcPr>
          <w:p>
            <w:pPr>
              <w:spacing w:after="0"/>
              <w:rPr>
                <w:sz w:val="13"/>
                <w:szCs w:val="13"/>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5"/>
        </w:trPr>
        <w:tc>
          <w:tcPr>
            <w:tcW w:w="3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gridSpan w:val="3"/>
          </w:tcPr>
          <w:p>
            <w:pPr>
              <w:jc w:val="center"/>
              <w:ind w:right="63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85"/>
        </w:trPr>
        <w:tc>
          <w:tcPr>
            <w:tcW w:w="3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7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Available-for-sale securities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U.S. government and agency securities</w:t>
            </w:r>
          </w:p>
        </w:tc>
        <w:tc>
          <w:tcPr>
            <w:tcW w:w="1160" w:type="dxa"/>
            <w:vAlign w:val="bottom"/>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150,695</w:t>
            </w:r>
          </w:p>
        </w:tc>
        <w:tc>
          <w:tcPr>
            <w:tcW w:w="200" w:type="dxa"/>
            <w:vAlign w:val="bottom"/>
          </w:tcPr>
          <w:p>
            <w:pPr>
              <w:spacing w:after="0"/>
              <w:rPr>
                <w:sz w:val="14"/>
                <w:szCs w:val="14"/>
                <w:color w:val="auto"/>
              </w:rPr>
            </w:pPr>
          </w:p>
        </w:tc>
        <w:tc>
          <w:tcPr>
            <w:tcW w:w="1280" w:type="dxa"/>
            <w:vAlign w:val="bottom"/>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150,695</w:t>
            </w:r>
          </w:p>
        </w:tc>
      </w:tr>
      <w:tr>
        <w:trPr>
          <w:trHeight w:val="172"/>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Certificate of deposits</w:t>
            </w:r>
          </w:p>
        </w:tc>
        <w:tc>
          <w:tcPr>
            <w:tcW w:w="1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12,019</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12,019</w:t>
            </w:r>
          </w:p>
        </w:tc>
      </w:tr>
      <w:tr>
        <w:trPr>
          <w:trHeight w:val="168"/>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Municipal securities</w:t>
            </w:r>
          </w:p>
        </w:tc>
        <w:tc>
          <w:tcPr>
            <w:tcW w:w="1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7,046</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7,046</w:t>
            </w:r>
          </w:p>
        </w:tc>
      </w:tr>
      <w:tr>
        <w:trPr>
          <w:trHeight w:val="172"/>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notes</w:t>
            </w:r>
          </w:p>
        </w:tc>
        <w:tc>
          <w:tcPr>
            <w:tcW w:w="1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13,801</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13,801</w:t>
            </w:r>
          </w:p>
        </w:tc>
      </w:tr>
      <w:tr>
        <w:trPr>
          <w:trHeight w:val="168"/>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509,257</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509,257</w:t>
            </w:r>
          </w:p>
        </w:tc>
      </w:tr>
      <w:tr>
        <w:trPr>
          <w:trHeight w:val="163"/>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available-for-sale securities</w:t>
            </w:r>
          </w:p>
        </w:tc>
        <w:tc>
          <w:tcPr>
            <w:tcW w:w="1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692,818</w:t>
            </w:r>
          </w:p>
        </w:tc>
        <w:tc>
          <w:tcPr>
            <w:tcW w:w="2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692,818</w:t>
            </w:r>
          </w:p>
        </w:tc>
      </w:tr>
      <w:tr>
        <w:trPr>
          <w:trHeight w:val="169"/>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Money market instruments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64,460</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64,460</w:t>
            </w:r>
          </w:p>
        </w:tc>
      </w:tr>
      <w:tr>
        <w:trPr>
          <w:trHeight w:val="168"/>
        </w:trPr>
        <w:tc>
          <w:tcPr>
            <w:tcW w:w="3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Term deposit</w:t>
            </w:r>
          </w:p>
        </w:tc>
        <w:tc>
          <w:tcPr>
            <w:tcW w:w="1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134,357</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134,357</w:t>
            </w:r>
          </w:p>
        </w:tc>
      </w:tr>
      <w:tr>
        <w:trPr>
          <w:trHeight w:val="172"/>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Certificate of deposits</w:t>
            </w:r>
          </w:p>
        </w:tc>
        <w:tc>
          <w:tcPr>
            <w:tcW w:w="1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w:t>
            </w:r>
          </w:p>
        </w:tc>
      </w:tr>
      <w:tr>
        <w:trPr>
          <w:trHeight w:val="168"/>
        </w:trPr>
        <w:tc>
          <w:tcPr>
            <w:tcW w:w="3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16,182</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16,182</w:t>
            </w:r>
          </w:p>
        </w:tc>
      </w:tr>
      <w:tr>
        <w:trPr>
          <w:trHeight w:val="163"/>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64,460</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153,540</w:t>
            </w:r>
          </w:p>
        </w:tc>
        <w:tc>
          <w:tcPr>
            <w:tcW w:w="2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218,000</w:t>
            </w:r>
          </w:p>
        </w:tc>
      </w:tr>
      <w:tr>
        <w:trPr>
          <w:trHeight w:val="160"/>
        </w:trPr>
        <w:tc>
          <w:tcPr>
            <w:tcW w:w="3820" w:type="dxa"/>
            <w:vAlign w:val="bottom"/>
          </w:tcPr>
          <w:p>
            <w:pPr>
              <w:ind w:left="1340"/>
              <w:spacing w:after="0"/>
              <w:rPr>
                <w:sz w:val="20"/>
                <w:szCs w:val="20"/>
                <w:color w:val="auto"/>
              </w:rPr>
            </w:pPr>
            <w:r>
              <w:rPr>
                <w:rFonts w:ascii="Times New Roman" w:cs="Times New Roman" w:eastAsia="Times New Roman" w:hAnsi="Times New Roman"/>
                <w:sz w:val="13"/>
                <w:szCs w:val="13"/>
                <w:b w:val="1"/>
                <w:bCs w:val="1"/>
                <w:color w:val="auto"/>
              </w:rPr>
              <w:t>Total financial assets</w:t>
            </w:r>
          </w:p>
        </w:tc>
        <w:tc>
          <w:tcPr>
            <w:tcW w:w="116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64,460</w:t>
            </w:r>
          </w:p>
        </w:tc>
        <w:tc>
          <w:tcPr>
            <w:tcW w:w="200" w:type="dxa"/>
            <w:vAlign w:val="bottom"/>
          </w:tcPr>
          <w:p>
            <w:pPr>
              <w:spacing w:after="0"/>
              <w:rPr>
                <w:sz w:val="13"/>
                <w:szCs w:val="13"/>
                <w:color w:val="auto"/>
              </w:rPr>
            </w:pPr>
          </w:p>
        </w:tc>
        <w:tc>
          <w:tcPr>
            <w:tcW w:w="114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846,358</w:t>
            </w:r>
          </w:p>
        </w:tc>
        <w:tc>
          <w:tcPr>
            <w:tcW w:w="200" w:type="dxa"/>
            <w:vAlign w:val="bottom"/>
          </w:tcPr>
          <w:p>
            <w:pPr>
              <w:spacing w:after="0"/>
              <w:rPr>
                <w:sz w:val="13"/>
                <w:szCs w:val="13"/>
                <w:color w:val="auto"/>
              </w:rPr>
            </w:pPr>
          </w:p>
        </w:tc>
        <w:tc>
          <w:tcPr>
            <w:tcW w:w="128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910,818</w:t>
            </w:r>
          </w:p>
        </w:tc>
      </w:tr>
      <w:tr>
        <w:trPr>
          <w:trHeight w:val="20"/>
        </w:trPr>
        <w:tc>
          <w:tcPr>
            <w:tcW w:w="3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97"/>
        </w:trPr>
        <w:tc>
          <w:tcPr>
            <w:tcW w:w="38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4"/>
        </w:trPr>
        <w:tc>
          <w:tcPr>
            <w:tcW w:w="3820" w:type="dxa"/>
            <w:vAlign w:val="bottom"/>
          </w:tcPr>
          <w:p>
            <w:pPr>
              <w:spacing w:after="0"/>
              <w:rPr>
                <w:sz w:val="13"/>
                <w:szCs w:val="13"/>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45"/>
        </w:trPr>
        <w:tc>
          <w:tcPr>
            <w:tcW w:w="3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gridSpan w:val="3"/>
          </w:tcPr>
          <w:p>
            <w:pPr>
              <w:jc w:val="center"/>
              <w:ind w:right="63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85"/>
        </w:trPr>
        <w:tc>
          <w:tcPr>
            <w:tcW w:w="3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r>
      <w:tr>
        <w:trPr>
          <w:trHeight w:val="17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Available-for-sale securities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U.S. government and agency securities</w:t>
            </w:r>
          </w:p>
        </w:tc>
        <w:tc>
          <w:tcPr>
            <w:tcW w:w="1160" w:type="dxa"/>
            <w:vAlign w:val="bottom"/>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160,723</w:t>
            </w:r>
          </w:p>
        </w:tc>
        <w:tc>
          <w:tcPr>
            <w:tcW w:w="200" w:type="dxa"/>
            <w:vAlign w:val="bottom"/>
          </w:tcPr>
          <w:p>
            <w:pPr>
              <w:spacing w:after="0"/>
              <w:rPr>
                <w:sz w:val="14"/>
                <w:szCs w:val="14"/>
                <w:color w:val="auto"/>
              </w:rPr>
            </w:pPr>
          </w:p>
        </w:tc>
        <w:tc>
          <w:tcPr>
            <w:tcW w:w="1280" w:type="dxa"/>
            <w:vAlign w:val="bottom"/>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160,723</w:t>
            </w:r>
          </w:p>
        </w:tc>
      </w:tr>
      <w:tr>
        <w:trPr>
          <w:trHeight w:val="172"/>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notes</w:t>
            </w:r>
          </w:p>
        </w:tc>
        <w:tc>
          <w:tcPr>
            <w:tcW w:w="1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179,714</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179,714</w:t>
            </w:r>
          </w:p>
        </w:tc>
      </w:tr>
      <w:tr>
        <w:trPr>
          <w:trHeight w:val="168"/>
        </w:trPr>
        <w:tc>
          <w:tcPr>
            <w:tcW w:w="3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237,839</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237,839</w:t>
            </w:r>
          </w:p>
        </w:tc>
      </w:tr>
      <w:tr>
        <w:trPr>
          <w:trHeight w:val="163"/>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available-for-sale securities</w:t>
            </w:r>
          </w:p>
        </w:tc>
        <w:tc>
          <w:tcPr>
            <w:tcW w:w="1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578,276</w:t>
            </w:r>
          </w:p>
        </w:tc>
        <w:tc>
          <w:tcPr>
            <w:tcW w:w="2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578,276</w:t>
            </w:r>
          </w:p>
        </w:tc>
      </w:tr>
      <w:tr>
        <w:trPr>
          <w:trHeight w:val="169"/>
        </w:trPr>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Money market instruments</w:t>
            </w:r>
          </w:p>
        </w:tc>
        <w:tc>
          <w:tcPr>
            <w:tcW w:w="1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66,966</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66,966</w:t>
            </w:r>
          </w:p>
        </w:tc>
      </w:tr>
      <w:tr>
        <w:trPr>
          <w:trHeight w:val="158"/>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1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66,966</w:t>
            </w:r>
          </w:p>
        </w:tc>
        <w:tc>
          <w:tcPr>
            <w:tcW w:w="20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66,966</w:t>
            </w:r>
          </w:p>
        </w:tc>
      </w:tr>
      <w:tr>
        <w:trPr>
          <w:trHeight w:val="188"/>
        </w:trPr>
        <w:tc>
          <w:tcPr>
            <w:tcW w:w="3820" w:type="dxa"/>
            <w:vAlign w:val="bottom"/>
            <w:tcBorders>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3"/>
                <w:szCs w:val="13"/>
                <w:b w:val="1"/>
                <w:bCs w:val="1"/>
                <w:color w:val="auto"/>
              </w:rPr>
              <w:t>Total financial assets</w:t>
            </w:r>
          </w:p>
        </w:tc>
        <w:tc>
          <w:tcPr>
            <w:tcW w:w="116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66,966</w:t>
            </w:r>
          </w:p>
        </w:tc>
        <w:tc>
          <w:tcPr>
            <w:tcW w:w="2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578,276</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645,242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Provision (Benefit)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components of the income (loss) before income tax expense and noncontrolling interest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72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7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53"/>
        </w:trPr>
        <w:tc>
          <w:tcPr>
            <w:tcW w:w="7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7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78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(42,573)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(582,333)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(194,639)</w:t>
            </w:r>
          </w:p>
        </w:tc>
      </w:tr>
      <w:tr>
        <w:trPr>
          <w:trHeight w:val="16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94,106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(7,852)</w:t>
            </w:r>
          </w:p>
        </w:tc>
      </w:tr>
      <w:tr>
        <w:trPr>
          <w:trHeight w:val="18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shd w:val="clear" w:color="auto" w:fill="CCEEFF"/>
          </w:tcPr>
          <w:p>
            <w:pPr>
              <w:jc w:val="right"/>
              <w:ind w:right="6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51,533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(612,460)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(202,491)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tax provision (benefit) consisted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center"/>
              <w:ind w:right="116"/>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800" w:type="dxa"/>
            <w:vAlign w:val="bottom"/>
            <w:tcBorders>
              <w:bottom w:val="single" w:sz="8" w:color="auto"/>
            </w:tcBorders>
          </w:tcPr>
          <w:p>
            <w:pPr>
              <w:spacing w:after="0"/>
              <w:rPr>
                <w:sz w:val="13"/>
                <w:szCs w:val="13"/>
                <w:color w:val="auto"/>
              </w:rPr>
            </w:pPr>
          </w:p>
        </w:tc>
      </w:tr>
      <w:tr>
        <w:trPr>
          <w:trHeight w:val="154"/>
        </w:trPr>
        <w:tc>
          <w:tcPr>
            <w:tcW w:w="79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68"/>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21,440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r>
      <w:tr>
        <w:trPr>
          <w:trHeight w:val="172"/>
        </w:trPr>
        <w:tc>
          <w:tcPr>
            <w:tcW w:w="7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6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1,710</w:t>
            </w:r>
          </w:p>
        </w:tc>
      </w:tr>
      <w:tr>
        <w:trPr>
          <w:trHeight w:val="168"/>
        </w:trPr>
        <w:tc>
          <w:tcPr>
            <w:tcW w:w="796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Total current tax</w:t>
            </w:r>
          </w:p>
        </w:tc>
        <w:tc>
          <w:tcPr>
            <w:tcW w:w="620" w:type="dxa"/>
            <w:vAlign w:val="bottom"/>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4"/>
              </w:rPr>
              <w:t>21,419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2,784</w:t>
            </w:r>
          </w:p>
        </w:tc>
      </w:tr>
      <w:tr>
        <w:trPr>
          <w:trHeight w:val="212"/>
        </w:trPr>
        <w:tc>
          <w:tcPr>
            <w:tcW w:w="7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70"/>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r>
      <w:tr>
        <w:trPr>
          <w:trHeight w:val="168"/>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Federal</w:t>
            </w:r>
          </w:p>
        </w:tc>
        <w:tc>
          <w:tcPr>
            <w:tcW w:w="620" w:type="dxa"/>
            <w:vAlign w:val="bottom"/>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State</w:t>
            </w: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6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960" w:type="dxa"/>
            <w:vAlign w:val="bottom"/>
            <w:tcBorders>
              <w:top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Total deferred tax</w:t>
            </w:r>
          </w:p>
        </w:tc>
        <w:tc>
          <w:tcPr>
            <w:tcW w:w="620" w:type="dxa"/>
            <w:vAlign w:val="bottom"/>
            <w:tcBorders>
              <w:top w:val="single" w:sz="8" w:color="auto"/>
              <w:bottom w:val="single" w:sz="8" w:color="auto"/>
            </w:tcBorders>
            <w:shd w:val="clear" w:color="auto" w:fill="CFF0FC"/>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6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21,419</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2,784</w:t>
            </w:r>
          </w:p>
        </w:tc>
      </w:tr>
      <w:tr>
        <w:trPr>
          <w:trHeight w:val="20"/>
        </w:trPr>
        <w:tc>
          <w:tcPr>
            <w:tcW w:w="7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table presents a reconciliation of the tax expense based on the statutory rate to the Company’s actual tax expense in the consolidated statements of operations and comprehensive income (loss). A notional 21% tax rate was applied as follows:</w:t>
      </w:r>
    </w:p>
    <w:p>
      <w:pPr>
        <w:spacing w:after="0" w:line="15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440" w:type="dxa"/>
            <w:vAlign w:val="bottom"/>
          </w:tcPr>
          <w:p>
            <w:pPr>
              <w:spacing w:after="0"/>
              <w:rPr>
                <w:sz w:val="14"/>
                <w:szCs w:val="14"/>
                <w:color w:val="auto"/>
              </w:rPr>
            </w:pPr>
          </w:p>
        </w:tc>
        <w:tc>
          <w:tcPr>
            <w:tcW w:w="100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64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 federal statutory income tax</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tcBorders>
              <w:top w:val="single" w:sz="8" w:color="CFF0FC"/>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tcBorders>
              <w:top w:val="single" w:sz="8" w:color="CFF0FC"/>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tax benefit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0.4 %</w:t>
            </w:r>
          </w:p>
        </w:tc>
      </w:tr>
      <w:tr>
        <w:trPr>
          <w:trHeight w:val="17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6.8 %</w:t>
            </w: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Permanent and other items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Non-deductible compensation</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Foreign-derived intangible income deduction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2"/>
        </w:trPr>
        <w:tc>
          <w:tcPr>
            <w:tcW w:w="7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11.1 %</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95.4 %</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r>
      <w:tr>
        <w:trPr>
          <w:trHeight w:val="16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41.7 %</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0"/>
        </w:trPr>
        <w:tc>
          <w:tcPr>
            <w:tcW w:w="6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significant components of the Company’s net deferred tax assets and liabilities: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4"/>
        </w:trPr>
        <w:tc>
          <w:tcPr>
            <w:tcW w:w="81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3"/>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3"/>
                <w:szCs w:val="13"/>
                <w:color w:val="auto"/>
              </w:rPr>
            </w:pPr>
          </w:p>
        </w:tc>
      </w:tr>
      <w:tr>
        <w:trPr>
          <w:trHeight w:val="175"/>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70,858</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102,716</w:t>
            </w:r>
          </w:p>
        </w:tc>
      </w:tr>
      <w:tr>
        <w:trPr>
          <w:trHeight w:val="172"/>
        </w:trPr>
        <w:tc>
          <w:tcPr>
            <w:tcW w:w="8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Capitalized research and development</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232,360</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156,015</w:t>
            </w: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credits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48,867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85,428</w:t>
            </w:r>
          </w:p>
        </w:tc>
      </w:tr>
      <w:tr>
        <w:trPr>
          <w:trHeight w:val="172"/>
        </w:trPr>
        <w:tc>
          <w:tcPr>
            <w:tcW w:w="8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171,262</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81,556</w:t>
            </w: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Lease liabilities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27,999</w:t>
            </w:r>
          </w:p>
        </w:tc>
      </w:tr>
      <w:tr>
        <w:trPr>
          <w:trHeight w:val="172"/>
        </w:trPr>
        <w:tc>
          <w:tcPr>
            <w:tcW w:w="8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Stock compensation</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10,989</w:t>
            </w: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compensation</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4,078</w:t>
            </w:r>
          </w:p>
        </w:tc>
      </w:tr>
      <w:tr>
        <w:trPr>
          <w:trHeight w:val="172"/>
        </w:trPr>
        <w:tc>
          <w:tcPr>
            <w:tcW w:w="8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Intangible assets</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1,384</w:t>
            </w:r>
          </w:p>
        </w:tc>
      </w:tr>
      <w:tr>
        <w:trPr>
          <w:trHeight w:val="168"/>
        </w:trPr>
        <w:tc>
          <w:tcPr>
            <w:tcW w:w="81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2,843</w:t>
            </w:r>
          </w:p>
        </w:tc>
      </w:tr>
      <w:tr>
        <w:trPr>
          <w:trHeight w:val="163"/>
        </w:trPr>
        <w:tc>
          <w:tcPr>
            <w:tcW w:w="8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Total gross deferred tax assets</w:t>
            </w:r>
          </w:p>
        </w:tc>
        <w:tc>
          <w:tcPr>
            <w:tcW w:w="90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562,686</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473,008</w:t>
            </w:r>
          </w:p>
        </w:tc>
      </w:tr>
      <w:tr>
        <w:trPr>
          <w:trHeight w:val="22"/>
        </w:trPr>
        <w:tc>
          <w:tcPr>
            <w:tcW w:w="8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Valuation allowance</w:t>
            </w:r>
          </w:p>
        </w:tc>
        <w:tc>
          <w:tcPr>
            <w:tcW w:w="90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(497,543)</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(448,867)</w:t>
            </w:r>
          </w:p>
        </w:tc>
      </w:tr>
      <w:tr>
        <w:trPr>
          <w:trHeight w:val="42"/>
        </w:trPr>
        <w:tc>
          <w:tcPr>
            <w:tcW w:w="8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7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Fixed assets</w:t>
            </w:r>
          </w:p>
        </w:tc>
        <w:tc>
          <w:tcPr>
            <w:tcW w:w="900" w:type="dxa"/>
            <w:vAlign w:val="bottom"/>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(30,503)</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(13,155)</w:t>
            </w:r>
          </w:p>
        </w:tc>
      </w:tr>
      <w:tr>
        <w:trPr>
          <w:trHeight w:val="172"/>
        </w:trPr>
        <w:tc>
          <w:tcPr>
            <w:tcW w:w="8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Right-of-use assets</w:t>
            </w:r>
          </w:p>
        </w:tc>
        <w:tc>
          <w:tcPr>
            <w:tcW w:w="9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(9,424)</w:t>
            </w:r>
          </w:p>
        </w:tc>
        <w:tc>
          <w:tcPr>
            <w:tcW w:w="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(10,792)</w:t>
            </w:r>
          </w:p>
        </w:tc>
      </w:tr>
      <w:tr>
        <w:trPr>
          <w:trHeight w:val="168"/>
        </w:trPr>
        <w:tc>
          <w:tcPr>
            <w:tcW w:w="81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Unrealized gains</w:t>
            </w:r>
          </w:p>
        </w:tc>
        <w:tc>
          <w:tcPr>
            <w:tcW w:w="9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r>
      <w:tr>
        <w:trPr>
          <w:trHeight w:val="172"/>
        </w:trPr>
        <w:tc>
          <w:tcPr>
            <w:tcW w:w="81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Original Issue Discount</w:t>
            </w:r>
          </w:p>
        </w:tc>
        <w:tc>
          <w:tcPr>
            <w:tcW w:w="9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(24,586)</w:t>
            </w:r>
          </w:p>
        </w:tc>
        <w:tc>
          <w:tcPr>
            <w:tcW w:w="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gross deferred tax liability</w:t>
            </w:r>
          </w:p>
        </w:tc>
        <w:tc>
          <w:tcPr>
            <w:tcW w:w="9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(65,143)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(24,141)</w:t>
            </w:r>
          </w:p>
        </w:tc>
      </w:tr>
      <w:tr>
        <w:trPr>
          <w:trHeight w:val="18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assets (liabilities)</w:t>
            </w:r>
          </w:p>
        </w:tc>
        <w:tc>
          <w:tcPr>
            <w:tcW w:w="90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 valuation allowance is recorded to reduce deferred tax assets to the amount that is more likely than not to be realized based on an assessment of positive and negative evidence, including estimates of future taxable income necessary to realize future deductible amounts. A significant piece of objective negative evidence evaluated was the cumulative loss incurred over the three-year period ended September 30, 2025. Such objective evidence limits the ability to consider other subjective evidence such as its projections for future growth. On the basis of this evaluation at September 30, 2025 and 2024, a valuation allowance of $497.5 million and $448.9 million, respectively, has been recorded.</w:t>
      </w:r>
    </w:p>
    <w:p>
      <w:pPr>
        <w:spacing w:after="0" w:line="56"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color w:val="auto"/>
        </w:rPr>
        <w:t>As of September 30, 2025, the Company had accumulated federal, state, and foreign net operating loss (“NOL”) carryforwards of $20.6 million, $815.5 million and $46.3 million, respectively. Of the $20.6 million in federal NOL carryforwards, $20.6 million was generated before January 1, 2018, and is subject to a 20-year carryforward period (“pre-Tax Act losses”), with expiration beginning in 2031. Of the $815.5 million in state NOL carryforwards, $2.7 million can be carried forward indefinitely, while the remaining balance begins to expire in 2031. The Company also has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NOL carryforwards totaling $46.3 million, which begin to expire in 2027. Additionally, the Company has federal and state income tax credits of $49.4 million and $26.3 million,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federal credits begin to expire in 2041. Of the state income tax credits, $13.6 million begins to expire in 2035, while the remaining credits can be carried forward indefinitely.</w:t>
      </w:r>
    </w:p>
    <w:p>
      <w:pPr>
        <w:spacing w:after="0" w:line="79"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Pursuant to Sections 382 and 383 of the Internal Revenue Code of 1986, as amended (the “Code”), the annual use of an entity’s NOL and research and development credit carryforwards may be limited if there is a cumulative ownership change of greater than 50% within a three-year period. The annual limitation is determined based on the entity’s value immediately prior to the ownership change. Future ownership changes could further affect the limitation. If a limitation is applied, the related tax asset would be removed from the deferred tax asset schedule, with a corresponding reduction in the valuation allowance. To date, the Company has completed an analysis pursuant to Sections 382 and 383 through September 30, 2024. Ownership Changes may have occurred since then, and future changes could potentially limit the Company’s ability to utilize these attributes.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Uncertainty in Income Taxes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has adopted guidance issued by the FASB that clarifies the accounting for uncertainty in income taxes recognized in an enterprise’s financial statements and prescribes a recognition threshold of more-likely-than not and a measurement process for financial statement recognition and measurement of a tax position taken or expected to be taken in a tax return. In making this assessment, a company must determine whether it is more-likely-than not that a tax position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will be sustained upon examination, based solely on the technical merits of the position and must assume that the tax position will be examined by taxing authorities.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the Company’s gross unrecognized tax benefits: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54"/>
        </w:trPr>
        <w:tc>
          <w:tcPr>
            <w:tcW w:w="5420" w:type="dxa"/>
            <w:vAlign w:val="bottom"/>
          </w:tcPr>
          <w:p>
            <w:pPr>
              <w:spacing w:after="0"/>
              <w:rPr>
                <w:sz w:val="13"/>
                <w:szCs w:val="13"/>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 of unrecognized tax benefits</w:t>
            </w:r>
          </w:p>
        </w:tc>
        <w:tc>
          <w:tcPr>
            <w:tcW w:w="128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14,536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w:t>
            </w:r>
          </w:p>
        </w:tc>
      </w:tr>
      <w:tr>
        <w:trPr>
          <w:trHeight w:val="16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Gross increase for prior period tax positions</w:t>
            </w:r>
          </w:p>
        </w:tc>
        <w:tc>
          <w:tcPr>
            <w:tcW w:w="1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9,495</w:t>
            </w:r>
          </w:p>
        </w:tc>
      </w:tr>
      <w:tr>
        <w:trPr>
          <w:trHeight w:val="172"/>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Gross decrease for prior period tax positions</w:t>
            </w:r>
          </w:p>
        </w:tc>
        <w:tc>
          <w:tcPr>
            <w:tcW w:w="1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r>
      <w:tr>
        <w:trPr>
          <w:trHeight w:val="16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Gross increase for current period tax positions</w:t>
            </w:r>
          </w:p>
        </w:tc>
        <w:tc>
          <w:tcPr>
            <w:tcW w:w="1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w:t>
            </w:r>
          </w:p>
        </w:tc>
      </w:tr>
      <w:tr>
        <w:trPr>
          <w:trHeight w:val="17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Lapse of statue of limitations</w:t>
            </w:r>
          </w:p>
        </w:tc>
        <w:tc>
          <w:tcPr>
            <w:tcW w:w="12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 of unrecognized tax benefits</w:t>
            </w:r>
          </w:p>
        </w:tc>
        <w:tc>
          <w:tcPr>
            <w:tcW w:w="128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22,152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16,613</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14,536</w:t>
            </w: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has recorded income tax (benefit) expense of $0 and $3.3 million for the years ended September 30, 2025 and 2024, respectively, related to uncertain tax positions inclusive of interest and penalties. The Company’s policy is to recognize potential interest and penalties related to unrecognized tax benefits associated with uncertain tax positions, if any, in the income tax provision. As of September 30, 2025, the Company has not accrued any interest or penalties.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If the unrecognized tax benefit as of September 30, 2025 is ultimately recognized, there would be no reduction in the Company’s income tax expense or effective tax rate, excluding the impact of U.S. Tax benefits netted against deferred taxes that are subject to a valuation allowance. The Company does not anticipate any changes in its unrecognized tax benefits over the next 12 months.</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in the U.S. and various states along with other foreign countries. Due to the presence of NOL carryforwards, all of the income tax years remain open for examination. The Company is currently under audit by the IRS for September 30, 2023. California income tax examination has been closed. There are no other audits in any other jurisdictions.</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analyzes undistributed earnings of each foreign subsidiary and has determined that no withholding taxes are applicable to earnings which are currently available for distribution.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additional deferred tax liability has been recorded as the parent entity would not be required to include the distribution into income under the current law.</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Tax Cuts and Jobs Act subjects a U.S. shareholder to tax on Global Intangible Low-Taxed Income (“GILTI”) earned by certain foreign subsidiaries. The FASB Staff Q&amp;A, Topic 740 No.</w:t>
      </w:r>
    </w:p>
    <w:p>
      <w:pPr>
        <w:spacing w:after="0" w:line="23" w:lineRule="exact"/>
        <w:rPr>
          <w:sz w:val="20"/>
          <w:szCs w:val="20"/>
          <w:color w:val="auto"/>
        </w:rPr>
      </w:pPr>
    </w:p>
    <w:p>
      <w:pPr>
        <w:ind w:firstLine="5"/>
        <w:spacing w:after="0" w:line="266" w:lineRule="auto"/>
        <w:tabs>
          <w:tab w:leader="none" w:pos="14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for GILTI, states that an entity can make an accounting policy election to either recognize deferred taxes for temporary basis differences expected to reverse as GILTI in future years or to provide for the tax expense related to GILTI in the year that the tax is incurred as a period expense only. The Company has elected to account for GILTI in the year the tax is incurred.</w:t>
      </w:r>
    </w:p>
    <w:p>
      <w:pPr>
        <w:spacing w:after="0" w:line="53"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ASC 740, "Income Taxes", requires the effects of changes in tax rates and laws to be recognized in the period in which the legislation is enacted. The Company has implemented OBBBA in the fourth quarter of the current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EMPLOYEE BENEFIT PLANS</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Company sponsors a defined contribution retirement plan which is under Section 401(k) of the Internal Revenue Code and is designed to adhere to ERISA Fiduciary standards. All of the Company’s full-time employees are eligible to participate this plan.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For the years ended September 30, 2025, 2024, and 2023, the Company recorded expenses for the matching contributions under this plan of $3.9 million, $3.4 million and $2.2 million, respectively.</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also provides certain employee benefit plans, including those which provide health and life insurance benefits to employees.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NOTE 13. LIABILITY RELATED TO THE SALE OF FUTURE ROYALTIES</w:t>
      </w:r>
    </w:p>
    <w:p>
      <w:pPr>
        <w:spacing w:after="0" w:line="85"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November 2022, the Company and Royalty Pharma entered into the Royalty Pharma Agreement, pursuant to which Royalty Pharma agreed to pay up to $410.0 million in cash to the Company in consideration for the Company’s future royalty interest in olpasiran, a siRNA originally developed by the Company and licensed to Amgen in September 2016 under the Olpasiran Agreement.</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w:t>
      </w:r>
    </w:p>
    <w:p>
      <w:pPr>
        <w:spacing w:after="0" w:line="3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w:t>
      </w:r>
    </w:p>
    <w:p>
      <w:pPr>
        <w:spacing w:after="0" w:line="51"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color w:val="auto"/>
        </w:rPr>
        <w:t>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As of September 30, 2025, the estimated effective interest rate was 8.3%.</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activity with respect to the liability related to the sale of future royalties.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20" w:type="dxa"/>
            <w:vAlign w:val="bottom"/>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80" w:type="dxa"/>
            <w:vAlign w:val="bottom"/>
            <w:tcBorders>
              <w:bottom w:val="single" w:sz="8" w:color="auto"/>
            </w:tcBorders>
          </w:tcPr>
          <w:p>
            <w:pPr>
              <w:spacing w:after="0"/>
              <w:rPr>
                <w:sz w:val="13"/>
                <w:szCs w:val="13"/>
                <w:color w:val="auto"/>
              </w:rPr>
            </w:pPr>
          </w:p>
        </w:tc>
      </w:tr>
      <w:tr>
        <w:trPr>
          <w:trHeight w:val="154"/>
        </w:trPr>
        <w:tc>
          <w:tcPr>
            <w:tcW w:w="5920" w:type="dxa"/>
            <w:vAlign w:val="bottom"/>
          </w:tcPr>
          <w:p>
            <w:pPr>
              <w:spacing w:after="0"/>
              <w:rPr>
                <w:sz w:val="13"/>
                <w:szCs w:val="13"/>
                <w:color w:val="auto"/>
              </w:rPr>
            </w:pPr>
          </w:p>
        </w:tc>
        <w:tc>
          <w:tcPr>
            <w:tcW w:w="1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138"/>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59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80" w:type="dxa"/>
            <w:vAlign w:val="bottom"/>
            <w:gridSpan w:val="3"/>
          </w:tcPr>
          <w:p>
            <w:pPr>
              <w:jc w:val="right"/>
              <w:ind w:right="39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80" w:type="dxa"/>
            <w:vAlign w:val="bottom"/>
          </w:tcPr>
          <w:p>
            <w:pPr>
              <w:spacing w:after="0"/>
              <w:rPr>
                <w:sz w:val="13"/>
                <w:szCs w:val="13"/>
                <w:color w:val="auto"/>
              </w:rPr>
            </w:pPr>
          </w:p>
        </w:tc>
      </w:tr>
      <w:tr>
        <w:trPr>
          <w:trHeight w:val="17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carrying value</w:t>
            </w:r>
          </w:p>
        </w:tc>
        <w:tc>
          <w:tcPr>
            <w:tcW w:w="1800" w:type="dxa"/>
            <w:vAlign w:val="bottom"/>
            <w:shd w:val="clear" w:color="auto" w:fill="CCEEFF"/>
          </w:tcPr>
          <w:p>
            <w:pPr>
              <w:jc w:val="right"/>
              <w:ind w:right="1659"/>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341,361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268,326</w:t>
            </w:r>
          </w:p>
        </w:tc>
      </w:tr>
      <w:tr>
        <w:trPr>
          <w:trHeight w:val="168"/>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Upfront payment received</w:t>
            </w:r>
          </w:p>
        </w:tc>
        <w:tc>
          <w:tcPr>
            <w:tcW w:w="18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Milestone payment received</w:t>
            </w:r>
          </w:p>
        </w:tc>
        <w:tc>
          <w:tcPr>
            <w:tcW w:w="18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r>
      <w:tr>
        <w:trPr>
          <w:trHeight w:val="168"/>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Non-cash interest expense recognized</w:t>
            </w:r>
          </w:p>
        </w:tc>
        <w:tc>
          <w:tcPr>
            <w:tcW w:w="1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26,036</w:t>
            </w: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23,035</w:t>
            </w:r>
          </w:p>
        </w:tc>
      </w:tr>
      <w:tr>
        <w:trPr>
          <w:trHeight w:val="18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carrying value</w:t>
            </w:r>
          </w:p>
        </w:tc>
        <w:tc>
          <w:tcPr>
            <w:tcW w:w="1800" w:type="dxa"/>
            <w:vAlign w:val="bottom"/>
            <w:tcBorders>
              <w:bottom w:val="single" w:sz="8" w:color="auto"/>
            </w:tcBorders>
            <w:shd w:val="clear" w:color="auto" w:fill="CCEEFF"/>
          </w:tcPr>
          <w:p>
            <w:pPr>
              <w:jc w:val="right"/>
              <w:ind w:right="1659"/>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367,397</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341,361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FINANCING AGREEMENT</w:t>
      </w:r>
    </w:p>
    <w:p>
      <w:pPr>
        <w:spacing w:after="0" w:line="8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On August 7, 2024 (the “Closing Date”), the Company entered into a Financing Agreement with the guarantors party thereto, the lenders party thereto (the “Lenders”), and Sixth Street Lending Partners (“Sixth Street”), as the administrative agent and collateral agent for the Lenders (the “Financing Agreement”). The Financing Agreement establishes a senior secured term loan facility of $500.0 million (the “Credit Facility”), consisting of $400.0 million funded on the Closing Date and an additional $100.0 million available at the Company’s option, subject to mutual agreement with Sixth Street. The loans under the Credit Facility bear interest at an annual rate of 15.0%, which is paid in kind and added to the outstanding principal balance of the Credit Facility each period. The outstanding principal balance of this Credit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color w:val="auto"/>
        </w:rPr>
        <w:t>Facility, including amounts representing accrued but unpaid interest previously paid in kind, is due and payable on August 7, 2031.</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is permitted to use the net proceeds for working capital, capital expenditures and general corporate purposes of the Company and its subsidiaries.</w:t>
      </w:r>
    </w:p>
    <w:p>
      <w:pPr>
        <w:spacing w:after="0" w:line="94"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If the Company repays in full the aggregate principal outstanding under the Credit Facility and such payment in full occurs on or prior to August 7, 2028, the Company will be required to make an additional payment to the lenders under the Credit Facility on such date in an amount necessary for the lenders to achieve a two times multiple of invested capital (“MOIC”) of the aggregate principal amount funded on the Closing Date (the “MOIC Payment”). If such payment in full occurs after August 7, 2028, the Company will be required to make a payment to the lenders under the Credit Facility on such date in an amount necessary for the lenders to achieve the greater of the MOIC Payment and the present value of all interest payments that would have been payable from such date through the maturity date of the Credit Facility discounted at the Treasury Rate (as defined in the Financing Agreement) plus 0.5%; provided that such payment amount in this instance will not exceed the amount necessary for the lenders to achieve a 2.5 times MOIC.</w:t>
      </w:r>
    </w:p>
    <w:p>
      <w:pPr>
        <w:spacing w:after="0" w:line="62"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On November 26, 2024, the Company entered into an amendment to the Financing Agreement (the "Amendment") to modify, amongst other things, some of the prepayment terms of the loans under the Credit Facility, including, the prepayment terms related to the Sarepta Collaboration Agreement. The Amendment was effective on February 14, 2025, following the closing of the Sarepta Collaboration Agreement and receipt of the $500.0 million upfront payment from Sarepta. The Amendment added an additional prepayment clause that requires certain contractual prepayments of principle and MOIC payments throughout the life of the loans under the Credit Facility. Additionally, any prepayment will be split with 50% of any such prepayment paying down the principle balance of the loans under the Credit Facility and the other 50% being applied to prepay the MOIC Payment. In the event the prepayment amounts result in fees being prepaid in excess of the actual amounts required to be paid, the excess fees shall be reallocated and applied to reduce the amount of the principal balance upon repayment in full of the loans under the Credit Facility. As of September 30, 2025, the Company has paid $100.0 million in MOIC payments of which $25.3 million is expected to be applied to principal upon repayment in full. To date, the Company has paid $201.6 million of the loans under the Credit Facility during fiscal 2025.</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Amendment was accounted for as a debt modification under ASC 470-50, “Debt—Modification and extinguishments” since the Amendment did not result in substantially different terms.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Amendment, the Company did not incur significant third-party fees.</w:t>
      </w:r>
    </w:p>
    <w:p>
      <w:pPr>
        <w:spacing w:after="0" w:line="78"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All obligations under the Financing Agreement are secured on a first-priority basis by security interests in substantially all assets of the Company and material subsidiaries of the Company, including its intellectual property, subject to certain exceptions, and is guaranteed by material subsidiaries of the Company, including foreign subsidiaries, subject to certain exceptions.</w:t>
      </w:r>
    </w:p>
    <w:p>
      <w:pPr>
        <w:spacing w:after="0" w:line="40"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The Financing Agreement contains customary covenants, including, without limitation, a financial covenant to maintain liquidity (cash, cash equivalents and investments) of at least $100.0 million if the Company’s market capitalization is above $1.5 billion, and negative covenants that, subject to certain exceptions, restrict indebtedness, liens, investments (including acquisitions), fundamental changes, asset sales and licensing transactions, dividends, modifications to material agreements, payment of subordinated indebtedness, distributions from certain parties, and other matters customarily restricted in such agreements. The Company is subject to restrictions on sales and licensing transactions with respect to certain core intellectual property, subject to certain exceptions, including certain transactions related to areas outside the United States, United Kingdom, European Union, Japan and China.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Financing Agreement contains certain embedded features that were identified and evaluated as not material to the consolidated financial statements.</w:t>
      </w:r>
    </w:p>
    <w:p>
      <w:pPr>
        <w:spacing w:after="0" w:line="94"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August 13, 2025, the Company entered into second amendment to the Financing Agreement (the "Second Amendment") that permitted the share repurchase of the Company's common stock from Sarepta and required the Company to pay a nominal administrative fee.</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outstanding balance of the Credit Facility consisted of the following: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8"/>
        </w:trPr>
        <w:tc>
          <w:tcPr>
            <w:tcW w:w="628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740" w:type="dxa"/>
            <w:vAlign w:val="bottom"/>
            <w:tcBorders>
              <w:bottom w:val="single" w:sz="8" w:color="auto"/>
            </w:tcBorders>
          </w:tcPr>
          <w:p>
            <w:pPr>
              <w:spacing w:after="0"/>
              <w:rPr>
                <w:sz w:val="13"/>
                <w:szCs w:val="13"/>
                <w:color w:val="auto"/>
              </w:rPr>
            </w:pPr>
          </w:p>
        </w:tc>
      </w:tr>
      <w:tr>
        <w:trPr>
          <w:trHeight w:val="154"/>
        </w:trPr>
        <w:tc>
          <w:tcPr>
            <w:tcW w:w="6280" w:type="dxa"/>
            <w:vAlign w:val="bottom"/>
          </w:tcPr>
          <w:p>
            <w:pPr>
              <w:spacing w:after="0"/>
              <w:rPr>
                <w:sz w:val="13"/>
                <w:szCs w:val="13"/>
                <w:color w:val="auto"/>
              </w:rPr>
            </w:pPr>
          </w:p>
        </w:tc>
        <w:tc>
          <w:tcPr>
            <w:tcW w:w="16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62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40" w:type="dxa"/>
            <w:vAlign w:val="bottom"/>
            <w:tcBorders>
              <w:bottom w:val="single" w:sz="8" w:color="auto"/>
            </w:tcBorders>
          </w:tcPr>
          <w:p>
            <w:pPr>
              <w:spacing w:after="0"/>
              <w:rPr>
                <w:sz w:val="13"/>
                <w:szCs w:val="13"/>
                <w:color w:val="auto"/>
              </w:rPr>
            </w:pPr>
          </w:p>
        </w:tc>
      </w:tr>
      <w:tr>
        <w:trPr>
          <w:trHeight w:val="16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Initial Term Loan</w:t>
            </w:r>
          </w:p>
        </w:tc>
        <w:tc>
          <w:tcPr>
            <w:tcW w:w="164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interest on the Initial Term Loan</w:t>
            </w:r>
          </w:p>
        </w:tc>
        <w:tc>
          <w:tcPr>
            <w:tcW w:w="1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66,942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r>
      <w:tr>
        <w:trPr>
          <w:trHeight w:val="17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accretion of the MOIC Payment</w:t>
            </w:r>
          </w:p>
        </w:tc>
        <w:tc>
          <w:tcPr>
            <w:tcW w:w="16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Unamortized debt issuance costs</w:t>
            </w:r>
          </w:p>
        </w:tc>
        <w:tc>
          <w:tcPr>
            <w:tcW w:w="1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(15,817)</w:t>
            </w:r>
          </w:p>
        </w:tc>
      </w:tr>
      <w:tr>
        <w:trPr>
          <w:trHeight w:val="17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portion of credit facility</w:t>
            </w:r>
          </w:p>
        </w:tc>
        <w:tc>
          <w:tcPr>
            <w:tcW w:w="16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Payments</w:t>
            </w:r>
          </w:p>
        </w:tc>
        <w:tc>
          <w:tcPr>
            <w:tcW w:w="1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(201,625)</w:t>
            </w: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 facility, net of current portion</w:t>
            </w:r>
          </w:p>
        </w:tc>
        <w:tc>
          <w:tcPr>
            <w:tcW w:w="1640" w:type="dxa"/>
            <w:vAlign w:val="bottom"/>
            <w:tcBorders>
              <w:bottom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214,883</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393,183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total interest expense recognized related to the Credit Facility: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32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r>
      <w:tr>
        <w:trPr>
          <w:trHeight w:val="158"/>
        </w:trPr>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discount and issuance costs</w:t>
            </w:r>
          </w:p>
        </w:tc>
        <w:tc>
          <w:tcPr>
            <w:tcW w:w="1040" w:type="dxa"/>
            <w:vAlign w:val="bottom"/>
          </w:tcPr>
          <w:p>
            <w:pPr>
              <w:jc w:val="right"/>
              <w:ind w:right="89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tcPr>
          <w:p>
            <w:pPr>
              <w:spacing w:after="0"/>
              <w:rPr>
                <w:sz w:val="13"/>
                <w:szCs w:val="13"/>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of the MOIC Payment</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interest expense</w:t>
            </w:r>
          </w:p>
        </w:tc>
        <w:tc>
          <w:tcPr>
            <w:tcW w:w="104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63,325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amounts shown in the table below, related to the Credit Facility, represent the expected repayments of principle and accrued interest balance as of September 30, 2025 as well as any mandatory prepayments that the Company is obligated to make to the Lenders during the indicated periods. The principal balance will increase from accrued paid in kind interest and the table does not include MOIC payments beyond those contractually determined. Actual payments on current principal may vary from the amounts presented in the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Amounts</w:t>
            </w:r>
          </w:p>
        </w:tc>
      </w:tr>
      <w:tr>
        <w:trPr>
          <w:trHeight w:val="154"/>
        </w:trPr>
        <w:tc>
          <w:tcPr>
            <w:tcW w:w="9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75"/>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68"/>
        </w:trPr>
        <w:tc>
          <w:tcPr>
            <w:tcW w:w="9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7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168"/>
        </w:trPr>
        <w:tc>
          <w:tcPr>
            <w:tcW w:w="9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4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172"/>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4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168"/>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214,990</w:t>
            </w:r>
          </w:p>
        </w:tc>
      </w:tr>
      <w:tr>
        <w:trPr>
          <w:trHeight w:val="188"/>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339,990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May 2025, Visirna entered into the Revolving Credit Agreement with Bank of Zhejiang. The maximum aggregate credit facility is 72.9 million Chinese Yuan ($10.3 million) bearing an annual interest rate of 4.1%. The term of each loan is twelve months. The amount outstanding as of September 30, 2025 was 72.9 million Chinese Yuan ($10.3 million) on the credit facility which was classified as other current liabilities.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8"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NOTE 15. NET LOSS PER SHARE</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computation of basic and diluted net loss per share for the years ended September 30, 2025,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060" w:type="dxa"/>
            <w:vAlign w:val="bottom"/>
          </w:tcPr>
          <w:p>
            <w:pPr>
              <w:spacing w:after="0"/>
              <w:rPr>
                <w:sz w:val="13"/>
                <w:szCs w:val="13"/>
                <w:color w:val="auto"/>
              </w:rPr>
            </w:pPr>
          </w:p>
        </w:tc>
        <w:tc>
          <w:tcPr>
            <w:tcW w:w="10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30"/>
        </w:trPr>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00" w:type="dxa"/>
            <w:vAlign w:val="bottom"/>
            <w:gridSpan w:val="3"/>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(in thousands, except per share amounts)</w:t>
            </w:r>
          </w:p>
        </w:tc>
        <w:tc>
          <w:tcPr>
            <w:tcW w:w="1200" w:type="dxa"/>
            <w:vAlign w:val="bottom"/>
          </w:tcPr>
          <w:p>
            <w:pPr>
              <w:spacing w:after="0"/>
              <w:rPr>
                <w:sz w:val="20"/>
                <w:szCs w:val="20"/>
                <w:color w:val="auto"/>
              </w:rPr>
            </w:pPr>
          </w:p>
        </w:tc>
      </w:tr>
      <w:tr>
        <w:trPr>
          <w:trHeight w:val="17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attributable to Arrowhead Pharmaceuticals, Inc.</w:t>
            </w:r>
          </w:p>
        </w:tc>
        <w:tc>
          <w:tcPr>
            <w:tcW w:w="1080" w:type="dxa"/>
            <w:vAlign w:val="bottom"/>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(599,493)</w:t>
            </w: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(205,275)</w:t>
            </w:r>
          </w:p>
        </w:tc>
      </w:tr>
      <w:tr>
        <w:trPr>
          <w:trHeight w:val="204"/>
        </w:trPr>
        <w:tc>
          <w:tcPr>
            <w:tcW w:w="6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69"/>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0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 xml:space="preserve">Weighted-average basic shares outstanding </w:t>
            </w:r>
            <w:r>
              <w:rPr>
                <w:rFonts w:ascii="Times New Roman" w:cs="Times New Roman" w:eastAsia="Times New Roman" w:hAnsi="Times New Roman"/>
                <w:sz w:val="16"/>
                <w:szCs w:val="16"/>
                <w:color w:val="auto"/>
                <w:vertAlign w:val="superscript"/>
              </w:rPr>
              <w:t>(1)</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133,758</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119,784</w:t>
            </w: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106,750</w:t>
            </w:r>
          </w:p>
        </w:tc>
      </w:tr>
      <w:tr>
        <w:trPr>
          <w:trHeight w:val="168"/>
        </w:trPr>
        <w:tc>
          <w:tcPr>
            <w:tcW w:w="6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Effect of dilutive securities</w:t>
            </w:r>
          </w:p>
        </w:tc>
        <w:tc>
          <w:tcPr>
            <w:tcW w:w="108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0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 xml:space="preserve">Weighted-average diluted shares outstanding </w:t>
            </w:r>
            <w:r>
              <w:rPr>
                <w:rFonts w:ascii="Times New Roman" w:cs="Times New Roman" w:eastAsia="Times New Roman" w:hAnsi="Times New Roman"/>
                <w:sz w:val="16"/>
                <w:szCs w:val="16"/>
                <w:color w:val="auto"/>
                <w:vertAlign w:val="superscript"/>
              </w:rPr>
              <w:t>(1)</w:t>
            </w:r>
          </w:p>
        </w:tc>
        <w:tc>
          <w:tcPr>
            <w:tcW w:w="10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133,758</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119,784</w:t>
            </w:r>
          </w:p>
        </w:tc>
        <w:tc>
          <w:tcPr>
            <w:tcW w:w="5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106,750</w:t>
            </w:r>
          </w:p>
        </w:tc>
      </w:tr>
      <w:tr>
        <w:trPr>
          <w:trHeight w:val="202"/>
        </w:trPr>
        <w:tc>
          <w:tcPr>
            <w:tcW w:w="6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7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net loss per share</w:t>
            </w:r>
          </w:p>
        </w:tc>
        <w:tc>
          <w:tcPr>
            <w:tcW w:w="108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r>
      <w:tr>
        <w:trPr>
          <w:trHeight w:val="167"/>
        </w:trPr>
        <w:tc>
          <w:tcPr>
            <w:tcW w:w="6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net loss per share</w:t>
            </w:r>
          </w:p>
        </w:tc>
        <w:tc>
          <w:tcPr>
            <w:tcW w:w="1080" w:type="dxa"/>
            <w:vAlign w:val="bottom"/>
          </w:tcPr>
          <w:p>
            <w:pPr>
              <w:jc w:val="right"/>
              <w:ind w:right="938"/>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(1) Includes shares of common stock into which the Avoro Pre-Funded Warrants may be exercised. See Note 6.</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sets forth the potentially dilutive securities that have been excluded from the calculation of diluted net loss per share because to include them would be anti-dilutive.</w:t>
      </w:r>
    </w:p>
    <w:p>
      <w:pPr>
        <w:spacing w:after="0" w:line="1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1"/>
          <w:szCs w:val="11"/>
          <w:b w:val="1"/>
          <w:bCs w:val="1"/>
          <w:color w:val="auto"/>
        </w:rPr>
        <w:t>Year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30"/>
        </w:trPr>
        <w:tc>
          <w:tcPr>
            <w:tcW w:w="6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80" w:type="dxa"/>
            <w:vAlign w:val="bottom"/>
          </w:tcPr>
          <w:p>
            <w:pPr>
              <w:spacing w:after="0"/>
              <w:rPr>
                <w:sz w:val="20"/>
                <w:szCs w:val="20"/>
                <w:color w:val="auto"/>
              </w:rPr>
            </w:pPr>
          </w:p>
        </w:tc>
      </w:tr>
      <w:tr>
        <w:trPr>
          <w:trHeight w:val="17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168"/>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stock units</w:t>
            </w:r>
          </w:p>
        </w:tc>
        <w:tc>
          <w:tcPr>
            <w:tcW w:w="1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4,030</w:t>
            </w:r>
          </w:p>
        </w:tc>
        <w:tc>
          <w:tcPr>
            <w:tcW w:w="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3,420</w:t>
            </w:r>
          </w:p>
        </w:tc>
      </w:tr>
      <w:tr>
        <w:trPr>
          <w:trHeight w:val="18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NOTE 16. SEGMENT INFORMATION</w:t>
      </w:r>
    </w:p>
    <w:p>
      <w:pPr>
        <w:spacing w:after="0" w:line="85"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operate in a single segment dedicated to the discovery, development, manufacturing and commercialization of RNAi therapeutics. The Company's RNAi therapeutics are comprised of siRNAs that function upstream of conventional medicines by potently silencing messenger RNA (“mRNA”) that encode for proteins implicated in the cause or pathway of disease, thus preventing them from being made. Consistent with our operational structure, our Chief Executive Officer (“CEO”), as the CODM, manages and allocates resources on a consolidated basis at the global corporate level. Our global research and development and technical operations and quality organizations are responsible for the discovery, development, and supply of products. Commercial efforts that coordinate the marketing, sales and distribution of these products are organized by geographic region and therapeutic area. All of these activities are supported by corporate staff functions. Managing and allocating resources at the corporate level enables our CEO to assess the overall level of resources available and how to best deploy these resources in line with our overarching long-term, corporate-wide strategic goals. The determination of a single segment is consistent with the consolidated financial information regularly reviewed by the CODM for the purposes of evaluating performance, forecasting future period financial results, allocating resources and setting incentive targets.</w:t>
      </w:r>
    </w:p>
    <w:p>
      <w:pPr>
        <w:spacing w:after="0" w:line="6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Consistent with our management reporting, results of our operations are reported on a consolidated basis for purposes of segment reporting. The CEO evaluates performance and decides how to allocate resources based on consolidated net loss that is reported on the consolidated statements of operations and comprehensive income (loss). The measure of segment assets is reported on the consolidated balance sheets as total assets. The CEO uses consolidated net loss to evaluate income generated from the Company’s business activities in deciding how to allocate company resources (such as pursuing clinical development or entering a strategic collaboration), monitoring budget versus actual results, and establishing management’s compensation. Please refer to the consolidated financial statements for further information related to these measures of segment performance. In addition, research and development and selling, general and administrative expenses are significant segment expenses regularly provided to the CEO with the following categories: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54"/>
        </w:trPr>
        <w:tc>
          <w:tcPr>
            <w:tcW w:w="5420" w:type="dxa"/>
            <w:vAlign w:val="bottom"/>
          </w:tcPr>
          <w:p>
            <w:pPr>
              <w:spacing w:after="0"/>
              <w:rPr>
                <w:sz w:val="13"/>
                <w:szCs w:val="13"/>
                <w:color w:val="auto"/>
              </w:rPr>
            </w:pPr>
          </w:p>
        </w:tc>
        <w:tc>
          <w:tcPr>
            <w:tcW w:w="12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Candidate costs</w:t>
            </w:r>
          </w:p>
        </w:tc>
        <w:tc>
          <w:tcPr>
            <w:tcW w:w="124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347,571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259,280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162,459</w:t>
            </w:r>
          </w:p>
        </w:tc>
      </w:tr>
      <w:tr>
        <w:trPr>
          <w:trHeight w:val="16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R&amp;D discovery costs</w:t>
            </w:r>
          </w:p>
        </w:tc>
        <w:tc>
          <w:tcPr>
            <w:tcW w:w="1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74,150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55,586</w:t>
            </w:r>
          </w:p>
        </w:tc>
      </w:tr>
      <w:tr>
        <w:trPr>
          <w:trHeight w:val="172"/>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Salaries</w:t>
            </w: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73,668</w:t>
            </w:r>
          </w:p>
        </w:tc>
      </w:tr>
      <w:tr>
        <w:trPr>
          <w:trHeight w:val="168"/>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Facilities related</w:t>
            </w:r>
          </w:p>
        </w:tc>
        <w:tc>
          <w:tcPr>
            <w:tcW w:w="1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29,233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25,782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16,267</w:t>
            </w:r>
          </w:p>
        </w:tc>
      </w:tr>
      <w:tr>
        <w:trPr>
          <w:trHeight w:val="16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research and development expense, excluding non-cash expense</w:t>
            </w:r>
          </w:p>
        </w:tc>
        <w:tc>
          <w:tcPr>
            <w:tcW w:w="1240" w:type="dxa"/>
            <w:vAlign w:val="bottom"/>
            <w:tcBorders>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552,677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455,630</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307,980</w:t>
            </w:r>
          </w:p>
        </w:tc>
      </w:tr>
      <w:tr>
        <w:trPr>
          <w:trHeight w:val="15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compensation</w:t>
            </w:r>
          </w:p>
        </w:tc>
        <w:tc>
          <w:tcPr>
            <w:tcW w:w="1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34,332</w:t>
            </w:r>
          </w:p>
        </w:tc>
      </w:tr>
      <w:tr>
        <w:trPr>
          <w:trHeight w:val="17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10,876</w:t>
            </w:r>
          </w:p>
        </w:tc>
      </w:tr>
      <w:tr>
        <w:trPr>
          <w:trHeight w:val="163"/>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research and development expense</w:t>
            </w:r>
          </w:p>
        </w:tc>
        <w:tc>
          <w:tcPr>
            <w:tcW w:w="124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607,159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505,870</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353,188</w:t>
            </w:r>
          </w:p>
        </w:tc>
      </w:tr>
      <w:tr>
        <w:trPr>
          <w:trHeight w:val="20"/>
        </w:trPr>
        <w:tc>
          <w:tcPr>
            <w:tcW w:w="5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&amp; Administrative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Year Ended September 30,</w:t>
            </w: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54"/>
        </w:trPr>
        <w:tc>
          <w:tcPr>
            <w:tcW w:w="5420" w:type="dxa"/>
            <w:vAlign w:val="bottom"/>
          </w:tcPr>
          <w:p>
            <w:pPr>
              <w:spacing w:after="0"/>
              <w:rPr>
                <w:sz w:val="13"/>
                <w:szCs w:val="13"/>
                <w:color w:val="auto"/>
              </w:rPr>
            </w:pPr>
          </w:p>
        </w:tc>
        <w:tc>
          <w:tcPr>
            <w:tcW w:w="12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5"/>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Salaries</w:t>
            </w:r>
          </w:p>
        </w:tc>
        <w:tc>
          <w:tcPr>
            <w:tcW w:w="1240" w:type="dxa"/>
            <w:vAlign w:val="bottom"/>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22,999</w:t>
            </w:r>
          </w:p>
        </w:tc>
      </w:tr>
      <w:tr>
        <w:trPr>
          <w:trHeight w:val="168"/>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Professional, outside services, and other</w:t>
            </w:r>
          </w:p>
        </w:tc>
        <w:tc>
          <w:tcPr>
            <w:tcW w:w="1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53,589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24,733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20,720</w:t>
            </w:r>
          </w:p>
        </w:tc>
      </w:tr>
      <w:tr>
        <w:trPr>
          <w:trHeight w:val="172"/>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Facilities related</w:t>
            </w:r>
          </w:p>
        </w:tc>
        <w:tc>
          <w:tcPr>
            <w:tcW w:w="1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3,415</w:t>
            </w:r>
          </w:p>
        </w:tc>
      </w:tr>
      <w:tr>
        <w:trPr>
          <w:trHeight w:val="158"/>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general and administrative expense, excluding non-cash expense</w:t>
            </w:r>
          </w:p>
        </w:tc>
        <w:tc>
          <w:tcPr>
            <w:tcW w:w="124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91,130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56,438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47,134</w:t>
            </w:r>
          </w:p>
        </w:tc>
      </w:tr>
      <w:tr>
        <w:trPr>
          <w:trHeight w:val="16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 compensation</w:t>
            </w:r>
          </w:p>
        </w:tc>
        <w:tc>
          <w:tcPr>
            <w:tcW w:w="1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40,382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43,798</w:t>
            </w:r>
          </w:p>
        </w:tc>
      </w:tr>
      <w:tr>
        <w:trPr>
          <w:trHeight w:val="168"/>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Depreciation/amortization</w:t>
            </w:r>
          </w:p>
        </w:tc>
        <w:tc>
          <w:tcPr>
            <w:tcW w:w="1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1,617</w:t>
            </w:r>
          </w:p>
        </w:tc>
      </w:tr>
      <w:tr>
        <w:trPr>
          <w:trHeight w:val="188"/>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general and administrative expense</w:t>
            </w:r>
          </w:p>
        </w:tc>
        <w:tc>
          <w:tcPr>
            <w:tcW w:w="1240" w:type="dxa"/>
            <w:vAlign w:val="bottom"/>
            <w:tcBorders>
              <w:bottom w:val="single" w:sz="8" w:color="auto"/>
            </w:tcBorders>
            <w:shd w:val="clear" w:color="auto" w:fill="CCEEFF"/>
          </w:tcPr>
          <w:p>
            <w:pPr>
              <w:jc w:val="right"/>
              <w:ind w:right="1098"/>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123,943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98,761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92,549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color w:val="auto"/>
        </w:rPr>
        <w:t>NOTE 17. SUBSEQUENT EVENTS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Novartis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August 29, 2025, the Company entered into an Exclusive License and Collaboration Agreement (the “Novartis Collaboration Agreement”) with Novartis Pharma AG (“Novartis”) for the co-development and commercialization of multiple preclinical programs in rare, genetic diseases. Under the Novartis Collaboration Agreement, Novartis has received an exclusive worldwide license to the Company's ARO-SNCA preclinical stage program. The Novartis Collaboration Agreement closed on October 17, 2025 subsequent to clearance under the Hart-Scott-Rodino Antitrust Improvement Act. Under the terms of the Novartis Collaboration Agreement, the Company received $200.0 million as an upfront payment. The Company is also eligible to receive $30.0 million associated with certain target nominations. Further, for each of the 4 programs, the Company is eligible to receive development milestone payments between $175.0 million and $245.0 million per program and sales milestone payments between $285.0 million and $370.0 million per program. The Company is also eligible to receive tiered royalties on net sales of licensed products of up to the low double digits.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Sarepta DM1 Milestone</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November 20, 2025, the Company earned a $200.0 million milestone payment from Sarepta. The milestone was earned when Arrowhead achieved the second development milestone event in a Phase 1/2 clinical study of ARO-DM1, also called SRP-1003, an investigational RNAi therapeutic for the treatment of type 1 myotonic dystrophy (DM1), the most common adult-onset muscular dystrophy. The second milestone event included the achievement of a patient enrollment target, drug safety committee review and subsequent authorization to dose escalate and proceed, and completion of day 105 study visit by at least one patient in the clinical trial.</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REDEMPLO Commercial Launch</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FDA approved the Company's New Drug Application (NDA) for REDEMPLO (plozasiran) injection for Familial Chylomicronemia Syndrome (FCS), on November 18, 2025. This approval, which was based on the results of the Phase 3 PALISADE clinical trial, was completed within the Prescription Drug User Fee Act (PDUFA) VI timeframe. This approval is a significant milestone for the Company, and the commercial launch of REDEMPLO is in progress. We expect to begin generating revenue from sales of REDEMPLO in the upcoming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F-40</w:t>
      </w:r>
    </w:p>
    <w:p>
      <w:pPr>
        <w:sectPr>
          <w:pgSz w:w="11900" w:h="16838" w:orient="portrait"/>
          <w:cols w:equalWidth="0" w:num="1">
            <w:col w:w="11280"/>
          </w:cols>
          <w:pgMar w:left="300" w:top="759" w:right="319" w:bottom="1440" w:gutter="0" w:footer="0" w:header="0"/>
        </w:sectPr>
      </w:pPr>
    </w:p>
    <w:bookmarkStart w:id="123" w:name="page124"/>
    <w:bookmarkEnd w:id="123"/>
    <w:p>
      <w:pPr>
        <w:ind w:left="2220" w:hanging="2218"/>
        <w:spacing w:after="0" w:line="275" w:lineRule="auto"/>
        <w:tabs>
          <w:tab w:leader="none" w:pos="37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Exclusive License and Collaboration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Arrowhead Pharmaceuticals,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Novartis Pharma AG</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August 29, 2025</w:t>
      </w:r>
    </w:p>
    <w:p>
      <w:pPr>
        <w:sectPr>
          <w:pgSz w:w="11900" w:h="16838" w:orient="portrait"/>
          <w:cols w:equalWidth="0" w:num="1">
            <w:col w:w="11240"/>
          </w:cols>
          <w:pgMar w:left="320" w:top="120" w:right="339" w:bottom="1440" w:gutter="0" w:footer="0" w:header="0"/>
        </w:sectPr>
      </w:pPr>
    </w:p>
    <w:bookmarkStart w:id="124" w:name="page125"/>
    <w:bookmarkEnd w:id="124"/>
    <w:p>
      <w:pPr>
        <w:ind w:left="2240" w:right="20" w:hanging="2218"/>
        <w:spacing w:after="0" w:line="274" w:lineRule="auto"/>
        <w:tabs>
          <w:tab w:leader="none" w:pos="390"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EXCLUSIVE LICENSE AND COLLABORATION AGREEMENT</w:t>
      </w:r>
    </w:p>
    <w:p>
      <w:pPr>
        <w:spacing w:after="0" w:line="17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6"/>
          <w:szCs w:val="16"/>
          <w:color w:val="auto"/>
        </w:rPr>
        <w:t>THIS EXCLUSIVE LICENSE AND COLLABORATION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entered into as of August 29, 2025 (the “</w:t>
      </w:r>
      <w:r>
        <w:rPr>
          <w:rFonts w:ascii="Times New Roman" w:cs="Times New Roman" w:eastAsia="Times New Roman" w:hAnsi="Times New Roman"/>
          <w:sz w:val="16"/>
          <w:szCs w:val="16"/>
          <w:b w:val="1"/>
          <w:bCs w:val="1"/>
          <w:color w:val="auto"/>
        </w:rPr>
        <w:t>Execution Date</w:t>
      </w:r>
      <w:r>
        <w:rPr>
          <w:rFonts w:ascii="Times New Roman" w:cs="Times New Roman" w:eastAsia="Times New Roman" w:hAnsi="Times New Roman"/>
          <w:sz w:val="16"/>
          <w:szCs w:val="16"/>
          <w:color w:val="auto"/>
        </w:rPr>
        <w:t>”), is entered into by and between Novartis Pharma AG, a company organized under the laws of Switzerland located at Lichtstrasse 35, CH-4056, Basel, Switzerland (“</w:t>
      </w:r>
      <w:r>
        <w:rPr>
          <w:rFonts w:ascii="Times New Roman" w:cs="Times New Roman" w:eastAsia="Times New Roman" w:hAnsi="Times New Roman"/>
          <w:sz w:val="16"/>
          <w:szCs w:val="16"/>
          <w:b w:val="1"/>
          <w:bCs w:val="1"/>
          <w:color w:val="auto"/>
        </w:rPr>
        <w:t>Novartis</w:t>
      </w:r>
      <w:r>
        <w:rPr>
          <w:rFonts w:ascii="Times New Roman" w:cs="Times New Roman" w:eastAsia="Times New Roman" w:hAnsi="Times New Roman"/>
          <w:sz w:val="16"/>
          <w:szCs w:val="16"/>
          <w:color w:val="auto"/>
        </w:rPr>
        <w:t>”), and Arrowhead Pharmaceuticals, Inc., a Delaware corporation having its principal offices at 177 East Colorado Boulevard, Suite 700, Pasadena, California, USA (“</w:t>
      </w:r>
      <w:r>
        <w:rPr>
          <w:rFonts w:ascii="Times New Roman" w:cs="Times New Roman" w:eastAsia="Times New Roman" w:hAnsi="Times New Roman"/>
          <w:sz w:val="16"/>
          <w:szCs w:val="16"/>
          <w:b w:val="1"/>
          <w:bCs w:val="1"/>
          <w:color w:val="auto"/>
        </w:rPr>
        <w:t>Arrowhead</w:t>
      </w:r>
      <w:r>
        <w:rPr>
          <w:rFonts w:ascii="Times New Roman" w:cs="Times New Roman" w:eastAsia="Times New Roman" w:hAnsi="Times New Roman"/>
          <w:sz w:val="16"/>
          <w:szCs w:val="16"/>
          <w:color w:val="auto"/>
        </w:rPr>
        <w:t>”). Arrowhead and Novartis are referred to in this Agreement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77" w:lineRule="exact"/>
        <w:rPr>
          <w:sz w:val="20"/>
          <w:szCs w:val="20"/>
          <w:color w:val="auto"/>
        </w:rPr>
      </w:pPr>
    </w:p>
    <w:p>
      <w:pPr>
        <w:ind w:right="380"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Novartis is a pharmaceutical company engaged in the research, development, and commercialization of products useful in the amelioration, treatment,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prevention of genetic human diseases and conditions;</w:t>
      </w:r>
    </w:p>
    <w:p>
      <w:pPr>
        <w:spacing w:after="0" w:line="139"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Arrowhead is a biopharmaceutical company focused on discovering and developing medicines that treat intractable diseases by silencing the genes that 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them, including advancing RNA interference based treatments for protein-based genetic disorders;</w:t>
      </w:r>
    </w:p>
    <w:p>
      <w:pPr>
        <w:spacing w:after="0" w:line="119" w:lineRule="exact"/>
        <w:rPr>
          <w:sz w:val="20"/>
          <w:szCs w:val="20"/>
          <w:color w:val="auto"/>
        </w:rPr>
      </w:pPr>
    </w:p>
    <w:p>
      <w:pPr>
        <w:jc w:val="both"/>
        <w:ind w:firstLine="509"/>
        <w:spacing w:after="0" w:line="27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wish to enter into a collaboration to develop targeted siRNA therapies against (a) SNCA for the treatment of synucleinopathies, such as Parkinson’s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Disease, and (b) other Collaboration Targets targeting the central nervous system or cardiomyocytes; and</w:t>
      </w:r>
    </w:p>
    <w:p>
      <w:pPr>
        <w:spacing w:after="0" w:line="11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Novartis wishes to obtain, and Arrowhead desires to grant, an exclusive worldwide license under certain Patent Rights, Know-How, and other intellectual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property rights Controlled by Arrowhead to Research, Develop, Manufacture, Commercialize, and otherwise Exploit the Licensed Compounds and Licensed Products on the terms and conditions set forth herein.</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NOW</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THEREFORE</w:t>
      </w:r>
      <w:r>
        <w:rPr>
          <w:rFonts w:ascii="Times New Roman" w:cs="Times New Roman" w:eastAsia="Times New Roman" w:hAnsi="Times New Roman"/>
          <w:sz w:val="16"/>
          <w:szCs w:val="16"/>
          <w:color w:val="auto"/>
        </w:rPr>
        <w:t>, the Parties hereby agree as follows:</w:t>
      </w:r>
    </w:p>
    <w:p>
      <w:pPr>
        <w:spacing w:after="0" w:line="166" w:lineRule="exact"/>
        <w:rPr>
          <w:sz w:val="20"/>
          <w:szCs w:val="20"/>
          <w:color w:val="auto"/>
        </w:rPr>
      </w:pPr>
    </w:p>
    <w:p>
      <w:pPr>
        <w:ind w:left="520" w:hanging="515"/>
        <w:spacing w:after="0"/>
        <w:tabs>
          <w:tab w:leader="none" w:pos="52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specifically set forth to the contrary herein, the following terms, whether used in the singular or plural, will have the respective meanings set forth below:</w:t>
      </w:r>
    </w:p>
    <w:p>
      <w:pPr>
        <w:spacing w:after="0" w:line="15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Accounting Standards</w:t>
      </w:r>
      <w:r>
        <w:rPr>
          <w:rFonts w:ascii="Times New Roman" w:cs="Times New Roman" w:eastAsia="Times New Roman" w:hAnsi="Times New Roman"/>
          <w:sz w:val="14"/>
          <w:szCs w:val="14"/>
          <w:color w:val="auto"/>
        </w:rPr>
        <w:t>” means: (a) with respect to Novartis, IFRS or an internationally recognized accounting principles approved by Novartis, and (b) with respect to</w:t>
      </w:r>
    </w:p>
    <w:p>
      <w:pPr>
        <w:ind w:left="520"/>
        <w:spacing w:after="0" w:line="229" w:lineRule="auto"/>
        <w:rPr>
          <w:sz w:val="20"/>
          <w:szCs w:val="20"/>
          <w:color w:val="auto"/>
        </w:rPr>
      </w:pPr>
      <w:r>
        <w:rPr>
          <w:rFonts w:ascii="Times New Roman" w:cs="Times New Roman" w:eastAsia="Times New Roman" w:hAnsi="Times New Roman"/>
          <w:sz w:val="14"/>
          <w:szCs w:val="14"/>
          <w:color w:val="auto"/>
        </w:rPr>
        <w:t>Arrowhead, GAAP, in each case, consistently applied throughout the applicable Party’s organization. Each Party shall promptly notify the other Party in the event that it changes the Accounting Standards pursuant to which its records are maintained; provided, that each Party may only use internationally recognized accounting principles</w:t>
      </w:r>
    </w:p>
    <w:p>
      <w:pPr>
        <w:ind w:left="520"/>
        <w:spacing w:after="0"/>
        <w:rPr>
          <w:sz w:val="20"/>
          <w:szCs w:val="20"/>
          <w:color w:val="auto"/>
        </w:rPr>
      </w:pPr>
      <w:r>
        <w:rPr>
          <w:rFonts w:ascii="Times New Roman" w:cs="Times New Roman" w:eastAsia="Times New Roman" w:hAnsi="Times New Roman"/>
          <w:sz w:val="16"/>
          <w:szCs w:val="16"/>
          <w:color w:val="auto"/>
        </w:rPr>
        <w:t>(e.g., IFRS, GAAP, etc.) as its Accounting Standards.</w:t>
      </w:r>
    </w:p>
    <w:p>
      <w:pPr>
        <w:spacing w:after="0" w:line="1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Business</w:t>
      </w:r>
      <w:r>
        <w:rPr>
          <w:rFonts w:ascii="Times New Roman" w:cs="Times New Roman" w:eastAsia="Times New Roman" w:hAnsi="Times New Roman"/>
          <w:sz w:val="14"/>
          <w:szCs w:val="14"/>
          <w:color w:val="auto"/>
        </w:rPr>
        <w:t>” has the meaning set forth in Section 2.10.3 (Acquired Business Exception).</w:t>
      </w:r>
    </w:p>
    <w:p>
      <w:pPr>
        <w:spacing w:after="0" w:line="134" w:lineRule="exact"/>
        <w:rPr>
          <w:sz w:val="20"/>
          <w:szCs w:val="20"/>
          <w:color w:val="auto"/>
        </w:rPr>
      </w:pPr>
    </w:p>
    <w:p>
      <w:pPr>
        <w:ind w:left="520" w:hanging="508"/>
        <w:spacing w:after="0" w:line="237"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Acquirer</w:t>
      </w:r>
      <w:r>
        <w:rPr>
          <w:rFonts w:ascii="Times New Roman" w:cs="Times New Roman" w:eastAsia="Times New Roman" w:hAnsi="Times New Roman"/>
          <w:sz w:val="16"/>
          <w:szCs w:val="16"/>
          <w:color w:val="auto"/>
        </w:rPr>
        <w:t>” means, collectively, the Third Party referenced in the definition of Change of Control and such Third Party’s Affiliates, other than the applicable Party in the definition of Change of Control and such Party’s Affiliates immediately prior to the closing of such Change of Control.</w:t>
      </w:r>
    </w:p>
    <w:p>
      <w:pPr>
        <w:sectPr>
          <w:pgSz w:w="11900" w:h="16838" w:orient="portrait"/>
          <w:cols w:equalWidth="0" w:num="1">
            <w:col w:w="11280"/>
          </w:cols>
          <w:pgMar w:left="300" w:top="120" w:right="319" w:bottom="1440" w:gutter="0" w:footer="0" w:header="0"/>
        </w:sectPr>
      </w:pPr>
    </w:p>
    <w:bookmarkStart w:id="125" w:name="page126"/>
    <w:bookmarkEnd w:id="125"/>
    <w:p>
      <w:pPr>
        <w:ind w:left="2720" w:right="360" w:hanging="2360"/>
        <w:spacing w:after="0" w:line="290" w:lineRule="auto"/>
        <w:tabs>
          <w:tab w:leader="none" w:pos="696"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R&amp;D Activities</w:t>
      </w:r>
      <w:r>
        <w:rPr>
          <w:rFonts w:ascii="Times New Roman" w:cs="Times New Roman" w:eastAsia="Times New Roman" w:hAnsi="Times New Roman"/>
          <w:sz w:val="14"/>
          <w:szCs w:val="14"/>
          <w:color w:val="auto"/>
        </w:rPr>
        <w:t>” has the meaning set forth in Section 3.4 (Additional R&amp;D Activities).</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R&amp;D Budget</w:t>
      </w:r>
      <w:r>
        <w:rPr>
          <w:rFonts w:ascii="Times New Roman" w:cs="Times New Roman" w:eastAsia="Times New Roman" w:hAnsi="Times New Roman"/>
          <w:sz w:val="14"/>
          <w:szCs w:val="14"/>
          <w:color w:val="auto"/>
        </w:rPr>
        <w:t>” has the meaning set forth in Section 3.33.4 (Additional R&amp;D Activities).</w:t>
      </w:r>
    </w:p>
    <w:p>
      <w:pPr>
        <w:spacing w:after="0" w:line="1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R&amp;D Plan</w:t>
      </w:r>
      <w:r>
        <w:rPr>
          <w:rFonts w:ascii="Times New Roman" w:cs="Times New Roman" w:eastAsia="Times New Roman" w:hAnsi="Times New Roman"/>
          <w:sz w:val="14"/>
          <w:szCs w:val="14"/>
          <w:color w:val="auto"/>
        </w:rPr>
        <w:t>” has the meaning set forth in Section 3.33.4 (Additional R&amp;D Activities).</w:t>
      </w:r>
    </w:p>
    <w:p>
      <w:pPr>
        <w:spacing w:after="0" w:line="134" w:lineRule="exact"/>
        <w:rPr>
          <w:sz w:val="20"/>
          <w:szCs w:val="20"/>
          <w:color w:val="auto"/>
        </w:rPr>
      </w:pPr>
    </w:p>
    <w:p>
      <w:pPr>
        <w:jc w:val="both"/>
        <w:ind w:left="520" w:hanging="508"/>
        <w:spacing w:after="0" w:line="227"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Adverse Event</w:t>
      </w:r>
      <w:r>
        <w:rPr>
          <w:rFonts w:ascii="Times New Roman" w:cs="Times New Roman" w:eastAsia="Times New Roman" w:hAnsi="Times New Roman"/>
          <w:sz w:val="16"/>
          <w:szCs w:val="16"/>
          <w:color w:val="auto"/>
        </w:rPr>
        <w:t>” means any untoward medical occurrence in a human clinical study subject or in a patient who is administered a Licensed Product, whether or not considered related to such Licensed Product, including any undesirable sign (including abnormal laboratory findings of clinical concern), symptom, or disease associated with the use of a Licensed Product.</w:t>
      </w:r>
    </w:p>
    <w:p>
      <w:pPr>
        <w:spacing w:after="0" w:line="1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any Person directly or indirectly controlled by, controlling, or under common control with, a Party, but only for so long as such control continues. For</w:t>
      </w:r>
    </w:p>
    <w:p>
      <w:pPr>
        <w:ind w:left="520"/>
        <w:spacing w:after="0" w:line="229" w:lineRule="auto"/>
        <w:rPr>
          <w:sz w:val="20"/>
          <w:szCs w:val="20"/>
          <w:color w:val="auto"/>
        </w:rPr>
      </w:pPr>
      <w:r>
        <w:rPr>
          <w:rFonts w:ascii="Times New Roman" w:cs="Times New Roman" w:eastAsia="Times New Roman" w:hAnsi="Times New Roman"/>
          <w:sz w:val="14"/>
          <w:szCs w:val="14"/>
          <w:color w:val="auto"/>
        </w:rPr>
        <w:t>purposes of this definition, “</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(including, with correlative meanings, “</w:t>
      </w:r>
      <w:r>
        <w:rPr>
          <w:rFonts w:ascii="Times New Roman" w:cs="Times New Roman" w:eastAsia="Times New Roman" w:hAnsi="Times New Roman"/>
          <w:sz w:val="14"/>
          <w:szCs w:val="14"/>
          <w:b w:val="1"/>
          <w:bCs w:val="1"/>
          <w:color w:val="auto"/>
        </w:rPr>
        <w:t>controlled by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under common control with</w:t>
      </w:r>
      <w:r>
        <w:rPr>
          <w:rFonts w:ascii="Times New Roman" w:cs="Times New Roman" w:eastAsia="Times New Roman" w:hAnsi="Times New Roman"/>
          <w:sz w:val="14"/>
          <w:szCs w:val="14"/>
          <w:color w:val="auto"/>
        </w:rPr>
        <w:t>”) will be presumed to exist with respect to a Person in the event of the possession, direct or indirect, of (a) the power to direct or cause the direction of the management and policies of such Person</w:t>
      </w:r>
    </w:p>
    <w:p>
      <w:pPr>
        <w:ind w:left="520"/>
        <w:spacing w:after="0" w:line="208" w:lineRule="auto"/>
        <w:rPr>
          <w:sz w:val="20"/>
          <w:szCs w:val="20"/>
          <w:color w:val="auto"/>
        </w:rPr>
      </w:pPr>
      <w:r>
        <w:rPr>
          <w:rFonts w:ascii="Times New Roman" w:cs="Times New Roman" w:eastAsia="Times New Roman" w:hAnsi="Times New Roman"/>
          <w:sz w:val="16"/>
          <w:szCs w:val="16"/>
          <w:color w:val="auto"/>
        </w:rPr>
        <w:t>(whether through ownership of securities, by contract or otherwise), or (b) 50% or more of the voting securities or other comparable equity interests. The Parties</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acknowledge that in the case of certain entities organized under the laws of certain countries outside of the United States, the maximum percentage ownership permitted by law for a foreign investor may be less than 50%, and that in such case, such lower percentage will be substituted in the preceding sentence,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foreign</w:t>
      </w:r>
    </w:p>
    <w:p>
      <w:pPr>
        <w:ind w:left="520"/>
        <w:spacing w:after="0" w:line="237" w:lineRule="auto"/>
        <w:rPr>
          <w:sz w:val="20"/>
          <w:szCs w:val="20"/>
          <w:color w:val="auto"/>
        </w:rPr>
      </w:pPr>
      <w:r>
        <w:rPr>
          <w:rFonts w:ascii="Times New Roman" w:cs="Times New Roman" w:eastAsia="Times New Roman" w:hAnsi="Times New Roman"/>
          <w:sz w:val="14"/>
          <w:szCs w:val="14"/>
          <w:color w:val="auto"/>
        </w:rPr>
        <w:t>investor has the power to direct or cause the direction of the management and policies of such Person. Neither of the Parties will be deemed to be an “</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the other</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solely as a result of their entering into this Agreement. The Parties acknowledge that for the purposes of this Agreement, Visirna Therapeutics, Inc. (“</w:t>
      </w:r>
      <w:r>
        <w:rPr>
          <w:rFonts w:ascii="Times New Roman" w:cs="Times New Roman" w:eastAsia="Times New Roman" w:hAnsi="Times New Roman"/>
          <w:sz w:val="16"/>
          <w:szCs w:val="16"/>
          <w:b w:val="1"/>
          <w:bCs w:val="1"/>
          <w:color w:val="auto"/>
        </w:rPr>
        <w:t>Visirna</w:t>
      </w:r>
      <w:r>
        <w:rPr>
          <w:rFonts w:ascii="Times New Roman" w:cs="Times New Roman" w:eastAsia="Times New Roman" w:hAnsi="Times New Roman"/>
          <w:sz w:val="16"/>
          <w:szCs w:val="16"/>
          <w:color w:val="auto"/>
        </w:rPr>
        <w:t>”) will not be an Affiliate of Arrowhead.</w:t>
      </w:r>
    </w:p>
    <w:p>
      <w:pPr>
        <w:spacing w:after="0" w:line="1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1.9.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has the meaning set forth in the preamble.</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Alliance Manager</w:t>
      </w:r>
      <w:r>
        <w:rPr>
          <w:rFonts w:ascii="Times New Roman" w:cs="Times New Roman" w:eastAsia="Times New Roman" w:hAnsi="Times New Roman"/>
          <w:sz w:val="14"/>
          <w:szCs w:val="14"/>
          <w:color w:val="auto"/>
        </w:rPr>
        <w:t>” has the meaning set forth in Section 7.1 (Alliance Managers).</w:t>
      </w:r>
    </w:p>
    <w:p>
      <w:pPr>
        <w:spacing w:after="0" w:line="134"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Antitrust Clearance Date</w:t>
      </w:r>
      <w:r>
        <w:rPr>
          <w:rFonts w:ascii="Times New Roman" w:cs="Times New Roman" w:eastAsia="Times New Roman" w:hAnsi="Times New Roman"/>
          <w:sz w:val="16"/>
          <w:szCs w:val="16"/>
          <w:color w:val="auto"/>
        </w:rPr>
        <w:t>” means the earliest date on which all applicable waiting periods and approvals required under Antitrust Laws with respect to the transactions contemplated under this Agreement have expired or have been terminated (in the case of waiting periods) or been received (in the case of approvals), in each case, without the imposition of any conditions.</w:t>
      </w:r>
    </w:p>
    <w:p>
      <w:pPr>
        <w:spacing w:after="0" w:line="115"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Antitrust Filing</w:t>
      </w:r>
      <w:r>
        <w:rPr>
          <w:rFonts w:ascii="Times New Roman" w:cs="Times New Roman" w:eastAsia="Times New Roman" w:hAnsi="Times New Roman"/>
          <w:sz w:val="16"/>
          <w:szCs w:val="16"/>
          <w:color w:val="auto"/>
        </w:rPr>
        <w:t>” means any filing with the United States Federal Trade Commission and the Antitrust Division of the United States Department of Justice and any other applicable Governmental Authority in the Territory, as required under any Antitrust Laws with respect to the transactions contemplated under this Agreement, together with all required documentary attachments thereto.</w:t>
      </w:r>
    </w:p>
    <w:p>
      <w:pPr>
        <w:spacing w:after="0" w:line="115" w:lineRule="exact"/>
        <w:rPr>
          <w:sz w:val="20"/>
          <w:szCs w:val="20"/>
          <w:color w:val="auto"/>
        </w:rPr>
      </w:pPr>
    </w:p>
    <w:p>
      <w:pPr>
        <w:jc w:val="both"/>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Antitrust Laws</w:t>
      </w:r>
      <w:r>
        <w:rPr>
          <w:rFonts w:ascii="Times New Roman" w:cs="Times New Roman" w:eastAsia="Times New Roman" w:hAnsi="Times New Roman"/>
          <w:sz w:val="16"/>
          <w:szCs w:val="16"/>
          <w:color w:val="auto"/>
        </w:rPr>
        <w:t>” means any federal, state, or foreign law, regulation, or decree, including the HSR Act, designed to prohibit, restrict, or regulate actions for the purpose or effect of monopolization or restraint of trade.</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Arising Delivery Ligand Know-How</w:t>
      </w:r>
      <w:r>
        <w:rPr>
          <w:rFonts w:ascii="Times New Roman" w:cs="Times New Roman" w:eastAsia="Times New Roman" w:hAnsi="Times New Roman"/>
          <w:sz w:val="14"/>
          <w:szCs w:val="14"/>
          <w:color w:val="auto"/>
        </w:rPr>
        <w:t>” has the meaning set forth in Section 12.2.2(a) (Arrowhead).</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Arising Delivery Ligand Patent Rights</w:t>
      </w:r>
      <w:r>
        <w:rPr>
          <w:rFonts w:ascii="Times New Roman" w:cs="Times New Roman" w:eastAsia="Times New Roman" w:hAnsi="Times New Roman"/>
          <w:sz w:val="14"/>
          <w:szCs w:val="14"/>
          <w:color w:val="auto"/>
        </w:rPr>
        <w:t>” has the meaning set forth in Section 12.2.2(a) (Arrowhead).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23" w:right="319" w:bottom="1440" w:gutter="0" w:footer="0" w:header="0"/>
        </w:sectPr>
      </w:pPr>
    </w:p>
    <w:bookmarkStart w:id="126" w:name="page127"/>
    <w:bookmarkEnd w:id="126"/>
    <w:p>
      <w:pPr>
        <w:ind w:left="2720" w:right="360" w:hanging="2360"/>
        <w:spacing w:after="0" w:line="290" w:lineRule="auto"/>
        <w:tabs>
          <w:tab w:leader="none" w:pos="696"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00" w:hanging="508"/>
        <w:spacing w:after="0" w:line="220"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1.16.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Arising Know-How</w:t>
      </w:r>
      <w:r>
        <w:rPr>
          <w:rFonts w:ascii="Times New Roman" w:cs="Times New Roman" w:eastAsia="Times New Roman" w:hAnsi="Times New Roman"/>
          <w:sz w:val="16"/>
          <w:szCs w:val="16"/>
          <w:color w:val="auto"/>
        </w:rPr>
        <w:t>” means any and all Know-How conceived, invented, developed, or otherwise made during the Term by or on behalf of one or more Personnel of a Party (or any of its Affiliates, licensees, sublicensees, or subcontractors), either alone or jointly with one or more Personnel of the other Party (or any of its Affiliates,</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licensees, sublicensees, or subcontractors), in each case, in the performance of activities under any of the Transaction Agreements relating to the Exploitation of Licensed Compounds or Licensed Products.</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Arising Patent Rights</w:t>
      </w:r>
      <w:r>
        <w:rPr>
          <w:rFonts w:ascii="Times New Roman" w:cs="Times New Roman" w:eastAsia="Times New Roman" w:hAnsi="Times New Roman"/>
          <w:sz w:val="14"/>
          <w:szCs w:val="14"/>
          <w:color w:val="auto"/>
        </w:rPr>
        <w:t>” means any Patent Right that (a) has a priority date after the Effective Date, and (b) Covers any Arising Know-How.</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Products</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1.19.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ARO-SNCA SC</w:t>
      </w:r>
      <w:r>
        <w:rPr>
          <w:rFonts w:ascii="Times New Roman" w:cs="Times New Roman" w:eastAsia="Times New Roman" w:hAnsi="Times New Roman"/>
          <w:sz w:val="16"/>
          <w:szCs w:val="16"/>
          <w:color w:val="auto"/>
        </w:rPr>
        <w:t xml:space="preserve">” means the chemical composition internally coded by Arrowhead as ARO-SNCA SC, the chemical structure of which is set forth on </w:t>
      </w:r>
      <w:r>
        <w:rPr>
          <w:rFonts w:ascii="Times New Roman" w:cs="Times New Roman" w:eastAsia="Times New Roman" w:hAnsi="Times New Roman"/>
          <w:sz w:val="16"/>
          <w:szCs w:val="16"/>
          <w:b w:val="1"/>
          <w:bCs w:val="1"/>
          <w:color w:val="auto"/>
        </w:rPr>
        <w:t>Schedule 1.19</w:t>
      </w:r>
      <w:r>
        <w:rPr>
          <w:rFonts w:ascii="Times New Roman" w:cs="Times New Roman" w:eastAsia="Times New Roman" w:hAnsi="Times New Roman"/>
          <w:sz w:val="16"/>
          <w:szCs w:val="16"/>
          <w:color w:val="auto"/>
        </w:rPr>
        <w:t xml:space="preserve"> (ARO-SNCA SC Structure).</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w:t>
      </w:r>
      <w:r>
        <w:rPr>
          <w:rFonts w:ascii="Times New Roman" w:cs="Times New Roman" w:eastAsia="Times New Roman" w:hAnsi="Times New Roman"/>
          <w:sz w:val="14"/>
          <w:szCs w:val="14"/>
          <w:color w:val="auto"/>
        </w:rPr>
        <w:t>” has the meaning set forth in the preamble.</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Arising Know-How</w:t>
      </w:r>
      <w:r>
        <w:rPr>
          <w:rFonts w:ascii="Times New Roman" w:cs="Times New Roman" w:eastAsia="Times New Roman" w:hAnsi="Times New Roman"/>
          <w:sz w:val="14"/>
          <w:szCs w:val="14"/>
          <w:color w:val="auto"/>
        </w:rPr>
        <w:t>” has the meaning set forth in Section 12.2.2(a) (Arrowhead).</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Arising Patent Right</w:t>
      </w:r>
      <w:r>
        <w:rPr>
          <w:rFonts w:ascii="Times New Roman" w:cs="Times New Roman" w:eastAsia="Times New Roman" w:hAnsi="Times New Roman"/>
          <w:sz w:val="14"/>
          <w:szCs w:val="14"/>
          <w:color w:val="auto"/>
        </w:rPr>
        <w:t>” has the meaning set forth in Section 12.2.2(a) (Arrowhead).</w:t>
      </w:r>
    </w:p>
    <w:p>
      <w:pPr>
        <w:spacing w:after="0" w:line="134"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Arrowhead BBB Platform</w:t>
      </w:r>
      <w:r>
        <w:rPr>
          <w:rFonts w:ascii="Times New Roman" w:cs="Times New Roman" w:eastAsia="Times New Roman" w:hAnsi="Times New Roman"/>
          <w:sz w:val="16"/>
          <w:szCs w:val="16"/>
          <w:color w:val="auto"/>
        </w:rPr>
        <w:t>” means the Know-How or other intellectual property rights Controlled by Arrowhead or its Affiliates that is related to, or Patent Rights Controlled by Arrowhead or its Affiliates that Cover, any Arrowhead Platform that utilizes the conjugation or other incorporation (or fragments thereof) of an antibody that is designed to shuttle certain compounds, including RNAi Molecules, across the blood brain barrier.</w:t>
      </w:r>
    </w:p>
    <w:p>
      <w:pPr>
        <w:spacing w:after="0" w:line="115"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1.24.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Arrowhead Cardiomyocyte Platform</w:t>
      </w:r>
      <w:r>
        <w:rPr>
          <w:rFonts w:ascii="Times New Roman" w:cs="Times New Roman" w:eastAsia="Times New Roman" w:hAnsi="Times New Roman"/>
          <w:sz w:val="16"/>
          <w:szCs w:val="16"/>
          <w:color w:val="auto"/>
        </w:rPr>
        <w:t>” means the Know-How or other intellectual property rights Controlled by Arrowhead or its Affiliates that is related to, or Patent Rights Controlled by Arrowhead or its Affiliates that Cover, any Arrowhead Platform that utilizes the conjugation or other incorporation of a ligand that is designed to deliver compounds, including RNAi Molecules, to cardiomyocytes.</w:t>
      </w:r>
    </w:p>
    <w:p>
      <w:pPr>
        <w:spacing w:after="0" w:line="1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1.25.</w:t>
      </w:r>
      <w:r>
        <w:rPr>
          <w:sz w:val="20"/>
          <w:szCs w:val="20"/>
          <w:color w:val="auto"/>
        </w:rPr>
        <w:tab/>
      </w:r>
      <w:r>
        <w:rPr>
          <w:rFonts w:ascii="Times New Roman" w:cs="Times New Roman" w:eastAsia="Times New Roman" w:hAnsi="Times New Roman"/>
          <w:sz w:val="14"/>
          <w:szCs w:val="14"/>
          <w:b w:val="1"/>
          <w:bCs w:val="1"/>
          <w:color w:val="auto"/>
        </w:rPr>
        <w:t>[***]</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Development Costs</w:t>
      </w:r>
      <w:r>
        <w:rPr>
          <w:rFonts w:ascii="Times New Roman" w:cs="Times New Roman" w:eastAsia="Times New Roman" w:hAnsi="Times New Roman"/>
          <w:sz w:val="14"/>
          <w:szCs w:val="14"/>
          <w:color w:val="auto"/>
        </w:rPr>
        <w:t>” has the meaning set forth in Section 3.6 (Arrowhead Development Costs Reimbursement).</w:t>
      </w:r>
    </w:p>
    <w:p>
      <w:pPr>
        <w:spacing w:after="0" w:line="145" w:lineRule="exact"/>
        <w:rPr>
          <w:sz w:val="20"/>
          <w:szCs w:val="20"/>
          <w:color w:val="auto"/>
        </w:rPr>
      </w:pPr>
    </w:p>
    <w:p>
      <w:pPr>
        <w:jc w:val="both"/>
        <w:ind w:left="500" w:hanging="508"/>
        <w:spacing w:after="0" w:line="244"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1.27.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Excluded Know-How</w:t>
      </w:r>
      <w:r>
        <w:rPr>
          <w:rFonts w:ascii="Times New Roman" w:cs="Times New Roman" w:eastAsia="Times New Roman" w:hAnsi="Times New Roman"/>
          <w:sz w:val="14"/>
          <w:szCs w:val="14"/>
          <w:color w:val="auto"/>
        </w:rPr>
        <w:t>” means, collectively, any and all Know-How (a) relating to Arrowhead’s RNAi Molecule trigger sequence selection and design process, or (b) that Arrowhead or any of its Affiliates comes to own or otherwise Control after the Execution Date relating to the Manufacture of RNAi Molecules generally,</w:t>
      </w:r>
    </w:p>
    <w:p>
      <w:pPr>
        <w:ind w:left="520"/>
        <w:spacing w:after="0" w:line="237" w:lineRule="auto"/>
        <w:rPr>
          <w:sz w:val="20"/>
          <w:szCs w:val="20"/>
          <w:color w:val="auto"/>
        </w:rPr>
      </w:pPr>
      <w:r>
        <w:rPr>
          <w:rFonts w:ascii="Times New Roman" w:cs="Times New Roman" w:eastAsia="Times New Roman" w:hAnsi="Times New Roman"/>
          <w:sz w:val="14"/>
          <w:szCs w:val="14"/>
          <w:color w:val="auto"/>
        </w:rPr>
        <w:t>but only to the extent such Know-How is not (i) utilized in connection with any Development or Manufacturing work performed by Arrowhead or any of its Affiliates either</w:t>
      </w:r>
    </w:p>
    <w:p>
      <w:pPr>
        <w:spacing w:after="0" w:line="1" w:lineRule="exact"/>
        <w:rPr>
          <w:sz w:val="20"/>
          <w:szCs w:val="20"/>
          <w:color w:val="auto"/>
        </w:rPr>
      </w:pPr>
    </w:p>
    <w:p>
      <w:pPr>
        <w:jc w:val="both"/>
        <w:ind w:left="520" w:hanging="6"/>
        <w:spacing w:after="0" w:line="214" w:lineRule="auto"/>
        <w:tabs>
          <w:tab w:leader="none" w:pos="77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Execution Date for itself or (B) for Novartis under this Agreement during the Term or under any other supply or development agreement or plan between the Parties after the Effective Date, (ii) otherwise disclosed in writing by Arrowhead to Novartis during the Term, (iii) necessary for the Exploitation of a Licensed Compound or Licensed Product, or (iv) Arising Delivery Ligand Know-How.</w:t>
      </w:r>
    </w:p>
    <w:p>
      <w:pPr>
        <w:spacing w:after="0" w:line="1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Excluded Patent Rights</w:t>
      </w:r>
      <w:r>
        <w:rPr>
          <w:rFonts w:ascii="Times New Roman" w:cs="Times New Roman" w:eastAsia="Times New Roman" w:hAnsi="Times New Roman"/>
          <w:sz w:val="14"/>
          <w:szCs w:val="14"/>
          <w:color w:val="auto"/>
        </w:rPr>
        <w:t>” means any Patent Rights that Cover any Arrowhead Excluded Know-How.</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Indemnitees</w:t>
      </w:r>
      <w:r>
        <w:rPr>
          <w:rFonts w:ascii="Times New Roman" w:cs="Times New Roman" w:eastAsia="Times New Roman" w:hAnsi="Times New Roman"/>
          <w:sz w:val="14"/>
          <w:szCs w:val="14"/>
          <w:color w:val="auto"/>
        </w:rPr>
        <w:t>” has the meaning set forth in Section 11.2 (Indemnification by Novartis).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23" w:right="319" w:bottom="1440" w:gutter="0" w:footer="0" w:header="0"/>
        </w:sectPr>
      </w:pPr>
    </w:p>
    <w:bookmarkStart w:id="127" w:name="page128"/>
    <w:bookmarkEnd w:id="127"/>
    <w:p>
      <w:pPr>
        <w:ind w:left="2720" w:right="360" w:hanging="2360"/>
        <w:spacing w:after="0" w:line="290" w:lineRule="auto"/>
        <w:tabs>
          <w:tab w:leader="none" w:pos="696"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1.30.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Arrowhead Know-How</w:t>
      </w:r>
      <w:r>
        <w:rPr>
          <w:rFonts w:ascii="Times New Roman" w:cs="Times New Roman" w:eastAsia="Times New Roman" w:hAnsi="Times New Roman"/>
          <w:sz w:val="16"/>
          <w:szCs w:val="16"/>
          <w:color w:val="auto"/>
        </w:rPr>
        <w:t>” means any and all Know-How that (a) relates to the composition of matter, formulation, form, or a method of use or treatment, delivery,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Manufacture of a Licensed Compound or a Licensed Product, (b) is Controlled by Arrowhead or any of its Affiliates as of the Effective Date or during the Term, and (c) is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necessary or reasonably useful to Exploit one or more Licensed Compounds or Licensed Products in the Field in the Territory, </w:t>
      </w:r>
      <w:r>
        <w:rPr>
          <w:rFonts w:ascii="Times New Roman" w:cs="Times New Roman" w:eastAsia="Times New Roman" w:hAnsi="Times New Roman"/>
          <w:sz w:val="14"/>
          <w:szCs w:val="14"/>
          <w:i w:val="1"/>
          <w:iCs w:val="1"/>
          <w:color w:val="auto"/>
        </w:rPr>
        <w:t>including</w:t>
      </w:r>
      <w:r>
        <w:rPr>
          <w:rFonts w:ascii="Times New Roman" w:cs="Times New Roman" w:eastAsia="Times New Roman" w:hAnsi="Times New Roman"/>
          <w:sz w:val="14"/>
          <w:szCs w:val="14"/>
          <w:color w:val="auto"/>
        </w:rPr>
        <w:t xml:space="preserve"> any and all Arrowhead Arising Know-How and Arrowhead’s interest in any and all Joint Arising Know-How but </w:t>
      </w:r>
      <w:r>
        <w:rPr>
          <w:rFonts w:ascii="Times New Roman" w:cs="Times New Roman" w:eastAsia="Times New Roman" w:hAnsi="Times New Roman"/>
          <w:sz w:val="14"/>
          <w:szCs w:val="14"/>
          <w:i w:val="1"/>
          <w:iCs w:val="1"/>
          <w:color w:val="auto"/>
        </w:rPr>
        <w:t>excluding</w:t>
      </w:r>
      <w:r>
        <w:rPr>
          <w:rFonts w:ascii="Times New Roman" w:cs="Times New Roman" w:eastAsia="Times New Roman" w:hAnsi="Times New Roman"/>
          <w:sz w:val="14"/>
          <w:szCs w:val="14"/>
          <w:color w:val="auto"/>
        </w:rPr>
        <w:t xml:space="preserve"> Arrowhead Excluded Know-How. Notwithstanding anything herein to the</w:t>
      </w:r>
    </w:p>
    <w:p>
      <w:pPr>
        <w:ind w:left="520"/>
        <w:spacing w:after="0"/>
        <w:rPr>
          <w:sz w:val="20"/>
          <w:szCs w:val="20"/>
          <w:color w:val="auto"/>
        </w:rPr>
      </w:pPr>
      <w:r>
        <w:rPr>
          <w:rFonts w:ascii="Times New Roman" w:cs="Times New Roman" w:eastAsia="Times New Roman" w:hAnsi="Times New Roman"/>
          <w:sz w:val="16"/>
          <w:szCs w:val="16"/>
          <w:color w:val="auto"/>
        </w:rPr>
        <w:t>contrary, Arrowhead Know-How excludes the Licensed Product-Specific Patent Rights and the Arrowhead Platform Patent Rights.</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Manufacturing Know-How</w:t>
      </w:r>
      <w:r>
        <w:rPr>
          <w:rFonts w:ascii="Times New Roman" w:cs="Times New Roman" w:eastAsia="Times New Roman" w:hAnsi="Times New Roman"/>
          <w:sz w:val="14"/>
          <w:szCs w:val="14"/>
          <w:color w:val="auto"/>
        </w:rPr>
        <w:t>” has the meaning set forth in Section 5.4 (Manufacturing Technology Transfer).</w:t>
      </w:r>
    </w:p>
    <w:p>
      <w:pPr>
        <w:spacing w:after="0" w:line="1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Patent Rights</w:t>
      </w:r>
      <w:r>
        <w:rPr>
          <w:rFonts w:ascii="Times New Roman" w:cs="Times New Roman" w:eastAsia="Times New Roman" w:hAnsi="Times New Roman"/>
          <w:sz w:val="14"/>
          <w:szCs w:val="14"/>
          <w:color w:val="auto"/>
        </w:rPr>
        <w:t>” means any and all Patent Rights that (a) are Controlled by Arrowhead or any of its Affiliates as of the Effective Date or during the Term and</w:t>
      </w:r>
    </w:p>
    <w:p>
      <w:pPr>
        <w:jc w:val="both"/>
        <w:ind w:left="520" w:hanging="6"/>
        <w:spacing w:after="0" w:line="212" w:lineRule="auto"/>
        <w:tabs>
          <w:tab w:leader="none" w:pos="74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Cover a Licensed Compound or a Licensed Product (including, for clarity, its composition of matter, formulation, form, or a method of use or treatment, delivery, or Manufacture) or (ii) are necessary or reasonably useful to Exploit one or more Licensed Compounds or Licensed Products in the Field in the Territory, </w:t>
      </w:r>
      <w:r>
        <w:rPr>
          <w:rFonts w:ascii="Times New Roman" w:cs="Times New Roman" w:eastAsia="Times New Roman" w:hAnsi="Times New Roman"/>
          <w:sz w:val="16"/>
          <w:szCs w:val="16"/>
          <w:i w:val="1"/>
          <w:iCs w:val="1"/>
          <w:color w:val="auto"/>
        </w:rPr>
        <w:t>including</w:t>
      </w:r>
      <w:r>
        <w:rPr>
          <w:rFonts w:ascii="Times New Roman" w:cs="Times New Roman" w:eastAsia="Times New Roman" w:hAnsi="Times New Roman"/>
          <w:sz w:val="16"/>
          <w:szCs w:val="16"/>
          <w:color w:val="auto"/>
        </w:rPr>
        <w:t xml:space="preserve"> any and all Arrowhead Arising Patent Rights and Arrowhead’s interest in any and all Joint Arising Patent Rights but </w:t>
      </w:r>
      <w:r>
        <w:rPr>
          <w:rFonts w:ascii="Times New Roman" w:cs="Times New Roman" w:eastAsia="Times New Roman" w:hAnsi="Times New Roman"/>
          <w:sz w:val="16"/>
          <w:szCs w:val="16"/>
          <w:i w:val="1"/>
          <w:iCs w:val="1"/>
          <w:color w:val="auto"/>
        </w:rPr>
        <w:t>excluding</w:t>
      </w:r>
      <w:r>
        <w:rPr>
          <w:rFonts w:ascii="Times New Roman" w:cs="Times New Roman" w:eastAsia="Times New Roman" w:hAnsi="Times New Roman"/>
          <w:sz w:val="16"/>
          <w:szCs w:val="16"/>
          <w:color w:val="auto"/>
        </w:rPr>
        <w:t xml:space="preserve"> all Arrowhead Excluded Patents Rights. The Arrowhead Patent Rights include the Arrowhead Platform Patent Rights.</w:t>
      </w:r>
    </w:p>
    <w:p>
      <w:pPr>
        <w:spacing w:after="0" w:line="11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1.33.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Arrowhead Platform</w:t>
      </w:r>
      <w:r>
        <w:rPr>
          <w:rFonts w:ascii="Times New Roman" w:cs="Times New Roman" w:eastAsia="Times New Roman" w:hAnsi="Times New Roman"/>
          <w:sz w:val="16"/>
          <w:szCs w:val="16"/>
          <w:color w:val="auto"/>
        </w:rPr>
        <w:t>” means Arrowhead’s proprietary siRNA platform for RNAi Molecule sequence selection and delivery, including for Licensed Products and Licensed Compounds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TRiM™ technology). For clarity, the Arrowhead Platform includes the Arrowhead BBB Platform and Arrowhead Cardiomyocyte Platform.</w:t>
      </w:r>
    </w:p>
    <w:p>
      <w:pPr>
        <w:spacing w:after="0" w:line="12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1.34.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Platform Patent Rights</w:t>
      </w:r>
      <w:r>
        <w:rPr>
          <w:rFonts w:ascii="Times New Roman" w:cs="Times New Roman" w:eastAsia="Times New Roman" w:hAnsi="Times New Roman"/>
          <w:sz w:val="14"/>
          <w:szCs w:val="14"/>
          <w:color w:val="auto"/>
        </w:rPr>
        <w:t>” means any and all Arrowhead Patent Rights that are not Licensed Product-Specific Patent Rights. The Arrowhead Platform Patent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Rights relevant to the contemplated Licensed Compounds and Licensed Products as of the Execution Date, and, if applicable, the Effective Date, are set forth on </w:t>
      </w:r>
      <w:r>
        <w:rPr>
          <w:rFonts w:ascii="Times New Roman" w:cs="Times New Roman" w:eastAsia="Times New Roman" w:hAnsi="Times New Roman"/>
          <w:sz w:val="14"/>
          <w:szCs w:val="14"/>
          <w:b w:val="1"/>
          <w:bCs w:val="1"/>
          <w:color w:val="auto"/>
        </w:rPr>
        <w:t>Schedule</w:t>
      </w:r>
    </w:p>
    <w:p>
      <w:pPr>
        <w:ind w:left="520"/>
        <w:spacing w:after="0"/>
        <w:rPr>
          <w:sz w:val="20"/>
          <w:szCs w:val="20"/>
          <w:color w:val="auto"/>
        </w:rPr>
      </w:pPr>
      <w:r>
        <w:rPr>
          <w:rFonts w:ascii="Times New Roman" w:cs="Times New Roman" w:eastAsia="Times New Roman" w:hAnsi="Times New Roman"/>
          <w:sz w:val="16"/>
          <w:szCs w:val="16"/>
          <w:b w:val="1"/>
          <w:bCs w:val="1"/>
          <w:color w:val="auto"/>
        </w:rPr>
        <w:t xml:space="preserve">1.34 </w:t>
      </w:r>
      <w:r>
        <w:rPr>
          <w:rFonts w:ascii="Times New Roman" w:cs="Times New Roman" w:eastAsia="Times New Roman" w:hAnsi="Times New Roman"/>
          <w:sz w:val="16"/>
          <w:szCs w:val="16"/>
          <w:color w:val="auto"/>
        </w:rPr>
        <w:t>(Arrowhead Platform Patent Rights).</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Prosecuted Patent Rights</w:t>
      </w:r>
      <w:r>
        <w:rPr>
          <w:rFonts w:ascii="Times New Roman" w:cs="Times New Roman" w:eastAsia="Times New Roman" w:hAnsi="Times New Roman"/>
          <w:sz w:val="14"/>
          <w:szCs w:val="14"/>
          <w:color w:val="auto"/>
        </w:rPr>
        <w:t>” has the meaning set forth in Section 12.3.2(a) (Arrowhead’s Right to Prosecute Patents).</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Records</w:t>
      </w:r>
      <w:r>
        <w:rPr>
          <w:rFonts w:ascii="Times New Roman" w:cs="Times New Roman" w:eastAsia="Times New Roman" w:hAnsi="Times New Roman"/>
          <w:sz w:val="14"/>
          <w:szCs w:val="14"/>
          <w:color w:val="auto"/>
        </w:rPr>
        <w:t>” has the meaning set forth in Section 8.7.3 (Records and Audits).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Technology</w:t>
      </w:r>
      <w:r>
        <w:rPr>
          <w:rFonts w:ascii="Times New Roman" w:cs="Times New Roman" w:eastAsia="Times New Roman" w:hAnsi="Times New Roman"/>
          <w:sz w:val="14"/>
          <w:szCs w:val="14"/>
          <w:color w:val="auto"/>
        </w:rPr>
        <w:t>” means, collectively, (a) the Arrowhead Patent Rights and (b) the Arrowhead Know-How.</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Audited Party</w:t>
      </w:r>
      <w:r>
        <w:rPr>
          <w:rFonts w:ascii="Times New Roman" w:cs="Times New Roman" w:eastAsia="Times New Roman" w:hAnsi="Times New Roman"/>
          <w:sz w:val="14"/>
          <w:szCs w:val="14"/>
          <w:color w:val="auto"/>
        </w:rPr>
        <w:t>” has the meaning set forth in Section 8.7.3 (Records and Audits).</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Auditing Party</w:t>
      </w:r>
      <w:r>
        <w:rPr>
          <w:rFonts w:ascii="Times New Roman" w:cs="Times New Roman" w:eastAsia="Times New Roman" w:hAnsi="Times New Roman"/>
          <w:sz w:val="14"/>
          <w:szCs w:val="14"/>
          <w:color w:val="auto"/>
        </w:rPr>
        <w:t>” has the meaning set forth in Section 8.7.3 (Records and Audits).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has the meaning set forth in Section 8.7.3 (Records and Audits).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 Party</w:t>
      </w:r>
      <w:r>
        <w:rPr>
          <w:rFonts w:ascii="Times New Roman" w:cs="Times New Roman" w:eastAsia="Times New Roman" w:hAnsi="Times New Roman"/>
          <w:sz w:val="14"/>
          <w:szCs w:val="14"/>
          <w:color w:val="auto"/>
        </w:rPr>
        <w:t>” has the meaning set forth in Section 13.3 (Termination for Bankruptcy).</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Code</w:t>
      </w:r>
      <w:r>
        <w:rPr>
          <w:rFonts w:ascii="Times New Roman" w:cs="Times New Roman" w:eastAsia="Times New Roman" w:hAnsi="Times New Roman"/>
          <w:sz w:val="14"/>
          <w:szCs w:val="14"/>
          <w:color w:val="auto"/>
        </w:rPr>
        <w:t>” means Title 11, United States Code, as amended, or analogous provisions of Law outside the United States.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Breaching Party</w:t>
      </w:r>
      <w:r>
        <w:rPr>
          <w:rFonts w:ascii="Times New Roman" w:cs="Times New Roman" w:eastAsia="Times New Roman" w:hAnsi="Times New Roman"/>
          <w:sz w:val="14"/>
          <w:szCs w:val="14"/>
          <w:color w:val="auto"/>
        </w:rPr>
        <w:t>” has the meaning set forth in Section 13.4.1 (Material Breach and Cure Period).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23" w:right="319" w:bottom="1440" w:gutter="0" w:footer="0" w:header="0"/>
        </w:sectPr>
      </w:pPr>
    </w:p>
    <w:bookmarkStart w:id="128" w:name="page129"/>
    <w:bookmarkEnd w:id="128"/>
    <w:p>
      <w:pPr>
        <w:ind w:left="2720" w:right="360" w:hanging="2360"/>
        <w:spacing w:after="0" w:line="290" w:lineRule="auto"/>
        <w:tabs>
          <w:tab w:leader="none" w:pos="696"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1.44.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 calendar day other than a Saturday, Sunday, or a bank or other public holiday in Basel, Switzerland; Zurich, Switzerland; New York, New York; Boston, Massachusetts; or Pasadena, California.</w:t>
      </w:r>
    </w:p>
    <w:p>
      <w:pPr>
        <w:spacing w:after="0" w:line="120" w:lineRule="exact"/>
        <w:rPr>
          <w:sz w:val="20"/>
          <w:szCs w:val="20"/>
          <w:color w:val="auto"/>
        </w:rPr>
      </w:pPr>
    </w:p>
    <w:p>
      <w:pPr>
        <w:jc w:val="right"/>
        <w:spacing w:after="0" w:line="204" w:lineRule="auto"/>
        <w:rPr>
          <w:sz w:val="20"/>
          <w:szCs w:val="20"/>
          <w:color w:val="auto"/>
        </w:rPr>
      </w:pPr>
      <w:r>
        <w:rPr>
          <w:rFonts w:ascii="Times New Roman" w:cs="Times New Roman" w:eastAsia="Times New Roman" w:hAnsi="Times New Roman"/>
          <w:sz w:val="15"/>
          <w:szCs w:val="15"/>
          <w:b w:val="1"/>
          <w:bCs w:val="1"/>
          <w:color w:val="auto"/>
        </w:rPr>
        <w:t xml:space="preserve">1.45.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Calendar Quarter</w:t>
      </w:r>
      <w:r>
        <w:rPr>
          <w:rFonts w:ascii="Times New Roman" w:cs="Times New Roman" w:eastAsia="Times New Roman" w:hAnsi="Times New Roman"/>
          <w:sz w:val="15"/>
          <w:szCs w:val="15"/>
          <w:color w:val="auto"/>
        </w:rPr>
        <w:t>” means the respective periods of three consecutive calendar months ending on March 31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5"/>
          <w:szCs w:val="15"/>
          <w:color w:val="auto"/>
        </w:rPr>
        <w:t>, June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September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5"/>
          <w:szCs w:val="15"/>
          <w:color w:val="auto"/>
        </w:rPr>
        <w:t>, or December 31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any Calendar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Year;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first Calendar Quarter of the Term will extend from the Effective Date to the end of the first complete Calendar Quarter thereafter and the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last Calendar Quarter of the Term will end at the end of the Term.</w:t>
      </w:r>
    </w:p>
    <w:p>
      <w:pPr>
        <w:spacing w:after="0" w:line="120" w:lineRule="exact"/>
        <w:rPr>
          <w:sz w:val="20"/>
          <w:szCs w:val="20"/>
          <w:color w:val="auto"/>
        </w:rPr>
      </w:pPr>
    </w:p>
    <w:p>
      <w:pPr>
        <w:ind w:left="500" w:hanging="508"/>
        <w:spacing w:after="0" w:line="20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1.46.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Calendar Year</w:t>
      </w:r>
      <w:r>
        <w:rPr>
          <w:rFonts w:ascii="Times New Roman" w:cs="Times New Roman" w:eastAsia="Times New Roman" w:hAnsi="Times New Roman"/>
          <w:sz w:val="16"/>
          <w:szCs w:val="16"/>
          <w:color w:val="auto"/>
        </w:rPr>
        <w:t>” means any calendar year beginning on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and ending on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first Calendar Year of the Term will begin on the Effective Date and end on December 31 and the last Calendar Year of the Term will end at the end of the Term.</w:t>
      </w:r>
    </w:p>
    <w:p>
      <w:pPr>
        <w:spacing w:after="0" w:line="126" w:lineRule="exact"/>
        <w:rPr>
          <w:sz w:val="20"/>
          <w:szCs w:val="20"/>
          <w:color w:val="auto"/>
        </w:rPr>
      </w:pPr>
    </w:p>
    <w:p>
      <w:pPr>
        <w:ind w:left="500" w:hanging="508"/>
        <w:spacing w:after="0" w:line="230"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1.47.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Cardiomyocyte Target</w:t>
      </w:r>
      <w:r>
        <w:rPr>
          <w:rFonts w:ascii="Times New Roman" w:cs="Times New Roman" w:eastAsia="Times New Roman" w:hAnsi="Times New Roman"/>
          <w:sz w:val="16"/>
          <w:szCs w:val="16"/>
          <w:color w:val="auto"/>
        </w:rPr>
        <w:t xml:space="preserve">” means any genetic target that a potential therapeutic product could be Directed To that would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color w:val="auto"/>
        </w:rPr>
        <w:t xml:space="preserve"> cardiomyocytes, in each case, using the Arrowhead Cardiomyocyte Platform.</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means, with respect to a Party, that: (a) any Third Party acquires directly or indirectly the beneficial ownership of any voting security of such Party, or</w:t>
      </w:r>
    </w:p>
    <w:p>
      <w:pPr>
        <w:ind w:left="520"/>
        <w:spacing w:after="0" w:line="229" w:lineRule="auto"/>
        <w:rPr>
          <w:sz w:val="20"/>
          <w:szCs w:val="20"/>
          <w:color w:val="auto"/>
        </w:rPr>
      </w:pPr>
      <w:r>
        <w:rPr>
          <w:rFonts w:ascii="Times New Roman" w:cs="Times New Roman" w:eastAsia="Times New Roman" w:hAnsi="Times New Roman"/>
          <w:sz w:val="14"/>
          <w:szCs w:val="14"/>
          <w:color w:val="auto"/>
        </w:rPr>
        <w:t>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50% of the total voting</w:t>
      </w:r>
    </w:p>
    <w:p>
      <w:pPr>
        <w:ind w:left="520"/>
        <w:spacing w:after="0" w:line="237" w:lineRule="auto"/>
        <w:rPr>
          <w:sz w:val="20"/>
          <w:szCs w:val="20"/>
          <w:color w:val="auto"/>
        </w:rPr>
      </w:pPr>
      <w:r>
        <w:rPr>
          <w:rFonts w:ascii="Times New Roman" w:cs="Times New Roman" w:eastAsia="Times New Roman" w:hAnsi="Times New Roman"/>
          <w:sz w:val="14"/>
          <w:szCs w:val="14"/>
          <w:color w:val="auto"/>
        </w:rPr>
        <w:t>power of all of the then-outstanding voting securities of such Party; (b) a merger, consolidation, recapitalization, or reorganization of such Party is consummated, other than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any such transaction that would result in shareholders or equity holders of such Party immediately prior to such transaction owning at least 50% of the outstanding voting securities of the surviving entity (or its parent entity) immediately following such transaction; (c) the shareholders or equity holders of such Party approve a plan of</w:t>
      </w:r>
    </w:p>
    <w:p>
      <w:pPr>
        <w:ind w:left="520"/>
        <w:spacing w:after="0" w:line="208" w:lineRule="auto"/>
        <w:rPr>
          <w:sz w:val="20"/>
          <w:szCs w:val="20"/>
          <w:color w:val="auto"/>
        </w:rPr>
      </w:pPr>
      <w:r>
        <w:rPr>
          <w:rFonts w:ascii="Times New Roman" w:cs="Times New Roman" w:eastAsia="Times New Roman" w:hAnsi="Times New Roman"/>
          <w:sz w:val="16"/>
          <w:szCs w:val="16"/>
          <w:color w:val="auto"/>
        </w:rPr>
        <w:t>complete liquidation of such Party, or an agreement for the sale or disposition by such Party of all or substantially all of such Party’s assets, other than pursuant to the</w:t>
      </w:r>
    </w:p>
    <w:p>
      <w:pPr>
        <w:ind w:left="520"/>
        <w:spacing w:after="0" w:line="200" w:lineRule="auto"/>
        <w:rPr>
          <w:sz w:val="20"/>
          <w:szCs w:val="20"/>
          <w:color w:val="auto"/>
        </w:rPr>
      </w:pPr>
      <w:r>
        <w:rPr>
          <w:rFonts w:ascii="Times New Roman" w:cs="Times New Roman" w:eastAsia="Times New Roman" w:hAnsi="Times New Roman"/>
          <w:sz w:val="16"/>
          <w:szCs w:val="16"/>
          <w:color w:val="auto"/>
        </w:rPr>
        <w:t>transactions described above or to an Affiliate; or (d) the sale or transfer to a Third Party of all or substantially all of such Party’s consolidated assets taken as a whole. Notwithstanding the foregoing, any transaction or series of transactions effected for the purpose of financing the operations of the applicable Party or one or more of its</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applicable Affiliates (such as an initial public offering or other offering of equity securities to non-strategic investors) will not be deemed a “</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for purposes of this Agreement.</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1.49.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has the meaning set forth in Section 11.1 (Indemnification by Arrowhead).</w:t>
      </w:r>
    </w:p>
    <w:p>
      <w:pPr>
        <w:spacing w:after="0" w:line="14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Clinical Trial</w:t>
      </w:r>
      <w:r>
        <w:rPr>
          <w:rFonts w:ascii="Times New Roman" w:cs="Times New Roman" w:eastAsia="Times New Roman" w:hAnsi="Times New Roman"/>
          <w:sz w:val="16"/>
          <w:szCs w:val="16"/>
          <w:color w:val="auto"/>
        </w:rPr>
        <w:t>” means any clinical investigation in which a pharmaceutical product is administered or dispensed to, or used involving human subjects, including any Phase I Clinical Trial, Phase II Clinical Trial, Phase III Clinical Trial or other Pivotal Trial, or any post-approval clinical trial in humans.</w:t>
      </w:r>
    </w:p>
    <w:p>
      <w:pPr>
        <w:spacing w:after="0" w:line="11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CMC Activities</w:t>
      </w:r>
      <w:r>
        <w:rPr>
          <w:rFonts w:ascii="Times New Roman" w:cs="Times New Roman" w:eastAsia="Times New Roman" w:hAnsi="Times New Roman"/>
          <w:sz w:val="16"/>
          <w:szCs w:val="16"/>
          <w:color w:val="auto"/>
        </w:rPr>
        <w:t>” means, with respect to a Licensed Compound or Licensed Product, all Manufacturing activities (including the generation of all CMC Data) necessary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the Development or Commercialization of such Licensed Compound or Licensed Product, as applicable, at the applicable stage of Development or</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Commercialization, including formulation, process development, process qualification and validation, scale-up, analytic development, product characterization, stability testing, quality assurance, and quality control.</w:t>
      </w:r>
    </w:p>
    <w:p>
      <w:pPr>
        <w:spacing w:after="0" w:line="12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CMC Data</w:t>
      </w:r>
      <w:r>
        <w:rPr>
          <w:rFonts w:ascii="Times New Roman" w:cs="Times New Roman" w:eastAsia="Times New Roman" w:hAnsi="Times New Roman"/>
          <w:sz w:val="16"/>
          <w:szCs w:val="16"/>
          <w:color w:val="auto"/>
        </w:rPr>
        <w:t>” means the chemistry, manufacturing and controls data for each Licensed Compound or Licensed Product, as applicable, required by applicable Law to be included or referenced in, or that otherwise supports, an application for Regulatory Approval for such Licensed Product.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23" w:right="319" w:bottom="1440" w:gutter="0" w:footer="0" w:header="0"/>
        </w:sectPr>
      </w:pPr>
    </w:p>
    <w:bookmarkStart w:id="129" w:name="page130"/>
    <w:bookmarkEnd w:id="129"/>
    <w:p>
      <w:pPr>
        <w:ind w:left="2720" w:right="360" w:hanging="2360"/>
        <w:spacing w:after="0" w:line="290" w:lineRule="auto"/>
        <w:tabs>
          <w:tab w:leader="none" w:pos="696"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CMO</w:t>
      </w:r>
      <w:r>
        <w:rPr>
          <w:rFonts w:ascii="Times New Roman" w:cs="Times New Roman" w:eastAsia="Times New Roman" w:hAnsi="Times New Roman"/>
          <w:sz w:val="14"/>
          <w:szCs w:val="14"/>
          <w:color w:val="auto"/>
        </w:rPr>
        <w:t>” means a contract manufacturing organization or a contract testing organization.</w:t>
      </w:r>
    </w:p>
    <w:p>
      <w:pPr>
        <w:spacing w:after="0" w:line="145" w:lineRule="exact"/>
        <w:rPr>
          <w:sz w:val="20"/>
          <w:szCs w:val="20"/>
          <w:color w:val="auto"/>
        </w:rPr>
      </w:pPr>
    </w:p>
    <w:p>
      <w:pPr>
        <w:jc w:val="both"/>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CNS Target</w:t>
      </w:r>
      <w:r>
        <w:rPr>
          <w:rFonts w:ascii="Times New Roman" w:cs="Times New Roman" w:eastAsia="Times New Roman" w:hAnsi="Times New Roman"/>
          <w:sz w:val="16"/>
          <w:szCs w:val="16"/>
          <w:color w:val="auto"/>
        </w:rPr>
        <w:t xml:space="preserve">” means any genetic target, other than SNCA, that a potential therapeutic product could be Directed To that would inhibit or otherwise modulate expression within the central nervous system, using the Arrowhead BBB Platform, but excluding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Collaboration Target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CT</w:t>
      </w:r>
      <w:r>
        <w:rPr>
          <w:rFonts w:ascii="Times New Roman" w:cs="Times New Roman" w:eastAsia="Times New Roman" w:hAnsi="Times New Roman"/>
          <w:sz w:val="14"/>
          <w:szCs w:val="14"/>
          <w:color w:val="auto"/>
        </w:rPr>
        <w:t>” means each CNS Target or Cardiomyocyte Target, as the case may be, that is selected by Novartis in accordance with Section 3.1.2(a)(iii)</w:t>
      </w:r>
    </w:p>
    <w:p>
      <w:pPr>
        <w:ind w:left="520"/>
        <w:spacing w:after="0"/>
        <w:rPr>
          <w:sz w:val="20"/>
          <w:szCs w:val="20"/>
          <w:color w:val="auto"/>
        </w:rPr>
      </w:pPr>
      <w:r>
        <w:rPr>
          <w:rFonts w:ascii="Times New Roman" w:cs="Times New Roman" w:eastAsia="Times New Roman" w:hAnsi="Times New Roman"/>
          <w:sz w:val="16"/>
          <w:szCs w:val="16"/>
          <w:color w:val="auto"/>
        </w:rPr>
        <w:t>(B) (Selection of Collaboration Targets), Section 3.1.2(b)(ii) (For Target Failure) or Section 3.1.2(b)(iii) (For Convenience), as applicable.</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Collaboration Target Selection Notice</w:t>
      </w:r>
      <w:r>
        <w:rPr>
          <w:rFonts w:ascii="Times New Roman" w:cs="Times New Roman" w:eastAsia="Times New Roman" w:hAnsi="Times New Roman"/>
          <w:sz w:val="14"/>
          <w:szCs w:val="14"/>
          <w:color w:val="auto"/>
        </w:rPr>
        <w:t>” has the meaning set forth in Section 3.1.2(a)(iii)(B) (Selection of Collaboration Targets).</w:t>
      </w:r>
    </w:p>
    <w:p>
      <w:pPr>
        <w:spacing w:after="0" w:line="1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Collaboration Term</w:t>
      </w:r>
      <w:r>
        <w:rPr>
          <w:rFonts w:ascii="Times New Roman" w:cs="Times New Roman" w:eastAsia="Times New Roman" w:hAnsi="Times New Roman"/>
          <w:sz w:val="14"/>
          <w:szCs w:val="14"/>
          <w:color w:val="auto"/>
        </w:rPr>
        <w:t>” means, on a Collaboration Target-by-Collaboration Target basis, the earlier of (a) the completion of the Development Plan for the CT Program of</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which such Collaboration Target is the subject, (b) the date on which the Futility Criteria has been achieved for such Collaboration Target, or (c) the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anniversary of the Effective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solely in the case of this clause (c), (i) if a Proposed Replacement Target for such failed Collaboration Target is nominated by Novartis as</w:t>
      </w:r>
    </w:p>
    <w:p>
      <w:pPr>
        <w:ind w:left="520"/>
        <w:spacing w:after="0" w:line="237" w:lineRule="auto"/>
        <w:rPr>
          <w:sz w:val="20"/>
          <w:szCs w:val="20"/>
          <w:color w:val="auto"/>
        </w:rPr>
      </w:pPr>
      <w:r>
        <w:rPr>
          <w:rFonts w:ascii="Times New Roman" w:cs="Times New Roman" w:eastAsia="Times New Roman" w:hAnsi="Times New Roman"/>
          <w:sz w:val="14"/>
          <w:szCs w:val="14"/>
          <w:color w:val="auto"/>
        </w:rPr>
        <w:t>permitted under Section 3.1.2(b) (Novartis Collaboration Target Substitution Right) and becomes a new Collaboration Target in accordance with Section 3.1.2(a) (Selection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of Collaboration Targets) and (ii) the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anniversary of the Execution Date is less than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after the date on which the Parties agree on a CT Development Plan for such new Collaboration Target pursuant to Section 3.1.2(d) (CT Development Plans), then such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period will be extended by such an amount of time as is necessary such that</w:t>
      </w:r>
    </w:p>
    <w:p>
      <w:pPr>
        <w:ind w:left="520"/>
        <w:spacing w:after="0"/>
        <w:rPr>
          <w:sz w:val="20"/>
          <w:szCs w:val="20"/>
          <w:color w:val="auto"/>
        </w:rPr>
      </w:pPr>
      <w:r>
        <w:rPr>
          <w:rFonts w:ascii="Times New Roman" w:cs="Times New Roman" w:eastAsia="Times New Roman" w:hAnsi="Times New Roman"/>
          <w:sz w:val="16"/>
          <w:szCs w:val="16"/>
          <w:color w:val="auto"/>
        </w:rPr>
        <w:t xml:space="preserve">there are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color w:val="auto"/>
        </w:rPr>
        <w:t xml:space="preserve"> from the date on which such Proposed Replacement Target became a new Collaboration Target.</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Combination Product</w:t>
      </w:r>
      <w:r>
        <w:rPr>
          <w:rFonts w:ascii="Times New Roman" w:cs="Times New Roman" w:eastAsia="Times New Roman" w:hAnsi="Times New Roman"/>
          <w:sz w:val="14"/>
          <w:szCs w:val="14"/>
          <w:color w:val="auto"/>
        </w:rPr>
        <w:t>” has the meaning set forth in Section 1.165 (“Net Sales”).</w:t>
      </w:r>
    </w:p>
    <w:p>
      <w:pPr>
        <w:spacing w:after="0" w:line="134"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Commercialization</w:t>
      </w:r>
      <w:r>
        <w:rPr>
          <w:rFonts w:ascii="Times New Roman" w:cs="Times New Roman" w:eastAsia="Times New Roman" w:hAnsi="Times New Roman"/>
          <w:sz w:val="16"/>
          <w:szCs w:val="16"/>
          <w:color w:val="auto"/>
        </w:rPr>
        <w:t>” means any and all activities directed to the marketing, promotion, distribution, offering for sale, sale, having sold, importing, having imported, exporting, having exported, or other commercialization of a pharmaceutical or biologic product, but excluding activities directed to Manufacturing, Development, or Medical Affairs. “</w:t>
      </w:r>
      <w:r>
        <w:rPr>
          <w:rFonts w:ascii="Times New Roman" w:cs="Times New Roman" w:eastAsia="Times New Roman" w:hAnsi="Times New Roman"/>
          <w:sz w:val="16"/>
          <w:szCs w:val="16"/>
          <w:b w:val="1"/>
          <w:bCs w:val="1"/>
          <w:color w:val="auto"/>
        </w:rPr>
        <w:t>Commercialize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Commercializing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Commercialized</w:t>
      </w:r>
      <w:r>
        <w:rPr>
          <w:rFonts w:ascii="Times New Roman" w:cs="Times New Roman" w:eastAsia="Times New Roman" w:hAnsi="Times New Roman"/>
          <w:sz w:val="16"/>
          <w:szCs w:val="16"/>
          <w:color w:val="auto"/>
        </w:rPr>
        <w:t>” will be construed accordingly.</w:t>
      </w:r>
    </w:p>
    <w:p>
      <w:pPr>
        <w:spacing w:after="0" w:line="115" w:lineRule="exact"/>
        <w:rPr>
          <w:sz w:val="20"/>
          <w:szCs w:val="20"/>
          <w:color w:val="auto"/>
        </w:rPr>
      </w:pPr>
    </w:p>
    <w:p>
      <w:pPr>
        <w:jc w:val="both"/>
        <w:ind w:left="500" w:hanging="508"/>
        <w:spacing w:after="0" w:line="252"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1.60.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Commercially Reasonable Efforts</w:t>
      </w:r>
      <w:r>
        <w:rPr>
          <w:rFonts w:ascii="Times New Roman" w:cs="Times New Roman" w:eastAsia="Times New Roman" w:hAnsi="Times New Roman"/>
          <w:sz w:val="14"/>
          <w:szCs w:val="14"/>
          <w:color w:val="auto"/>
        </w:rPr>
        <w:t>” means (a) with respect to the efforts and resources to be expended, or considerations to be undertaken, by Novartis with respect to any objective or activity related to the Development, Regulatory Approval, Manufacture, Medical Affairs or Commercialization of a Licensed Compound or a Licensed Product,</w:t>
      </w:r>
    </w:p>
    <w:p>
      <w:pPr>
        <w:ind w:left="520"/>
        <w:spacing w:after="0" w:line="229" w:lineRule="auto"/>
        <w:rPr>
          <w:sz w:val="20"/>
          <w:szCs w:val="20"/>
          <w:color w:val="auto"/>
        </w:rPr>
      </w:pPr>
      <w:r>
        <w:rPr>
          <w:rFonts w:ascii="Times New Roman" w:cs="Times New Roman" w:eastAsia="Times New Roman" w:hAnsi="Times New Roman"/>
          <w:sz w:val="14"/>
          <w:szCs w:val="14"/>
          <w:color w:val="auto"/>
        </w:rPr>
        <w:t>the efforts, resources and considerations to accomplish such objective or activity as Novartis would normally use in the relevant jurisdiction to accomplish a similar objective or activity under similar circumstances, consistent with the exercise of prudent scientific and business judgment, for a similar compound or product owned by it or</w:t>
      </w:r>
    </w:p>
    <w:p>
      <w:pPr>
        <w:ind w:left="520"/>
        <w:spacing w:after="0" w:line="237" w:lineRule="auto"/>
        <w:rPr>
          <w:sz w:val="20"/>
          <w:szCs w:val="20"/>
          <w:color w:val="auto"/>
        </w:rPr>
      </w:pPr>
      <w:r>
        <w:rPr>
          <w:rFonts w:ascii="Times New Roman" w:cs="Times New Roman" w:eastAsia="Times New Roman" w:hAnsi="Times New Roman"/>
          <w:sz w:val="14"/>
          <w:szCs w:val="14"/>
          <w:color w:val="auto"/>
        </w:rPr>
        <w:t>to which it has similar rights, which compound or product, as applicable, is at a similar stage in its development or product life and of similar commercial, profit, and market</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potential, taking into account all relevant factors, including: (i) issues of efficacy, safety, and expected and actual approved labeling, (ii) the likely timing of entry into the market and the expected and actual competitiveness of alternative products sold by Third Parties in the marketplace, (iii) the expected and actual product profile of the</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Licensed Product, (iv) issues of intellectual property coverage,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 expected and actual patent coverage and other proprietary position of the Licensed Product, (v) the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likelihood of receiving Regulatory Approval given the regulatory structure involved,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regulatory or data exclusivity, (vi) the expected and actual profitability of the Licensed Product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(vii)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and (b) with respect to the efforts and resources to be expended by Arrowhead, with respect to any objective or activity under this</w:t>
      </w:r>
    </w:p>
    <w:p>
      <w:pPr>
        <w:ind w:left="520"/>
        <w:spacing w:after="0"/>
        <w:rPr>
          <w:sz w:val="20"/>
          <w:szCs w:val="20"/>
          <w:color w:val="auto"/>
        </w:rPr>
      </w:pPr>
      <w:r>
        <w:rPr>
          <w:rFonts w:ascii="Times New Roman" w:cs="Times New Roman" w:eastAsia="Times New Roman" w:hAnsi="Times New Roman"/>
          <w:sz w:val="16"/>
          <w:szCs w:val="16"/>
          <w:color w:val="auto"/>
        </w:rPr>
        <w:t>Agreement, the reasonable, diligent, good faith efforts and resources to accomplish</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23" w:right="319" w:bottom="1440" w:gutter="0" w:footer="0" w:header="0"/>
        </w:sectPr>
      </w:pPr>
    </w:p>
    <w:bookmarkStart w:id="130" w:name="page131"/>
    <w:bookmarkEnd w:id="130"/>
    <w:p>
      <w:pPr>
        <w:ind w:left="2720" w:right="360" w:hanging="2360"/>
        <w:spacing w:after="0" w:line="290" w:lineRule="auto"/>
        <w:tabs>
          <w:tab w:leader="none" w:pos="696"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4"/>
          <w:szCs w:val="14"/>
          <w:color w:val="auto"/>
        </w:rPr>
        <w:t>such objective or activity as Arrowhead would normally use to accomplish for its own similar objective under similar circumstances. Commercially Reasonable Efforts will be determined on a country-by-country and indication-by-indication basis for each Licensed Product, as applicable, and it is anticipated that the level of effort and resources</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that constitute “Commercially Reasonable Efforts” with respect to a particular country or indication may change over time, reflecting changes in the status of each Licensed Product, as applicable, and the country(ies) involved.</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means the JSC, the JMC, or any joint committees, subcommittees, working groups or other directed teams established by the JSC, as applicable.</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1.62.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Competitive Infringement</w:t>
      </w:r>
      <w:r>
        <w:rPr>
          <w:rFonts w:ascii="Times New Roman" w:cs="Times New Roman" w:eastAsia="Times New Roman" w:hAnsi="Times New Roman"/>
          <w:sz w:val="16"/>
          <w:szCs w:val="16"/>
          <w:color w:val="auto"/>
        </w:rPr>
        <w:t>” means (a) the making, using, selling, offering for sale, importing, or exporting by a Third Party of a pharmaceutical or biologic product in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that actually or potentially infringes a Valid Claim of an Arrowhead Patent Right or a Novartis Arising Patent Right in such country or (b) the filing of an ANDA</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under Section 505(j) of the FD&amp;C Act or an application under Section 505(b)(2) of the FD&amp;C Act naming a Licensed Product as a reference listed drug and including a certification under Section 505(j)(2)(A)(vii)(IV) or 505(b)(2)(A)(IV), respectively.</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means (a) the terms of this Agreement and (b) with respect to a Party, subject to Section 9.3 (Exemptions), all Know-How or other</w:t>
      </w:r>
    </w:p>
    <w:p>
      <w:pPr>
        <w:ind w:left="520"/>
        <w:spacing w:after="0" w:line="229" w:lineRule="auto"/>
        <w:rPr>
          <w:sz w:val="20"/>
          <w:szCs w:val="20"/>
          <w:color w:val="auto"/>
        </w:rPr>
      </w:pPr>
      <w:r>
        <w:rPr>
          <w:rFonts w:ascii="Times New Roman" w:cs="Times New Roman" w:eastAsia="Times New Roman" w:hAnsi="Times New Roman"/>
          <w:sz w:val="14"/>
          <w:szCs w:val="14"/>
          <w:color w:val="auto"/>
        </w:rPr>
        <w:t>information, including proprietary information and materials (whether or not patentable) embodying such Party’s technology, products, business information, or objectives, that is communicated by or on behalf of such Party (the “</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with respect to such information) to the other Party (the “</w:t>
      </w:r>
      <w:r>
        <w:rPr>
          <w:rFonts w:ascii="Times New Roman" w:cs="Times New Roman" w:eastAsia="Times New Roman" w:hAnsi="Times New Roman"/>
          <w:sz w:val="14"/>
          <w:szCs w:val="14"/>
          <w:b w:val="1"/>
          <w:bCs w:val="1"/>
          <w:color w:val="auto"/>
        </w:rPr>
        <w:t>Receiving Party</w:t>
      </w:r>
      <w:r>
        <w:rPr>
          <w:rFonts w:ascii="Times New Roman" w:cs="Times New Roman" w:eastAsia="Times New Roman" w:hAnsi="Times New Roman"/>
          <w:sz w:val="14"/>
          <w:szCs w:val="14"/>
          <w:color w:val="auto"/>
        </w:rPr>
        <w:t>” with respect to such</w:t>
      </w:r>
    </w:p>
    <w:p>
      <w:pPr>
        <w:ind w:left="520"/>
        <w:spacing w:after="0"/>
        <w:rPr>
          <w:sz w:val="20"/>
          <w:szCs w:val="20"/>
          <w:color w:val="auto"/>
        </w:rPr>
      </w:pPr>
      <w:r>
        <w:rPr>
          <w:rFonts w:ascii="Times New Roman" w:cs="Times New Roman" w:eastAsia="Times New Roman" w:hAnsi="Times New Roman"/>
          <w:sz w:val="16"/>
          <w:szCs w:val="16"/>
          <w:color w:val="auto"/>
        </w:rPr>
        <w:t>information) or its permitted recipients, including information disclosed by such Party prior to the Effective Date pursuant to the Confidentiality Agreement.</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Confidentiality Agreement</w:t>
      </w:r>
      <w:r>
        <w:rPr>
          <w:rFonts w:ascii="Times New Roman" w:cs="Times New Roman" w:eastAsia="Times New Roman" w:hAnsi="Times New Roman"/>
          <w:sz w:val="14"/>
          <w:szCs w:val="14"/>
          <w:color w:val="auto"/>
        </w:rPr>
        <w:t xml:space="preserve">” means that certain Mutual Confidential Disclosure Agreement dated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4"/>
          <w:szCs w:val="14"/>
          <w:color w:val="auto"/>
        </w:rPr>
        <w:t xml:space="preserve"> by and between Arrowhead and Novartis Services Inc..</w:t>
      </w:r>
    </w:p>
    <w:p>
      <w:pPr>
        <w:spacing w:after="0" w:line="134" w:lineRule="exact"/>
        <w:rPr>
          <w:sz w:val="20"/>
          <w:szCs w:val="20"/>
          <w:color w:val="auto"/>
        </w:rPr>
      </w:pPr>
    </w:p>
    <w:p>
      <w:pPr>
        <w:jc w:val="right"/>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1.65.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Controlled</w:t>
      </w:r>
      <w:r>
        <w:rPr>
          <w:rFonts w:ascii="Times New Roman" w:cs="Times New Roman" w:eastAsia="Times New Roman" w:hAnsi="Times New Roman"/>
          <w:sz w:val="14"/>
          <w:szCs w:val="14"/>
          <w:color w:val="auto"/>
        </w:rPr>
        <w:t>” means the possession by a Party or its Affiliates (whether by ownership, license, sublicense or otherwise, other than pursuant to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 with respect to any tangible Know-How or materials, the legal authority or right to physical possession of such tangible Know-How or materials, with the right to</w:t>
      </w:r>
    </w:p>
    <w:p>
      <w:pPr>
        <w:ind w:left="520"/>
        <w:spacing w:after="0" w:line="229" w:lineRule="auto"/>
        <w:rPr>
          <w:sz w:val="20"/>
          <w:szCs w:val="20"/>
          <w:color w:val="auto"/>
        </w:rPr>
      </w:pPr>
      <w:r>
        <w:rPr>
          <w:rFonts w:ascii="Times New Roman" w:cs="Times New Roman" w:eastAsia="Times New Roman" w:hAnsi="Times New Roman"/>
          <w:sz w:val="14"/>
          <w:szCs w:val="14"/>
          <w:color w:val="auto"/>
        </w:rPr>
        <w:t>provide such tangible Know-How or materials to the other Party on the terms set forth herein, (b) with respect to Patent Rights, Regulatory Approvals, Regulatory Submissions, intangible Know-How, or other intellectual property, the legal authority or right to grant a license, sublicense, access, or right to use (as applicable) to the other</w:t>
      </w:r>
    </w:p>
    <w:p>
      <w:pPr>
        <w:ind w:left="520"/>
        <w:spacing w:after="0" w:line="237" w:lineRule="auto"/>
        <w:rPr>
          <w:sz w:val="20"/>
          <w:szCs w:val="20"/>
          <w:color w:val="auto"/>
        </w:rPr>
      </w:pPr>
      <w:r>
        <w:rPr>
          <w:rFonts w:ascii="Times New Roman" w:cs="Times New Roman" w:eastAsia="Times New Roman" w:hAnsi="Times New Roman"/>
          <w:sz w:val="14"/>
          <w:szCs w:val="14"/>
          <w:color w:val="auto"/>
        </w:rPr>
        <w:t>Party under such Patent Rights, Regulatory Approvals, Regulatory Submissions, intangible Know-How, or other intellectual property on the terms set forth herein, or (c)</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with respect to a product or component thereof, the legal authority or right to grant a license, sublicense, access, or right to use (as applicable) to the other Party under Patent Rights that Cover, or proprietary Know-How that is incorporated in or embodies, such product or component on the terms set forth herein, in each case ((a), (b), and (c)),</w:t>
      </w:r>
    </w:p>
    <w:p>
      <w:pPr>
        <w:ind w:left="520"/>
        <w:spacing w:after="0" w:line="237" w:lineRule="auto"/>
        <w:rPr>
          <w:sz w:val="20"/>
          <w:szCs w:val="20"/>
          <w:color w:val="auto"/>
        </w:rPr>
      </w:pPr>
      <w:r>
        <w:rPr>
          <w:rFonts w:ascii="Times New Roman" w:cs="Times New Roman" w:eastAsia="Times New Roman" w:hAnsi="Times New Roman"/>
          <w:sz w:val="14"/>
          <w:szCs w:val="14"/>
          <w:color w:val="auto"/>
        </w:rPr>
        <w:t>without (i) breaching or otherwise violating the terms of any arrangement or agreement with a Third Party in existence as of the time such Party or its Affiliates would first</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be required hereunder to grant the other Party such access, right to use, license, or sublicense, or (ii) incurring any additional payment obligations to a Third Party that are not subject to an allocation agreed between the Parties pursuant to this Agreement, including in accordance with Section 2.9 (Third Party In-License Payments) or otherwise</w:t>
      </w:r>
    </w:p>
    <w:p>
      <w:pPr>
        <w:ind w:left="520"/>
        <w:spacing w:after="0" w:line="237" w:lineRule="auto"/>
        <w:rPr>
          <w:sz w:val="20"/>
          <w:szCs w:val="20"/>
          <w:color w:val="auto"/>
        </w:rPr>
      </w:pPr>
      <w:r>
        <w:rPr>
          <w:rFonts w:ascii="Times New Roman" w:cs="Times New Roman" w:eastAsia="Times New Roman" w:hAnsi="Times New Roman"/>
          <w:sz w:val="14"/>
          <w:szCs w:val="14"/>
          <w:color w:val="auto"/>
        </w:rPr>
        <w:t>in writing. Notwithstanding any provision in this Agreement to the contrary, following the closing of a Change of Control of Arrowhead, the Parties agree that Arrowhead</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will be deemed not to Control any materials, tangible Know-How, Patent Rights, Regulatory Submissions, Regulatory Approvals, intangible Know-How, or other intellectual property that are owned or in-licensed by an Acquirer or any of its Affiliates immediately prior to the closing of such Change of Control, except to the extent</w:t>
      </w:r>
    </w:p>
    <w:p>
      <w:pPr>
        <w:ind w:left="520"/>
        <w:spacing w:after="0"/>
        <w:rPr>
          <w:sz w:val="20"/>
          <w:szCs w:val="20"/>
          <w:color w:val="auto"/>
        </w:rPr>
      </w:pPr>
      <w:r>
        <w:rPr>
          <w:rFonts w:ascii="Times New Roman" w:cs="Times New Roman" w:eastAsia="Times New Roman" w:hAnsi="Times New Roman"/>
          <w:sz w:val="16"/>
          <w:szCs w:val="16"/>
          <w:color w:val="auto"/>
        </w:rPr>
        <w:t>such materials, tangible Know-How, Patent Rights, Regulatory Submissions, Regulatory Approvals, intangible Know-How, or other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23" w:right="319" w:bottom="1440" w:gutter="0" w:footer="0" w:header="0"/>
        </w:sectPr>
      </w:pPr>
    </w:p>
    <w:bookmarkStart w:id="131" w:name="page132"/>
    <w:bookmarkEnd w:id="131"/>
    <w:p>
      <w:pPr>
        <w:ind w:left="2720" w:right="360" w:hanging="2360"/>
        <w:spacing w:after="0" w:line="290" w:lineRule="auto"/>
        <w:tabs>
          <w:tab w:leader="none" w:pos="696"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20"/>
        <w:spacing w:after="0" w:line="226" w:lineRule="auto"/>
        <w:rPr>
          <w:sz w:val="20"/>
          <w:szCs w:val="20"/>
          <w:color w:val="auto"/>
        </w:rPr>
      </w:pPr>
      <w:r>
        <w:rPr>
          <w:rFonts w:ascii="Times New Roman" w:cs="Times New Roman" w:eastAsia="Times New Roman" w:hAnsi="Times New Roman"/>
          <w:sz w:val="16"/>
          <w:szCs w:val="16"/>
          <w:color w:val="auto"/>
        </w:rPr>
        <w:t>intellectual property owned or in-licensed by the Acquirer or such Affiliate (A) were included in the licenses or other rights granted to Novartis pursuant to this Agreement immediately prior to the closing of such Change of Control or (B) are used in the performance of any of Arrowhead’s or its Affiliates’ obligations, or exercise of its or their rights, under this Agreement following the closing of such Change of Control.</w:t>
      </w:r>
    </w:p>
    <w:p>
      <w:pPr>
        <w:spacing w:after="0" w:line="115"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1.66.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Covering</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Covered</w:t>
      </w:r>
      <w:r>
        <w:rPr>
          <w:rFonts w:ascii="Times New Roman" w:cs="Times New Roman" w:eastAsia="Times New Roman" w:hAnsi="Times New Roman"/>
          <w:sz w:val="16"/>
          <w:szCs w:val="16"/>
          <w:color w:val="auto"/>
        </w:rPr>
        <w:t>” means, with respect to a particular subject matter at issue and a relevant Patent Right or individual claim in such Patent Right, as applicable, that the manufacture, use, sale, offer for sale, or importation of such subject matter would fall within the scope of one or more claims in such Patent Right or the individual claim of such Patent Right.</w:t>
      </w:r>
    </w:p>
    <w:p>
      <w:pPr>
        <w:spacing w:after="0" w:line="11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CTP Research Milestone Payment</w:t>
      </w:r>
      <w:r>
        <w:rPr>
          <w:rFonts w:ascii="Times New Roman" w:cs="Times New Roman" w:eastAsia="Times New Roman" w:hAnsi="Times New Roman"/>
          <w:sz w:val="14"/>
          <w:szCs w:val="14"/>
          <w:color w:val="auto"/>
        </w:rPr>
        <w:t>” has the meaning set forth in Section 8.3.1 (CT Programs Research Milestones).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CTA</w:t>
      </w:r>
      <w:r>
        <w:rPr>
          <w:rFonts w:ascii="Times New Roman" w:cs="Times New Roman" w:eastAsia="Times New Roman" w:hAnsi="Times New Roman"/>
          <w:sz w:val="14"/>
          <w:szCs w:val="14"/>
          <w:color w:val="auto"/>
        </w:rPr>
        <w:t>” has the meaning set forth in Section 1.125 (“IND”).</w:t>
      </w:r>
    </w:p>
    <w:p>
      <w:pPr>
        <w:spacing w:after="0" w:line="134" w:lineRule="exact"/>
        <w:rPr>
          <w:sz w:val="20"/>
          <w:szCs w:val="20"/>
          <w:color w:val="auto"/>
        </w:rPr>
      </w:pPr>
    </w:p>
    <w:p>
      <w:pPr>
        <w:jc w:val="both"/>
        <w:ind w:left="500" w:hanging="508"/>
        <w:spacing w:after="0" w:line="252"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1.69.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CTA Ready Data Package</w:t>
      </w:r>
      <w:r>
        <w:rPr>
          <w:rFonts w:ascii="Times New Roman" w:cs="Times New Roman" w:eastAsia="Times New Roman" w:hAnsi="Times New Roman"/>
          <w:sz w:val="14"/>
          <w:szCs w:val="14"/>
          <w:color w:val="auto"/>
        </w:rPr>
        <w:t>” means, with respect to a specific Program, the data, results, and other material Arrowhead Know-How, including the chemical structures and sequences of the lead Licensed SNCA Product, in the case of the SNCA Program, or of the Lead Development Candidate, in the case of a CT Program (but, in each case,</w:t>
      </w:r>
    </w:p>
    <w:p>
      <w:pPr>
        <w:ind w:left="520"/>
        <w:spacing w:after="0" w:line="200" w:lineRule="auto"/>
        <w:rPr>
          <w:sz w:val="20"/>
          <w:szCs w:val="20"/>
          <w:color w:val="auto"/>
        </w:rPr>
      </w:pPr>
      <w:r>
        <w:rPr>
          <w:rFonts w:ascii="Times New Roman" w:cs="Times New Roman" w:eastAsia="Times New Roman" w:hAnsi="Times New Roman"/>
          <w:sz w:val="16"/>
          <w:szCs w:val="16"/>
          <w:color w:val="auto"/>
        </w:rPr>
        <w:t>excluding (i) all Arrowhead Manufacturing Know-How, which will be provided to Novartis in accordance with Section 5.4 (Manufacturing Technology Transfer) and (ii) any physical material, which will be provided to Novartis in accordance with Section 5.2 (Remaining Inventory at Technology Transfer Date)): (a) generated in the</w:t>
      </w:r>
    </w:p>
    <w:p>
      <w:pPr>
        <w:ind w:left="520"/>
        <w:spacing w:after="0"/>
        <w:rPr>
          <w:sz w:val="20"/>
          <w:szCs w:val="20"/>
          <w:color w:val="auto"/>
        </w:rPr>
      </w:pPr>
      <w:r>
        <w:rPr>
          <w:rFonts w:ascii="Times New Roman" w:cs="Times New Roman" w:eastAsia="Times New Roman" w:hAnsi="Times New Roman"/>
          <w:sz w:val="14"/>
          <w:szCs w:val="14"/>
          <w:color w:val="auto"/>
        </w:rPr>
        <w:t>performance of all activities under the applicable Development Plan for such Program (including, for clarity, any such Arrowhead Know-How arising from Arrowhead’s</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sponsorship of the NHP MAD Study) and (b) necessary for the filing of a CTA for such lead Licensed SNCA Product or such Lead Development Candidate, as applicable, to commence a Phase I Clinical Trial, but, in each case, in any event, including all information set forth on and (if specified therein) in the format specified in </w:t>
      </w:r>
      <w:r>
        <w:rPr>
          <w:rFonts w:ascii="Times New Roman" w:cs="Times New Roman" w:eastAsia="Times New Roman" w:hAnsi="Times New Roman"/>
          <w:sz w:val="14"/>
          <w:szCs w:val="14"/>
          <w:b w:val="1"/>
          <w:bCs w:val="1"/>
          <w:color w:val="auto"/>
        </w:rPr>
        <w:t>Schedule 1.69</w:t>
      </w:r>
    </w:p>
    <w:p>
      <w:pPr>
        <w:ind w:left="520"/>
        <w:spacing w:after="0"/>
        <w:rPr>
          <w:sz w:val="20"/>
          <w:szCs w:val="20"/>
          <w:color w:val="auto"/>
        </w:rPr>
      </w:pPr>
      <w:r>
        <w:rPr>
          <w:rFonts w:ascii="Times New Roman" w:cs="Times New Roman" w:eastAsia="Times New Roman" w:hAnsi="Times New Roman"/>
          <w:sz w:val="16"/>
          <w:szCs w:val="16"/>
          <w:color w:val="auto"/>
        </w:rPr>
        <w:t>(CTA Ready Data Package Form).</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 Development Plans</w:t>
      </w:r>
      <w:r>
        <w:rPr>
          <w:rFonts w:ascii="Times New Roman" w:cs="Times New Roman" w:eastAsia="Times New Roman" w:hAnsi="Times New Roman"/>
          <w:sz w:val="14"/>
          <w:szCs w:val="14"/>
          <w:color w:val="auto"/>
        </w:rPr>
        <w:t>” has the meaning set forth in Section 3.1.2(d) (CT Development Plans).</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 Program Research Activities</w:t>
      </w:r>
      <w:r>
        <w:rPr>
          <w:rFonts w:ascii="Times New Roman" w:cs="Times New Roman" w:eastAsia="Times New Roman" w:hAnsi="Times New Roman"/>
          <w:sz w:val="14"/>
          <w:szCs w:val="14"/>
          <w:color w:val="auto"/>
        </w:rPr>
        <w:t>” has the meaning set forth in Section 3.1.2(d) (CT Development Plans).</w:t>
      </w:r>
    </w:p>
    <w:p>
      <w:pPr>
        <w:spacing w:after="0" w:line="14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1.72.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CT Programs</w:t>
      </w:r>
      <w:r>
        <w:rPr>
          <w:rFonts w:ascii="Times New Roman" w:cs="Times New Roman" w:eastAsia="Times New Roman" w:hAnsi="Times New Roman"/>
          <w:sz w:val="16"/>
          <w:szCs w:val="16"/>
          <w:color w:val="auto"/>
        </w:rPr>
        <w:t>” means the programs for the Research, Development, Manufacture, Commercialization, and other Exploitation of Licensed CT Compounds and Licensed CT Products, in each case, individually or collectively as the context requires.</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 Substitution Fee</w:t>
      </w:r>
      <w:r>
        <w:rPr>
          <w:rFonts w:ascii="Times New Roman" w:cs="Times New Roman" w:eastAsia="Times New Roman" w:hAnsi="Times New Roman"/>
          <w:sz w:val="14"/>
          <w:szCs w:val="14"/>
          <w:color w:val="auto"/>
        </w:rPr>
        <w:t>” has the meaning set forth in Section 8.2 (CT Substitution Fee).</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CTP Research Milestone Event</w:t>
      </w:r>
      <w:r>
        <w:rPr>
          <w:rFonts w:ascii="Times New Roman" w:cs="Times New Roman" w:eastAsia="Times New Roman" w:hAnsi="Times New Roman"/>
          <w:sz w:val="14"/>
          <w:szCs w:val="14"/>
          <w:color w:val="auto"/>
        </w:rPr>
        <w:t>” has the meaning set forth in Section 8.3.1 (CT Programs Research Milestones).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CTP Research Milestone Payment</w:t>
      </w:r>
      <w:r>
        <w:rPr>
          <w:rFonts w:ascii="Times New Roman" w:cs="Times New Roman" w:eastAsia="Times New Roman" w:hAnsi="Times New Roman"/>
          <w:sz w:val="14"/>
          <w:szCs w:val="14"/>
          <w:color w:val="auto"/>
        </w:rPr>
        <w:t>” has the meaning set forth in Section 8.3.1 (CT Programs Research Milestones).</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Cure Period</w:t>
      </w:r>
      <w:r>
        <w:rPr>
          <w:rFonts w:ascii="Times New Roman" w:cs="Times New Roman" w:eastAsia="Times New Roman" w:hAnsi="Times New Roman"/>
          <w:sz w:val="14"/>
          <w:szCs w:val="14"/>
          <w:color w:val="auto"/>
        </w:rPr>
        <w:t>” has the meaning set forth in Section 13.4.1 (Material Breach and Cure Period).</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1.77.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Data</w:t>
      </w:r>
      <w:r>
        <w:rPr>
          <w:rFonts w:ascii="Times New Roman" w:cs="Times New Roman" w:eastAsia="Times New Roman" w:hAnsi="Times New Roman"/>
          <w:sz w:val="16"/>
          <w:szCs w:val="16"/>
          <w:color w:val="auto"/>
        </w:rPr>
        <w:t>” means any and all data and results that has arisen or arises from the Exploitation of a Licensed Compound or Licensed Product, including pharmacology data,</w:t>
      </w:r>
    </w:p>
    <w:p>
      <w:pPr>
        <w:ind w:left="520"/>
        <w:spacing w:after="0" w:line="229" w:lineRule="auto"/>
        <w:rPr>
          <w:sz w:val="20"/>
          <w:szCs w:val="20"/>
          <w:color w:val="auto"/>
        </w:rPr>
      </w:pPr>
      <w:r>
        <w:rPr>
          <w:rFonts w:ascii="Times New Roman" w:cs="Times New Roman" w:eastAsia="Times New Roman" w:hAnsi="Times New Roman"/>
          <w:sz w:val="14"/>
          <w:szCs w:val="14"/>
          <w:color w:val="auto"/>
        </w:rPr>
        <w:t>preclinical data, clinical data, investigator reports (both preliminary and final), statistical analysis, expert opinions and reports, and safety and other electronic databases, in each case, in any and all forms, including files, reports, raw data, source data (including patient medical records and original patient report forms, but excluding patient-</w:t>
      </w:r>
    </w:p>
    <w:p>
      <w:pPr>
        <w:ind w:left="520"/>
        <w:spacing w:after="0"/>
        <w:rPr>
          <w:sz w:val="20"/>
          <w:szCs w:val="20"/>
          <w:color w:val="auto"/>
        </w:rPr>
      </w:pPr>
      <w:r>
        <w:rPr>
          <w:rFonts w:ascii="Times New Roman" w:cs="Times New Roman" w:eastAsia="Times New Roman" w:hAnsi="Times New Roman"/>
          <w:sz w:val="16"/>
          <w:szCs w:val="16"/>
          <w:color w:val="auto"/>
        </w:rPr>
        <w:t>specific data to the extent required by applicable Laws) and the like.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23" w:right="319" w:bottom="1440" w:gutter="0" w:footer="0" w:header="0"/>
        </w:sectPr>
      </w:pPr>
    </w:p>
    <w:bookmarkStart w:id="132" w:name="page133"/>
    <w:bookmarkEnd w:id="132"/>
    <w:p>
      <w:pPr>
        <w:ind w:left="2720" w:right="360" w:hanging="2360"/>
        <w:spacing w:after="0" w:line="290" w:lineRule="auto"/>
        <w:tabs>
          <w:tab w:leader="none" w:pos="696"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00" w:hanging="508"/>
        <w:spacing w:after="0" w:line="22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1.78.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Debarred</w:t>
      </w:r>
      <w:r>
        <w:rPr>
          <w:rFonts w:ascii="Times New Roman" w:cs="Times New Roman" w:eastAsia="Times New Roman" w:hAnsi="Times New Roman"/>
          <w:sz w:val="16"/>
          <w:szCs w:val="16"/>
          <w:color w:val="auto"/>
        </w:rPr>
        <w:t xml:space="preserve">” means, with respect to an individual or entity, that such individual or entity has been debarred or suspended under 21 U.S.C. §335(a) or (b), the subject of a conviction described in Section 306 of the FD&amp;C Act, excluded from a federal or governmental health care program, debarred from federal contracting, convicted of or pled </w:t>
      </w:r>
      <w:r>
        <w:rPr>
          <w:rFonts w:ascii="Times New Roman" w:cs="Times New Roman" w:eastAsia="Times New Roman" w:hAnsi="Times New Roman"/>
          <w:sz w:val="16"/>
          <w:szCs w:val="16"/>
          <w:i w:val="1"/>
          <w:iCs w:val="1"/>
          <w:color w:val="auto"/>
        </w:rPr>
        <w:t xml:space="preserve">nolo contendere </w:t>
      </w:r>
      <w:r>
        <w:rPr>
          <w:rFonts w:ascii="Times New Roman" w:cs="Times New Roman" w:eastAsia="Times New Roman" w:hAnsi="Times New Roman"/>
          <w:sz w:val="16"/>
          <w:szCs w:val="16"/>
          <w:color w:val="auto"/>
        </w:rPr>
        <w:t>to any felony, or to any federal or state legal violation (including misdemeanors) relating to prescription drug products or fraud.</w:t>
      </w:r>
    </w:p>
    <w:p>
      <w:pPr>
        <w:spacing w:after="0" w:line="115" w:lineRule="exact"/>
        <w:rPr>
          <w:sz w:val="20"/>
          <w:szCs w:val="20"/>
          <w:color w:val="auto"/>
        </w:rPr>
      </w:pPr>
    </w:p>
    <w:p>
      <w:pPr>
        <w:jc w:val="both"/>
        <w:ind w:left="500" w:hanging="508"/>
        <w:spacing w:after="0" w:line="252"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1.79.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Delivery Ligand</w:t>
      </w:r>
      <w:r>
        <w:rPr>
          <w:rFonts w:ascii="Times New Roman" w:cs="Times New Roman" w:eastAsia="Times New Roman" w:hAnsi="Times New Roman"/>
          <w:sz w:val="14"/>
          <w:szCs w:val="14"/>
          <w:color w:val="auto"/>
        </w:rPr>
        <w:t xml:space="preserve">” means a ligand (including any linkers, whether incorporated into the ligand or a separate component) that is (a) conjugated to an RNAi Molecule to help facilitate delivery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 specific tissues or cell types, which may include lipid moieties, antibodies, peptides, and small molecule compounds, (b) a component of, or</w:t>
      </w:r>
    </w:p>
    <w:p>
      <w:pPr>
        <w:ind w:left="520"/>
        <w:spacing w:after="0" w:line="217" w:lineRule="auto"/>
        <w:rPr>
          <w:sz w:val="20"/>
          <w:szCs w:val="20"/>
          <w:color w:val="auto"/>
        </w:rPr>
      </w:pPr>
      <w:r>
        <w:rPr>
          <w:rFonts w:ascii="Times New Roman" w:cs="Times New Roman" w:eastAsia="Times New Roman" w:hAnsi="Times New Roman"/>
          <w:sz w:val="16"/>
          <w:szCs w:val="16"/>
          <w:color w:val="auto"/>
        </w:rPr>
        <w:t>used in the Manufacture of, Licensed Compounds or Licensed Products, and (c) based on, evolved from, a process improvement to, or is otherwise derived from the Arrowhead Platform.</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1.80.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w:t>
      </w:r>
      <w:r>
        <w:rPr>
          <w:rFonts w:ascii="Times New Roman" w:cs="Times New Roman" w:eastAsia="Times New Roman" w:hAnsi="Times New Roman"/>
          <w:sz w:val="16"/>
          <w:szCs w:val="16"/>
          <w:color w:val="auto"/>
        </w:rPr>
        <w:t>” means all internal and external research, development, and regulatory activities related to pharmaceutical or biologic products (including Research),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(a) toxicology testing and studies, non-clinical and preclinical testing, studies, and other activities, and Clinical Trials, and (b) preparation, submission, review, and</w:t>
      </w:r>
    </w:p>
    <w:p>
      <w:pPr>
        <w:ind w:left="520"/>
        <w:spacing w:after="0" w:line="209" w:lineRule="auto"/>
        <w:rPr>
          <w:sz w:val="20"/>
          <w:szCs w:val="20"/>
          <w:color w:val="auto"/>
        </w:rPr>
      </w:pPr>
      <w:r>
        <w:rPr>
          <w:rFonts w:ascii="Times New Roman" w:cs="Times New Roman" w:eastAsia="Times New Roman" w:hAnsi="Times New Roman"/>
          <w:sz w:val="16"/>
          <w:szCs w:val="16"/>
          <w:color w:val="auto"/>
        </w:rPr>
        <w:t>development of data or information for the purpose of submission to a Regulatory Authority to obtain authorization to conduct Clinical Trials and to obtain, support, or</w:t>
      </w:r>
    </w:p>
    <w:p>
      <w:pPr>
        <w:ind w:left="520"/>
        <w:spacing w:after="0" w:line="229" w:lineRule="auto"/>
        <w:rPr>
          <w:sz w:val="20"/>
          <w:szCs w:val="20"/>
          <w:color w:val="auto"/>
        </w:rPr>
      </w:pPr>
      <w:r>
        <w:rPr>
          <w:rFonts w:ascii="Times New Roman" w:cs="Times New Roman" w:eastAsia="Times New Roman" w:hAnsi="Times New Roman"/>
          <w:sz w:val="14"/>
          <w:szCs w:val="14"/>
          <w:color w:val="auto"/>
        </w:rPr>
        <w:t>maintain Regulatory Approval of a pharmaceutical or biologic product and interacting with Regulatory Authorities following receipt of Regulatory Approval in the applicable country or region for such pharmaceutical or biologic product regarding the foregoing, but excluding activities directed to Manufacturing, Medical Affairs, or</w:t>
      </w:r>
    </w:p>
    <w:p>
      <w:pPr>
        <w:ind w:left="520"/>
        <w:spacing w:after="0" w:line="208" w:lineRule="auto"/>
        <w:rPr>
          <w:sz w:val="20"/>
          <w:szCs w:val="20"/>
          <w:color w:val="auto"/>
        </w:rPr>
      </w:pPr>
      <w:r>
        <w:rPr>
          <w:rFonts w:ascii="Times New Roman" w:cs="Times New Roman" w:eastAsia="Times New Roman" w:hAnsi="Times New Roman"/>
          <w:sz w:val="16"/>
          <w:szCs w:val="16"/>
          <w:color w:val="auto"/>
        </w:rPr>
        <w:t>Commercialization. Development will include development and regulatory activities for additional forms, formulations, or indications for a pharmaceutical or biologic</w:t>
      </w:r>
    </w:p>
    <w:p>
      <w:pPr>
        <w:ind w:left="520"/>
        <w:spacing w:after="0" w:line="229" w:lineRule="auto"/>
        <w:rPr>
          <w:sz w:val="20"/>
          <w:szCs w:val="20"/>
          <w:color w:val="auto"/>
        </w:rPr>
      </w:pPr>
      <w:r>
        <w:rPr>
          <w:rFonts w:ascii="Times New Roman" w:cs="Times New Roman" w:eastAsia="Times New Roman" w:hAnsi="Times New Roman"/>
          <w:sz w:val="14"/>
          <w:szCs w:val="14"/>
          <w:color w:val="auto"/>
        </w:rPr>
        <w:t>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w:t>
      </w:r>
    </w:p>
    <w:p>
      <w:pPr>
        <w:ind w:left="520"/>
        <w:spacing w:after="0" w:line="237" w:lineRule="auto"/>
        <w:rPr>
          <w:sz w:val="20"/>
          <w:szCs w:val="20"/>
          <w:color w:val="auto"/>
        </w:rPr>
      </w:pPr>
      <w:r>
        <w:rPr>
          <w:rFonts w:ascii="Times New Roman" w:cs="Times New Roman" w:eastAsia="Times New Roman" w:hAnsi="Times New Roman"/>
          <w:sz w:val="14"/>
          <w:szCs w:val="14"/>
          <w:color w:val="auto"/>
        </w:rPr>
        <w:t>with respect to an approved formulation or indication (such as post-marketing studies or observational studies, in either case, if required by any Regulatory Authority in any</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region in the Territory to support or maintain Regulatory Approval for a pharmaceutical or biologic product in such region). “</w:t>
      </w:r>
      <w:r>
        <w:rPr>
          <w:rFonts w:ascii="Times New Roman" w:cs="Times New Roman" w:eastAsia="Times New Roman" w:hAnsi="Times New Roman"/>
          <w:sz w:val="16"/>
          <w:szCs w:val="16"/>
          <w:b w:val="1"/>
          <w:bCs w:val="1"/>
          <w:color w:val="auto"/>
        </w:rPr>
        <w:t>Develop</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Developing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Developed</w:t>
      </w:r>
      <w:r>
        <w:rPr>
          <w:rFonts w:ascii="Times New Roman" w:cs="Times New Roman" w:eastAsia="Times New Roman" w:hAnsi="Times New Roman"/>
          <w:sz w:val="16"/>
          <w:szCs w:val="16"/>
          <w:color w:val="auto"/>
        </w:rPr>
        <w:t>” will be construed accordingly.</w:t>
      </w:r>
    </w:p>
    <w:p>
      <w:pPr>
        <w:spacing w:after="0" w:line="12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1.81.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Development Plans</w:t>
      </w:r>
      <w:r>
        <w:rPr>
          <w:rFonts w:ascii="Times New Roman" w:cs="Times New Roman" w:eastAsia="Times New Roman" w:hAnsi="Times New Roman"/>
          <w:sz w:val="16"/>
          <w:szCs w:val="16"/>
          <w:color w:val="auto"/>
        </w:rPr>
        <w:t>” means, individually or collectively as the context requires, the SNCA Development Plan in respect of the SNCA Program and the CT Development Plan in respect of a CT Program.</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Report</w:t>
      </w:r>
      <w:r>
        <w:rPr>
          <w:rFonts w:ascii="Times New Roman" w:cs="Times New Roman" w:eastAsia="Times New Roman" w:hAnsi="Times New Roman"/>
          <w:sz w:val="14"/>
          <w:szCs w:val="14"/>
          <w:color w:val="auto"/>
        </w:rPr>
        <w:t>” has the meaning set forth in Section 3.8.1 (Arrowhead Development Reports).</w:t>
      </w:r>
    </w:p>
    <w:p>
      <w:pPr>
        <w:spacing w:after="0" w:line="145" w:lineRule="exact"/>
        <w:rPr>
          <w:sz w:val="20"/>
          <w:szCs w:val="20"/>
          <w:color w:val="auto"/>
        </w:rPr>
      </w:pPr>
    </w:p>
    <w:p>
      <w:pPr>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1.83.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Direct Costs</w:t>
      </w:r>
      <w:r>
        <w:rPr>
          <w:rFonts w:ascii="Times New Roman" w:cs="Times New Roman" w:eastAsia="Times New Roman" w:hAnsi="Times New Roman"/>
          <w:sz w:val="16"/>
          <w:szCs w:val="16"/>
          <w:color w:val="auto"/>
        </w:rPr>
        <w:t xml:space="preserve">” means the sum of the following as incurred for the applicable Licensed Compound, Licensed Product, or any other tangible material to be provided by one Party to the other Party hereunder: </w:t>
      </w:r>
      <w:r>
        <w:rPr>
          <w:rFonts w:ascii="Times New Roman" w:cs="Times New Roman" w:eastAsia="Times New Roman" w:hAnsi="Times New Roman"/>
          <w:sz w:val="14"/>
          <w:szCs w:val="14"/>
          <w:b w:val="1"/>
          <w:bCs w:val="1"/>
          <w:color w:val="auto"/>
        </w:rPr>
        <w:t>[***]</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Directed To</w:t>
      </w:r>
      <w:r>
        <w:rPr>
          <w:rFonts w:ascii="Times New Roman" w:cs="Times New Roman" w:eastAsia="Times New Roman" w:hAnsi="Times New Roman"/>
          <w:sz w:val="14"/>
          <w:szCs w:val="14"/>
          <w:color w:val="auto"/>
        </w:rPr>
        <w:t xml:space="preserve">” means, with respect to a compound or product and a gene target, that the mechanism of such compound or product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such target.</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1.85.</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Disclosing Party</w:t>
      </w:r>
      <w:r>
        <w:rPr>
          <w:rFonts w:ascii="Times New Roman" w:cs="Times New Roman" w:eastAsia="Times New Roman" w:hAnsi="Times New Roman"/>
          <w:sz w:val="14"/>
          <w:szCs w:val="14"/>
          <w:color w:val="auto"/>
        </w:rPr>
        <w:t>” has the meaning set forth in Section 1.63 (“Confidential Information”).</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Disputes</w:t>
      </w:r>
      <w:r>
        <w:rPr>
          <w:rFonts w:ascii="Times New Roman" w:cs="Times New Roman" w:eastAsia="Times New Roman" w:hAnsi="Times New Roman"/>
          <w:sz w:val="14"/>
          <w:szCs w:val="14"/>
          <w:color w:val="auto"/>
        </w:rPr>
        <w:t>” has the meaning set forth in Section 15.1 (Exclusive Dispute Resolution Mechanism).</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means the legal tender of the United States of America.</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1.88.</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Drug Product</w:t>
      </w:r>
      <w:r>
        <w:rPr>
          <w:rFonts w:ascii="Times New Roman" w:cs="Times New Roman" w:eastAsia="Times New Roman" w:hAnsi="Times New Roman"/>
          <w:sz w:val="14"/>
          <w:szCs w:val="14"/>
          <w:color w:val="auto"/>
        </w:rPr>
        <w:t>” has the meaning set forth in Section 5.3 (Novartis Manufacturing Options).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23" w:right="319" w:bottom="1440" w:gutter="0" w:footer="0" w:header="0"/>
        </w:sectPr>
      </w:pPr>
    </w:p>
    <w:bookmarkStart w:id="133" w:name="page134"/>
    <w:bookmarkEnd w:id="133"/>
    <w:p>
      <w:pPr>
        <w:ind w:left="2720" w:right="360" w:hanging="2360"/>
        <w:spacing w:after="0" w:line="290" w:lineRule="auto"/>
        <w:tabs>
          <w:tab w:leader="none" w:pos="696"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1.89.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Drug Substance</w:t>
      </w:r>
      <w:r>
        <w:rPr>
          <w:rFonts w:ascii="Times New Roman" w:cs="Times New Roman" w:eastAsia="Times New Roman" w:hAnsi="Times New Roman"/>
          <w:sz w:val="14"/>
          <w:szCs w:val="14"/>
          <w:color w:val="auto"/>
        </w:rPr>
        <w:t>” has the meaning set forth in Section 5.3 (Novartis Manufacturing Options).</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1.90.</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has the meaning set forth in Section 14.1 (Effective Date).</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1.91.</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EMA</w:t>
      </w:r>
      <w:r>
        <w:rPr>
          <w:rFonts w:ascii="Times New Roman" w:cs="Times New Roman" w:eastAsia="Times New Roman" w:hAnsi="Times New Roman"/>
          <w:sz w:val="14"/>
          <w:szCs w:val="14"/>
          <w:color w:val="auto"/>
        </w:rPr>
        <w:t>” means the European Medicines Agency or any successor entity.</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1.92.</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European Union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EU</w:t>
      </w:r>
      <w:r>
        <w:rPr>
          <w:rFonts w:ascii="Times New Roman" w:cs="Times New Roman" w:eastAsia="Times New Roman" w:hAnsi="Times New Roman"/>
          <w:sz w:val="14"/>
          <w:szCs w:val="14"/>
          <w:color w:val="auto"/>
        </w:rPr>
        <w:t>” mean the European Union, as may be redefined from time to time.</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1.93.</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Exclusivity Period</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Execution Date</w:t>
      </w:r>
      <w:r>
        <w:rPr>
          <w:rFonts w:ascii="Times New Roman" w:cs="Times New Roman" w:eastAsia="Times New Roman" w:hAnsi="Times New Roman"/>
          <w:sz w:val="14"/>
          <w:szCs w:val="14"/>
          <w:color w:val="auto"/>
        </w:rPr>
        <w:t>” has the meaning set forth in the preamble.</w:t>
      </w:r>
    </w:p>
    <w:p>
      <w:pPr>
        <w:spacing w:after="0" w:line="134" w:lineRule="exact"/>
        <w:rPr>
          <w:sz w:val="20"/>
          <w:szCs w:val="20"/>
          <w:color w:val="auto"/>
        </w:rPr>
      </w:pPr>
    </w:p>
    <w:p>
      <w:pPr>
        <w:jc w:val="both"/>
        <w:ind w:left="500" w:hanging="508"/>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1.95.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Executive Officer</w:t>
      </w:r>
      <w:r>
        <w:rPr>
          <w:rFonts w:ascii="Times New Roman" w:cs="Times New Roman" w:eastAsia="Times New Roman" w:hAnsi="Times New Roman"/>
          <w:sz w:val="16"/>
          <w:szCs w:val="16"/>
          <w:color w:val="auto"/>
        </w:rPr>
        <w:t>” means (a) the [***] of Arrowhead (or [***] of Arrowhead designated by [***] of Arrowhead who has the power and authority to resolve a given Dispute or matter) and (b) the [***] of Novartis (or his/her designee).</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1.96.</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Expedited Arbitrator</w:t>
      </w:r>
      <w:r>
        <w:rPr>
          <w:rFonts w:ascii="Times New Roman" w:cs="Times New Roman" w:eastAsia="Times New Roman" w:hAnsi="Times New Roman"/>
          <w:sz w:val="14"/>
          <w:szCs w:val="14"/>
          <w:color w:val="auto"/>
        </w:rPr>
        <w:t>” has the meaning set forth in Section 15.3.1 (Expedited Arbitration).</w:t>
      </w:r>
    </w:p>
    <w:p>
      <w:pPr>
        <w:spacing w:after="0" w:line="1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1.97.</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Exploitation</w:t>
      </w:r>
      <w:r>
        <w:rPr>
          <w:rFonts w:ascii="Times New Roman" w:cs="Times New Roman" w:eastAsia="Times New Roman" w:hAnsi="Times New Roman"/>
          <w:sz w:val="14"/>
          <w:szCs w:val="14"/>
          <w:color w:val="auto"/>
        </w:rPr>
        <w:t>” means to Develop, Manufacture, Commercialize, or otherwise exploit. When used as a verb, to “</w:t>
      </w:r>
      <w:r>
        <w:rPr>
          <w:rFonts w:ascii="Times New Roman" w:cs="Times New Roman" w:eastAsia="Times New Roman" w:hAnsi="Times New Roman"/>
          <w:sz w:val="14"/>
          <w:szCs w:val="14"/>
          <w:b w:val="1"/>
          <w:bCs w:val="1"/>
          <w:color w:val="auto"/>
        </w:rPr>
        <w:t>Exploit</w:t>
      </w:r>
      <w:r>
        <w:rPr>
          <w:rFonts w:ascii="Times New Roman" w:cs="Times New Roman" w:eastAsia="Times New Roman" w:hAnsi="Times New Roman"/>
          <w:sz w:val="14"/>
          <w:szCs w:val="14"/>
          <w:color w:val="auto"/>
        </w:rPr>
        <w:t>” means to engage in any of the foregoing activities.</w:t>
      </w:r>
    </w:p>
    <w:p>
      <w:pPr>
        <w:spacing w:after="0" w:line="145" w:lineRule="exact"/>
        <w:rPr>
          <w:sz w:val="20"/>
          <w:szCs w:val="20"/>
          <w:color w:val="auto"/>
        </w:rPr>
      </w:pPr>
    </w:p>
    <w:p>
      <w:pPr>
        <w:jc w:val="both"/>
        <w:ind w:left="500" w:hanging="508"/>
        <w:spacing w:after="0" w:line="230"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1.98.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FD&amp;C Act</w:t>
      </w:r>
      <w:r>
        <w:rPr>
          <w:rFonts w:ascii="Times New Roman" w:cs="Times New Roman" w:eastAsia="Times New Roman" w:hAnsi="Times New Roman"/>
          <w:sz w:val="16"/>
          <w:szCs w:val="16"/>
          <w:color w:val="auto"/>
        </w:rPr>
        <w:t xml:space="preserve">” means the United States Federal Food, Drug, and Cosmetic Act, 21 U.S.C. § 301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as amended together with any rules, regulations, and requirements promulgated thereunder.</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1.99.</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 means the United States Food and Drug Administration or any successor agency thereto.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1.100.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Field</w:t>
      </w:r>
      <w:r>
        <w:rPr>
          <w:rFonts w:ascii="Times New Roman" w:cs="Times New Roman" w:eastAsia="Times New Roman" w:hAnsi="Times New Roman"/>
          <w:sz w:val="16"/>
          <w:szCs w:val="16"/>
          <w:color w:val="auto"/>
        </w:rPr>
        <w:t>” means all human and animal therapeutic uses for the treatment, prevention, or prophylaxis of any disease, disorder, or condition.</w:t>
      </w:r>
    </w:p>
    <w:p>
      <w:pPr>
        <w:spacing w:after="0" w:line="134" w:lineRule="exact"/>
        <w:rPr>
          <w:sz w:val="20"/>
          <w:szCs w:val="20"/>
          <w:color w:val="auto"/>
        </w:rPr>
      </w:pPr>
    </w:p>
    <w:p>
      <w:pPr>
        <w:jc w:val="both"/>
        <w:ind w:left="520" w:hanging="508"/>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1.101.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 Commercial Sale</w:t>
      </w:r>
      <w:r>
        <w:rPr>
          <w:rFonts w:ascii="Times New Roman" w:cs="Times New Roman" w:eastAsia="Times New Roman" w:hAnsi="Times New Roman"/>
          <w:sz w:val="16"/>
          <w:szCs w:val="16"/>
          <w:color w:val="auto"/>
        </w:rPr>
        <w:t>” means, on a country-by-country and Licensed Product-by-Licensed Product basis, the first sale under this Agreement by Novartis or any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Affiliates or Sublicensees to a Third Party for use, consumption, or resale of such Licensed Product in such country following receipt of Marketing Approval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such Licensed Product in such country. [***].</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1.102.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1.103.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Force Majeure</w:t>
      </w:r>
      <w:r>
        <w:rPr>
          <w:rFonts w:ascii="Times New Roman" w:cs="Times New Roman" w:eastAsia="Times New Roman" w:hAnsi="Times New Roman"/>
          <w:sz w:val="14"/>
          <w:szCs w:val="14"/>
          <w:color w:val="auto"/>
        </w:rPr>
        <w:t>” means any event beyond the reasonable control of the affected Party, including embargoes, tariffs or other trade restrictions, war or acts of war, including</w:t>
      </w:r>
    </w:p>
    <w:p>
      <w:pPr>
        <w:spacing w:after="0" w:line="18"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terrorism, insurrections, riots, or civil unrest; strikes, lockouts, or other labor disturbances (other than strikes, lockouts, or labor disturbances involving such Party’s own employees); epidemics, pandemics, the spread of infectious diseases, and quarantines; fire, floods, earthquakes, or other acts of nature; or acts, omissions, or delays in acting</w:t>
      </w:r>
    </w:p>
    <w:p>
      <w:pPr>
        <w:ind w:left="520"/>
        <w:spacing w:after="0"/>
        <w:rPr>
          <w:sz w:val="20"/>
          <w:szCs w:val="20"/>
          <w:color w:val="auto"/>
        </w:rPr>
      </w:pPr>
      <w:r>
        <w:rPr>
          <w:rFonts w:ascii="Times New Roman" w:cs="Times New Roman" w:eastAsia="Times New Roman" w:hAnsi="Times New Roman"/>
          <w:sz w:val="16"/>
          <w:szCs w:val="16"/>
          <w:color w:val="auto"/>
        </w:rPr>
        <w:t>by any Governmental Authority.</w:t>
      </w:r>
    </w:p>
    <w:p>
      <w:pPr>
        <w:spacing w:after="0" w:line="12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1.104.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FTE</w:t>
      </w:r>
      <w:r>
        <w:rPr>
          <w:rFonts w:ascii="Times New Roman" w:cs="Times New Roman" w:eastAsia="Times New Roman" w:hAnsi="Times New Roman"/>
          <w:sz w:val="14"/>
          <w:szCs w:val="14"/>
          <w:color w:val="auto"/>
        </w:rPr>
        <w:t>” means a qualified full-time person, or more than one person working the equivalent of a full-time person, where “full time” is based upon a total of [***]. Overtime,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work on weekends, holidays, and the like will not be counted with any multiplier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time-and-a-half or double time) toward the number of hours that are used to</w:t>
      </w:r>
    </w:p>
    <w:p>
      <w:pPr>
        <w:ind w:left="520"/>
        <w:spacing w:after="0" w:line="237" w:lineRule="auto"/>
        <w:rPr>
          <w:sz w:val="20"/>
          <w:szCs w:val="20"/>
          <w:color w:val="auto"/>
        </w:rPr>
      </w:pPr>
      <w:r>
        <w:rPr>
          <w:rFonts w:ascii="Times New Roman" w:cs="Times New Roman" w:eastAsia="Times New Roman" w:hAnsi="Times New Roman"/>
          <w:sz w:val="14"/>
          <w:szCs w:val="14"/>
          <w:color w:val="auto"/>
        </w:rPr>
        <w:t>calculate the FTE contribution. Each employee utilized by Arrowhead or any of its Affiliates in connection with Arrowhead’s or such Affiliate’s performance under this</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Agreement may be less than or greater than one FTE based on the hours actually worked by such employee and will be treated as an FTE on a pro rata basis based upon the actual number of such hours worked divided by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1.105.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FTE Costs</w:t>
      </w:r>
      <w:r>
        <w:rPr>
          <w:rFonts w:ascii="Times New Roman" w:cs="Times New Roman" w:eastAsia="Times New Roman" w:hAnsi="Times New Roman"/>
          <w:sz w:val="16"/>
          <w:szCs w:val="16"/>
          <w:color w:val="auto"/>
        </w:rPr>
        <w:t>” means, for any period, the FTE Rate multiplied by the number of FTEs in such period. FTEs will be pro-rated on a daily basis if necessary.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23" w:right="319" w:bottom="1440" w:gutter="0" w:footer="0" w:header="0"/>
        </w:sectPr>
      </w:pPr>
    </w:p>
    <w:bookmarkStart w:id="134" w:name="page135"/>
    <w:bookmarkEnd w:id="134"/>
    <w:p>
      <w:pPr>
        <w:ind w:left="2720" w:right="360" w:hanging="2360"/>
        <w:spacing w:after="0" w:line="290" w:lineRule="auto"/>
        <w:tabs>
          <w:tab w:leader="none" w:pos="696"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20" w:hanging="508"/>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1.106.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FTE Rate</w:t>
      </w:r>
      <w:r>
        <w:rPr>
          <w:rFonts w:ascii="Times New Roman" w:cs="Times New Roman" w:eastAsia="Times New Roman" w:hAnsi="Times New Roman"/>
          <w:sz w:val="16"/>
          <w:szCs w:val="16"/>
          <w:color w:val="auto"/>
        </w:rPr>
        <w:t>” means, for the period commencing on the Effective Date until such time as the Parties agree otherwise,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 year, subject to annual increases beginning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on January 1, 2026 to reflect percentage increase 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calculated by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color w:val="auto"/>
        </w:rPr>
        <w:t>. For the avoidance of doubt, such rate is intended to cover the cost of salaries, benefits, infrastructure costs, travel, general laboratory or office supplies, postage, insurance, training and all other general expenses and overhead items.</w:t>
      </w:r>
    </w:p>
    <w:p>
      <w:pPr>
        <w:spacing w:after="0" w:line="115" w:lineRule="exact"/>
        <w:rPr>
          <w:sz w:val="20"/>
          <w:szCs w:val="20"/>
          <w:color w:val="auto"/>
        </w:rPr>
      </w:pPr>
    </w:p>
    <w:p>
      <w:pPr>
        <w:jc w:val="both"/>
        <w:ind w:left="520" w:hanging="508"/>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1.107.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Fully Burdened Cost</w:t>
      </w:r>
      <w:r>
        <w:rPr>
          <w:rFonts w:ascii="Times New Roman" w:cs="Times New Roman" w:eastAsia="Times New Roman" w:hAnsi="Times New Roman"/>
          <w:sz w:val="14"/>
          <w:szCs w:val="14"/>
          <w:color w:val="auto"/>
        </w:rPr>
        <w:t>” means, with respect to a Party and Licensed Compound, Licensed Product, or any other tangible material to be provided by one Party to the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Party hereunder,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All costs and expenses included in this definition will be calculated in accordance with Accounting Standards by such Party on a consistent basis.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1.108.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Futility Criteria</w:t>
      </w:r>
      <w:r>
        <w:rPr>
          <w:rFonts w:ascii="Times New Roman" w:cs="Times New Roman" w:eastAsia="Times New Roman" w:hAnsi="Times New Roman"/>
          <w:sz w:val="16"/>
          <w:szCs w:val="16"/>
          <w:color w:val="auto"/>
        </w:rPr>
        <w:t>” means, on a Collaboration Target-by-Collaboration Target, the futility criteria specified in the CT Development Plan for such Collaboration Target.</w:t>
      </w:r>
    </w:p>
    <w:p>
      <w:pPr>
        <w:spacing w:after="0" w:line="134" w:lineRule="exact"/>
        <w:rPr>
          <w:sz w:val="20"/>
          <w:szCs w:val="20"/>
          <w:color w:val="auto"/>
        </w:rPr>
      </w:pPr>
    </w:p>
    <w:p>
      <w:pPr>
        <w:jc w:val="both"/>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1.109.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United States generally accepted accounting principles, which principles are currently used at the relevant time and consistently applied by the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Gatekeeper</w:t>
      </w:r>
      <w:r>
        <w:rPr>
          <w:rFonts w:ascii="Times New Roman" w:cs="Times New Roman" w:eastAsia="Times New Roman" w:hAnsi="Times New Roman"/>
          <w:sz w:val="16"/>
          <w:szCs w:val="16"/>
          <w:color w:val="auto"/>
        </w:rPr>
        <w:t>” has the meaning set forth in Section 3.1.2(a)(ii) (Selection of Collaboration Targets).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Generic Entry Date</w:t>
      </w:r>
      <w:r>
        <w:rPr>
          <w:rFonts w:ascii="Times New Roman" w:cs="Times New Roman" w:eastAsia="Times New Roman" w:hAnsi="Times New Roman"/>
          <w:sz w:val="16"/>
          <w:szCs w:val="16"/>
          <w:color w:val="auto"/>
        </w:rPr>
        <w:t>” has the meaning set forth in Section 8.5.2 (Reduction for Generic Competition).</w:t>
      </w:r>
    </w:p>
    <w:p>
      <w:pPr>
        <w:spacing w:after="0" w:line="145" w:lineRule="exact"/>
        <w:rPr>
          <w:sz w:val="20"/>
          <w:szCs w:val="20"/>
          <w:color w:val="auto"/>
        </w:rPr>
      </w:pPr>
    </w:p>
    <w:p>
      <w:pPr>
        <w:jc w:val="both"/>
        <w:ind w:left="520" w:hanging="508"/>
        <w:spacing w:after="0" w:line="244" w:lineRule="auto"/>
        <w:rPr>
          <w:sz w:val="20"/>
          <w:szCs w:val="20"/>
          <w:color w:val="auto"/>
        </w:rPr>
      </w:pPr>
      <w:r>
        <w:rPr>
          <w:rFonts w:ascii="Times New Roman" w:cs="Times New Roman" w:eastAsia="Times New Roman" w:hAnsi="Times New Roman"/>
          <w:sz w:val="14"/>
          <w:szCs w:val="14"/>
          <w:b w:val="1"/>
          <w:bCs w:val="1"/>
          <w:color w:val="auto"/>
        </w:rPr>
        <w:t xml:space="preserve">1.112.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Generic Product</w:t>
      </w:r>
      <w:r>
        <w:rPr>
          <w:rFonts w:ascii="Times New Roman" w:cs="Times New Roman" w:eastAsia="Times New Roman" w:hAnsi="Times New Roman"/>
          <w:sz w:val="14"/>
          <w:szCs w:val="14"/>
          <w:color w:val="auto"/>
        </w:rPr>
        <w:t>” means, with respect to a Licensed Product in a particular country of the Territory, any product that is approved, or is sought to be approved, in reliance,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whole or in part, on the prior Regulatory Approval (or on safety or efficacy data submitted in support of the prior Regulatory Approval) of such Licensed Product in such</w:t>
      </w:r>
    </w:p>
    <w:p>
      <w:pPr>
        <w:ind w:left="520"/>
        <w:spacing w:after="0" w:line="208" w:lineRule="auto"/>
        <w:rPr>
          <w:sz w:val="20"/>
          <w:szCs w:val="20"/>
          <w:color w:val="auto"/>
        </w:rPr>
      </w:pPr>
      <w:r>
        <w:rPr>
          <w:rFonts w:ascii="Times New Roman" w:cs="Times New Roman" w:eastAsia="Times New Roman" w:hAnsi="Times New Roman"/>
          <w:sz w:val="16"/>
          <w:szCs w:val="16"/>
          <w:color w:val="auto"/>
        </w:rPr>
        <w:t>country as determined by the applicable Regulatory Authority of such country, including any product authorized for sale (a) in the U.S. pursuant to, as applicable, (i)</w:t>
      </w:r>
    </w:p>
    <w:p>
      <w:pPr>
        <w:ind w:left="520" w:firstLine="48"/>
        <w:spacing w:after="0" w:line="229" w:lineRule="auto"/>
        <w:rPr>
          <w:sz w:val="20"/>
          <w:szCs w:val="20"/>
          <w:color w:val="auto"/>
        </w:rPr>
      </w:pPr>
      <w:r>
        <w:rPr>
          <w:rFonts w:ascii="Times New Roman" w:cs="Times New Roman" w:eastAsia="Times New Roman" w:hAnsi="Times New Roman"/>
          <w:sz w:val="14"/>
          <w:szCs w:val="14"/>
          <w:color w:val="auto"/>
        </w:rPr>
        <w:t>Section 505(j) of the FD&amp;C Act (21 U.S.C. 355(j)) or Section 505(b)(2) of the FD&amp;C Act (21 U.S.C. 355(b)(2)), or (ii) Section 351(k) of the Public Health Service Act (PHS Act) as amended by the Biologics Price Competition and Innovation Act (BPCIA), in each case ((i) and (ii)), as amended from time to time, (b) in countries of the</w:t>
      </w:r>
    </w:p>
    <w:p>
      <w:pPr>
        <w:ind w:left="520"/>
        <w:spacing w:after="0" w:line="237" w:lineRule="auto"/>
        <w:rPr>
          <w:sz w:val="20"/>
          <w:szCs w:val="20"/>
          <w:color w:val="auto"/>
        </w:rPr>
      </w:pPr>
      <w:r>
        <w:rPr>
          <w:rFonts w:ascii="Times New Roman" w:cs="Times New Roman" w:eastAsia="Times New Roman" w:hAnsi="Times New Roman"/>
          <w:sz w:val="14"/>
          <w:szCs w:val="14"/>
          <w:color w:val="auto"/>
        </w:rPr>
        <w:t>European Economic Area pursuant to Article 10 (but excluding Art. 10(3)), Article 10a, or Article 10b of Parliament and Council Directive 2001/83/EC as amended from</w:t>
      </w:r>
    </w:p>
    <w:p>
      <w:pPr>
        <w:spacing w:after="0" w:line="1"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4"/>
          <w:szCs w:val="14"/>
          <w:color w:val="auto"/>
        </w:rPr>
        <w:t>time to time (including an application under Article 6.1 of Parliament and Council Regulation (EC) No. 726/2004 that relies for its content on any such provision), or (c) in any other country or other jurisdiction pursuant to all equivalents of such provisions, including any amendments and successor statutes with respect to any of the foregoing.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Clinical Practices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GCP</w:t>
      </w:r>
      <w:r>
        <w:rPr>
          <w:rFonts w:ascii="Times New Roman" w:cs="Times New Roman" w:eastAsia="Times New Roman" w:hAnsi="Times New Roman"/>
          <w:sz w:val="16"/>
          <w:szCs w:val="16"/>
          <w:color w:val="auto"/>
        </w:rPr>
        <w:t>” means the then-current good clinical practice standards, practices, and procedures promulgated or endorsed by the applicable</w:t>
      </w:r>
    </w:p>
    <w:p>
      <w:pPr>
        <w:ind w:left="520"/>
        <w:spacing w:after="0" w:line="200" w:lineRule="auto"/>
        <w:rPr>
          <w:sz w:val="20"/>
          <w:szCs w:val="20"/>
          <w:color w:val="auto"/>
        </w:rPr>
      </w:pPr>
      <w:r>
        <w:rPr>
          <w:rFonts w:ascii="Times New Roman" w:cs="Times New Roman" w:eastAsia="Times New Roman" w:hAnsi="Times New Roman"/>
          <w:sz w:val="16"/>
          <w:szCs w:val="16"/>
          <w:color w:val="auto"/>
        </w:rPr>
        <w:t>Regulatory Authority as set forth in the guidelines imposed by such Regulatory Authority, as may be updated from time-to-time, including those as set forth in FDA regulations in 21 C.F.R. Parts 11, 50, 54, 56, 312, 314, and 320 and all related FDA rules, regulations, orders, and guidances, and by the International Conference 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Harmonization E6: Good Clinical Practices Consolidated Guideline.</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Laboratory Practices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GLP</w:t>
      </w:r>
      <w:r>
        <w:rPr>
          <w:rFonts w:ascii="Times New Roman" w:cs="Times New Roman" w:eastAsia="Times New Roman" w:hAnsi="Times New Roman"/>
          <w:sz w:val="16"/>
          <w:szCs w:val="16"/>
          <w:color w:val="auto"/>
        </w:rPr>
        <w:t>” means the then-current and phase appropriate standards, practices and procedures promulgated or endorsed by the FDA as 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forth in 21 C.F.R. Part 58 (or any successor statute or regulation) and FDA guidance, including related regulatory requirements imposed by the FDA and comparable</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applicable regulatory standards, practices and procedures promulgated by the EMA, PMDA, or other Regulatory Authority applicable to the Territory, as they may be updated from time to time, including applicable guidelines promulgated under the ICH.</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23" w:right="319" w:bottom="1440" w:gutter="0" w:footer="0" w:header="0"/>
        </w:sectPr>
      </w:pPr>
    </w:p>
    <w:bookmarkStart w:id="135" w:name="page136"/>
    <w:bookmarkEnd w:id="135"/>
    <w:p>
      <w:pPr>
        <w:ind w:left="2720" w:right="360" w:hanging="2360"/>
        <w:spacing w:after="0" w:line="290" w:lineRule="auto"/>
        <w:tabs>
          <w:tab w:leader="none" w:pos="696"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1.115.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Manufacturing Practices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GMP</w:t>
      </w:r>
      <w:r>
        <w:rPr>
          <w:rFonts w:ascii="Times New Roman" w:cs="Times New Roman" w:eastAsia="Times New Roman" w:hAnsi="Times New Roman"/>
          <w:sz w:val="16"/>
          <w:szCs w:val="16"/>
          <w:color w:val="auto"/>
        </w:rPr>
        <w:t>” means the then-current good manufacturing practices required by the FDA, as set forth in the FD&amp;C Act, 21 C.F.R. Parts 210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211, and FDA guidance issued thereunder, for the Manufacture and testing of pharmaceutical materials, and comparable applicable Law related to the manufacture and</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testing of pharmaceutical materials in jurisdictions outside the United States. “</w:t>
      </w:r>
      <w:r>
        <w:rPr>
          <w:rFonts w:ascii="Times New Roman" w:cs="Times New Roman" w:eastAsia="Times New Roman" w:hAnsi="Times New Roman"/>
          <w:sz w:val="14"/>
          <w:szCs w:val="14"/>
          <w:b w:val="1"/>
          <w:bCs w:val="1"/>
          <w:color w:val="auto"/>
        </w:rPr>
        <w:t>Good Manufacturing Practices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GMP</w:t>
      </w:r>
      <w:r>
        <w:rPr>
          <w:rFonts w:ascii="Times New Roman" w:cs="Times New Roman" w:eastAsia="Times New Roman" w:hAnsi="Times New Roman"/>
          <w:sz w:val="14"/>
          <w:szCs w:val="14"/>
          <w:color w:val="auto"/>
        </w:rPr>
        <w:t>” also means the quality guidelines promulgated by the ICH, including the ICH Q7A, titled “Q7A Good Manufacturing Practice Guidance for Active Pharmaceutical Ingredients” and the policies promulgated thereunder,</w:t>
      </w:r>
    </w:p>
    <w:p>
      <w:pPr>
        <w:ind w:left="520"/>
        <w:spacing w:after="0"/>
        <w:rPr>
          <w:sz w:val="20"/>
          <w:szCs w:val="20"/>
          <w:color w:val="auto"/>
        </w:rPr>
      </w:pPr>
      <w:r>
        <w:rPr>
          <w:rFonts w:ascii="Times New Roman" w:cs="Times New Roman" w:eastAsia="Times New Roman" w:hAnsi="Times New Roman"/>
          <w:sz w:val="16"/>
          <w:szCs w:val="16"/>
          <w:color w:val="auto"/>
        </w:rPr>
        <w:t>in each case, as they may be updated from time to time.</w:t>
      </w:r>
    </w:p>
    <w:p>
      <w:pPr>
        <w:spacing w:after="0" w:line="125" w:lineRule="exact"/>
        <w:rPr>
          <w:sz w:val="20"/>
          <w:szCs w:val="20"/>
          <w:color w:val="auto"/>
        </w:rPr>
      </w:pPr>
    </w:p>
    <w:p>
      <w:pPr>
        <w:ind w:left="520" w:hanging="508"/>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1.116.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court, tribunal, arbitrator, agency, commission, department, ministry, official, authority, or other instrumentality of any nation, state,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county, city, or other political subdivision thereof or of any multinational governmental body.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Greater China</w:t>
      </w:r>
      <w:r>
        <w:rPr>
          <w:rFonts w:ascii="Times New Roman" w:cs="Times New Roman" w:eastAsia="Times New Roman" w:hAnsi="Times New Roman"/>
          <w:sz w:val="16"/>
          <w:szCs w:val="16"/>
          <w:color w:val="auto"/>
        </w:rPr>
        <w:t>” means the People’s Republic of China, the Special Administrative Region of Hong Kong, the Special Administrative Region of Macau, and Taiwan.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H-W Suit Notice</w:t>
      </w:r>
      <w:r>
        <w:rPr>
          <w:rFonts w:ascii="Times New Roman" w:cs="Times New Roman" w:eastAsia="Times New Roman" w:hAnsi="Times New Roman"/>
          <w:sz w:val="16"/>
          <w:szCs w:val="16"/>
          <w:color w:val="auto"/>
        </w:rPr>
        <w:t>” has the meaning set forth in Section 12.4.4 (Hatch-Waxman).</w:t>
      </w:r>
    </w:p>
    <w:p>
      <w:pPr>
        <w:spacing w:after="0" w:line="145" w:lineRule="exact"/>
        <w:rPr>
          <w:sz w:val="20"/>
          <w:szCs w:val="20"/>
          <w:color w:val="auto"/>
        </w:rPr>
      </w:pPr>
    </w:p>
    <w:p>
      <w:pPr>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Hatch-Waxman Act</w:t>
      </w:r>
      <w:r>
        <w:rPr>
          <w:rFonts w:ascii="Times New Roman" w:cs="Times New Roman" w:eastAsia="Times New Roman" w:hAnsi="Times New Roman"/>
          <w:sz w:val="16"/>
          <w:szCs w:val="16"/>
          <w:color w:val="auto"/>
        </w:rPr>
        <w:t>” means rights conferred in the U.S. under the Drug Price Competition and Patent Term Restoration Act, 21 U.S.C. §355, as amended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successor statute or regulation).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HSR Act</w:t>
      </w:r>
      <w:r>
        <w:rPr>
          <w:rFonts w:ascii="Times New Roman" w:cs="Times New Roman" w:eastAsia="Times New Roman" w:hAnsi="Times New Roman"/>
          <w:sz w:val="16"/>
          <w:szCs w:val="16"/>
          <w:color w:val="auto"/>
        </w:rPr>
        <w:t>” means the Hart-Scott-Rodino Antitrust Improvements Act of 1976, as amended, and the rules promulgated thereunder.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ICC</w:t>
      </w:r>
      <w:r>
        <w:rPr>
          <w:rFonts w:ascii="Times New Roman" w:cs="Times New Roman" w:eastAsia="Times New Roman" w:hAnsi="Times New Roman"/>
          <w:sz w:val="16"/>
          <w:szCs w:val="16"/>
          <w:color w:val="auto"/>
        </w:rPr>
        <w:t>” means the International Chamber of Commerce.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ICC Rules</w:t>
      </w:r>
      <w:r>
        <w:rPr>
          <w:rFonts w:ascii="Times New Roman" w:cs="Times New Roman" w:eastAsia="Times New Roman" w:hAnsi="Times New Roman"/>
          <w:sz w:val="16"/>
          <w:szCs w:val="16"/>
          <w:color w:val="auto"/>
        </w:rPr>
        <w:t>” has the meaning set forth in Section 15.3.1 (Expedited Arbitration).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ICH</w:t>
      </w:r>
      <w:r>
        <w:rPr>
          <w:rFonts w:ascii="Times New Roman" w:cs="Times New Roman" w:eastAsia="Times New Roman" w:hAnsi="Times New Roman"/>
          <w:sz w:val="16"/>
          <w:szCs w:val="16"/>
          <w:color w:val="auto"/>
        </w:rPr>
        <w:t>” means International Conference on Harmonization.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IFRS</w:t>
      </w:r>
      <w:r>
        <w:rPr>
          <w:rFonts w:ascii="Times New Roman" w:cs="Times New Roman" w:eastAsia="Times New Roman" w:hAnsi="Times New Roman"/>
          <w:sz w:val="16"/>
          <w:szCs w:val="16"/>
          <w:color w:val="auto"/>
        </w:rPr>
        <w:t>” means International Financial Reporting Standards, which principles are currently used at the relevant time and consistently applied by the applicable Party.</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1.125.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w:t>
      </w:r>
      <w:r>
        <w:rPr>
          <w:rFonts w:ascii="Times New Roman" w:cs="Times New Roman" w:eastAsia="Times New Roman" w:hAnsi="Times New Roman"/>
          <w:sz w:val="16"/>
          <w:szCs w:val="16"/>
          <w:color w:val="auto"/>
        </w:rPr>
        <w:t>” means (a) an Investigational New Drug application pursuant to the FD&amp;C Act, as amended, and applicable regulations promulgated thereunder by the FDA, (b)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Clinical Trial authorization application for a product filed with a Regulatory Authority in any other regulatory jurisdiction outside the U.S., the filing of which is necessary</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to commence or conduct clinical testing of a pharmaceutical or biologic product in humans in such jurisdiction (“</w:t>
      </w:r>
      <w:r>
        <w:rPr>
          <w:rFonts w:ascii="Times New Roman" w:cs="Times New Roman" w:eastAsia="Times New Roman" w:hAnsi="Times New Roman"/>
          <w:sz w:val="16"/>
          <w:szCs w:val="16"/>
          <w:b w:val="1"/>
          <w:bCs w:val="1"/>
          <w:color w:val="auto"/>
        </w:rPr>
        <w:t>CTA</w:t>
      </w:r>
      <w:r>
        <w:rPr>
          <w:rFonts w:ascii="Times New Roman" w:cs="Times New Roman" w:eastAsia="Times New Roman" w:hAnsi="Times New Roman"/>
          <w:sz w:val="16"/>
          <w:szCs w:val="16"/>
          <w:color w:val="auto"/>
        </w:rPr>
        <w:t>”), or (c) documentation issued by a Regulatory Authority that permits the conduct of clinical testing of a pharmaceutical or biologic product in humans in such jurisdiction.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has the meaning set forth in Section 11.3.1 (Notice).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has the meaning set forth in Section 11.3.1 (Notice).</w:t>
      </w:r>
    </w:p>
    <w:p>
      <w:pPr>
        <w:spacing w:after="0" w:line="145" w:lineRule="exact"/>
        <w:rPr>
          <w:sz w:val="20"/>
          <w:szCs w:val="20"/>
          <w:color w:val="auto"/>
        </w:rPr>
      </w:pPr>
    </w:p>
    <w:p>
      <w:pPr>
        <w:ind w:left="520" w:hanging="508"/>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1.128.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Indirect Costs</w:t>
      </w:r>
      <w:r>
        <w:rPr>
          <w:rFonts w:ascii="Times New Roman" w:cs="Times New Roman" w:eastAsia="Times New Roman" w:hAnsi="Times New Roman"/>
          <w:sz w:val="16"/>
          <w:szCs w:val="16"/>
          <w:color w:val="auto"/>
        </w:rPr>
        <w:t>” means the sum of the following as incurred for the applicable Licensed Compound, Licensed Product, or any other tangible material to be provided by 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Party to the other Party hereunder: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1.129.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Indirect Taxes</w:t>
      </w:r>
      <w:r>
        <w:rPr>
          <w:rFonts w:ascii="Times New Roman" w:cs="Times New Roman" w:eastAsia="Times New Roman" w:hAnsi="Times New Roman"/>
          <w:sz w:val="16"/>
          <w:szCs w:val="16"/>
          <w:color w:val="auto"/>
        </w:rPr>
        <w:t>” has the meaning set forth in Section 8.7.5(e) (Indirect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JMC Communication Plan</w:t>
      </w:r>
      <w:r>
        <w:rPr>
          <w:rFonts w:ascii="Times New Roman" w:cs="Times New Roman" w:eastAsia="Times New Roman" w:hAnsi="Times New Roman"/>
          <w:sz w:val="16"/>
          <w:szCs w:val="16"/>
          <w:color w:val="auto"/>
        </w:rPr>
        <w:t>” has the meaning set forth in Section 7.3.3 (Meetings).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23" w:right="319" w:bottom="1440" w:gutter="0" w:footer="0" w:header="0"/>
        </w:sectPr>
      </w:pPr>
    </w:p>
    <w:bookmarkStart w:id="136" w:name="page137"/>
    <w:bookmarkEnd w:id="136"/>
    <w:p>
      <w:pPr>
        <w:ind w:left="2720" w:right="360" w:hanging="2360"/>
        <w:spacing w:after="0" w:line="290" w:lineRule="auto"/>
        <w:tabs>
          <w:tab w:leader="none" w:pos="696"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Arising Know-How</w:t>
      </w:r>
      <w:r>
        <w:rPr>
          <w:rFonts w:ascii="Times New Roman" w:cs="Times New Roman" w:eastAsia="Times New Roman" w:hAnsi="Times New Roman"/>
          <w:sz w:val="16"/>
          <w:szCs w:val="16"/>
          <w:color w:val="auto"/>
        </w:rPr>
        <w:t>” has the meaning set forth in Section 12.2.2(c) (Joint).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Arising Patent Rights</w:t>
      </w:r>
      <w:r>
        <w:rPr>
          <w:rFonts w:ascii="Times New Roman" w:cs="Times New Roman" w:eastAsia="Times New Roman" w:hAnsi="Times New Roman"/>
          <w:sz w:val="16"/>
          <w:szCs w:val="16"/>
          <w:color w:val="auto"/>
        </w:rPr>
        <w:t>” has the meaning set forth in Section 12.2.2(c) (Joint).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Arising Technology</w:t>
      </w:r>
      <w:r>
        <w:rPr>
          <w:rFonts w:ascii="Times New Roman" w:cs="Times New Roman" w:eastAsia="Times New Roman" w:hAnsi="Times New Roman"/>
          <w:sz w:val="16"/>
          <w:szCs w:val="16"/>
          <w:color w:val="auto"/>
        </w:rPr>
        <w:t>” has the meaning set forth in Section 12.2.2(c) (Joint).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Manufacturing Committee</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b w:val="1"/>
          <w:bCs w:val="1"/>
          <w:color w:val="auto"/>
        </w:rPr>
        <w:t xml:space="preserve"> “JMC</w:t>
      </w:r>
      <w:r>
        <w:rPr>
          <w:rFonts w:ascii="Times New Roman" w:cs="Times New Roman" w:eastAsia="Times New Roman" w:hAnsi="Times New Roman"/>
          <w:sz w:val="16"/>
          <w:szCs w:val="16"/>
          <w:color w:val="auto"/>
        </w:rPr>
        <w:t>” has the meaning set forth in Section 7.3.1 (Formation; Composition; Dissolution).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Joint Steering Committee</w:t>
      </w:r>
      <w:r>
        <w:rPr>
          <w:rFonts w:ascii="Times New Roman" w:cs="Times New Roman" w:eastAsia="Times New Roman" w:hAnsi="Times New Roman"/>
          <w:sz w:val="16"/>
          <w:szCs w:val="16"/>
          <w:color w:val="auto"/>
        </w:rPr>
        <w:t>” or</w:t>
      </w:r>
      <w:r>
        <w:rPr>
          <w:rFonts w:ascii="Times New Roman" w:cs="Times New Roman" w:eastAsia="Times New Roman" w:hAnsi="Times New Roman"/>
          <w:sz w:val="16"/>
          <w:szCs w:val="16"/>
          <w:b w:val="1"/>
          <w:bCs w:val="1"/>
          <w:color w:val="auto"/>
        </w:rPr>
        <w:t xml:space="preserve"> “JSC</w:t>
      </w:r>
      <w:r>
        <w:rPr>
          <w:rFonts w:ascii="Times New Roman" w:cs="Times New Roman" w:eastAsia="Times New Roman" w:hAnsi="Times New Roman"/>
          <w:sz w:val="16"/>
          <w:szCs w:val="16"/>
          <w:color w:val="auto"/>
        </w:rPr>
        <w:t>” has the meaning set forth in Section 7.2.1 (Formation; Composition; Dissolution).</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1.137.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Know-How</w:t>
      </w:r>
      <w:r>
        <w:rPr>
          <w:rFonts w:ascii="Times New Roman" w:cs="Times New Roman" w:eastAsia="Times New Roman" w:hAnsi="Times New Roman"/>
          <w:sz w:val="16"/>
          <w:szCs w:val="16"/>
          <w:color w:val="auto"/>
        </w:rPr>
        <w:t>” means any (a) proprietary scientific or business information or materials, including records, improvements, modifications, techniques, assays, designs,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protocols, formulas, data (including physical data, chemical data, toxicology data, animal data, raw data, clinical data, and analytical and quality control data), Data, dosage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regimens, control assays, product specifications, marketing, pricing and distribution costs, inventions, algorithms, technology, forecasts, profiles, strategies, plans, results in any form whatsoever, know-how, and trade secrets (in each case, whether or not patentable, copyrightable, or otherwise protectable), and (b) any information embodied in</w:t>
      </w:r>
    </w:p>
    <w:p>
      <w:pPr>
        <w:ind w:left="520"/>
        <w:spacing w:after="0"/>
        <w:rPr>
          <w:sz w:val="20"/>
          <w:szCs w:val="20"/>
          <w:color w:val="auto"/>
        </w:rPr>
      </w:pPr>
      <w:r>
        <w:rPr>
          <w:rFonts w:ascii="Times New Roman" w:cs="Times New Roman" w:eastAsia="Times New Roman" w:hAnsi="Times New Roman"/>
          <w:sz w:val="16"/>
          <w:szCs w:val="16"/>
          <w:color w:val="auto"/>
        </w:rPr>
        <w:t>chemical or biological materials or physical embodiments of any of the foregoing.</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1.138.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Laws</w:t>
      </w:r>
      <w:r>
        <w:rPr>
          <w:rFonts w:ascii="Times New Roman" w:cs="Times New Roman" w:eastAsia="Times New Roman" w:hAnsi="Times New Roman"/>
          <w:sz w:val="16"/>
          <w:szCs w:val="16"/>
          <w:color w:val="auto"/>
        </w:rPr>
        <w:t>” means applicable laws, statutes, rules, regulations, and other pronouncements having the effect of law of any Governmental Authority that may be in effect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 to time, including disclosure obligations required by any stock exchange or securities commission having authority over a Party and any applicable rules, regulations,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guidances, or other requirements of any Regulatory Authority that may be in effect from time to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1.139.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LDC Criteria</w:t>
      </w:r>
      <w:r>
        <w:rPr>
          <w:rFonts w:ascii="Times New Roman" w:cs="Times New Roman" w:eastAsia="Times New Roman" w:hAnsi="Times New Roman"/>
          <w:sz w:val="16"/>
          <w:szCs w:val="16"/>
          <w:color w:val="auto"/>
        </w:rPr>
        <w:t>” has the meaning set forth in Section 3.1.2(d) (CT Development Plans).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1.140.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LDC Nomination Date</w:t>
      </w:r>
      <w:r>
        <w:rPr>
          <w:rFonts w:ascii="Times New Roman" w:cs="Times New Roman" w:eastAsia="Times New Roman" w:hAnsi="Times New Roman"/>
          <w:sz w:val="16"/>
          <w:szCs w:val="16"/>
          <w:color w:val="auto"/>
        </w:rPr>
        <w:t>” means, with respect to a CT Program and a Lead Development Candidate therefor, as applicable, the date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1.141.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Lead Development Candidate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LDC</w:t>
      </w:r>
      <w:r>
        <w:rPr>
          <w:rFonts w:ascii="Times New Roman" w:cs="Times New Roman" w:eastAsia="Times New Roman" w:hAnsi="Times New Roman"/>
          <w:sz w:val="16"/>
          <w:szCs w:val="16"/>
          <w:color w:val="auto"/>
        </w:rPr>
        <w:t>” means, with respect to a CT Program, the first Licensed CT Product that is the subject of such CT Program satisfying the LDC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Criteria specified in the CT Development Plan for such CT Program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1.142.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Compounds</w:t>
      </w:r>
      <w:r>
        <w:rPr>
          <w:rFonts w:ascii="Times New Roman" w:cs="Times New Roman" w:eastAsia="Times New Roman" w:hAnsi="Times New Roman"/>
          <w:sz w:val="16"/>
          <w:szCs w:val="16"/>
          <w:color w:val="auto"/>
        </w:rPr>
        <w:t>” means the Licensed SNCA Compounds and the Licensed CT Compounds, in each case, individually or collectively as the context requires.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1.143.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CT Compounds</w:t>
      </w:r>
      <w:r>
        <w:rPr>
          <w:rFonts w:ascii="Times New Roman" w:cs="Times New Roman" w:eastAsia="Times New Roman" w:hAnsi="Times New Roman"/>
          <w:sz w:val="14"/>
          <w:szCs w:val="14"/>
          <w:color w:val="auto"/>
        </w:rPr>
        <w:t>” means, on a CT Program-by-CT Program basis, (a) the Lead Development Candidate that is the subject of such CT Program, (b) any backups</w:t>
      </w:r>
    </w:p>
    <w:p>
      <w:pPr>
        <w:spacing w:after="0" w:line="18"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of the Lead Development Candidate Controlled by Arrowhead or any of its Affiliates as of the Technology Transfer Date for such CT Program, and (c) any modification, improvement, or other derivative to or of the RNAi Molecules described in clauses (a) or (b).</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1.144.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CT Product-Specific Patent Rights</w:t>
      </w:r>
      <w:r>
        <w:rPr>
          <w:rFonts w:ascii="Times New Roman" w:cs="Times New Roman" w:eastAsia="Times New Roman" w:hAnsi="Times New Roman"/>
          <w:sz w:val="14"/>
          <w:szCs w:val="14"/>
          <w:color w:val="auto"/>
        </w:rPr>
        <w:t>” means all Arrowhead Patent Rights having claims Covering solely (a) the composition of matter comprising the nucleotide</w:t>
      </w:r>
    </w:p>
    <w:p>
      <w:pPr>
        <w:spacing w:after="0" w:line="18"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sequence of one or more Licensed CT Compounds or Licensed CT Products, (b) the method of use (including method of treatment by use) of one or more Licensed CT Compounds or Licensed CT Products, (c) the formulation comprising, and biomarkers or companion diagnostics specifically relating to, one or more Licensed CT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Compounds or Licensed CT Products, or (d) the method of manufacture specific to the Manufacture of Licensed CT Compounds or Licensed CT Products.</w:t>
      </w:r>
    </w:p>
    <w:p>
      <w:pPr>
        <w:spacing w:after="0" w:line="125" w:lineRule="exact"/>
        <w:rPr>
          <w:sz w:val="20"/>
          <w:szCs w:val="20"/>
          <w:color w:val="auto"/>
        </w:rPr>
      </w:pPr>
    </w:p>
    <w:p>
      <w:pPr>
        <w:ind w:left="520" w:hanging="508"/>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1.145.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CT Products</w:t>
      </w:r>
      <w:r>
        <w:rPr>
          <w:rFonts w:ascii="Times New Roman" w:cs="Times New Roman" w:eastAsia="Times New Roman" w:hAnsi="Times New Roman"/>
          <w:sz w:val="16"/>
          <w:szCs w:val="16"/>
          <w:color w:val="auto"/>
        </w:rPr>
        <w:t>” means any pharmaceutical or biologic product that is comprised of or contains a Licensed CT Compound, alone or in combination with one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more Other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23" w:right="319" w:bottom="1440" w:gutter="0" w:footer="0" w:header="0"/>
        </w:sectPr>
      </w:pPr>
    </w:p>
    <w:bookmarkStart w:id="137" w:name="page138"/>
    <w:bookmarkEnd w:id="137"/>
    <w:p>
      <w:pPr>
        <w:ind w:left="2720" w:right="360" w:hanging="2360"/>
        <w:spacing w:after="0" w:line="290" w:lineRule="auto"/>
        <w:tabs>
          <w:tab w:leader="none" w:pos="696"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Components, in any and all forms, presentations, delivery systems, dosages, and formulations and any improved or modified versions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1.146.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Licensed Product-Specific Patent Rights</w:t>
      </w:r>
      <w:r>
        <w:rPr>
          <w:rFonts w:ascii="Times New Roman" w:cs="Times New Roman" w:eastAsia="Times New Roman" w:hAnsi="Times New Roman"/>
          <w:sz w:val="14"/>
          <w:szCs w:val="14"/>
          <w:color w:val="auto"/>
        </w:rPr>
        <w:t>” means, collectively, the Licensed SNCA Product-Specific Patent Rights and the Licensed CT Product-Specific Patent Rights.</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The Licensed Product-Specific Patent Rights existing as of the Execution Date are set forth on </w:t>
      </w:r>
      <w:r>
        <w:rPr>
          <w:rFonts w:ascii="Times New Roman" w:cs="Times New Roman" w:eastAsia="Times New Roman" w:hAnsi="Times New Roman"/>
          <w:sz w:val="16"/>
          <w:szCs w:val="16"/>
          <w:b w:val="1"/>
          <w:bCs w:val="1"/>
          <w:color w:val="auto"/>
        </w:rPr>
        <w:t>Schedule 1.146</w:t>
      </w:r>
      <w:r>
        <w:rPr>
          <w:rFonts w:ascii="Times New Roman" w:cs="Times New Roman" w:eastAsia="Times New Roman" w:hAnsi="Times New Roman"/>
          <w:sz w:val="16"/>
          <w:szCs w:val="16"/>
          <w:color w:val="auto"/>
        </w:rPr>
        <w:t xml:space="preserve"> (Licensed Product-Specific Patent Rights).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1.147.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Products</w:t>
      </w:r>
      <w:r>
        <w:rPr>
          <w:rFonts w:ascii="Times New Roman" w:cs="Times New Roman" w:eastAsia="Times New Roman" w:hAnsi="Times New Roman"/>
          <w:sz w:val="16"/>
          <w:szCs w:val="16"/>
          <w:color w:val="auto"/>
        </w:rPr>
        <w:t>” means the Licensed SNCA Products and the Licensed CT Products, in each case, individually or collectively as the context requires.</w:t>
      </w:r>
    </w:p>
    <w:p>
      <w:pPr>
        <w:spacing w:after="0" w:line="145" w:lineRule="exact"/>
        <w:rPr>
          <w:sz w:val="20"/>
          <w:szCs w:val="20"/>
          <w:color w:val="auto"/>
        </w:rPr>
      </w:pPr>
    </w:p>
    <w:p>
      <w:pPr>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1.148.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SNCA Compound</w:t>
      </w:r>
      <w:r>
        <w:rPr>
          <w:rFonts w:ascii="Times New Roman" w:cs="Times New Roman" w:eastAsia="Times New Roman" w:hAnsi="Times New Roman"/>
          <w:sz w:val="16"/>
          <w:szCs w:val="16"/>
          <w:color w:val="auto"/>
        </w:rPr>
        <w:t>” means any and all of the following (a) ARO-SNCA SC, (b) the SNCA Backup Compounds, and (c) any modification, improvement,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derivative to or of ARO-SNCA or any SNCA Backup Compound that is Directed To SNCA.</w:t>
      </w:r>
    </w:p>
    <w:p>
      <w:pPr>
        <w:spacing w:after="0" w:line="114" w:lineRule="exact"/>
        <w:rPr>
          <w:sz w:val="20"/>
          <w:szCs w:val="20"/>
          <w:color w:val="auto"/>
        </w:rPr>
      </w:pPr>
    </w:p>
    <w:p>
      <w:pPr>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1.149.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SNCA Product</w:t>
      </w:r>
      <w:r>
        <w:rPr>
          <w:rFonts w:ascii="Times New Roman" w:cs="Times New Roman" w:eastAsia="Times New Roman" w:hAnsi="Times New Roman"/>
          <w:sz w:val="16"/>
          <w:szCs w:val="16"/>
          <w:color w:val="auto"/>
        </w:rPr>
        <w:t>” means any pharmaceutical or biologic product that is comprised of or contains a Licensed SNCA Compound, alone or in combination with one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more Other Components, in any and all forms, presentations, delivery systems, dosages, and formulations and any improved or modified versions thereof.</w:t>
      </w:r>
    </w:p>
    <w:p>
      <w:pPr>
        <w:spacing w:after="0" w:line="11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1.150.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Licensed SNCA Product-Specific Patent Rights</w:t>
      </w:r>
      <w:r>
        <w:rPr>
          <w:rFonts w:ascii="Times New Roman" w:cs="Times New Roman" w:eastAsia="Times New Roman" w:hAnsi="Times New Roman"/>
          <w:sz w:val="16"/>
          <w:szCs w:val="16"/>
          <w:color w:val="auto"/>
        </w:rPr>
        <w:t>” means all Arrowhead Patent Rights having claims Covering solely (a) the composition of matter comprising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nucleotide sequence of one or more Licensed SNCA Compounds or Licensed SNCA Products, (b) the method of use (including method of treatment by use) of one or more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Licensed SNCA Compounds or Licensed SNCA Products, (c) the formulation comprising, and biomarkers or companion diagnostics specifically relating to, one or more Licensed SNCA Compounds or Licensed SNCA Products, or (d) the method of manufacture specific to the Manufacture of Licensed SNCA Compounds or Licensed SNCA</w:t>
      </w:r>
    </w:p>
    <w:p>
      <w:pPr>
        <w:ind w:left="520"/>
        <w:spacing w:after="0"/>
        <w:rPr>
          <w:sz w:val="20"/>
          <w:szCs w:val="20"/>
          <w:color w:val="auto"/>
        </w:rPr>
      </w:pPr>
      <w:r>
        <w:rPr>
          <w:rFonts w:ascii="Times New Roman" w:cs="Times New Roman" w:eastAsia="Times New Roman" w:hAnsi="Times New Roman"/>
          <w:sz w:val="16"/>
          <w:szCs w:val="16"/>
          <w:color w:val="auto"/>
        </w:rPr>
        <w:t>Products.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16"/>
          <w:szCs w:val="16"/>
          <w:color w:val="auto"/>
        </w:rPr>
        <w:t>” has the meaning set forth in Section 11.1 (Indemnification by Arrowhead).</w:t>
      </w:r>
    </w:p>
    <w:p>
      <w:pPr>
        <w:spacing w:after="0" w:line="13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 xml:space="preserve">1.152.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MAA</w:t>
      </w:r>
      <w:r>
        <w:rPr>
          <w:rFonts w:ascii="Times New Roman" w:cs="Times New Roman" w:eastAsia="Times New Roman" w:hAnsi="Times New Roman"/>
          <w:sz w:val="16"/>
          <w:szCs w:val="16"/>
          <w:color w:val="auto"/>
        </w:rPr>
        <w:t>” means any new drug application or other marketing authorization application, in each case, filed with the applicable Regulatory Authority in a country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regulatory jurisdiction (and all supplements and amendments thereto), which application is required to commercially market or sell a pharmaceutical or biologic product in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such country or jurisdiction, including (a) all New Drug Applications submitted to the FDA in the United States pursuant to the FD&amp;C Act (21 U.S.C. § 355(b)(1)) and the regulations promulgated thereunder with respect to a pharmaceutical product and (b) a Biologics License Application submitted to the FDA in the United States pursuant to</w:t>
      </w:r>
    </w:p>
    <w:p>
      <w:pPr>
        <w:ind w:left="520"/>
        <w:spacing w:after="0" w:line="224" w:lineRule="auto"/>
        <w:rPr>
          <w:sz w:val="20"/>
          <w:szCs w:val="20"/>
          <w:color w:val="auto"/>
        </w:rPr>
      </w:pPr>
      <w:r>
        <w:rPr>
          <w:rFonts w:ascii="Times New Roman" w:cs="Times New Roman" w:eastAsia="Times New Roman" w:hAnsi="Times New Roman"/>
          <w:sz w:val="16"/>
          <w:szCs w:val="16"/>
          <w:color w:val="auto"/>
        </w:rPr>
        <w:t>the FD&amp;C Act (21 C.F.R. § 601.2) and the regulations promulgated thereunder with respect to a pharmaceutical product, or, in each case ((a) and (b)), any analogous application or submission with any Regulatory Authority in any other country or regulatory jurisdiction.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Major European Markets</w:t>
      </w:r>
      <w:r>
        <w:rPr>
          <w:rFonts w:ascii="Times New Roman" w:cs="Times New Roman" w:eastAsia="Times New Roman" w:hAnsi="Times New Roman"/>
          <w:sz w:val="16"/>
          <w:szCs w:val="16"/>
          <w:color w:val="auto"/>
        </w:rPr>
        <w:t>” means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Major Region</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1.155.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Manufacture</w:t>
      </w:r>
      <w:r>
        <w:rPr>
          <w:rFonts w:ascii="Times New Roman" w:cs="Times New Roman" w:eastAsia="Times New Roman" w:hAnsi="Times New Roman"/>
          <w:sz w:val="16"/>
          <w:szCs w:val="16"/>
          <w:color w:val="auto"/>
        </w:rPr>
        <w:t>” means activities directed to manufacturing, processing, formulating, packaging, labeling, filling, finishing, assembly, quality assurance, quality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testing, and release, shipping, or storage of any pharmaceutical or biologic product (or any components or process steps involving any product or any companion</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diagnostic), placebo, or comparator agent, as the case may be, including process development, process qualification, validation and scale-up, pre-clinical, clinical and commercial manufacture, and analytic development, product characterization, and stability testing, as the case may be, but excluding activities directed to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23" w:right="319" w:bottom="1440" w:gutter="0" w:footer="0" w:header="0"/>
        </w:sectPr>
      </w:pPr>
    </w:p>
    <w:bookmarkStart w:id="138" w:name="page139"/>
    <w:bookmarkEnd w:id="138"/>
    <w:p>
      <w:pPr>
        <w:ind w:left="2720" w:right="360" w:hanging="2360"/>
        <w:spacing w:after="0" w:line="290" w:lineRule="auto"/>
        <w:tabs>
          <w:tab w:leader="none" w:pos="696"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Development, Commercialization, or Medical Affairs. “</w:t>
      </w:r>
      <w:r>
        <w:rPr>
          <w:rFonts w:ascii="Times New Roman" w:cs="Times New Roman" w:eastAsia="Times New Roman" w:hAnsi="Times New Roman"/>
          <w:sz w:val="16"/>
          <w:szCs w:val="16"/>
          <w:b w:val="1"/>
          <w:bCs w:val="1"/>
          <w:color w:val="auto"/>
        </w:rPr>
        <w:t>Manufacturing</w:t>
      </w:r>
      <w:r>
        <w:rPr>
          <w:rFonts w:ascii="Times New Roman" w:cs="Times New Roman" w:eastAsia="Times New Roman" w:hAnsi="Times New Roman"/>
          <w:sz w:val="16"/>
          <w:szCs w:val="16"/>
          <w:color w:val="auto"/>
        </w:rPr>
        <w:t>” will be construed accordingly.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Manufacturing Technology Transfer Plan</w:t>
      </w:r>
      <w:r>
        <w:rPr>
          <w:rFonts w:ascii="Times New Roman" w:cs="Times New Roman" w:eastAsia="Times New Roman" w:hAnsi="Times New Roman"/>
          <w:sz w:val="16"/>
          <w:szCs w:val="16"/>
          <w:color w:val="auto"/>
        </w:rPr>
        <w:t>” has the meaning set forth in Section 5.4 (Manufacturing Technology Transfer).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left="520" w:hanging="508"/>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1.158.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Marketing Approval</w:t>
      </w:r>
      <w:r>
        <w:rPr>
          <w:rFonts w:ascii="Times New Roman" w:cs="Times New Roman" w:eastAsia="Times New Roman" w:hAnsi="Times New Roman"/>
          <w:sz w:val="16"/>
          <w:szCs w:val="16"/>
          <w:color w:val="auto"/>
        </w:rPr>
        <w:t>” means, with respect to a country or extra-national territory, any and all approvals (including Regulatory Approval and Pricing and Reimbursement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Approval), licenses, registrations, or authorizations of any Governmental Authority that are required in order to Commercialize a Licensed Product in such country or some or all of such extra-national territory.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1.159.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Materials</w:t>
      </w:r>
      <w:r>
        <w:rPr>
          <w:rFonts w:ascii="Times New Roman" w:cs="Times New Roman" w:eastAsia="Times New Roman" w:hAnsi="Times New Roman"/>
          <w:sz w:val="16"/>
          <w:szCs w:val="16"/>
          <w:color w:val="auto"/>
        </w:rPr>
        <w:t>” means all tangible compositions of matter, devices, articles of manufacture, assays, biological, chemical or physical materials, and other similar materials.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jc w:val="both"/>
        <w:ind w:left="520" w:hanging="508"/>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1.161.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Medical Affairs</w:t>
      </w:r>
      <w:r>
        <w:rPr>
          <w:rFonts w:ascii="Times New Roman" w:cs="Times New Roman" w:eastAsia="Times New Roman" w:hAnsi="Times New Roman"/>
          <w:sz w:val="14"/>
          <w:szCs w:val="14"/>
          <w:color w:val="auto"/>
        </w:rPr>
        <w:t>” means activities conducted by a Party’s medical affairs departments (or, if a Party does not have a medical affairs department, the equivalent function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thereof), including communications with key opinion leaders, medical education, symposia, advisory boards (to the extent related to medical affairs or clinical guidance),</w:t>
      </w:r>
    </w:p>
    <w:p>
      <w:pPr>
        <w:jc w:val="both"/>
        <w:ind w:left="520"/>
        <w:spacing w:after="0" w:line="200" w:lineRule="auto"/>
        <w:rPr>
          <w:sz w:val="20"/>
          <w:szCs w:val="20"/>
          <w:color w:val="auto"/>
        </w:rPr>
      </w:pPr>
      <w:r>
        <w:rPr>
          <w:rFonts w:ascii="Times New Roman" w:cs="Times New Roman" w:eastAsia="Times New Roman" w:hAnsi="Times New Roman"/>
          <w:sz w:val="16"/>
          <w:szCs w:val="16"/>
          <w:color w:val="auto"/>
        </w:rPr>
        <w:t>activities performed in connection with patient registries, and other medical programs and communications, including educational grants, research grants (including conducting investigator-initiated studies), and charitable donations to the extent related to medical affairs and not to other activities that do not involve the promotion,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marketing, sale, or other Commercialization of the Licensed Products and are not conducted by a Party’s medical affairs (or equivalent) departments.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Milestone Events</w:t>
      </w:r>
      <w:r>
        <w:rPr>
          <w:rFonts w:ascii="Times New Roman" w:cs="Times New Roman" w:eastAsia="Times New Roman" w:hAnsi="Times New Roman"/>
          <w:sz w:val="16"/>
          <w:szCs w:val="16"/>
          <w:color w:val="auto"/>
        </w:rPr>
        <w:t>” means the CTP Research Milestone Events, the Regulatory Milestone Events, and the Sales Milestone Events.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Milestone Payments</w:t>
      </w:r>
      <w:r>
        <w:rPr>
          <w:rFonts w:ascii="Times New Roman" w:cs="Times New Roman" w:eastAsia="Times New Roman" w:hAnsi="Times New Roman"/>
          <w:sz w:val="16"/>
          <w:szCs w:val="16"/>
          <w:color w:val="auto"/>
        </w:rPr>
        <w:t>” means the CTP Research Milestone Payments, the Regulatory Milestone Payments, and the Sales Milestone Payments.</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 xml:space="preserve">1.165.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Sales</w:t>
      </w:r>
      <w:r>
        <w:rPr>
          <w:rFonts w:ascii="Times New Roman" w:cs="Times New Roman" w:eastAsia="Times New Roman" w:hAnsi="Times New Roman"/>
          <w:sz w:val="16"/>
          <w:szCs w:val="16"/>
          <w:color w:val="auto"/>
        </w:rPr>
        <w:t>” means the net sales recorded by Novartis or any of its Affiliates or their Sublicensees (excluding, for clarity, any distributors or wholesalers) for any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Product sold to Third Parties other than Sublicensees as determined in accordance with Novartis’ Accounting Standards as consistently applied,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 deductions</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booked on an accrual basis by Novartis and its Affiliates under its Accounting Standards as consistently applied to calculate the recorded net sales from gross sales include the following:</w:t>
      </w:r>
    </w:p>
    <w:p>
      <w:pPr>
        <w:spacing w:after="0" w:line="12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1.166.  With respect to the calculation of Net Sales:</w:t>
      </w:r>
    </w:p>
    <w:p>
      <w:pPr>
        <w:spacing w:after="0" w:line="17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NHP</w:t>
      </w:r>
      <w:r>
        <w:rPr>
          <w:rFonts w:ascii="Times New Roman" w:cs="Times New Roman" w:eastAsia="Times New Roman" w:hAnsi="Times New Roman"/>
          <w:sz w:val="16"/>
          <w:szCs w:val="16"/>
          <w:color w:val="auto"/>
        </w:rPr>
        <w:t>” has the meaning set forth in Section 1.268 (“Unavailable”).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NHP MAD Study</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80"/>
          </w:cols>
          <w:pgMar w:left="300" w:top="123" w:right="319" w:bottom="1440" w:gutter="0" w:footer="0" w:header="0"/>
        </w:sectPr>
      </w:pPr>
    </w:p>
    <w:bookmarkStart w:id="139" w:name="page140"/>
    <w:bookmarkEnd w:id="139"/>
    <w:p>
      <w:pPr>
        <w:ind w:left="2720" w:right="360" w:hanging="2360"/>
        <w:spacing w:after="0" w:line="290" w:lineRule="auto"/>
        <w:tabs>
          <w:tab w:leader="none" w:pos="696"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1.169.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Non-Bankrupt Party</w:t>
      </w:r>
      <w:r>
        <w:rPr>
          <w:rFonts w:ascii="Times New Roman" w:cs="Times New Roman" w:eastAsia="Times New Roman" w:hAnsi="Times New Roman"/>
          <w:sz w:val="16"/>
          <w:szCs w:val="16"/>
          <w:color w:val="auto"/>
        </w:rPr>
        <w:t>” has the meaning set forth in Section 16.2 (Section 365(n) of the Bankruptcy Code).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Non-Breaching Party</w:t>
      </w:r>
      <w:r>
        <w:rPr>
          <w:rFonts w:ascii="Times New Roman" w:cs="Times New Roman" w:eastAsia="Times New Roman" w:hAnsi="Times New Roman"/>
          <w:sz w:val="16"/>
          <w:szCs w:val="16"/>
          <w:color w:val="auto"/>
        </w:rPr>
        <w:t>” has the meaning set forth in Section 13.4.1 (Material Breach and Cure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Arising Know-How</w:t>
      </w:r>
      <w:r>
        <w:rPr>
          <w:rFonts w:ascii="Times New Roman" w:cs="Times New Roman" w:eastAsia="Times New Roman" w:hAnsi="Times New Roman"/>
          <w:sz w:val="16"/>
          <w:szCs w:val="16"/>
          <w:color w:val="auto"/>
        </w:rPr>
        <w:t>” has the meaning set forth in Section 12.2.2(b) (Novartis).</w:t>
      </w:r>
    </w:p>
    <w:p>
      <w:pPr>
        <w:spacing w:after="0" w:line="134" w:lineRule="exact"/>
        <w:rPr>
          <w:sz w:val="20"/>
          <w:szCs w:val="20"/>
          <w:color w:val="auto"/>
        </w:rPr>
      </w:pPr>
    </w:p>
    <w:p>
      <w:pPr>
        <w:jc w:val="both"/>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1.172.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Arising LC/LP Patent Rights</w:t>
      </w:r>
      <w:r>
        <w:rPr>
          <w:rFonts w:ascii="Times New Roman" w:cs="Times New Roman" w:eastAsia="Times New Roman" w:hAnsi="Times New Roman"/>
          <w:sz w:val="16"/>
          <w:szCs w:val="16"/>
          <w:color w:val="auto"/>
        </w:rPr>
        <w:t>” means any Novartis Arising Patent Rights having claims Covering solely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but expressly excluding any Novartis Arising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Patent Rights that also claim or otherwise disclose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1.173.  [***]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Arising Patent Rights</w:t>
      </w:r>
      <w:r>
        <w:rPr>
          <w:rFonts w:ascii="Times New Roman" w:cs="Times New Roman" w:eastAsia="Times New Roman" w:hAnsi="Times New Roman"/>
          <w:sz w:val="16"/>
          <w:szCs w:val="16"/>
          <w:color w:val="auto"/>
        </w:rPr>
        <w:t>” has the meaning set forth in Section 12.2.2(b) (Novartis).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Arising Technology</w:t>
      </w:r>
      <w:r>
        <w:rPr>
          <w:rFonts w:ascii="Times New Roman" w:cs="Times New Roman" w:eastAsia="Times New Roman" w:hAnsi="Times New Roman"/>
          <w:sz w:val="16"/>
          <w:szCs w:val="16"/>
          <w:color w:val="auto"/>
        </w:rPr>
        <w:t>” has the meaning set forth in Section 12.2.2(b) (Novartis).</w:t>
      </w:r>
    </w:p>
    <w:p>
      <w:pPr>
        <w:spacing w:after="0" w:line="134" w:lineRule="exact"/>
        <w:rPr>
          <w:sz w:val="20"/>
          <w:szCs w:val="20"/>
          <w:color w:val="auto"/>
        </w:rPr>
      </w:pPr>
    </w:p>
    <w:p>
      <w:pPr>
        <w:jc w:val="both"/>
        <w:ind w:left="520" w:hanging="508"/>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1.176.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Background Technology</w:t>
      </w:r>
      <w:r>
        <w:rPr>
          <w:rFonts w:ascii="Times New Roman" w:cs="Times New Roman" w:eastAsia="Times New Roman" w:hAnsi="Times New Roman"/>
          <w:sz w:val="16"/>
          <w:szCs w:val="16"/>
          <w:color w:val="auto"/>
        </w:rPr>
        <w:t>” means any Know-How and Patent Rights Controlled by Novartis or any of its Affiliates, which Know-How and Patent Rights: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or (b) [***].</w:t>
      </w:r>
    </w:p>
    <w:p>
      <w:pPr>
        <w:spacing w:after="0" w:line="125" w:lineRule="exact"/>
        <w:rPr>
          <w:sz w:val="20"/>
          <w:szCs w:val="20"/>
          <w:color w:val="auto"/>
        </w:rPr>
      </w:pPr>
    </w:p>
    <w:p>
      <w:pPr>
        <w:jc w:val="both"/>
        <w:ind w:left="520" w:hanging="508"/>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1.177.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Licensed Technology</w:t>
      </w:r>
      <w:r>
        <w:rPr>
          <w:rFonts w:ascii="Times New Roman" w:cs="Times New Roman" w:eastAsia="Times New Roman" w:hAnsi="Times New Roman"/>
          <w:sz w:val="16"/>
          <w:szCs w:val="16"/>
          <w:color w:val="auto"/>
        </w:rPr>
        <w:t>” means, collectively, the Novartis Arising Know-How, Novartis Arising Patent Rights, and Novartis’ interest in the Joint Arising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Technology, in each case, without limiting any of Novartis’ obligations under this Agreement, that are Controlled by Novartis or any of its Affiliates.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Prosecuted Patent Rights</w:t>
      </w:r>
      <w:r>
        <w:rPr>
          <w:rFonts w:ascii="Times New Roman" w:cs="Times New Roman" w:eastAsia="Times New Roman" w:hAnsi="Times New Roman"/>
          <w:sz w:val="16"/>
          <w:szCs w:val="16"/>
          <w:color w:val="auto"/>
        </w:rPr>
        <w:t>” has the meaning set forth in Section 12.3.1(a) (Novartis’ Right to Prosecute Patent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Novartis Records</w:t>
      </w:r>
      <w:r>
        <w:rPr>
          <w:rFonts w:ascii="Times New Roman" w:cs="Times New Roman" w:eastAsia="Times New Roman" w:hAnsi="Times New Roman"/>
          <w:sz w:val="16"/>
          <w:szCs w:val="16"/>
          <w:color w:val="auto"/>
        </w:rPr>
        <w:t>” has the meaning set forth in Section 8.7.3 (Records and Audits).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OFAC</w:t>
      </w:r>
      <w:r>
        <w:rPr>
          <w:rFonts w:ascii="Times New Roman" w:cs="Times New Roman" w:eastAsia="Times New Roman" w:hAnsi="Times New Roman"/>
          <w:sz w:val="16"/>
          <w:szCs w:val="16"/>
          <w:color w:val="auto"/>
        </w:rPr>
        <w:t>” means the Office of Foreign Assets Control of the United States Department of the Treasury or any successor agency thereto.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1.179.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520" w:hanging="50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1.180.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Orange/Purple Book</w:t>
      </w:r>
      <w:r>
        <w:rPr>
          <w:rFonts w:ascii="Times New Roman" w:cs="Times New Roman" w:eastAsia="Times New Roman" w:hAnsi="Times New Roman"/>
          <w:sz w:val="16"/>
          <w:szCs w:val="16"/>
          <w:color w:val="auto"/>
        </w:rPr>
        <w:t>” means (a) the then-current edition of the United States Food and Drug Administration publication “Approved Drug Products with Therapeutic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Equivalence Evaluations”, (b) the then-current edition of the United States Food and Drug Administration publication “Lists of Licensed Biological Products with Reference Product Exclusivity and Biosimilarity or Interchangeability Evaluations”, or (c) the equivalent patent listing to that set forth in clause (a) or clause (b), as applicable, in any other country within the Territory.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1.181.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1.182.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Out-of-Pocket Costs</w:t>
      </w:r>
      <w:r>
        <w:rPr>
          <w:rFonts w:ascii="Times New Roman" w:cs="Times New Roman" w:eastAsia="Times New Roman" w:hAnsi="Times New Roman"/>
          <w:sz w:val="16"/>
          <w:szCs w:val="16"/>
          <w:color w:val="auto"/>
        </w:rPr>
        <w:t>” means, with respect to certain activities for a Licensed Compound or Licensed Product hereunder, specifically identifiable expenses paid or payable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a Party or its Affiliates to Third Parties to conduct such activities, including payments to contract personnel (including contractors, consultants, and Subcontractors) incurred after the Effective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has the meaning set forth in the preamble.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123" w:right="319" w:bottom="1440" w:gutter="0" w:footer="0" w:header="0"/>
        </w:sectPr>
      </w:pPr>
    </w:p>
    <w:bookmarkStart w:id="140" w:name="page141"/>
    <w:bookmarkEnd w:id="140"/>
    <w:p>
      <w:pPr>
        <w:ind w:left="2720" w:right="360" w:hanging="2360"/>
        <w:spacing w:after="0" w:line="290" w:lineRule="auto"/>
        <w:tabs>
          <w:tab w:leader="none" w:pos="696"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Challenge</w:t>
      </w:r>
      <w:r>
        <w:rPr>
          <w:rFonts w:ascii="Times New Roman" w:cs="Times New Roman" w:eastAsia="Times New Roman" w:hAnsi="Times New Roman"/>
          <w:sz w:val="16"/>
          <w:szCs w:val="16"/>
          <w:color w:val="auto"/>
        </w:rPr>
        <w:t>” has the meaning set forth in Section 13.5 (Termination for Patent Challenge).</w:t>
      </w:r>
    </w:p>
    <w:p>
      <w:pPr>
        <w:spacing w:after="0" w:line="177"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1.185.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Costs</w:t>
      </w:r>
      <w:r>
        <w:rPr>
          <w:rFonts w:ascii="Times New Roman" w:cs="Times New Roman" w:eastAsia="Times New Roman" w:hAnsi="Times New Roman"/>
          <w:sz w:val="16"/>
          <w:szCs w:val="16"/>
          <w:color w:val="auto"/>
        </w:rPr>
        <w:t>” means the Out-of-Pocket Costs paid to outside legal counsel and other Third Parties incurred in the Prosecution and Maintenance of Patent Rights hereunder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enforcing and defending any such Patent Rights, determining freedom to operate for any Licensed Products (including challenging any Patent Right Controlled by Third Parties).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Offices</w:t>
      </w:r>
      <w:r>
        <w:rPr>
          <w:rFonts w:ascii="Times New Roman" w:cs="Times New Roman" w:eastAsia="Times New Roman" w:hAnsi="Times New Roman"/>
          <w:sz w:val="16"/>
          <w:szCs w:val="16"/>
          <w:color w:val="auto"/>
        </w:rPr>
        <w:t>” has the meaning set forth in Section 10.2.6 (Validity and Enforceability).</w:t>
      </w:r>
    </w:p>
    <w:p>
      <w:pPr>
        <w:spacing w:after="0" w:line="166" w:lineRule="exact"/>
        <w:rPr>
          <w:sz w:val="20"/>
          <w:szCs w:val="20"/>
          <w:color w:val="auto"/>
        </w:rPr>
      </w:pPr>
    </w:p>
    <w:p>
      <w:pPr>
        <w:jc w:val="both"/>
        <w:ind w:left="520" w:hanging="50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1.187.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Right</w:t>
      </w:r>
      <w:r>
        <w:rPr>
          <w:rFonts w:ascii="Times New Roman" w:cs="Times New Roman" w:eastAsia="Times New Roman" w:hAnsi="Times New Roman"/>
          <w:sz w:val="16"/>
          <w:szCs w:val="16"/>
          <w:color w:val="auto"/>
        </w:rPr>
        <w:t>” means any and all (a) patents, (b) patent applications, including all provisional and non-provisional applications, patent cooperation treaty (PCT)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applications, substitutions, continuations, continuations-in-part, divisions and renewals, and all patent rights granted thereon or claiming priority thereto, (c) all patents-of-addition, reissues, re-examinations and extensions or restorations by existing or future extension or restoration mechanisms, including supplementary protection certificates, patent term extensions, and equivalents thereof, (d) inventor’s certificates, letters patent, (e) any other substantially equivalent form of government issued right substantially similar to any of the foregoing described in subsections (a) through (e) above, anywhere in the world.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Term Extensions</w:t>
      </w:r>
      <w:r>
        <w:rPr>
          <w:rFonts w:ascii="Times New Roman" w:cs="Times New Roman" w:eastAsia="Times New Roman" w:hAnsi="Times New Roman"/>
          <w:sz w:val="16"/>
          <w:szCs w:val="16"/>
          <w:color w:val="auto"/>
        </w:rPr>
        <w:t>” has the meaning set forth in Section 12.8 (Patent Right Extensions).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1.189.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Payments</w:t>
      </w:r>
      <w:r>
        <w:rPr>
          <w:rFonts w:ascii="Times New Roman" w:cs="Times New Roman" w:eastAsia="Times New Roman" w:hAnsi="Times New Roman"/>
          <w:sz w:val="16"/>
          <w:szCs w:val="16"/>
          <w:color w:val="auto"/>
        </w:rPr>
        <w:t>” has the meaning set forth in Section 8.7.5(a) (Withholding Taxes).</w:t>
      </w:r>
    </w:p>
    <w:p>
      <w:pPr>
        <w:spacing w:after="0" w:line="166" w:lineRule="exact"/>
        <w:rPr>
          <w:sz w:val="20"/>
          <w:szCs w:val="20"/>
          <w:color w:val="auto"/>
        </w:rPr>
      </w:pPr>
    </w:p>
    <w:p>
      <w:pPr>
        <w:jc w:val="both"/>
        <w:ind w:left="520" w:hanging="508"/>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1.190.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natural person, corporation, unincorporated organization, partnership, association, sole proprietorship, joint stock company, joint venture,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liability company, trust or government, Governmental Authority, or any other similar entity.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1.191.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Personnel</w:t>
      </w:r>
      <w:r>
        <w:rPr>
          <w:rFonts w:ascii="Times New Roman" w:cs="Times New Roman" w:eastAsia="Times New Roman" w:hAnsi="Times New Roman"/>
          <w:sz w:val="16"/>
          <w:szCs w:val="16"/>
          <w:color w:val="auto"/>
        </w:rPr>
        <w:t>” means, with respect to any Person, its officers, directors, employees, workers, contractors, advisors, consultants, agents, or other representatives.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1.192.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Pharmacovigilance Agreement</w:t>
      </w:r>
      <w:r>
        <w:rPr>
          <w:rFonts w:ascii="Times New Roman" w:cs="Times New Roman" w:eastAsia="Times New Roman" w:hAnsi="Times New Roman"/>
          <w:sz w:val="16"/>
          <w:szCs w:val="16"/>
          <w:color w:val="auto"/>
        </w:rPr>
        <w:t>” has the meaning set forth in Section 4.3 (Pharmacovigilance Agreement).</w:t>
      </w:r>
    </w:p>
    <w:p>
      <w:pPr>
        <w:spacing w:after="0" w:line="177"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1.193.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Phase I Clinical Trial</w:t>
      </w:r>
      <w:r>
        <w:rPr>
          <w:rFonts w:ascii="Times New Roman" w:cs="Times New Roman" w:eastAsia="Times New Roman" w:hAnsi="Times New Roman"/>
          <w:sz w:val="16"/>
          <w:szCs w:val="16"/>
          <w:color w:val="auto"/>
        </w:rPr>
        <w:t>” means a Clinical Trial (or any arm thereof) of a pharmaceutical or biologic product with the endpoint of determining initial tolerance, safety,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metabolism, pharmacokinetic or pharmacodynamic information in single dose, single ascending dose, multiple dose, or multiple ascending dose regimens, and that satisfies the requirements of U.S. federal regulation 21 C.F.R. §§ 312.21(a) and its successor regulation or equivalents in other jurisdictions.</w:t>
      </w:r>
    </w:p>
    <w:p>
      <w:pPr>
        <w:spacing w:after="0" w:line="146"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1.194.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Phase II Clinical Trial</w:t>
      </w:r>
      <w:r>
        <w:rPr>
          <w:rFonts w:ascii="Times New Roman" w:cs="Times New Roman" w:eastAsia="Times New Roman" w:hAnsi="Times New Roman"/>
          <w:sz w:val="16"/>
          <w:szCs w:val="16"/>
          <w:color w:val="auto"/>
        </w:rPr>
        <w:t>” means a Clinical Trial (or any arm thereof) of a pharmaceutical or biologic product with the primary objective of characterizing its effectiveness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 specific disease state as well as generating more detailed safety, tolerability, and pharmacokinetics information, and that satisfies the requirements of U.S. federal regulation 21 C.F.R. §§ 312.21(b) and its successor regulation or equivalents in other jurisdictions.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123" w:right="319" w:bottom="1440" w:gutter="0" w:footer="0" w:header="0"/>
        </w:sectPr>
      </w:pPr>
    </w:p>
    <w:bookmarkStart w:id="141" w:name="page142"/>
    <w:bookmarkEnd w:id="141"/>
    <w:p>
      <w:pPr>
        <w:ind w:left="2720" w:right="360" w:hanging="2360"/>
        <w:spacing w:after="0" w:line="290" w:lineRule="auto"/>
        <w:tabs>
          <w:tab w:leader="none" w:pos="696"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line="291" w:lineRule="auto"/>
        <w:rPr>
          <w:sz w:val="20"/>
          <w:szCs w:val="20"/>
          <w:color w:val="auto"/>
        </w:rPr>
      </w:pPr>
      <w:r>
        <w:rPr>
          <w:rFonts w:ascii="Times New Roman" w:cs="Times New Roman" w:eastAsia="Times New Roman" w:hAnsi="Times New Roman"/>
          <w:sz w:val="14"/>
          <w:szCs w:val="14"/>
          <w:b w:val="1"/>
          <w:bCs w:val="1"/>
          <w:color w:val="auto"/>
        </w:rPr>
        <w:t xml:space="preserve">1.195.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Phase III Clinical Trial</w:t>
      </w:r>
      <w:r>
        <w:rPr>
          <w:rFonts w:ascii="Times New Roman" w:cs="Times New Roman" w:eastAsia="Times New Roman" w:hAnsi="Times New Roman"/>
          <w:sz w:val="14"/>
          <w:szCs w:val="14"/>
          <w:color w:val="auto"/>
        </w:rPr>
        <w:t>” means a Clinical Trial (or any arm thereof) of a pharmaceutical or biologic product on a sufficient number of patients, which trial a Regulatory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Authority permits to be conducted under an open IND and is designed to: (a) establish that the pharmaceutical or biologic product is safe and efficacious for its intended use;</w:t>
      </w:r>
    </w:p>
    <w:p>
      <w:pPr>
        <w:spacing w:after="0" w:line="1" w:lineRule="exact"/>
        <w:rPr>
          <w:sz w:val="20"/>
          <w:szCs w:val="20"/>
          <w:color w:val="auto"/>
        </w:rPr>
      </w:pPr>
    </w:p>
    <w:p>
      <w:pPr>
        <w:jc w:val="both"/>
        <w:ind w:left="520" w:hanging="6"/>
        <w:spacing w:after="0" w:line="249" w:lineRule="auto"/>
        <w:tabs>
          <w:tab w:leader="none" w:pos="74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define warnings, precautions and adverse reactions that are associated with the pharmaceutical or biologic product in the dosage range to be prescribed; and (c) support an MAA filed with a Regulatory Authority for the pharmaceutical or biologic product, and that satisfies the requirements of U.S. federal regulation 21 C.F.R. § 312.21(c) and its successor regulation or equivalents in other jurisdictions.</w:t>
      </w:r>
    </w:p>
    <w:p>
      <w:pPr>
        <w:spacing w:after="0" w:line="139" w:lineRule="exact"/>
        <w:rPr>
          <w:sz w:val="20"/>
          <w:szCs w:val="20"/>
          <w:color w:val="auto"/>
        </w:rPr>
      </w:pPr>
    </w:p>
    <w:p>
      <w:pPr>
        <w:jc w:val="both"/>
        <w:ind w:left="520" w:hanging="508"/>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1.196.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Pivotal Trial</w:t>
      </w:r>
      <w:r>
        <w:rPr>
          <w:rFonts w:ascii="Times New Roman" w:cs="Times New Roman" w:eastAsia="Times New Roman" w:hAnsi="Times New Roman"/>
          <w:sz w:val="16"/>
          <w:szCs w:val="16"/>
          <w:color w:val="auto"/>
        </w:rPr>
        <w:t>” means (a) a Phase III Clinical Trial or (b) any other Clinical Trial for which the applicable Regulatory Authority has reviewed the existing efficacy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safety data from a prior Clinical Trial for the applicable Licensed Product and has agreed, whether before dosing of the first patient in such Clinical Trial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pursuant to an agreement with or statement from the FDA or the EMA on a ‘Special Protocol Assessment’ or equivalent or other guidance or minutes issued by the FDA or EMA) or after dosing of the first patient in such Clinical Trial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based on an interim data analysis), is sufficient to form the primary basis of an efficacy claim in a submission for Regulatory Approval, regardless of whether the sponsor of such study characterizes or refers to such study as a “Phase III,” “Phase IIb”, “Phase IIb/III” or “Phase I/II” study (or otherwise) in the applicable protocol, on clinicaltrials.gov, or in any other context.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1.197.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Platform Third Party Agreements</w:t>
      </w:r>
      <w:r>
        <w:rPr>
          <w:rFonts w:ascii="Times New Roman" w:cs="Times New Roman" w:eastAsia="Times New Roman" w:hAnsi="Times New Roman"/>
          <w:sz w:val="16"/>
          <w:szCs w:val="16"/>
          <w:color w:val="auto"/>
        </w:rPr>
        <w:t>” has the meaning set forth in Section 2.9.2(b)(i) (Platform Third Party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1.198.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Platform Third Party Rights</w:t>
      </w:r>
      <w:r>
        <w:rPr>
          <w:rFonts w:ascii="Times New Roman" w:cs="Times New Roman" w:eastAsia="Times New Roman" w:hAnsi="Times New Roman"/>
          <w:sz w:val="16"/>
          <w:szCs w:val="16"/>
          <w:color w:val="auto"/>
        </w:rPr>
        <w:t>” has the meaning set forth in Section 2.9.2(b)(i) (Platform Third Party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1.199.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1.200.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Pre-Existing Third Party Agreements</w:t>
      </w:r>
      <w:r>
        <w:rPr>
          <w:rFonts w:ascii="Times New Roman" w:cs="Times New Roman" w:eastAsia="Times New Roman" w:hAnsi="Times New Roman"/>
          <w:sz w:val="16"/>
          <w:szCs w:val="16"/>
          <w:color w:val="auto"/>
        </w:rPr>
        <w:t>” means those certain agreements between Arrowhead and a Third Party set forth on</w:t>
      </w:r>
      <w:r>
        <w:rPr>
          <w:rFonts w:ascii="Times New Roman" w:cs="Times New Roman" w:eastAsia="Times New Roman" w:hAnsi="Times New Roman"/>
          <w:sz w:val="16"/>
          <w:szCs w:val="16"/>
          <w:b w:val="1"/>
          <w:bCs w:val="1"/>
          <w:color w:val="auto"/>
        </w:rPr>
        <w:t xml:space="preserve"> Schedule 1.200 </w:t>
      </w:r>
      <w:r>
        <w:rPr>
          <w:rFonts w:ascii="Times New Roman" w:cs="Times New Roman" w:eastAsia="Times New Roman" w:hAnsi="Times New Roman"/>
          <w:sz w:val="16"/>
          <w:szCs w:val="16"/>
          <w:color w:val="auto"/>
        </w:rPr>
        <w:t>(Pre-Existing Third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1.201.  [***]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1.202.  [***] </w:t>
      </w:r>
      <w:r>
        <w:rPr>
          <w:rFonts w:ascii="Times New Roman" w:cs="Times New Roman" w:eastAsia="Times New Roman" w:hAnsi="Times New Roman"/>
          <w:sz w:val="16"/>
          <w:szCs w:val="16"/>
          <w:color w:val="auto"/>
        </w:rPr>
        <w:t>has the meaning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jc w:val="both"/>
        <w:ind w:left="520" w:hanging="508"/>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1.203.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Pricing and Reimbursement Approval</w:t>
      </w:r>
      <w:r>
        <w:rPr>
          <w:rFonts w:ascii="Times New Roman" w:cs="Times New Roman" w:eastAsia="Times New Roman" w:hAnsi="Times New Roman"/>
          <w:sz w:val="16"/>
          <w:szCs w:val="16"/>
          <w:color w:val="auto"/>
        </w:rPr>
        <w:t>” means the later of (a) the approval, agreement, determination, or governmental decision establishing a price for the applicable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Licensed Product that can be legally charged to consumers, if required in a given jurisdiction or country in connection with Commercialization of such Licensed Product in such jurisdiction or country; and (b) the approval, agreement, determination, or governmental decision establishing the level of reimbursement for the applicable Licensed Product that will be reimbursed by Governmental Authorities, if required in a given jurisdiction or country in connection with the Commercialization of such Licensed Product in such jurisdiction or country.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Product-Specific Know-How</w:t>
      </w:r>
      <w:r>
        <w:rPr>
          <w:rFonts w:ascii="Times New Roman" w:cs="Times New Roman" w:eastAsia="Times New Roman" w:hAnsi="Times New Roman"/>
          <w:sz w:val="16"/>
          <w:szCs w:val="16"/>
          <w:color w:val="auto"/>
        </w:rPr>
        <w:t>” has the meaning set forth in Section 9.1 (Confidential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Program</w:t>
      </w:r>
      <w:r>
        <w:rPr>
          <w:rFonts w:ascii="Times New Roman" w:cs="Times New Roman" w:eastAsia="Times New Roman" w:hAnsi="Times New Roman"/>
          <w:sz w:val="16"/>
          <w:szCs w:val="16"/>
          <w:color w:val="auto"/>
        </w:rPr>
        <w:t>” means each of the SNCA Program and the CT Programs.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80"/>
          </w:cols>
          <w:pgMar w:left="300" w:top="123" w:right="319" w:bottom="1440" w:gutter="0" w:footer="0" w:header="0"/>
        </w:sectPr>
      </w:pPr>
    </w:p>
    <w:bookmarkStart w:id="142" w:name="page143"/>
    <w:bookmarkEnd w:id="142"/>
    <w:p>
      <w:pPr>
        <w:ind w:left="2720" w:right="360" w:hanging="2360"/>
        <w:spacing w:after="0" w:line="290" w:lineRule="auto"/>
        <w:tabs>
          <w:tab w:leader="none" w:pos="696"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Program-Specific Third Party Rights</w:t>
      </w:r>
      <w:r>
        <w:rPr>
          <w:rFonts w:ascii="Times New Roman" w:cs="Times New Roman" w:eastAsia="Times New Roman" w:hAnsi="Times New Roman"/>
          <w:sz w:val="16"/>
          <w:szCs w:val="16"/>
          <w:color w:val="auto"/>
        </w:rPr>
        <w:t>” has the meaning set forth in Section 2.9.2(a) (Program-Specific Third Party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Proposed Replacement Target</w:t>
      </w:r>
      <w:r>
        <w:rPr>
          <w:rFonts w:ascii="Times New Roman" w:cs="Times New Roman" w:eastAsia="Times New Roman" w:hAnsi="Times New Roman"/>
          <w:sz w:val="16"/>
          <w:szCs w:val="16"/>
          <w:color w:val="auto"/>
        </w:rPr>
        <w:t>” has the meaning set forth in Section 3.1.2(b)(i)(Novartis Collaboration Target Substitution Right).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Proposed Target</w:t>
      </w:r>
      <w:r>
        <w:rPr>
          <w:rFonts w:ascii="Times New Roman" w:cs="Times New Roman" w:eastAsia="Times New Roman" w:hAnsi="Times New Roman"/>
          <w:sz w:val="16"/>
          <w:szCs w:val="16"/>
          <w:color w:val="auto"/>
        </w:rPr>
        <w:t>” has the meaning set forth in Section 3.1.2(a)(iii) (Selection of Collaboration Targets).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1.209.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Proposed Target Notice</w:t>
      </w:r>
      <w:r>
        <w:rPr>
          <w:rFonts w:ascii="Times New Roman" w:cs="Times New Roman" w:eastAsia="Times New Roman" w:hAnsi="Times New Roman"/>
          <w:sz w:val="16"/>
          <w:szCs w:val="16"/>
          <w:color w:val="auto"/>
        </w:rPr>
        <w:t>” has the meaning set forth in Section 3.1.2(a)(iii) (Selection of Collaboration Targets).</w:t>
      </w:r>
    </w:p>
    <w:p>
      <w:pPr>
        <w:spacing w:after="0" w:line="177" w:lineRule="exact"/>
        <w:rPr>
          <w:sz w:val="20"/>
          <w:szCs w:val="20"/>
          <w:color w:val="auto"/>
        </w:rPr>
      </w:pPr>
    </w:p>
    <w:p>
      <w:pPr>
        <w:jc w:val="both"/>
        <w:ind w:left="520" w:hanging="508"/>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1.210.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Prosecution and Maintenance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Prosecute and Maintain</w:t>
      </w:r>
      <w:r>
        <w:rPr>
          <w:rFonts w:ascii="Times New Roman" w:cs="Times New Roman" w:eastAsia="Times New Roman" w:hAnsi="Times New Roman"/>
          <w:sz w:val="16"/>
          <w:szCs w:val="16"/>
          <w:color w:val="auto"/>
        </w:rPr>
        <w:t>” means the filing, preparation, prosecution (including any interferences, reissue proceedings,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reexaminations, oppositions and similar proceedings), post-grant reviews, requests for patent term adjustments, and maintenance of Patent Rights. For the avoidance of doubt, Prosecution and Maintenance excludes any applications or requests for patent term extension. When used as a verb, “</w:t>
      </w:r>
      <w:r>
        <w:rPr>
          <w:rFonts w:ascii="Times New Roman" w:cs="Times New Roman" w:eastAsia="Times New Roman" w:hAnsi="Times New Roman"/>
          <w:sz w:val="16"/>
          <w:szCs w:val="16"/>
          <w:b w:val="1"/>
          <w:bCs w:val="1"/>
          <w:color w:val="auto"/>
        </w:rPr>
        <w:t>Prosecute and Maintain</w:t>
      </w:r>
      <w:r>
        <w:rPr>
          <w:rFonts w:ascii="Times New Roman" w:cs="Times New Roman" w:eastAsia="Times New Roman" w:hAnsi="Times New Roman"/>
          <w:sz w:val="16"/>
          <w:szCs w:val="16"/>
          <w:color w:val="auto"/>
        </w:rPr>
        <w:t>” means to engage in Prosecution and Maintenance.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1.214.  [***]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Receiving Party</w:t>
      </w:r>
      <w:r>
        <w:rPr>
          <w:rFonts w:ascii="Times New Roman" w:cs="Times New Roman" w:eastAsia="Times New Roman" w:hAnsi="Times New Roman"/>
          <w:sz w:val="16"/>
          <w:szCs w:val="16"/>
          <w:color w:val="auto"/>
        </w:rPr>
        <w:t>” has the meaning set forth in Section 1.63 (“Confidential Information”).</w:t>
      </w:r>
    </w:p>
    <w:p>
      <w:pPr>
        <w:spacing w:after="0" w:line="177" w:lineRule="exact"/>
        <w:rPr>
          <w:sz w:val="20"/>
          <w:szCs w:val="20"/>
          <w:color w:val="auto"/>
        </w:rPr>
      </w:pPr>
    </w:p>
    <w:p>
      <w:pPr>
        <w:jc w:val="both"/>
        <w:ind w:left="520" w:hanging="508"/>
        <w:spacing w:after="0" w:line="309" w:lineRule="auto"/>
        <w:rPr>
          <w:sz w:val="20"/>
          <w:szCs w:val="20"/>
          <w:color w:val="auto"/>
        </w:rPr>
      </w:pPr>
      <w:r>
        <w:rPr>
          <w:rFonts w:ascii="Times New Roman" w:cs="Times New Roman" w:eastAsia="Times New Roman" w:hAnsi="Times New Roman"/>
          <w:sz w:val="14"/>
          <w:szCs w:val="14"/>
          <w:b w:val="1"/>
          <w:bCs w:val="1"/>
          <w:color w:val="auto"/>
        </w:rPr>
        <w:t xml:space="preserve">1.216.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Regulatory Approval</w:t>
      </w:r>
      <w:r>
        <w:rPr>
          <w:rFonts w:ascii="Times New Roman" w:cs="Times New Roman" w:eastAsia="Times New Roman" w:hAnsi="Times New Roman"/>
          <w:sz w:val="14"/>
          <w:szCs w:val="14"/>
          <w:color w:val="auto"/>
        </w:rPr>
        <w:t>” means, with respect to a particular country or other regulatory jurisdiction, any approval of an MAA, or other approval, product, or establishment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license, registration, or authorization of any Regulatory Authority necessary for the Manufacture, Commercialization, or other Exploitation of a pharmaceutical or biologic product in such country or other regulatory jurisdiction, including all supplements and amendments thereto, excluding, in each case, Pricing and Reimbursement Approval.</w:t>
      </w:r>
    </w:p>
    <w:p>
      <w:pPr>
        <w:spacing w:after="0" w:line="110"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1.217.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Authority</w:t>
      </w:r>
      <w:r>
        <w:rPr>
          <w:rFonts w:ascii="Times New Roman" w:cs="Times New Roman" w:eastAsia="Times New Roman" w:hAnsi="Times New Roman"/>
          <w:sz w:val="16"/>
          <w:szCs w:val="16"/>
          <w:color w:val="auto"/>
        </w:rPr>
        <w:t>” means any applicable Governmental Authority with jurisdiction or authority over the Development, Manufacture, Commercialization, or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Exploitation (including Marketing Approval, Regulatory Approval, or Pricing and Reimbursement Approval) of pharmaceutical or biologic products in a particular country or other regulatory jurisdiction, and any corresponding national or regional regulatory authorities.</w:t>
      </w:r>
    </w:p>
    <w:p>
      <w:pPr>
        <w:spacing w:after="0" w:line="146" w:lineRule="exact"/>
        <w:rPr>
          <w:sz w:val="20"/>
          <w:szCs w:val="20"/>
          <w:color w:val="auto"/>
        </w:rPr>
      </w:pPr>
    </w:p>
    <w:p>
      <w:pPr>
        <w:jc w:val="both"/>
        <w:ind w:left="520" w:hanging="508"/>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1.218.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Exclusivity</w:t>
      </w:r>
      <w:r>
        <w:rPr>
          <w:rFonts w:ascii="Times New Roman" w:cs="Times New Roman" w:eastAsia="Times New Roman" w:hAnsi="Times New Roman"/>
          <w:sz w:val="16"/>
          <w:szCs w:val="16"/>
          <w:color w:val="auto"/>
        </w:rPr>
        <w:t>” means any exclusive marketing rights or data exclusivity rights conferred by any Regulatory Authority with respect to a Licensed Product in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country or jurisdiction in the Territory, other than a Patent Right, that prohibits a Person from relying on or otherwise using safety or efficacy data generated by or on behalf of a Party with respect to such Licensed Product, including new use or indication exclusivity, new formulation, new chemical entity exclusivity, orphan drug exclusivity, or non-patent related pediatric exclusivity.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123" w:right="319" w:bottom="1440" w:gutter="0" w:footer="0" w:header="0"/>
        </w:sectPr>
      </w:pPr>
    </w:p>
    <w:bookmarkStart w:id="143" w:name="page144"/>
    <w:bookmarkEnd w:id="143"/>
    <w:p>
      <w:pPr>
        <w:ind w:left="2720" w:right="360" w:hanging="2360"/>
        <w:spacing w:after="0" w:line="290" w:lineRule="auto"/>
        <w:tabs>
          <w:tab w:leader="none" w:pos="696"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1.219.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Milestone Event</w:t>
      </w:r>
      <w:r>
        <w:rPr>
          <w:rFonts w:ascii="Times New Roman" w:cs="Times New Roman" w:eastAsia="Times New Roman" w:hAnsi="Times New Roman"/>
          <w:sz w:val="16"/>
          <w:szCs w:val="16"/>
          <w:color w:val="auto"/>
        </w:rPr>
        <w:t>” has the meaning set forth in Section 8.3.2 (Regulatory Milestones).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Milestone Payment</w:t>
      </w:r>
      <w:r>
        <w:rPr>
          <w:rFonts w:ascii="Times New Roman" w:cs="Times New Roman" w:eastAsia="Times New Roman" w:hAnsi="Times New Roman"/>
          <w:sz w:val="16"/>
          <w:szCs w:val="16"/>
          <w:color w:val="auto"/>
        </w:rPr>
        <w:t>” has the meaning set forth in Section 8.3.2 (Regulatory Milestones).</w:t>
      </w:r>
    </w:p>
    <w:p>
      <w:pPr>
        <w:spacing w:after="0" w:line="166" w:lineRule="exact"/>
        <w:rPr>
          <w:sz w:val="20"/>
          <w:szCs w:val="20"/>
          <w:color w:val="auto"/>
        </w:rPr>
      </w:pPr>
    </w:p>
    <w:p>
      <w:pPr>
        <w:jc w:val="both"/>
        <w:ind w:left="520" w:hanging="508"/>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1.221.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Regulatory Submissions</w:t>
      </w:r>
      <w:r>
        <w:rPr>
          <w:rFonts w:ascii="Times New Roman" w:cs="Times New Roman" w:eastAsia="Times New Roman" w:hAnsi="Times New Roman"/>
          <w:sz w:val="16"/>
          <w:szCs w:val="16"/>
          <w:color w:val="auto"/>
        </w:rPr>
        <w:t>” means any filing, application, dossier, or submission with any Regulatory Authority in support of the Development, Manufacture,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Commercialization, or other Exploitation of a pharmaceutical or biologic product (including to obtain, support, or maintain Regulatory Approval from that Regulatory Authority), including all supplements, amendments, data, and documents with respect thereto, and all correspondence or communication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Reimbursable Development Costs</w:t>
      </w:r>
      <w:r>
        <w:rPr>
          <w:rFonts w:ascii="Times New Roman" w:cs="Times New Roman" w:eastAsia="Times New Roman" w:hAnsi="Times New Roman"/>
          <w:sz w:val="16"/>
          <w:szCs w:val="16"/>
          <w:color w:val="auto"/>
        </w:rPr>
        <w:t>” has the meaning set forth in Section 3.6 (Arrowhead Development Costs Reimbursement).</w:t>
      </w:r>
    </w:p>
    <w:p>
      <w:pPr>
        <w:spacing w:after="0" w:line="177"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1.223.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Research</w:t>
      </w:r>
      <w:r>
        <w:rPr>
          <w:rFonts w:ascii="Times New Roman" w:cs="Times New Roman" w:eastAsia="Times New Roman" w:hAnsi="Times New Roman"/>
          <w:sz w:val="16"/>
          <w:szCs w:val="16"/>
          <w:color w:val="auto"/>
        </w:rPr>
        <w:t>” means all internal and external research, identification of composition of matter, screening, and non-human testing, including all non-clinical toxicology testing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studies, non-clinical and preclinical testing, studies, and other activities. When used as a verb, “</w:t>
      </w:r>
      <w:r>
        <w:rPr>
          <w:rFonts w:ascii="Times New Roman" w:cs="Times New Roman" w:eastAsia="Times New Roman" w:hAnsi="Times New Roman"/>
          <w:sz w:val="16"/>
          <w:szCs w:val="16"/>
          <w:b w:val="1"/>
          <w:bCs w:val="1"/>
          <w:color w:val="auto"/>
        </w:rPr>
        <w:t>to Research</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Researching</w:t>
      </w:r>
      <w:r>
        <w:rPr>
          <w:rFonts w:ascii="Times New Roman" w:cs="Times New Roman" w:eastAsia="Times New Roman" w:hAnsi="Times New Roman"/>
          <w:sz w:val="16"/>
          <w:szCs w:val="16"/>
          <w:color w:val="auto"/>
        </w:rPr>
        <w:t>” mean to engage or engaging in Research.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Party</w:t>
      </w:r>
      <w:r>
        <w:rPr>
          <w:rFonts w:ascii="Times New Roman" w:cs="Times New Roman" w:eastAsia="Times New Roman" w:hAnsi="Times New Roman"/>
          <w:sz w:val="16"/>
          <w:szCs w:val="16"/>
          <w:color w:val="auto"/>
        </w:rPr>
        <w:t>” means any individual or entity on one or more of the Restricted Party Lists.</w:t>
      </w:r>
    </w:p>
    <w:p>
      <w:pPr>
        <w:spacing w:after="0" w:line="166" w:lineRule="exact"/>
        <w:rPr>
          <w:sz w:val="20"/>
          <w:szCs w:val="20"/>
          <w:color w:val="auto"/>
        </w:rPr>
      </w:pPr>
    </w:p>
    <w:p>
      <w:pPr>
        <w:jc w:val="both"/>
        <w:ind w:left="520" w:hanging="508"/>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1.225.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Restricted Party List</w:t>
      </w:r>
      <w:r>
        <w:rPr>
          <w:rFonts w:ascii="Times New Roman" w:cs="Times New Roman" w:eastAsia="Times New Roman" w:hAnsi="Times New Roman"/>
          <w:sz w:val="16"/>
          <w:szCs w:val="16"/>
          <w:color w:val="auto"/>
        </w:rPr>
        <w:t>” means the list of sanctioned entities maintained by the United Nations; the Specially Designated Nationals and Blocked Persons List, the Foreign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Sanctions Evaders List and the Sectoral Sanctions Identifications List, all administered by OFAC; the U.S. Denied Persons List, the U.S. Entity List, and the U.S. Unverified List, all administered by the U.S. Department of Commerce; and the entities subject to restrictive measures and the consolidated list of Persons, Groups, and Entities Subject to E.U. Financial Sanctions, as implemented by the E.U. Common Foreign &amp; Security Policy.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Reversion License</w:t>
      </w:r>
      <w:r>
        <w:rPr>
          <w:rFonts w:ascii="Times New Roman" w:cs="Times New Roman" w:eastAsia="Times New Roman" w:hAnsi="Times New Roman"/>
          <w:sz w:val="16"/>
          <w:szCs w:val="16"/>
          <w:color w:val="auto"/>
        </w:rPr>
        <w:t>” has the meaning set forth in Section 13.6.2(a) (Termination by Arrowhead for Cause or by Novartis Without Cause).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Reversion Technology</w:t>
      </w:r>
      <w:r>
        <w:rPr>
          <w:rFonts w:ascii="Times New Roman" w:cs="Times New Roman" w:eastAsia="Times New Roman" w:hAnsi="Times New Roman"/>
          <w:sz w:val="16"/>
          <w:szCs w:val="16"/>
          <w:color w:val="auto"/>
        </w:rPr>
        <w:t>” has the meaning set forth in 13.6.2 (Termination by Arrowhead for Cause or by Novartis Without Cause).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Reversion Trademarks</w:t>
      </w:r>
      <w:r>
        <w:rPr>
          <w:rFonts w:ascii="Times New Roman" w:cs="Times New Roman" w:eastAsia="Times New Roman" w:hAnsi="Times New Roman"/>
          <w:sz w:val="16"/>
          <w:szCs w:val="16"/>
          <w:color w:val="auto"/>
        </w:rPr>
        <w:t>” has the meaning set forth in 13.6.2 (Termination by Arrowhead for Cause or by Novartis Without Cause).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1.229.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RNAi Molecule</w:t>
      </w:r>
      <w:r>
        <w:rPr>
          <w:rFonts w:ascii="Times New Roman" w:cs="Times New Roman" w:eastAsia="Times New Roman" w:hAnsi="Times New Roman"/>
          <w:sz w:val="16"/>
          <w:szCs w:val="16"/>
          <w:color w:val="auto"/>
        </w:rPr>
        <w:t>” means an exogenous double-stranded oligomeric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RNA or modified variants thereof) molecule.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 has the meaning set forth in Section 8.4 (Royalties).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Royalty Rates</w:t>
      </w:r>
      <w:r>
        <w:rPr>
          <w:rFonts w:ascii="Times New Roman" w:cs="Times New Roman" w:eastAsia="Times New Roman" w:hAnsi="Times New Roman"/>
          <w:sz w:val="16"/>
          <w:szCs w:val="16"/>
          <w:color w:val="auto"/>
        </w:rPr>
        <w:t>” means the applicable royalty rates set forth in Table 8.4 (Royalty Payments).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123" w:right="319" w:bottom="1440" w:gutter="0" w:footer="0" w:header="0"/>
        </w:sectPr>
      </w:pPr>
    </w:p>
    <w:bookmarkStart w:id="144" w:name="page145"/>
    <w:bookmarkEnd w:id="144"/>
    <w:p>
      <w:pPr>
        <w:ind w:left="2720" w:right="360" w:hanging="2360"/>
        <w:spacing w:after="0" w:line="290" w:lineRule="auto"/>
        <w:tabs>
          <w:tab w:leader="none" w:pos="696"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1.232.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Royalty Term</w:t>
      </w:r>
      <w:r>
        <w:rPr>
          <w:rFonts w:ascii="Times New Roman" w:cs="Times New Roman" w:eastAsia="Times New Roman" w:hAnsi="Times New Roman"/>
          <w:sz w:val="16"/>
          <w:szCs w:val="16"/>
          <w:color w:val="auto"/>
        </w:rPr>
        <w:t>” means, on a Licensed Product-by-Licensed Product and country-by-country basis, the period commencing on the First Commercial Sale of such Licensed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Product in such country and expiring upon the last to occur of (a) the expiration of the last Valid Claim of the last to expire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 the expiration of all Regulatory Exclusivity for such Licensed Product in such country, and (c)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First Commercial Sale of such Licensed Product in such country.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Sales Milestone Event</w:t>
      </w:r>
      <w:r>
        <w:rPr>
          <w:rFonts w:ascii="Times New Roman" w:cs="Times New Roman" w:eastAsia="Times New Roman" w:hAnsi="Times New Roman"/>
          <w:sz w:val="16"/>
          <w:szCs w:val="16"/>
          <w:color w:val="auto"/>
        </w:rPr>
        <w:t>” has the meaning set forth in Section 8.3.3 (Sales Milestones).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Sales Milestone Payment</w:t>
      </w:r>
      <w:r>
        <w:rPr>
          <w:rFonts w:ascii="Times New Roman" w:cs="Times New Roman" w:eastAsia="Times New Roman" w:hAnsi="Times New Roman"/>
          <w:sz w:val="16"/>
          <w:szCs w:val="16"/>
          <w:color w:val="auto"/>
        </w:rPr>
        <w:t>” has the meaning set forth in Section 8.3.3 (Sales Milestones).</w:t>
      </w:r>
    </w:p>
    <w:p>
      <w:pPr>
        <w:spacing w:after="0" w:line="166" w:lineRule="exact"/>
        <w:rPr>
          <w:sz w:val="20"/>
          <w:szCs w:val="20"/>
          <w:color w:val="auto"/>
        </w:rPr>
      </w:pPr>
    </w:p>
    <w:p>
      <w:pPr>
        <w:jc w:val="both"/>
        <w:ind w:left="520" w:hanging="508"/>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1.235.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Sanctioned Person</w:t>
      </w:r>
      <w:r>
        <w:rPr>
          <w:rFonts w:ascii="Times New Roman" w:cs="Times New Roman" w:eastAsia="Times New Roman" w:hAnsi="Times New Roman"/>
          <w:sz w:val="14"/>
          <w:szCs w:val="14"/>
          <w:color w:val="auto"/>
        </w:rPr>
        <w:t>” shall mean any Person that is the subject or target of sanctions or restrictions under the Global Trade Laws, including, any Person: (a) listed on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list of sanctioned persons maintained by the United States, United Nations Security Council, including (i) the “Specially Designated Nationals and Blocked Persons” list maintained by the U.S. Office of Foreign Assets Control or (ii) the Entity List or Military End User List maintained by the U.S. Department of Commerce’s Bureau of Industry and Security; (b) located in, ordinarily resident in or incorporated in a Sanctioned Territory; or (c) which is 50% or more owned, directly or indirectly, individually or in the aggregate, or otherwise controlled, as applicable, by any Person or Persons described in subclauses (a) or (b) of this definition.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1.236.</w:t>
      </w:r>
    </w:p>
    <w:p>
      <w:pPr>
        <w:spacing w:after="0" w:line="1" w:lineRule="exact"/>
        <w:rPr>
          <w:sz w:val="20"/>
          <w:szCs w:val="20"/>
          <w:color w:val="auto"/>
        </w:rPr>
      </w:pPr>
    </w:p>
    <w:p>
      <w:pPr>
        <w:jc w:val="both"/>
        <w:ind w:left="520" w:hanging="508"/>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1.237.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Sanctioned Territory</w:t>
      </w:r>
      <w:r>
        <w:rPr>
          <w:rFonts w:ascii="Times New Roman" w:cs="Times New Roman" w:eastAsia="Times New Roman" w:hAnsi="Times New Roman"/>
          <w:sz w:val="16"/>
          <w:szCs w:val="16"/>
          <w:color w:val="auto"/>
        </w:rPr>
        <w:t>” shall mean any country or territory which is itself the subject or target of any country-wide or territory-wide comprehensive economic sanctions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imposed by the United States at any point over the previous five years, including Cuba, Iran, North Korea, Syria and the Crimea and so-called Donetsk People’s Republic and Luhansk People’s Republic regions of Ukraine.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United States Securities and Exchange Commission or any successor Governmental Authority having substantially the same function.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1.239.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Securitization Transaction</w:t>
      </w:r>
      <w:r>
        <w:rPr>
          <w:rFonts w:ascii="Times New Roman" w:cs="Times New Roman" w:eastAsia="Times New Roman" w:hAnsi="Times New Roman"/>
          <w:sz w:val="16"/>
          <w:szCs w:val="16"/>
          <w:color w:val="auto"/>
        </w:rPr>
        <w:t>” has the meaning set forth in Section 16.1.2 (Securitization Transaction).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Selection Term</w:t>
      </w:r>
      <w:r>
        <w:rPr>
          <w:rFonts w:ascii="Times New Roman" w:cs="Times New Roman" w:eastAsia="Times New Roman" w:hAnsi="Times New Roman"/>
          <w:sz w:val="16"/>
          <w:szCs w:val="16"/>
          <w:color w:val="auto"/>
        </w:rPr>
        <w:t>” means the period commencing on the Effective Date and expiring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SNCA</w:t>
      </w:r>
      <w:r>
        <w:rPr>
          <w:rFonts w:ascii="Times New Roman" w:cs="Times New Roman" w:eastAsia="Times New Roman" w:hAnsi="Times New Roman"/>
          <w:sz w:val="16"/>
          <w:szCs w:val="16"/>
          <w:color w:val="auto"/>
        </w:rPr>
        <w:t>” means alpha-synuclein.</w:t>
      </w:r>
    </w:p>
    <w:p>
      <w:pPr>
        <w:spacing w:after="0" w:line="177" w:lineRule="exact"/>
        <w:rPr>
          <w:sz w:val="20"/>
          <w:szCs w:val="20"/>
          <w:color w:val="auto"/>
        </w:rPr>
      </w:pPr>
    </w:p>
    <w:p>
      <w:pPr>
        <w:jc w:val="both"/>
        <w:ind w:left="520" w:hanging="508"/>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1.242.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SNCA Backup Compound</w:t>
      </w:r>
      <w:r>
        <w:rPr>
          <w:rFonts w:ascii="Times New Roman" w:cs="Times New Roman" w:eastAsia="Times New Roman" w:hAnsi="Times New Roman"/>
          <w:sz w:val="16"/>
          <w:szCs w:val="16"/>
          <w:color w:val="auto"/>
        </w:rPr>
        <w:t>” means any backups of ARO-SNCA SC Controlled by Arrowhead or any of its Affiliates as of the Technology Transfer Date for the SNCA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SNCA Development Plan</w:t>
      </w:r>
      <w:r>
        <w:rPr>
          <w:rFonts w:ascii="Times New Roman" w:cs="Times New Roman" w:eastAsia="Times New Roman" w:hAnsi="Times New Roman"/>
          <w:sz w:val="16"/>
          <w:szCs w:val="16"/>
          <w:color w:val="auto"/>
        </w:rPr>
        <w:t>” has the meaning set forth in Section 3.1.1(b) (SNCA Development Plan).</w:t>
      </w:r>
    </w:p>
    <w:p>
      <w:pPr>
        <w:spacing w:after="0" w:line="177"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1.244.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SNCA Program</w:t>
      </w:r>
      <w:r>
        <w:rPr>
          <w:rFonts w:ascii="Times New Roman" w:cs="Times New Roman" w:eastAsia="Times New Roman" w:hAnsi="Times New Roman"/>
          <w:sz w:val="16"/>
          <w:szCs w:val="16"/>
          <w:color w:val="auto"/>
        </w:rPr>
        <w:t>” means the program for the Research, Development, Manufacture, Commercialization, and other Exploitation of Licensed SNCA Compounds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Licensed SNCA Products.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80"/>
          </w:cols>
          <w:pgMar w:left="300" w:top="123" w:right="319" w:bottom="1440" w:gutter="0" w:footer="0" w:header="0"/>
        </w:sectPr>
      </w:pPr>
    </w:p>
    <w:bookmarkStart w:id="145" w:name="page146"/>
    <w:bookmarkEnd w:id="145"/>
    <w:p>
      <w:pPr>
        <w:ind w:left="2720" w:right="360" w:hanging="2360"/>
        <w:spacing w:after="0" w:line="290" w:lineRule="auto"/>
        <w:tabs>
          <w:tab w:leader="none" w:pos="696"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SNCA Program Research Activities</w:t>
      </w:r>
      <w:r>
        <w:rPr>
          <w:rFonts w:ascii="Times New Roman" w:cs="Times New Roman" w:eastAsia="Times New Roman" w:hAnsi="Times New Roman"/>
          <w:sz w:val="16"/>
          <w:szCs w:val="16"/>
          <w:color w:val="auto"/>
        </w:rPr>
        <w:t>” has the meaning set forth in Section 3.1.1(b) (SNCA Development Plan).</w:t>
      </w:r>
    </w:p>
    <w:p>
      <w:pPr>
        <w:spacing w:after="0" w:line="177"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1.246.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Subcontractor</w:t>
      </w:r>
      <w:r>
        <w:rPr>
          <w:rFonts w:ascii="Times New Roman" w:cs="Times New Roman" w:eastAsia="Times New Roman" w:hAnsi="Times New Roman"/>
          <w:sz w:val="16"/>
          <w:szCs w:val="16"/>
          <w:color w:val="auto"/>
        </w:rPr>
        <w:t>” means a Third Party contractor engaged by a Party to perform certain obligations or exercise certain rights of such Party under this Agreement on a fee-for-service basis (including contract research organizations, distributors, wholesalers, or CMOs). For clarity, a Subcontractor will not include a Third Party contractor engaged by a Party to perform ancillary facility support activities, like, by way of non-limiting example, security services.</w:t>
      </w:r>
    </w:p>
    <w:p>
      <w:pPr>
        <w:spacing w:after="0" w:line="146" w:lineRule="exact"/>
        <w:rPr>
          <w:sz w:val="20"/>
          <w:szCs w:val="20"/>
          <w:color w:val="auto"/>
        </w:rPr>
      </w:pPr>
    </w:p>
    <w:p>
      <w:pPr>
        <w:jc w:val="both"/>
        <w:ind w:left="520" w:hanging="508"/>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1.247.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Sublicensee</w:t>
      </w:r>
      <w:r>
        <w:rPr>
          <w:rFonts w:ascii="Times New Roman" w:cs="Times New Roman" w:eastAsia="Times New Roman" w:hAnsi="Times New Roman"/>
          <w:sz w:val="16"/>
          <w:szCs w:val="16"/>
          <w:color w:val="auto"/>
        </w:rPr>
        <w:t>” means any Third Party (excluding distributors and wholesalers) to whom a Party or any of its Affiliates has granted or grants a sublicense of its rights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hereunder to Develop, Manufacture, Commercialize, or otherwise Exploit a Licensed Product, or any further sublicensee of such rights (regardless of the number of tiers, layers or levels of sublicenses of such rights) in accordance with Section 2.2 (Sublicensing Terms).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16"/>
          <w:szCs w:val="16"/>
          <w:color w:val="auto"/>
        </w:rPr>
        <w:t>” means any of SNCA or a Collaboration Target, in each case, individually or collectively as the context requires.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1.249.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 Competing Product</w:t>
      </w:r>
      <w:r>
        <w:rPr>
          <w:rFonts w:ascii="Times New Roman" w:cs="Times New Roman" w:eastAsia="Times New Roman" w:hAnsi="Times New Roman"/>
          <w:sz w:val="16"/>
          <w:szCs w:val="16"/>
          <w:color w:val="auto"/>
        </w:rPr>
        <w:t>” has the meaning set forth in Section 2.10.1 (Exclusivity Covenants).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 Competitive Activities</w:t>
      </w:r>
      <w:r>
        <w:rPr>
          <w:rFonts w:ascii="Times New Roman" w:cs="Times New Roman" w:eastAsia="Times New Roman" w:hAnsi="Times New Roman"/>
          <w:sz w:val="16"/>
          <w:szCs w:val="16"/>
          <w:color w:val="auto"/>
        </w:rPr>
        <w:t>” has the meaning set forth in Section 2.10.1 (Exclusivity Covenants).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 Exclusivity Period</w:t>
      </w:r>
      <w:r>
        <w:rPr>
          <w:rFonts w:ascii="Times New Roman" w:cs="Times New Roman" w:eastAsia="Times New Roman" w:hAnsi="Times New Roman"/>
          <w:sz w:val="16"/>
          <w:szCs w:val="16"/>
          <w:color w:val="auto"/>
        </w:rPr>
        <w:t>” has the meaning set forth in Section 2.10.1 (Exclusivity Covenants).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Target Failure</w:t>
      </w:r>
      <w:r>
        <w:rPr>
          <w:rFonts w:ascii="Times New Roman" w:cs="Times New Roman" w:eastAsia="Times New Roman" w:hAnsi="Times New Roman"/>
          <w:sz w:val="16"/>
          <w:szCs w:val="16"/>
          <w:color w:val="auto"/>
        </w:rPr>
        <w:t>” has the meaning set forth in Section 3.1.2(c) (Arrowhead CT Program Development Responsibility).</w:t>
      </w:r>
    </w:p>
    <w:p>
      <w:pPr>
        <w:spacing w:after="0" w:line="166"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1.253.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Taxation</w:t>
      </w:r>
      <w:r>
        <w:rPr>
          <w:rFonts w:ascii="Times New Roman" w:cs="Times New Roman" w:eastAsia="Times New Roman" w:hAnsi="Times New Roman"/>
          <w:sz w:val="16"/>
          <w:szCs w:val="16"/>
          <w:color w:val="auto"/>
        </w:rPr>
        <w:t>” means any form of tax or taxation, levy, duty, charge, social security charge, contribution, or withholding of whatever nature (including any related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fine, penalty, surcharge, or interest) imposed by, or payable to, any government, state or municipality, or any local, state, federal, or other fiscal, revenue, customs, or excise authority, body, or official in the Territory.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Technology Transfer Date</w:t>
      </w:r>
      <w:r>
        <w:rPr>
          <w:rFonts w:ascii="Times New Roman" w:cs="Times New Roman" w:eastAsia="Times New Roman" w:hAnsi="Times New Roman"/>
          <w:sz w:val="16"/>
          <w:szCs w:val="16"/>
          <w:color w:val="auto"/>
        </w:rPr>
        <w:t>” has the meaning set forth in Section 3.2.2(a) (Transition of Research &amp; Development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has the meaning set forth in Section 13.1 (Term).</w:t>
      </w:r>
    </w:p>
    <w:p>
      <w:pPr>
        <w:spacing w:after="0" w:line="166"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1.256.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Terminated Products</w:t>
      </w:r>
      <w:r>
        <w:rPr>
          <w:rFonts w:ascii="Times New Roman" w:cs="Times New Roman" w:eastAsia="Times New Roman" w:hAnsi="Times New Roman"/>
          <w:sz w:val="16"/>
          <w:szCs w:val="16"/>
          <w:color w:val="auto"/>
        </w:rPr>
        <w:t>” means (a) if this Agreement is terminated in its entirety, all Licensed Compounds and all Licensed Products under this Agreement, (b) if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Agreement is terminated in part with respect to a Program in the entire Territory, all Licensed Compounds and all Licensed Products that are the subject of such Program in the entire Territory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80"/>
          </w:cols>
          <w:pgMar w:left="300" w:top="123" w:right="319" w:bottom="1440" w:gutter="0" w:footer="0" w:header="0"/>
        </w:sectPr>
      </w:pPr>
    </w:p>
    <w:bookmarkStart w:id="146" w:name="page147"/>
    <w:bookmarkEnd w:id="146"/>
    <w:p>
      <w:pPr>
        <w:ind w:left="2720" w:right="360" w:hanging="2360"/>
        <w:spacing w:after="0" w:line="290" w:lineRule="auto"/>
        <w:tabs>
          <w:tab w:leader="none" w:pos="696"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1.258.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Territory</w:t>
      </w:r>
      <w:r>
        <w:rPr>
          <w:rFonts w:ascii="Times New Roman" w:cs="Times New Roman" w:eastAsia="Times New Roman" w:hAnsi="Times New Roman"/>
          <w:sz w:val="16"/>
          <w:szCs w:val="16"/>
          <w:color w:val="auto"/>
        </w:rPr>
        <w:t>” means all of the countries of the world, and their territories and possessions.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1.259.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Third Party</w:t>
      </w:r>
      <w:r>
        <w:rPr>
          <w:rFonts w:ascii="Times New Roman" w:cs="Times New Roman" w:eastAsia="Times New Roman" w:hAnsi="Times New Roman"/>
          <w:sz w:val="16"/>
          <w:szCs w:val="16"/>
          <w:color w:val="auto"/>
        </w:rPr>
        <w:t>” means any Person other than Arrowhead, Novartis, or their respective Affiliates.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Third Party Experts</w:t>
      </w:r>
      <w:r>
        <w:rPr>
          <w:rFonts w:ascii="Times New Roman" w:cs="Times New Roman" w:eastAsia="Times New Roman" w:hAnsi="Times New Roman"/>
          <w:sz w:val="16"/>
          <w:szCs w:val="16"/>
          <w:color w:val="auto"/>
        </w:rPr>
        <w:t>” has the meaning set forth in Section 7.4.3(a)(A) (Final Decision-Making Authority).</w:t>
      </w:r>
    </w:p>
    <w:p>
      <w:pPr>
        <w:spacing w:after="0" w:line="177" w:lineRule="exact"/>
        <w:rPr>
          <w:sz w:val="20"/>
          <w:szCs w:val="20"/>
          <w:color w:val="auto"/>
        </w:rPr>
      </w:pPr>
    </w:p>
    <w:p>
      <w:pPr>
        <w:jc w:val="both"/>
        <w:ind w:left="520" w:hanging="508"/>
        <w:spacing w:after="0" w:line="246" w:lineRule="auto"/>
        <w:rPr>
          <w:sz w:val="20"/>
          <w:szCs w:val="20"/>
          <w:color w:val="auto"/>
        </w:rPr>
      </w:pPr>
      <w:r>
        <w:rPr>
          <w:rFonts w:ascii="Times New Roman" w:cs="Times New Roman" w:eastAsia="Times New Roman" w:hAnsi="Times New Roman"/>
          <w:sz w:val="16"/>
          <w:szCs w:val="16"/>
          <w:b w:val="1"/>
          <w:bCs w:val="1"/>
          <w:color w:val="auto"/>
        </w:rPr>
        <w:t xml:space="preserve">1.261.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 Control Laws and Sanctions</w:t>
      </w:r>
      <w:r>
        <w:rPr>
          <w:rFonts w:ascii="Times New Roman" w:cs="Times New Roman" w:eastAsia="Times New Roman" w:hAnsi="Times New Roman"/>
          <w:sz w:val="16"/>
          <w:szCs w:val="16"/>
          <w:color w:val="auto"/>
        </w:rPr>
        <w:t>” means all applicable Laws governing the export, import and provision of goods (including technical data and technology)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services, including (a) the applicable Laws of the United States governing embargoes, sanctions and boycotts, the International Emergency Economic Powers Act (50 U.S.C. § 1701 et seq.), the Trading with the Enemy Act (50 U.S.C. App. §§ 1-44), and all rules, regulations and executive orders relating to any of the foregoing, including regulations promulgated by the Office of Foreign Assets Control of the United States Department of the Treasury at 15 C.F.R. Parts 500-599 and by the U.S. Department of State; (b) all Laws governing the export, re-export, or transfer of goods, software, technology, or technical data, including the Export Administration Act of 1979 (50 U.S.C. App. §§ 2401-2420), the Export Control Reform Act of 2018 (Pub. L. 115-232), the Export Administration Regulations (“EAR”, 15 C.F.R. Parts 730-774), the Arms Export Control Act (22 U.S.C. § 2778), and the International Traffic in Arms Regulations (22 C.F.R. § 120.1 et seq.); (c) the Foreign Trade Regulations (15 C.F.R. Part 30) administered by the Census Bureau; (d) all applicable Laws governing the importation of products, technology, technical data, and services, including those administered by United States Customs and Border Protection (19 C.F.R. Parts 1-199); (e) the antiboycott laws set forth in section 999 of the Internal Revenue Code, the Department of the Treasury Guidelines concerning international boycotts promulgated thereunder, and Part 760 of the EAR; and (f) any other applicable Laws relating to the export and import activities of an applicable Party.</w:t>
      </w:r>
    </w:p>
    <w:p>
      <w:pPr>
        <w:spacing w:after="0" w:line="154"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1.262.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w:t>
      </w:r>
      <w:r>
        <w:rPr>
          <w:rFonts w:ascii="Times New Roman" w:cs="Times New Roman" w:eastAsia="Times New Roman" w:hAnsi="Times New Roman"/>
          <w:sz w:val="16"/>
          <w:szCs w:val="16"/>
          <w:color w:val="auto"/>
        </w:rPr>
        <w:t>” means any trademark, trade name, service mark, service name, brand, domain name, trade dress, logo, slogan, or other indicia of origin or ownership,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the goodwill and activities associated with each of the foregoing.</w:t>
      </w:r>
    </w:p>
    <w:p>
      <w:pPr>
        <w:spacing w:after="0" w:line="139" w:lineRule="exact"/>
        <w:rPr>
          <w:sz w:val="20"/>
          <w:szCs w:val="20"/>
          <w:color w:val="auto"/>
        </w:rPr>
      </w:pPr>
    </w:p>
    <w:p>
      <w:pPr>
        <w:jc w:val="both"/>
        <w:ind w:left="520" w:hanging="508"/>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1.263.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Agreements</w:t>
      </w:r>
      <w:r>
        <w:rPr>
          <w:rFonts w:ascii="Times New Roman" w:cs="Times New Roman" w:eastAsia="Times New Roman" w:hAnsi="Times New Roman"/>
          <w:sz w:val="16"/>
          <w:szCs w:val="16"/>
          <w:color w:val="auto"/>
        </w:rPr>
        <w:t>” means this Agreement, the Pharmacovigilance Agreement, and any clinical supply agreement, commercial supply agreement, and related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quality agreements, or any other agreement that supplements this Agreement, in each case, between the Parties, individually or collectively as the context may require.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1.264.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1.265.  [***]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1.266.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1.267.  [***] </w:t>
      </w:r>
      <w:r>
        <w:rPr>
          <w:rFonts w:ascii="Times New Roman" w:cs="Times New Roman" w:eastAsia="Times New Roman" w:hAnsi="Times New Roman"/>
          <w:sz w:val="16"/>
          <w:szCs w:val="16"/>
          <w:color w:val="auto"/>
        </w:rPr>
        <w:t>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1.268.  [***] </w:t>
      </w:r>
      <w:r>
        <w:rPr>
          <w:rFonts w:ascii="Times New Roman" w:cs="Times New Roman" w:eastAsia="Times New Roman" w:hAnsi="Times New Roman"/>
          <w:sz w:val="16"/>
          <w:szCs w:val="16"/>
          <w:color w:val="auto"/>
        </w:rPr>
        <w:t>has the meaning set forth in Section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1.269.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Unavailable</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80"/>
          </w:cols>
          <w:pgMar w:left="300" w:top="122" w:right="319" w:bottom="1440" w:gutter="0" w:footer="0" w:header="0"/>
        </w:sectPr>
      </w:pPr>
    </w:p>
    <w:bookmarkStart w:id="147" w:name="page148"/>
    <w:bookmarkEnd w:id="147"/>
    <w:p>
      <w:pPr>
        <w:ind w:left="2720" w:right="360" w:hanging="2360"/>
        <w:spacing w:after="0" w:line="290" w:lineRule="auto"/>
        <w:tabs>
          <w:tab w:leader="none" w:pos="696"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1.270.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United States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U.S.</w:t>
      </w:r>
      <w:r>
        <w:rPr>
          <w:rFonts w:ascii="Times New Roman" w:cs="Times New Roman" w:eastAsia="Times New Roman" w:hAnsi="Times New Roman"/>
          <w:sz w:val="16"/>
          <w:szCs w:val="16"/>
          <w:color w:val="auto"/>
        </w:rPr>
        <w:t>” means the United States and its territories, possessions and commonwealths.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1.271.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Upfront Payment</w:t>
      </w:r>
      <w:r>
        <w:rPr>
          <w:rFonts w:ascii="Times New Roman" w:cs="Times New Roman" w:eastAsia="Times New Roman" w:hAnsi="Times New Roman"/>
          <w:sz w:val="16"/>
          <w:szCs w:val="16"/>
          <w:color w:val="auto"/>
        </w:rPr>
        <w:t>” has the meaning set forth in Section 8.1 (Upfront Payment).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1.272.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Valid Claim</w:t>
      </w:r>
      <w:r>
        <w:rPr>
          <w:rFonts w:ascii="Times New Roman" w:cs="Times New Roman" w:eastAsia="Times New Roman" w:hAnsi="Times New Roman"/>
          <w:sz w:val="16"/>
          <w:szCs w:val="16"/>
          <w:color w:val="auto"/>
        </w:rPr>
        <w:t>” means (a) a claim of any issued and unexpired Patent Right whose validity, enforceability, or patentability has not been affected by any of the following:</w:t>
      </w:r>
    </w:p>
    <w:p>
      <w:pPr>
        <w:spacing w:after="0" w:line="21" w:lineRule="exact"/>
        <w:rPr>
          <w:sz w:val="20"/>
          <w:szCs w:val="20"/>
          <w:color w:val="auto"/>
        </w:rPr>
      </w:pPr>
    </w:p>
    <w:p>
      <w:pPr>
        <w:jc w:val="both"/>
        <w:ind w:left="520" w:hanging="6"/>
        <w:spacing w:after="0" w:line="287" w:lineRule="auto"/>
        <w:tabs>
          <w:tab w:leader="none" w:pos="71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irretrievable lapse, abandonment, revocation, cancellation,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pending claim of an unissued, pending patent application that has not been pending for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from its earliest priority date, in which case it will cease to be considered a Valid Claim until the patent issues and recites said claim. For clarity, a holding, finding or decision being final and unappealable or unappealed means a holding, finding or decision from which no appeal can be or has been taken.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1.273.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Visirna</w:t>
      </w:r>
      <w:r>
        <w:rPr>
          <w:rFonts w:ascii="Times New Roman" w:cs="Times New Roman" w:eastAsia="Times New Roman" w:hAnsi="Times New Roman"/>
          <w:sz w:val="16"/>
          <w:szCs w:val="16"/>
          <w:color w:val="auto"/>
        </w:rPr>
        <w:t>” has the meaning set forth in Section 1.8 (Affiliates).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1.274.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Withholding Taxes</w:t>
      </w:r>
      <w:r>
        <w:rPr>
          <w:rFonts w:ascii="Times New Roman" w:cs="Times New Roman" w:eastAsia="Times New Roman" w:hAnsi="Times New Roman"/>
          <w:sz w:val="16"/>
          <w:szCs w:val="16"/>
          <w:color w:val="auto"/>
        </w:rPr>
        <w:t>” has the meaning set forth in Section 8.7.5(a) (Withholding Taxes).</w:t>
      </w:r>
    </w:p>
    <w:p>
      <w:pPr>
        <w:spacing w:after="0" w:line="156" w:lineRule="exact"/>
        <w:rPr>
          <w:sz w:val="20"/>
          <w:szCs w:val="20"/>
          <w:color w:val="auto"/>
        </w:rPr>
      </w:pPr>
    </w:p>
    <w:p>
      <w:pPr>
        <w:ind w:left="520" w:hanging="515"/>
        <w:spacing w:after="0"/>
        <w:tabs>
          <w:tab w:leader="none" w:pos="52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LICENSE GRANTS; EXCLUSIVITY</w:t>
      </w:r>
    </w:p>
    <w:p>
      <w:pPr>
        <w:spacing w:after="0" w:line="14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2.1.   License Grants to Novartis</w:t>
      </w:r>
      <w:r>
        <w:rPr>
          <w:rFonts w:ascii="Times New Roman" w:cs="Times New Roman" w:eastAsia="Times New Roman" w:hAnsi="Times New Roman"/>
          <w:sz w:val="16"/>
          <w:szCs w:val="16"/>
          <w:color w:val="auto"/>
        </w:rPr>
        <w:t>. Subject to the terms and conditions of this Agreement,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on a Program-by-Program basis, Arrowhead hereby grants to Novartis and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during the Term, an exclusive (even as to Arrowhead and its Affiliates, except as set forth in Section 2.4 (Arrowhead Retained Rights)), non-transferable (except</w:t>
      </w:r>
    </w:p>
    <w:p>
      <w:pPr>
        <w:ind w:left="520"/>
        <w:spacing w:after="0"/>
        <w:rPr>
          <w:sz w:val="20"/>
          <w:szCs w:val="20"/>
          <w:color w:val="auto"/>
        </w:rPr>
      </w:pPr>
      <w:r>
        <w:rPr>
          <w:rFonts w:ascii="Times New Roman" w:cs="Times New Roman" w:eastAsia="Times New Roman" w:hAnsi="Times New Roman"/>
          <w:sz w:val="14"/>
          <w:szCs w:val="14"/>
          <w:color w:val="auto"/>
        </w:rPr>
        <w:t>in accordance with Section 16.1 (Assignment)), royalty-bearing, sublicensable (through multiple tiers, in accordance with Section 2.2 (Sublicensing Terms)) license under</w:t>
      </w:r>
    </w:p>
    <w:p>
      <w:pPr>
        <w:ind w:left="520"/>
        <w:spacing w:after="0" w:line="200" w:lineRule="auto"/>
        <w:rPr>
          <w:sz w:val="20"/>
          <w:szCs w:val="20"/>
          <w:color w:val="auto"/>
        </w:rPr>
      </w:pPr>
      <w:r>
        <w:rPr>
          <w:rFonts w:ascii="Times New Roman" w:cs="Times New Roman" w:eastAsia="Times New Roman" w:hAnsi="Times New Roman"/>
          <w:sz w:val="16"/>
          <w:szCs w:val="16"/>
          <w:color w:val="auto"/>
        </w:rPr>
        <w:t>the Arrowhead Technology to Develop, Manufacture, perform Medical Affairs, Commercialize, and otherwise Exploit the Licensed Compounds and Licensed Products in the Field and in the Territory.</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2.2.</w:t>
      </w:r>
      <w:r>
        <w:rPr>
          <w:sz w:val="20"/>
          <w:szCs w:val="20"/>
          <w:color w:val="auto"/>
        </w:rPr>
        <w:tab/>
      </w:r>
      <w:r>
        <w:rPr>
          <w:rFonts w:ascii="Times New Roman" w:cs="Times New Roman" w:eastAsia="Times New Roman" w:hAnsi="Times New Roman"/>
          <w:sz w:val="14"/>
          <w:szCs w:val="14"/>
          <w:b w:val="1"/>
          <w:bCs w:val="1"/>
          <w:color w:val="auto"/>
        </w:rPr>
        <w:t>Sublicensing Terms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2.2.1.    Subject to this Section 2.2 (Sublicensing Terms), Novartis and its Affiliates may grant sublicenses under Section 2.1 (License Grants to Novartis) to any Third Party, including to any Subcontractor to the extent a sublicense of the rights granted to Novartis hereunder is necessary for such Subcontractor to satisfy Novartis’</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obligations as delegated to such Subcontractor.</w:t>
      </w:r>
    </w:p>
    <w:p>
      <w:pPr>
        <w:spacing w:after="0" w:line="109"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2.2.2.</w:t>
      </w:r>
      <w:r>
        <w:rPr>
          <w:sz w:val="20"/>
          <w:szCs w:val="20"/>
          <w:color w:val="auto"/>
        </w:rPr>
        <w:tab/>
      </w:r>
      <w:r>
        <w:rPr>
          <w:rFonts w:ascii="Times New Roman" w:cs="Times New Roman" w:eastAsia="Times New Roman" w:hAnsi="Times New Roman"/>
          <w:sz w:val="14"/>
          <w:szCs w:val="14"/>
          <w:color w:val="auto"/>
        </w:rPr>
        <w:t>With respect to any sublicense granted pursuant to Section 2.2.1 (Sublicensing Terms) or Section 2.3 (Performance through Subcontractors) to a Sublicensee or a</w:t>
      </w:r>
    </w:p>
    <w:p>
      <w:pPr>
        <w:ind w:left="1180"/>
        <w:spacing w:after="0"/>
        <w:rPr>
          <w:sz w:val="20"/>
          <w:szCs w:val="20"/>
          <w:color w:val="auto"/>
        </w:rPr>
      </w:pPr>
      <w:r>
        <w:rPr>
          <w:rFonts w:ascii="Times New Roman" w:cs="Times New Roman" w:eastAsia="Times New Roman" w:hAnsi="Times New Roman"/>
          <w:sz w:val="16"/>
          <w:szCs w:val="16"/>
          <w:color w:val="auto"/>
        </w:rPr>
        <w:t>Subcontractor, as the case may be:</w:t>
      </w:r>
    </w:p>
    <w:p>
      <w:pPr>
        <w:spacing w:after="0" w:line="127" w:lineRule="exact"/>
        <w:rPr>
          <w:sz w:val="20"/>
          <w:szCs w:val="20"/>
          <w:color w:val="auto"/>
        </w:rPr>
      </w:pPr>
    </w:p>
    <w:p>
      <w:pPr>
        <w:ind w:left="1680" w:hanging="504"/>
        <w:spacing w:after="0" w:line="235" w:lineRule="auto"/>
        <w:tabs>
          <w:tab w:leader="none" w:pos="1672"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sublicense or subcontract agreement will be consistent with the terms of this Agreement and obligate the Sublicensee or Subcontractor to comply with the applicable terms of this Agreement, including those of Section 10.6.9 (No Reverse Engineering);</w:t>
      </w:r>
    </w:p>
    <w:p>
      <w:pPr>
        <w:spacing w:after="0" w:line="117" w:lineRule="exact"/>
        <w:rPr>
          <w:rFonts w:ascii="Times New Roman" w:cs="Times New Roman" w:eastAsia="Times New Roman" w:hAnsi="Times New Roman"/>
          <w:sz w:val="16"/>
          <w:szCs w:val="16"/>
          <w:color w:val="auto"/>
        </w:rPr>
      </w:pPr>
    </w:p>
    <w:p>
      <w:pPr>
        <w:ind w:left="1680" w:hanging="504"/>
        <w:spacing w:after="0" w:line="299" w:lineRule="auto"/>
        <w:tabs>
          <w:tab w:leader="none" w:pos="167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between the Parties, Novartis will remain primarily liable to Arrowhead for the performance of all of its obligations under, and its compliance with all provisions of, this Agreement, and for the performance of its Sublicensees and its Subcontractors, and Arrowhead will have the right to proceed directly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80"/>
          </w:cols>
          <w:pgMar w:left="300" w:top="123" w:right="319" w:bottom="1440" w:gutter="0" w:footer="0" w:header="0"/>
        </w:sectPr>
      </w:pPr>
    </w:p>
    <w:bookmarkStart w:id="148" w:name="page149"/>
    <w:bookmarkEnd w:id="148"/>
    <w:p>
      <w:pPr>
        <w:ind w:left="2720" w:right="360" w:hanging="2360"/>
        <w:spacing w:after="0" w:line="290" w:lineRule="auto"/>
        <w:tabs>
          <w:tab w:leader="none" w:pos="696"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against Novartis without any obligation to first proceed against the Sublicensees or Subcontractors;</w:t>
      </w:r>
    </w:p>
    <w:p>
      <w:pPr>
        <w:spacing w:after="0" w:line="145" w:lineRule="exact"/>
        <w:rPr>
          <w:sz w:val="20"/>
          <w:szCs w:val="20"/>
          <w:color w:val="auto"/>
        </w:rPr>
      </w:pPr>
    </w:p>
    <w:p>
      <w:pPr>
        <w:jc w:val="both"/>
        <w:ind w:left="1680" w:hanging="504"/>
        <w:spacing w:after="0" w:line="212" w:lineRule="auto"/>
        <w:tabs>
          <w:tab w:leader="none" w:pos="1672"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limiting Section 2.2.2(a) (Sublicensing Terms), each Sublicensee and Subcontractor, as applicable, will (i) undertake in writing obligations of confidentiality and non-use regarding Confidential Information that are substantially the same as those undertaken by the Parties with respect to Confidential Information pursuant to Article 9 (Confidentiality and Publication), and (ii) use Commercially Reasonable Efforts to require that each of its Sublicensees and Subcontractors undertakes in writing to assign or exclusively license back (with the right to sublicense through multiple tiers) to Novartis all Arising Know-How and Arising Patent Rights (including intellectual property with respect to any Licensed Compounds and Licensed Products conceived, invented, developed or otherwise made in the course of performing any such work); and</w:t>
      </w:r>
    </w:p>
    <w:p>
      <w:pPr>
        <w:spacing w:after="0" w:line="128" w:lineRule="exact"/>
        <w:rPr>
          <w:rFonts w:ascii="Times New Roman" w:cs="Times New Roman" w:eastAsia="Times New Roman" w:hAnsi="Times New Roman"/>
          <w:sz w:val="16"/>
          <w:szCs w:val="16"/>
          <w:color w:val="auto"/>
        </w:rPr>
      </w:pPr>
    </w:p>
    <w:p>
      <w:pPr>
        <w:jc w:val="both"/>
        <w:ind w:left="1680" w:hanging="504"/>
        <w:spacing w:after="0" w:line="221" w:lineRule="auto"/>
        <w:tabs>
          <w:tab w:leader="none" w:pos="167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a reasonable time after execution of any sublicense agreement with a Sublicensee that grants Development or Commercialization rights in a Major Region, Novartis will provide to Arrowhead a copy of such agreement (other than any agreement with a Subcontractor), which agreement may be redacted to omit any terms not necessary to determining Novartis’ and such Sublicensee’s obligations under this Agreement.</w:t>
      </w:r>
    </w:p>
    <w:p>
      <w:pPr>
        <w:spacing w:after="0" w:line="126" w:lineRule="exact"/>
        <w:rPr>
          <w:sz w:val="20"/>
          <w:szCs w:val="20"/>
          <w:color w:val="auto"/>
        </w:rPr>
      </w:pPr>
    </w:p>
    <w:p>
      <w:pPr>
        <w:ind w:left="520" w:hanging="508"/>
        <w:spacing w:after="0" w:line="213"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Performance through Subcontractors</w:t>
      </w:r>
      <w:r>
        <w:rPr>
          <w:rFonts w:ascii="Times New Roman" w:cs="Times New Roman" w:eastAsia="Times New Roman" w:hAnsi="Times New Roman"/>
          <w:sz w:val="16"/>
          <w:szCs w:val="16"/>
          <w:color w:val="auto"/>
        </w:rPr>
        <w:t>. Subject to Section 2.2.2 (Sublicensing Terms) and Section 5.4 (Manufacturing Technology Transfer), Novartis and any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may perform any of its rights or obligations under this Agreement through one or more Subcontractors.</w:t>
      </w:r>
    </w:p>
    <w:p>
      <w:pPr>
        <w:spacing w:after="0" w:line="1" w:lineRule="exact"/>
        <w:rPr>
          <w:sz w:val="20"/>
          <w:szCs w:val="20"/>
          <w:color w:val="auto"/>
        </w:rPr>
      </w:pP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2.4.   Arrowhead Retained Rights</w:t>
      </w:r>
      <w:r>
        <w:rPr>
          <w:rFonts w:ascii="Times New Roman" w:cs="Times New Roman" w:eastAsia="Times New Roman" w:hAnsi="Times New Roman"/>
          <w:sz w:val="16"/>
          <w:szCs w:val="16"/>
          <w:color w:val="auto"/>
        </w:rPr>
        <w:t>. Except as expressly granted under Section 2.1 (License Grants to Novartis), Arrowhead hereby expressly retains, on behalf of itself and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all rights under the Arrowhead Technology, including the right to (a) perform the SNCA Program Research Activities and the CT Program Research Activities,</w:t>
      </w:r>
    </w:p>
    <w:p>
      <w:pPr>
        <w:spacing w:after="0" w:line="1" w:lineRule="exact"/>
        <w:rPr>
          <w:sz w:val="20"/>
          <w:szCs w:val="20"/>
          <w:color w:val="auto"/>
        </w:rPr>
      </w:pPr>
    </w:p>
    <w:p>
      <w:pPr>
        <w:jc w:val="both"/>
        <w:ind w:left="520" w:hanging="6"/>
        <w:spacing w:after="0" w:line="202" w:lineRule="auto"/>
        <w:tabs>
          <w:tab w:leader="none" w:pos="75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Manufacture Licensed Compounds and Licensed Products in accordance with Article 5 (Manufacturing), (c) fulfill its obligations under any agreement between the Parties for Arrowhead’s performance of Development activities or Manufacturing activities on behalf of Novartis or its Affiliates or its Sublicensees for any Licensed Compounds and Licensed Products, and (d) fulfill any other obligations expressly set forth under this Agreement.</w:t>
      </w:r>
    </w:p>
    <w:p>
      <w:pPr>
        <w:spacing w:after="0" w:line="2"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2.5.   No Other Rights</w:t>
      </w:r>
      <w:r>
        <w:rPr>
          <w:rFonts w:ascii="Times New Roman" w:cs="Times New Roman" w:eastAsia="Times New Roman" w:hAnsi="Times New Roman"/>
          <w:sz w:val="16"/>
          <w:szCs w:val="16"/>
          <w:color w:val="auto"/>
        </w:rPr>
        <w:t>. Except as otherwise expressly provided in this Agreement, under no circumstances will a Party or any of its Affiliates, as a result of this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obtain any ownership interest, license, or other right in or to any Know-How, Patent Rights, or other intellectual property of the other Party, including tangible or intangible</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items owned, Controlled, or developed by the other Party, or provided by the other Party to the receiving Party at any time, pursuant to this Agreement. Any rights not expressly granted by a Party under this Agreement are hereby retained by such Party.</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2.6.</w:t>
      </w:r>
      <w:r>
        <w:rPr>
          <w:sz w:val="20"/>
          <w:szCs w:val="20"/>
          <w:color w:val="auto"/>
        </w:rPr>
        <w:tab/>
      </w:r>
      <w:r>
        <w:rPr>
          <w:rFonts w:ascii="Times New Roman" w:cs="Times New Roman" w:eastAsia="Times New Roman" w:hAnsi="Times New Roman"/>
          <w:sz w:val="14"/>
          <w:szCs w:val="14"/>
          <w:b w:val="1"/>
          <w:bCs w:val="1"/>
          <w:color w:val="auto"/>
        </w:rPr>
        <w:t>Combination Products</w:t>
      </w:r>
      <w:r>
        <w:rPr>
          <w:rFonts w:ascii="Times New Roman" w:cs="Times New Roman" w:eastAsia="Times New Roman" w:hAnsi="Times New Roman"/>
          <w:sz w:val="14"/>
          <w:szCs w:val="14"/>
          <w:color w:val="auto"/>
        </w:rPr>
        <w:t>. Notwithstanding any other provision of this Agreement, for purposes of the license grants under Section 2.1 (License Grants to Novartis), with</w:t>
      </w:r>
    </w:p>
    <w:p>
      <w:pPr>
        <w:ind w:left="520"/>
        <w:spacing w:after="0" w:line="200" w:lineRule="auto"/>
        <w:rPr>
          <w:sz w:val="20"/>
          <w:szCs w:val="20"/>
          <w:color w:val="auto"/>
        </w:rPr>
      </w:pPr>
      <w:r>
        <w:rPr>
          <w:rFonts w:ascii="Times New Roman" w:cs="Times New Roman" w:eastAsia="Times New Roman" w:hAnsi="Times New Roman"/>
          <w:sz w:val="16"/>
          <w:szCs w:val="16"/>
          <w:color w:val="auto"/>
        </w:rPr>
        <w:t>respect to any Licensed Product that is a Combination Product, such license will not include any Other Component Controlled by, as applicable, Arrowhead or any of its Affiliates or Novartis or any of its Affiliates included in any such Combination Product.</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2.7.</w:t>
      </w:r>
      <w:r>
        <w:rPr>
          <w:sz w:val="20"/>
          <w:szCs w:val="20"/>
          <w:color w:val="auto"/>
        </w:rPr>
        <w:tab/>
      </w:r>
      <w:r>
        <w:rPr>
          <w:rFonts w:ascii="Times New Roman" w:cs="Times New Roman" w:eastAsia="Times New Roman" w:hAnsi="Times New Roman"/>
          <w:sz w:val="14"/>
          <w:szCs w:val="14"/>
          <w:b w:val="1"/>
          <w:bCs w:val="1"/>
          <w:color w:val="auto"/>
        </w:rPr>
        <w:t>License to Arrowhead</w:t>
      </w:r>
      <w:r>
        <w:rPr>
          <w:rFonts w:ascii="Times New Roman" w:cs="Times New Roman" w:eastAsia="Times New Roman" w:hAnsi="Times New Roman"/>
          <w:sz w:val="14"/>
          <w:szCs w:val="14"/>
          <w:color w:val="auto"/>
        </w:rPr>
        <w:t>. Subject to the terms and conditions of this Agreement, Novartis hereby grants to Arrowhead and its Affiliates a non-exclusive, non-transferable</w:t>
      </w:r>
    </w:p>
    <w:p>
      <w:pPr>
        <w:ind w:left="520"/>
        <w:spacing w:after="0" w:line="229" w:lineRule="auto"/>
        <w:rPr>
          <w:sz w:val="20"/>
          <w:szCs w:val="20"/>
          <w:color w:val="auto"/>
        </w:rPr>
      </w:pPr>
      <w:r>
        <w:rPr>
          <w:rFonts w:ascii="Times New Roman" w:cs="Times New Roman" w:eastAsia="Times New Roman" w:hAnsi="Times New Roman"/>
          <w:sz w:val="14"/>
          <w:szCs w:val="14"/>
          <w:color w:val="auto"/>
        </w:rPr>
        <w:t>(except in accordance with Section 16.1 (Assignment)), royalty-free, fully paid-up, sublicensable (to a Subcontractor in accordance with Section 2.8 (Arrowhead Performance through Subcontractors)), license under the Novartis Arising Technology, solely to the extent necessary to enable Arrowhead to perform its obligations under</w:t>
      </w:r>
    </w:p>
    <w:p>
      <w:pPr>
        <w:ind w:left="520"/>
        <w:spacing w:after="0" w:line="208" w:lineRule="auto"/>
        <w:rPr>
          <w:sz w:val="20"/>
          <w:szCs w:val="20"/>
          <w:color w:val="auto"/>
        </w:rPr>
      </w:pPr>
      <w:r>
        <w:rPr>
          <w:rFonts w:ascii="Times New Roman" w:cs="Times New Roman" w:eastAsia="Times New Roman" w:hAnsi="Times New Roman"/>
          <w:sz w:val="16"/>
          <w:szCs w:val="16"/>
          <w:color w:val="auto"/>
        </w:rPr>
        <w:t>and in accordance with the terms of this Agreement.</w:t>
      </w:r>
    </w:p>
    <w:p>
      <w:pPr>
        <w:ind w:left="520" w:hanging="508"/>
        <w:spacing w:after="0" w:line="217"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2.8.</w:t>
      </w:r>
      <w:r>
        <w:rPr>
          <w:sz w:val="20"/>
          <w:szCs w:val="20"/>
          <w:color w:val="auto"/>
        </w:rPr>
        <w:tab/>
      </w:r>
      <w:r>
        <w:rPr>
          <w:rFonts w:ascii="Times New Roman" w:cs="Times New Roman" w:eastAsia="Times New Roman" w:hAnsi="Times New Roman"/>
          <w:sz w:val="16"/>
          <w:szCs w:val="16"/>
          <w:b w:val="1"/>
          <w:bCs w:val="1"/>
          <w:color w:val="auto"/>
        </w:rPr>
        <w:t>Arrowhead Performance through Subcontractors</w:t>
      </w:r>
      <w:r>
        <w:rPr>
          <w:rFonts w:ascii="Times New Roman" w:cs="Times New Roman" w:eastAsia="Times New Roman" w:hAnsi="Times New Roman"/>
          <w:sz w:val="16"/>
          <w:szCs w:val="16"/>
          <w:color w:val="auto"/>
        </w:rPr>
        <w:t>. Subject to this Section 2.8 (Arrowhead Performance through Subcontractors), Arrowhead and its Affiliates may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 any of its rights or obligations under this Agreement through (i) its Affiliates, (ii) one or more of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80"/>
          </w:cols>
          <w:pgMar w:left="300" w:top="122" w:right="319" w:bottom="1440" w:gutter="0" w:footer="0" w:header="0"/>
        </w:sectPr>
      </w:pPr>
    </w:p>
    <w:bookmarkStart w:id="149" w:name="page150"/>
    <w:bookmarkEnd w:id="149"/>
    <w:p>
      <w:pPr>
        <w:ind w:left="2720" w:right="360" w:hanging="2360"/>
        <w:spacing w:after="0" w:line="290" w:lineRule="auto"/>
        <w:tabs>
          <w:tab w:leader="none" w:pos="696"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4"/>
          <w:szCs w:val="14"/>
          <w:color w:val="auto"/>
        </w:rPr>
        <w:t>Subcontractors set forth in the applicable Development Plan, or, subject to Novartis’ prior written approval (not to be unreasonably withheld, conditioned or delayed), any new Subcontractor that Arrowhead proposes to engage to perform Development activities under the applicable Development Plan, or (iii) any of the Subcontractors listed in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Schedule 2.8 </w:t>
      </w:r>
      <w:r>
        <w:rPr>
          <w:rFonts w:ascii="Times New Roman" w:cs="Times New Roman" w:eastAsia="Times New Roman" w:hAnsi="Times New Roman"/>
          <w:sz w:val="14"/>
          <w:szCs w:val="14"/>
          <w:color w:val="auto"/>
        </w:rPr>
        <w:t>(Arrowhead Pre-Approved Subcontractors) for the activities specified in such schedule, and (b) grant sublicenses under Section 2.7 (License to Arrowhead)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Subcontractor to the extent a sublicense of the rights granted to Arrowhead hereunder is necessary for such Subcontractor to satisfy Arrowhead’s obligations as</w:t>
      </w:r>
    </w:p>
    <w:p>
      <w:pPr>
        <w:ind w:left="520"/>
        <w:spacing w:after="0" w:line="237" w:lineRule="auto"/>
        <w:rPr>
          <w:sz w:val="20"/>
          <w:szCs w:val="20"/>
          <w:color w:val="auto"/>
        </w:rPr>
      </w:pPr>
      <w:r>
        <w:rPr>
          <w:rFonts w:ascii="Times New Roman" w:cs="Times New Roman" w:eastAsia="Times New Roman" w:hAnsi="Times New Roman"/>
          <w:sz w:val="14"/>
          <w:szCs w:val="14"/>
          <w:color w:val="auto"/>
        </w:rPr>
        <w:t>delegated to such Subcontractor. With respect to any sublicense granted pursuant to this Section 2.8 (Arrowhead Performance through Subcontractors) to a Subcontractor:</w:t>
      </w:r>
    </w:p>
    <w:p>
      <w:pPr>
        <w:spacing w:after="0" w:line="1" w:lineRule="exact"/>
        <w:rPr>
          <w:sz w:val="20"/>
          <w:szCs w:val="20"/>
          <w:color w:val="auto"/>
        </w:rPr>
      </w:pPr>
    </w:p>
    <w:p>
      <w:pPr>
        <w:ind w:left="1680" w:hanging="504"/>
        <w:spacing w:after="0" w:line="217" w:lineRule="auto"/>
        <w:tabs>
          <w:tab w:leader="none" w:pos="167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subcontract agreement will be consistent with the terms of this Agreement and obligate the Subcontractor to comply with the applicable terms of this Agreement;</w:t>
      </w:r>
    </w:p>
    <w:p>
      <w:pPr>
        <w:spacing w:after="0" w:line="126" w:lineRule="exact"/>
        <w:rPr>
          <w:rFonts w:ascii="Times New Roman" w:cs="Times New Roman" w:eastAsia="Times New Roman" w:hAnsi="Times New Roman"/>
          <w:sz w:val="16"/>
          <w:szCs w:val="16"/>
          <w:color w:val="auto"/>
        </w:rPr>
      </w:pPr>
    </w:p>
    <w:p>
      <w:pPr>
        <w:jc w:val="both"/>
        <w:ind w:left="1680" w:hanging="504"/>
        <w:spacing w:after="0" w:line="221" w:lineRule="auto"/>
        <w:tabs>
          <w:tab w:leader="none" w:pos="167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between the Parties, Arrowhead will remain primarily liable to Novartis for the performance of all of its obligations under, and its compliance with all provisions of, this Agreement, and for the performance of its Subcontractors, and Novartis will have the right to proceed directly against Arrowhead without any obligation to first proceed against the Subcontractors; and</w:t>
      </w:r>
    </w:p>
    <w:p>
      <w:pPr>
        <w:spacing w:after="0" w:line="128" w:lineRule="exact"/>
        <w:rPr>
          <w:rFonts w:ascii="Times New Roman" w:cs="Times New Roman" w:eastAsia="Times New Roman" w:hAnsi="Times New Roman"/>
          <w:sz w:val="16"/>
          <w:szCs w:val="16"/>
          <w:color w:val="auto"/>
        </w:rPr>
      </w:pPr>
    </w:p>
    <w:p>
      <w:pPr>
        <w:jc w:val="both"/>
        <w:ind w:left="1680" w:hanging="504"/>
        <w:spacing w:after="0" w:line="244" w:lineRule="auto"/>
        <w:tabs>
          <w:tab w:leader="none" w:pos="167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Subcontractor will (i) undertake in writing obligations of confidentiality and non-use regarding Confidential Information that are substantially the same as those undertaken by the Parties with respect to Confidential Information pursuant to Article 9 (Confidentiality and Publication), and (ii) use Commercially Reasonable Efforts to require that each of its Subcontractors undertakes in writing to assign or exclusively license back (with the right to sublicense through multiple tiers) to Arrowhead all Arising Know-How and Arising Patent Rights (including intellectual property with respect to any Licensed Compounds and Licensed Products conceived, invented, developed or otherwise made in the course of performing any such work).</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2.9.</w:t>
      </w:r>
      <w:r>
        <w:rPr>
          <w:sz w:val="20"/>
          <w:szCs w:val="20"/>
          <w:color w:val="auto"/>
        </w:rPr>
        <w:tab/>
      </w:r>
      <w:r>
        <w:rPr>
          <w:rFonts w:ascii="Times New Roman" w:cs="Times New Roman" w:eastAsia="Times New Roman" w:hAnsi="Times New Roman"/>
          <w:sz w:val="14"/>
          <w:szCs w:val="14"/>
          <w:b w:val="1"/>
          <w:bCs w:val="1"/>
          <w:color w:val="auto"/>
        </w:rPr>
        <w:t>Third Party In-License Payments</w:t>
      </w:r>
      <w:r>
        <w:rPr>
          <w:rFonts w:ascii="Times New Roman" w:cs="Times New Roman" w:eastAsia="Times New Roman" w:hAnsi="Times New Roman"/>
          <w:sz w:val="14"/>
          <w:szCs w:val="14"/>
          <w:color w:val="auto"/>
        </w:rPr>
        <w:t>.</w:t>
      </w:r>
    </w:p>
    <w:p>
      <w:pPr>
        <w:ind w:left="1180" w:hanging="661"/>
        <w:spacing w:after="0" w:line="217" w:lineRule="auto"/>
        <w:tabs>
          <w:tab w:leader="none" w:pos="1160" w:val="left"/>
        </w:tabs>
        <w:rPr>
          <w:sz w:val="20"/>
          <w:szCs w:val="20"/>
          <w:color w:val="auto"/>
        </w:rPr>
      </w:pPr>
      <w:r>
        <w:rPr>
          <w:rFonts w:ascii="Times New Roman" w:cs="Times New Roman" w:eastAsia="Times New Roman" w:hAnsi="Times New Roman"/>
          <w:sz w:val="16"/>
          <w:szCs w:val="16"/>
          <w:color w:val="auto"/>
        </w:rPr>
        <w:t>2.9.1.</w:t>
      </w:r>
      <w:r>
        <w:rPr>
          <w:sz w:val="20"/>
          <w:szCs w:val="20"/>
          <w:color w:val="auto"/>
        </w:rPr>
        <w:tab/>
      </w:r>
      <w:r>
        <w:rPr>
          <w:rFonts w:ascii="Times New Roman" w:cs="Times New Roman" w:eastAsia="Times New Roman" w:hAnsi="Times New Roman"/>
          <w:sz w:val="16"/>
          <w:szCs w:val="16"/>
          <w:b w:val="1"/>
          <w:bCs w:val="1"/>
          <w:color w:val="auto"/>
        </w:rPr>
        <w:t>Prior to the Effective Date</w:t>
      </w:r>
      <w:r>
        <w:rPr>
          <w:rFonts w:ascii="Times New Roman" w:cs="Times New Roman" w:eastAsia="Times New Roman" w:hAnsi="Times New Roman"/>
          <w:sz w:val="16"/>
          <w:szCs w:val="16"/>
          <w:color w:val="auto"/>
        </w:rPr>
        <w:t>. As between the Parties, Arrowhead will be solely responsible for any license fees, milestones, royalties, and other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accruing prior to, on or following the Effective Date, under any of the Pre-Existing Third Party Agreements.</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2.9.2.</w:t>
      </w:r>
      <w:r>
        <w:rPr>
          <w:sz w:val="20"/>
          <w:szCs w:val="20"/>
          <w:color w:val="auto"/>
        </w:rPr>
        <w:tab/>
      </w:r>
      <w:r>
        <w:rPr>
          <w:rFonts w:ascii="Times New Roman" w:cs="Times New Roman" w:eastAsia="Times New Roman" w:hAnsi="Times New Roman"/>
          <w:sz w:val="14"/>
          <w:szCs w:val="14"/>
          <w:b w:val="1"/>
          <w:bCs w:val="1"/>
          <w:color w:val="auto"/>
        </w:rPr>
        <w:t>After Effective Date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1680" w:hanging="504"/>
        <w:spacing w:after="0" w:line="218" w:lineRule="auto"/>
        <w:tabs>
          <w:tab w:leader="none" w:pos="1672"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Program-Specific Third Party Rights</w:t>
      </w:r>
      <w:r>
        <w:rPr>
          <w:rFonts w:ascii="Times New Roman" w:cs="Times New Roman" w:eastAsia="Times New Roman" w:hAnsi="Times New Roman"/>
          <w:sz w:val="16"/>
          <w:szCs w:val="16"/>
          <w:color w:val="auto"/>
        </w:rPr>
        <w:t>. On a Program-by-Program basis, if, in the reasonable opinion of Novartis, rights under any Patent Rights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Know-How of a Third Party are necessary or reasonably useful for the Exploitation of any of the Licensed Compounds or Licensed Products that are the subject of such Program by Novartis or any of its Affiliates or any of its or their Sublicensees in any country of the Territory that are or is not Platform Third Party Rights (“</w:t>
      </w:r>
      <w:r>
        <w:rPr>
          <w:rFonts w:ascii="Times New Roman" w:cs="Times New Roman" w:eastAsia="Times New Roman" w:hAnsi="Times New Roman"/>
          <w:sz w:val="16"/>
          <w:szCs w:val="16"/>
          <w:b w:val="1"/>
          <w:bCs w:val="1"/>
          <w:color w:val="auto"/>
        </w:rPr>
        <w:t>Program-Specific Third Party Rights</w:t>
      </w:r>
      <w:r>
        <w:rPr>
          <w:rFonts w:ascii="Times New Roman" w:cs="Times New Roman" w:eastAsia="Times New Roman" w:hAnsi="Times New Roman"/>
          <w:sz w:val="16"/>
          <w:szCs w:val="16"/>
          <w:color w:val="auto"/>
        </w:rPr>
        <w:t xml:space="preserve">”), then, as between the Parties,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1680" w:hanging="504"/>
        <w:spacing w:after="0"/>
        <w:tabs>
          <w:tab w:leader="none" w:pos="168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Platform Third Party Rights</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2200" w:hanging="515"/>
        <w:spacing w:after="0" w:line="221" w:lineRule="auto"/>
        <w:tabs>
          <w:tab w:leader="none" w:pos="219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Effective Date and continuing during the Term, subject to Novartis’ rights under Section 12.6.2 (Defense), prior to Arrowhead (or any of its Affiliates) entering into an agreement with respect to any Patent Rights or Know-How of a Third Party that are or is: (A) generally applicable to making, using, or selling RNAi</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80"/>
          </w:cols>
          <w:pgMar w:left="300" w:top="123" w:right="319" w:bottom="1440" w:gutter="0" w:footer="0" w:header="0"/>
        </w:sectPr>
      </w:pPr>
    </w:p>
    <w:bookmarkStart w:id="150" w:name="page151"/>
    <w:bookmarkEnd w:id="150"/>
    <w:p>
      <w:pPr>
        <w:ind w:left="2360" w:right="360" w:hanging="2360"/>
        <w:spacing w:after="0" w:line="290" w:lineRule="auto"/>
        <w:tabs>
          <w:tab w:leader="none" w:pos="336"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40"/>
        <w:spacing w:after="0" w:line="250" w:lineRule="auto"/>
        <w:rPr>
          <w:sz w:val="20"/>
          <w:szCs w:val="20"/>
          <w:color w:val="auto"/>
        </w:rPr>
      </w:pPr>
      <w:r>
        <w:rPr>
          <w:rFonts w:ascii="Times New Roman" w:cs="Times New Roman" w:eastAsia="Times New Roman" w:hAnsi="Times New Roman"/>
          <w:sz w:val="14"/>
          <w:szCs w:val="14"/>
          <w:color w:val="auto"/>
        </w:rPr>
        <w:t>Molecules; (B) not specific to a Licensed Compound, a Licensed Product, or any other RNAi Molecule Directed To the Target that is the subject of a Program, or any method of manufacture or use thereof; and (C) in the reasonable opinion of Arrowhead is necessary or reasonably useful for</w:t>
      </w:r>
    </w:p>
    <w:p>
      <w:pPr>
        <w:spacing w:after="0" w:line="1" w:lineRule="exact"/>
        <w:rPr>
          <w:sz w:val="20"/>
          <w:szCs w:val="20"/>
          <w:color w:val="auto"/>
        </w:rPr>
      </w:pPr>
    </w:p>
    <w:p>
      <w:pPr>
        <w:ind w:left="1840"/>
        <w:spacing w:after="0" w:line="200" w:lineRule="auto"/>
        <w:rPr>
          <w:sz w:val="20"/>
          <w:szCs w:val="20"/>
          <w:color w:val="auto"/>
        </w:rPr>
      </w:pPr>
      <w:r>
        <w:rPr>
          <w:rFonts w:ascii="Times New Roman" w:cs="Times New Roman" w:eastAsia="Times New Roman" w:hAnsi="Times New Roman"/>
          <w:sz w:val="16"/>
          <w:szCs w:val="16"/>
          <w:color w:val="auto"/>
        </w:rPr>
        <w:t>the Exploitation of the Licensed Compounds or Licensed Products that are the subject of a Program (such Patent Rights or Know-How, a “</w:t>
      </w:r>
      <w:r>
        <w:rPr>
          <w:rFonts w:ascii="Times New Roman" w:cs="Times New Roman" w:eastAsia="Times New Roman" w:hAnsi="Times New Roman"/>
          <w:sz w:val="16"/>
          <w:szCs w:val="16"/>
          <w:b w:val="1"/>
          <w:bCs w:val="1"/>
          <w:color w:val="auto"/>
        </w:rPr>
        <w:t>Platform Third Party Rights</w:t>
      </w:r>
      <w:r>
        <w:rPr>
          <w:rFonts w:ascii="Times New Roman" w:cs="Times New Roman" w:eastAsia="Times New Roman" w:hAnsi="Times New Roman"/>
          <w:sz w:val="16"/>
          <w:szCs w:val="16"/>
          <w:color w:val="auto"/>
        </w:rPr>
        <w:t>” and such agreement, a “</w:t>
      </w:r>
      <w:r>
        <w:rPr>
          <w:rFonts w:ascii="Times New Roman" w:cs="Times New Roman" w:eastAsia="Times New Roman" w:hAnsi="Times New Roman"/>
          <w:sz w:val="16"/>
          <w:szCs w:val="16"/>
          <w:b w:val="1"/>
          <w:bCs w:val="1"/>
          <w:color w:val="auto"/>
        </w:rPr>
        <w:t>Platform Third Party Agreement</w:t>
      </w:r>
      <w:r>
        <w:rPr>
          <w:rFonts w:ascii="Times New Roman" w:cs="Times New Roman" w:eastAsia="Times New Roman" w:hAnsi="Times New Roman"/>
          <w:sz w:val="16"/>
          <w:szCs w:val="16"/>
          <w:color w:val="auto"/>
        </w:rPr>
        <w:t>”), Arrowhead will provide written notice to</w:t>
      </w:r>
    </w:p>
    <w:p>
      <w:pPr>
        <w:ind w:left="1840"/>
        <w:spacing w:after="0"/>
        <w:rPr>
          <w:sz w:val="20"/>
          <w:szCs w:val="20"/>
          <w:color w:val="auto"/>
        </w:rPr>
      </w:pPr>
      <w:r>
        <w:rPr>
          <w:rFonts w:ascii="Times New Roman" w:cs="Times New Roman" w:eastAsia="Times New Roman" w:hAnsi="Times New Roman"/>
          <w:sz w:val="14"/>
          <w:szCs w:val="14"/>
          <w:color w:val="auto"/>
        </w:rPr>
        <w:t>Novartis of Arrowhead’s (or its Affiliate’s) intent to enter into such proposed Platform Third Party Agreement, along with reasonably detailed</w:t>
      </w:r>
    </w:p>
    <w:p>
      <w:pPr>
        <w:ind w:left="1840"/>
        <w:spacing w:after="0" w:line="229" w:lineRule="auto"/>
        <w:rPr>
          <w:sz w:val="20"/>
          <w:szCs w:val="20"/>
          <w:color w:val="auto"/>
        </w:rPr>
      </w:pPr>
      <w:r>
        <w:rPr>
          <w:rFonts w:ascii="Times New Roman" w:cs="Times New Roman" w:eastAsia="Times New Roman" w:hAnsi="Times New Roman"/>
          <w:sz w:val="14"/>
          <w:szCs w:val="14"/>
          <w:color w:val="auto"/>
        </w:rPr>
        <w:t>information regarding the proposed financial terms, as well as any other material terms applicable to sublicensees under such proposed Platform Third Party Agreement and the relevant Patent Rights or Know-How owned or otherwise controlled by such Third Party that are proposed to be</w:t>
      </w:r>
    </w:p>
    <w:p>
      <w:pPr>
        <w:ind w:left="1840"/>
        <w:spacing w:after="0" w:line="200" w:lineRule="auto"/>
        <w:rPr>
          <w:sz w:val="20"/>
          <w:szCs w:val="20"/>
          <w:color w:val="auto"/>
        </w:rPr>
      </w:pPr>
      <w:r>
        <w:rPr>
          <w:rFonts w:ascii="Times New Roman" w:cs="Times New Roman" w:eastAsia="Times New Roman" w:hAnsi="Times New Roman"/>
          <w:sz w:val="16"/>
          <w:szCs w:val="16"/>
          <w:color w:val="auto"/>
        </w:rPr>
        <w:t>included as Arrowhead Technology if Novartis elects to take a sublicense under such proposed Platform Third Party Agreement pursuant to Section 2.9.2(b)(ii) (Platform Third Party Rights). After receipt of such notice from Arrowhead with respect to any Platform Third Party</w:t>
      </w:r>
    </w:p>
    <w:p>
      <w:pPr>
        <w:ind w:left="1840"/>
        <w:spacing w:after="0"/>
        <w:rPr>
          <w:sz w:val="20"/>
          <w:szCs w:val="20"/>
          <w:color w:val="auto"/>
        </w:rPr>
      </w:pPr>
      <w:r>
        <w:rPr>
          <w:rFonts w:ascii="Times New Roman" w:cs="Times New Roman" w:eastAsia="Times New Roman" w:hAnsi="Times New Roman"/>
          <w:sz w:val="14"/>
          <w:szCs w:val="14"/>
          <w:color w:val="auto"/>
        </w:rPr>
        <w:t>Agreement, Novartis will have the right to request discussions with Arrowhead, and, if so requested, the Parties will promptly meet and discuss</w:t>
      </w:r>
    </w:p>
    <w:p>
      <w:pPr>
        <w:ind w:left="1840"/>
        <w:spacing w:after="0" w:line="217" w:lineRule="auto"/>
        <w:rPr>
          <w:sz w:val="20"/>
          <w:szCs w:val="20"/>
          <w:color w:val="auto"/>
        </w:rPr>
      </w:pPr>
      <w:r>
        <w:rPr>
          <w:rFonts w:ascii="Times New Roman" w:cs="Times New Roman" w:eastAsia="Times New Roman" w:hAnsi="Times New Roman"/>
          <w:sz w:val="16"/>
          <w:szCs w:val="16"/>
          <w:color w:val="auto"/>
        </w:rPr>
        <w:t>such Platform Third Party Rights and Platform Third Party Agreement, including the proposed financial terms and other terms applicable to sublicensees thereunder.</w:t>
      </w:r>
    </w:p>
    <w:p>
      <w:pPr>
        <w:spacing w:after="0" w:line="127" w:lineRule="exact"/>
        <w:rPr>
          <w:sz w:val="20"/>
          <w:szCs w:val="20"/>
          <w:color w:val="auto"/>
        </w:rPr>
      </w:pPr>
    </w:p>
    <w:p>
      <w:pPr>
        <w:jc w:val="both"/>
        <w:ind w:left="1840" w:hanging="515"/>
        <w:spacing w:after="0" w:line="211" w:lineRule="auto"/>
        <w:tabs>
          <w:tab w:leader="none" w:pos="183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Arrowhead (or its Affiliate) will use Commercially Reasonable Efforts to obtain sublicensable licenses or other rights under the relevant Platform Third Party Rights pursuant to its corresponding Platform Third Party Agreement that are sufficient to grant Novartis a license with respect to the Licensed Compounds and Licensed Products that are the subject of the applicable Program on terms substantially consistent with the rights and licenses granted to Novartis under the Arrowhead Technology pursuant to Section 2.1 (Licensed Grants to Novartis);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no event will Arrowhead enter into any Platform Third Party Agreement under which rights are not sublicensable to Novartis in a manner that precludes Novartis from entering into an agreement with the applicable Third Party for a grant of such Platform Third Party Rights to Exploit the Licensed Compounds and Licensed Products in the Field in the Territory.</w:t>
      </w:r>
    </w:p>
    <w:p>
      <w:pPr>
        <w:spacing w:after="0" w:line="130" w:lineRule="exact"/>
        <w:rPr>
          <w:rFonts w:ascii="Times New Roman" w:cs="Times New Roman" w:eastAsia="Times New Roman" w:hAnsi="Times New Roman"/>
          <w:sz w:val="16"/>
          <w:szCs w:val="16"/>
          <w:color w:val="auto"/>
        </w:rPr>
      </w:pPr>
    </w:p>
    <w:p>
      <w:pPr>
        <w:jc w:val="both"/>
        <w:ind w:left="1840" w:hanging="515"/>
        <w:spacing w:after="0" w:line="209" w:lineRule="auto"/>
        <w:tabs>
          <w:tab w:leader="none" w:pos="184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Arrowhead (or its Affiliate) is successful in obtaining such sublicensable licenses or other rights under the applicable Platform Third Party Agreement in accordance with Section 2.9.2(b) (Platform Third Party Rights), then (A) Novartis will have the right, by delivery of written notice to Arrowhead, to elect to take a sublicense under such relevant Patent Rights or Know-How in-licensed by Arrowhead (or its Affiliate) under such Platform Third Party Agreement, and (B) if Novartis makes such election, (1)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(2) Novartis agrees to comply, and will cause its Affiliates and its and their Sublicensees to comply, with any applicable obligations under such Platform Third Party Agreement that apply to Novartis (or its Affiliates or its or their Sublicensees) as sublicensees thereunder and of which Novartis was informed by Arrowhead in writing prior to such election by Novartis pursuant to this Section 2.9.2(b)(ii) (Platform Third Party Rights), including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If Novartis fails to deliver such written notice to Arrowhead or otherwise declines such a sublicense, then the Platform</w:t>
      </w:r>
    </w:p>
    <w:p>
      <w:pPr>
        <w:spacing w:after="0" w:line="3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920"/>
          </w:cols>
          <w:pgMar w:left="660" w:top="123" w:right="319" w:bottom="1440" w:gutter="0" w:footer="0" w:header="0"/>
        </w:sectPr>
      </w:pPr>
    </w:p>
    <w:bookmarkStart w:id="151" w:name="page152"/>
    <w:bookmarkEnd w:id="151"/>
    <w:p>
      <w:pPr>
        <w:ind w:left="2720" w:right="360" w:hanging="2360"/>
        <w:spacing w:after="0" w:line="290" w:lineRule="auto"/>
        <w:tabs>
          <w:tab w:leader="none" w:pos="696"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200"/>
        <w:spacing w:after="0" w:line="235" w:lineRule="auto"/>
        <w:rPr>
          <w:sz w:val="20"/>
          <w:szCs w:val="20"/>
          <w:color w:val="auto"/>
        </w:rPr>
      </w:pPr>
      <w:r>
        <w:rPr>
          <w:rFonts w:ascii="Times New Roman" w:cs="Times New Roman" w:eastAsia="Times New Roman" w:hAnsi="Times New Roman"/>
          <w:sz w:val="16"/>
          <w:szCs w:val="16"/>
          <w:color w:val="auto"/>
        </w:rPr>
        <w:t>Third Party Right subject to such Platform Third Party Agreement will not be included within the Arrowhead Technology or in any of the licenses and other rights granted to Novartis and its Affiliates and its and their Sublicensees under this Agreement.</w:t>
      </w:r>
    </w:p>
    <w:p>
      <w:pPr>
        <w:spacing w:after="0" w:line="128" w:lineRule="exact"/>
        <w:rPr>
          <w:sz w:val="20"/>
          <w:szCs w:val="20"/>
          <w:color w:val="auto"/>
        </w:rPr>
      </w:pPr>
    </w:p>
    <w:p>
      <w:pPr>
        <w:ind w:left="2200" w:hanging="515"/>
        <w:spacing w:after="0" w:line="229" w:lineRule="auto"/>
        <w:tabs>
          <w:tab w:leader="none" w:pos="219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this Section 2.9.2(b) (Platform Third Party Rights) restricts Novartis’ right to obtain any license or other rights in or to any Platform Third Party Right directly from any Third Party that owns or otherwise controls any Platform Third Party Right.</w:t>
      </w:r>
    </w:p>
    <w:p>
      <w:pPr>
        <w:spacing w:after="0" w:line="1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2.10.</w:t>
      </w:r>
      <w:r>
        <w:rPr>
          <w:sz w:val="20"/>
          <w:szCs w:val="20"/>
          <w:color w:val="auto"/>
        </w:rPr>
        <w:tab/>
      </w:r>
      <w:r>
        <w:rPr>
          <w:rFonts w:ascii="Times New Roman" w:cs="Times New Roman" w:eastAsia="Times New Roman" w:hAnsi="Times New Roman"/>
          <w:sz w:val="14"/>
          <w:szCs w:val="14"/>
          <w:b w:val="1"/>
          <w:bCs w:val="1"/>
          <w:color w:val="auto"/>
        </w:rPr>
        <w:t>Exclusivity</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2.10.1.   </w:t>
      </w:r>
      <w:r>
        <w:rPr>
          <w:rFonts w:ascii="Times New Roman" w:cs="Times New Roman" w:eastAsia="Times New Roman" w:hAnsi="Times New Roman"/>
          <w:sz w:val="16"/>
          <w:szCs w:val="16"/>
          <w:b w:val="1"/>
          <w:bCs w:val="1"/>
          <w:color w:val="auto"/>
        </w:rPr>
        <w:t>Exclusivity Covenants</w:t>
      </w:r>
      <w:r>
        <w:rPr>
          <w:rFonts w:ascii="Times New Roman" w:cs="Times New Roman" w:eastAsia="Times New Roman" w:hAnsi="Times New Roman"/>
          <w:sz w:val="16"/>
          <w:szCs w:val="16"/>
          <w:color w:val="auto"/>
        </w:rPr>
        <w:t xml:space="preserve">. Subject to Section 2.10.2 (Arrowhead Change of Control), except as expressly permitted under this Agreement, during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on a Target-by-Target basis (the “</w:t>
      </w:r>
      <w:r>
        <w:rPr>
          <w:rFonts w:ascii="Times New Roman" w:cs="Times New Roman" w:eastAsia="Times New Roman" w:hAnsi="Times New Roman"/>
          <w:sz w:val="16"/>
          <w:szCs w:val="16"/>
          <w:b w:val="1"/>
          <w:bCs w:val="1"/>
          <w:color w:val="auto"/>
        </w:rPr>
        <w:t>Target Exclusivity Period</w:t>
      </w:r>
      <w:r>
        <w:rPr>
          <w:rFonts w:ascii="Times New Roman" w:cs="Times New Roman" w:eastAsia="Times New Roman" w:hAnsi="Times New Roman"/>
          <w:sz w:val="16"/>
          <w:szCs w:val="16"/>
          <w:color w:val="auto"/>
        </w:rPr>
        <w:t>”), Arrowhead will not, and will ensure that its Affiliates do not, directly or indirectly, independently or</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 xml:space="preserve">for or with any Third Party, Develop or Commercialize and will not collaborate with, enable, or otherwise authorize, license or grant any right to any Third Party to, Develop or Commercialize in the Territory any compound or product that is Directed To such Target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including through the use of Arrowhead</w:t>
      </w:r>
    </w:p>
    <w:p>
      <w:pPr>
        <w:spacing w:after="0" w:line="1" w:lineRule="exact"/>
        <w:rPr>
          <w:sz w:val="20"/>
          <w:szCs w:val="20"/>
          <w:color w:val="auto"/>
        </w:rPr>
      </w:pPr>
    </w:p>
    <w:p>
      <w:pPr>
        <w:ind w:left="1180"/>
        <w:spacing w:after="0" w:line="224" w:lineRule="auto"/>
        <w:rPr>
          <w:sz w:val="20"/>
          <w:szCs w:val="20"/>
          <w:color w:val="auto"/>
        </w:rPr>
      </w:pPr>
      <w:r>
        <w:rPr>
          <w:rFonts w:ascii="Times New Roman" w:cs="Times New Roman" w:eastAsia="Times New Roman" w:hAnsi="Times New Roman"/>
          <w:sz w:val="16"/>
          <w:szCs w:val="16"/>
          <w:color w:val="auto"/>
        </w:rPr>
        <w:t>Technology, ligand and antibody technologies, or siRNA (such compound or product, a “</w:t>
      </w:r>
      <w:r>
        <w:rPr>
          <w:rFonts w:ascii="Times New Roman" w:cs="Times New Roman" w:eastAsia="Times New Roman" w:hAnsi="Times New Roman"/>
          <w:sz w:val="16"/>
          <w:szCs w:val="16"/>
          <w:b w:val="1"/>
          <w:bCs w:val="1"/>
          <w:color w:val="auto"/>
        </w:rPr>
        <w:t>Target Competing Product</w:t>
      </w:r>
      <w:r>
        <w:rPr>
          <w:rFonts w:ascii="Times New Roman" w:cs="Times New Roman" w:eastAsia="Times New Roman" w:hAnsi="Times New Roman"/>
          <w:sz w:val="16"/>
          <w:szCs w:val="16"/>
          <w:color w:val="auto"/>
        </w:rPr>
        <w:t>” and such activities, the “</w:t>
      </w: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Competitive Activities</w:t>
      </w:r>
      <w:r>
        <w:rPr>
          <w:rFonts w:ascii="Times New Roman" w:cs="Times New Roman" w:eastAsia="Times New Roman" w:hAnsi="Times New Roman"/>
          <w:sz w:val="16"/>
          <w:szCs w:val="16"/>
          <w:color w:val="auto"/>
        </w:rPr>
        <w:t>”), except in accordance with Section 13.6.1(b) (Exclusivity).</w:t>
      </w:r>
    </w:p>
    <w:p>
      <w:pPr>
        <w:spacing w:after="0" w:line="114"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2.10.2.</w:t>
      </w:r>
      <w:r>
        <w:rPr>
          <w:sz w:val="20"/>
          <w:szCs w:val="20"/>
          <w:color w:val="auto"/>
        </w:rPr>
        <w:tab/>
      </w:r>
      <w:r>
        <w:rPr>
          <w:rFonts w:ascii="Times New Roman" w:cs="Times New Roman" w:eastAsia="Times New Roman" w:hAnsi="Times New Roman"/>
          <w:sz w:val="14"/>
          <w:szCs w:val="14"/>
          <w:b w:val="1"/>
          <w:bCs w:val="1"/>
          <w:color w:val="auto"/>
        </w:rPr>
        <w:t>Arrowhead Change of Control</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left="1680" w:hanging="504"/>
        <w:spacing w:after="0"/>
        <w:tabs>
          <w:tab w:leader="none" w:pos="167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during, as applicable the Target Exclusivity Period, Arrowhead undergoes a Change of Control and the Acquirer is (a) engaged in Target Competitive Activities as of the closing of such Change of Control or (b) initiates Target Competitive Activities thereafter, then the restrictions set forth in Section 2.10.1 (Exclusivity Covenants) will not apply to such Acquirer and such Target Competitive Activities;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no Licensed Product-Specific Patent Rights, Novartis Arising Technology, or Confidential Information of Novartis or Confidential Information of both Parties is used by or on behalf of such Acquirer in connection with any performance of such Target Competitive Activities, and (ii) such Acquirer institutes commercially reasonable technical and administrative safeguards to ensure the requirements set forth in the foregoing clause (i) are met, including by creating “firewalls” between the personnel working on the Target Competing Product and the personnel teams charged with working on any Licensed Compound or Licensed Product that is the subject of any Program hereunder having as its Target the same as that of such Target Competitive Activities or having access to data from activities performed under this Agreement or Confidential Information of Novartis or Confidential Information of both Parties. Notwithstanding the foregoing, the foregoing clause (ii) will not apply to employees or members of the Board of Directors of Arrowhead who do not perform any day-to-day responsibilities for a Licensed Compound or a Licensed Product or Target Competitive Activities if Arrowhead ensures that such employees and members of its Board of Directors comply with Arrowhead’s obligations of confidentiality and non-use as set forth in this Agreement.</w:t>
      </w:r>
    </w:p>
    <w:p>
      <w:pPr>
        <w:spacing w:after="0" w:line="264" w:lineRule="exact"/>
        <w:rPr>
          <w:rFonts w:ascii="Times New Roman" w:cs="Times New Roman" w:eastAsia="Times New Roman" w:hAnsi="Times New Roman"/>
          <w:sz w:val="14"/>
          <w:szCs w:val="14"/>
          <w:color w:val="auto"/>
        </w:rPr>
      </w:pPr>
    </w:p>
    <w:p>
      <w:pPr>
        <w:jc w:val="both"/>
        <w:ind w:left="1680" w:hanging="504"/>
        <w:spacing w:after="0" w:line="218" w:lineRule="auto"/>
        <w:tabs>
          <w:tab w:leader="none" w:pos="167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of a Change of Control of Arrowhead, Arrowhead shall provide Novartis with written notice thereof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consummation of such Change of Control, which notice shall identify the Acquirer. Novartis may, effective upon written notice delivered to Arrowhead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consummation of such Change of Control, elect any or all of the following: (i) to disband or restructure, in whole or in part, any or all</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80"/>
          </w:cols>
          <w:pgMar w:left="300" w:top="122" w:right="319" w:bottom="1440" w:gutter="0" w:footer="0" w:header="0"/>
        </w:sectPr>
      </w:pPr>
    </w:p>
    <w:bookmarkStart w:id="152" w:name="page153"/>
    <w:bookmarkEnd w:id="152"/>
    <w:p>
      <w:pPr>
        <w:ind w:left="2720" w:right="360" w:hanging="2360"/>
        <w:spacing w:after="0" w:line="290" w:lineRule="auto"/>
        <w:tabs>
          <w:tab w:leader="none" w:pos="696" w:val="left"/>
        </w:tabs>
        <w:numPr>
          <w:ilvl w:val="0"/>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spacing w:after="0" w:line="235" w:lineRule="auto"/>
        <w:rPr>
          <w:sz w:val="20"/>
          <w:szCs w:val="20"/>
          <w:color w:val="auto"/>
        </w:rPr>
      </w:pPr>
      <w:r>
        <w:rPr>
          <w:rFonts w:ascii="Times New Roman" w:cs="Times New Roman" w:eastAsia="Times New Roman" w:hAnsi="Times New Roman"/>
          <w:sz w:val="16"/>
          <w:szCs w:val="16"/>
          <w:color w:val="auto"/>
        </w:rPr>
        <w:t>Committees, as determined by Novartis; or (ii) to reasonably limit the scope of information to be provided by Novartis to Arrowhead (including through the JSC or any other Committee).</w:t>
      </w:r>
    </w:p>
    <w:p>
      <w:pPr>
        <w:spacing w:after="0" w:line="126"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2.10.3.   </w:t>
      </w:r>
      <w:r>
        <w:rPr>
          <w:rFonts w:ascii="Times New Roman" w:cs="Times New Roman" w:eastAsia="Times New Roman" w:hAnsi="Times New Roman"/>
          <w:sz w:val="16"/>
          <w:szCs w:val="16"/>
          <w:b w:val="1"/>
          <w:bCs w:val="1"/>
          <w:color w:val="auto"/>
        </w:rPr>
        <w:t>Acquired Business Exception</w:t>
      </w:r>
      <w:r>
        <w:rPr>
          <w:rFonts w:ascii="Times New Roman" w:cs="Times New Roman" w:eastAsia="Times New Roman" w:hAnsi="Times New Roman"/>
          <w:sz w:val="16"/>
          <w:szCs w:val="16"/>
          <w:color w:val="auto"/>
        </w:rPr>
        <w:t>. Notwithstanding the restrictions set forth in Section 2.10.1 (Exclusivity Covenants), if, during the Target Exclusivity Period, Arrowhead or any of its Affiliates acquires any assets or business, whether by way of merger, business combination, asset purchase, stock purchase, or otherwise</w:t>
      </w:r>
    </w:p>
    <w:p>
      <w:pPr>
        <w:ind w:left="1180"/>
        <w:spacing w:after="0"/>
        <w:rPr>
          <w:sz w:val="20"/>
          <w:szCs w:val="20"/>
          <w:color w:val="auto"/>
        </w:rPr>
      </w:pPr>
      <w:r>
        <w:rPr>
          <w:rFonts w:ascii="Times New Roman" w:cs="Times New Roman" w:eastAsia="Times New Roman" w:hAnsi="Times New Roman"/>
          <w:sz w:val="14"/>
          <w:szCs w:val="14"/>
          <w:color w:val="auto"/>
        </w:rPr>
        <w:t>(the “</w:t>
      </w:r>
      <w:r>
        <w:rPr>
          <w:rFonts w:ascii="Times New Roman" w:cs="Times New Roman" w:eastAsia="Times New Roman" w:hAnsi="Times New Roman"/>
          <w:sz w:val="14"/>
          <w:szCs w:val="14"/>
          <w:b w:val="1"/>
          <w:bCs w:val="1"/>
          <w:color w:val="auto"/>
        </w:rPr>
        <w:t>Acquired Business</w:t>
      </w:r>
      <w:r>
        <w:rPr>
          <w:rFonts w:ascii="Times New Roman" w:cs="Times New Roman" w:eastAsia="Times New Roman" w:hAnsi="Times New Roman"/>
          <w:sz w:val="14"/>
          <w:szCs w:val="14"/>
          <w:color w:val="auto"/>
        </w:rPr>
        <w:t>”), and such Acquired Business, immediately prior to such acquisition, owns, has, or includes any license or other right to any Target</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Competing Product that would otherwise violate Section 2.10.1 (Exclusivity Covenants), then Arrowhead will (i) notify Novartis of such Target Competing Product in writing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consummation of such acquisition, and (ii) perform one of the following acts (and specify which of the following it</w:t>
      </w:r>
    </w:p>
    <w:p>
      <w:pPr>
        <w:ind w:left="1180"/>
        <w:spacing w:after="0" w:line="229" w:lineRule="auto"/>
        <w:rPr>
          <w:sz w:val="20"/>
          <w:szCs w:val="20"/>
          <w:color w:val="auto"/>
        </w:rPr>
      </w:pPr>
      <w:r>
        <w:rPr>
          <w:rFonts w:ascii="Times New Roman" w:cs="Times New Roman" w:eastAsia="Times New Roman" w:hAnsi="Times New Roman"/>
          <w:sz w:val="14"/>
          <w:szCs w:val="14"/>
          <w:color w:val="auto"/>
        </w:rPr>
        <w:t>will perform in such notice, which decision will be final and binding on Arrowhead and its Affiliates), and in the case of all acts specified under the clauses below Arrowhead and its Affiliates also will comply with the firewalling and other requirements specified in clauses (i) and (ii) of Section 2.10.2 (Arrowhead Change of</w:t>
      </w:r>
    </w:p>
    <w:p>
      <w:pPr>
        <w:ind w:left="1180"/>
        <w:spacing w:after="0"/>
        <w:rPr>
          <w:sz w:val="20"/>
          <w:szCs w:val="20"/>
          <w:color w:val="auto"/>
        </w:rPr>
      </w:pPr>
      <w:r>
        <w:rPr>
          <w:rFonts w:ascii="Times New Roman" w:cs="Times New Roman" w:eastAsia="Times New Roman" w:hAnsi="Times New Roman"/>
          <w:sz w:val="16"/>
          <w:szCs w:val="16"/>
          <w:color w:val="auto"/>
        </w:rPr>
        <w:t>Control):</w:t>
      </w:r>
    </w:p>
    <w:p>
      <w:pPr>
        <w:spacing w:after="0" w:line="127" w:lineRule="exact"/>
        <w:rPr>
          <w:sz w:val="20"/>
          <w:szCs w:val="20"/>
          <w:color w:val="auto"/>
        </w:rPr>
      </w:pPr>
    </w:p>
    <w:p>
      <w:pPr>
        <w:jc w:val="both"/>
        <w:ind w:left="1680" w:hanging="504"/>
        <w:spacing w:after="0" w:line="213" w:lineRule="auto"/>
        <w:tabs>
          <w:tab w:leader="none" w:pos="1672"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Arrowhead may elect to terminate the Development, Manufacture, or Commercialization of, as applicable, such Target Competing Product in which case Arrowhead and its Affiliates will cease the Development, Manufacture, and Commercialization of, as applicable, such Target Competing Product as soon as reasonably practicable and in any event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consummation of the acquisition of the Acquired Business, giving due consideration to ethical concerns and requirements under applicable Law and any agreements with Third Parties and notify Novartis in writing of such completed termination; or</w:t>
      </w:r>
    </w:p>
    <w:p>
      <w:pPr>
        <w:spacing w:after="0" w:line="127" w:lineRule="exact"/>
        <w:rPr>
          <w:rFonts w:ascii="Times New Roman" w:cs="Times New Roman" w:eastAsia="Times New Roman" w:hAnsi="Times New Roman"/>
          <w:sz w:val="16"/>
          <w:szCs w:val="16"/>
          <w:color w:val="auto"/>
        </w:rPr>
      </w:pPr>
    </w:p>
    <w:p>
      <w:pPr>
        <w:jc w:val="both"/>
        <w:ind w:left="1680" w:hanging="504"/>
        <w:spacing w:after="0" w:line="221" w:lineRule="auto"/>
        <w:tabs>
          <w:tab w:leader="none" w:pos="167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Arrowhead may elect to divest itself (or cause its Affiliate to divest itself) of, as applicable, such Target Competing Product and notify Novartis in writing of such completed divestiture,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divestiture is completed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consummation of the acquisition of the Acquired Business.</w:t>
      </w:r>
    </w:p>
    <w:p>
      <w:pPr>
        <w:spacing w:after="0" w:line="12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2.11.</w:t>
      </w:r>
      <w:r>
        <w:rPr>
          <w:sz w:val="20"/>
          <w:szCs w:val="20"/>
          <w:color w:val="auto"/>
        </w:rPr>
        <w:tab/>
      </w:r>
      <w:r>
        <w:rPr>
          <w:rFonts w:ascii="Times New Roman" w:cs="Times New Roman" w:eastAsia="Times New Roman" w:hAnsi="Times New Roman"/>
          <w:sz w:val="14"/>
          <w:szCs w:val="14"/>
          <w:b w:val="1"/>
          <w:bCs w:val="1"/>
          <w:color w:val="auto"/>
        </w:rPr>
        <w:t>[***].</w:t>
      </w:r>
    </w:p>
    <w:p>
      <w:pPr>
        <w:spacing w:after="0" w:line="145"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2.11.1.</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2.11.2.</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2.11.3.</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2.11.4.</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520" w:hanging="515"/>
        <w:spacing w:after="0"/>
        <w:tabs>
          <w:tab w:leader="none" w:pos="52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RESEARCH AND DEVELOPMENT</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3.1.</w:t>
      </w:r>
      <w:r>
        <w:rPr>
          <w:sz w:val="20"/>
          <w:szCs w:val="20"/>
          <w:color w:val="auto"/>
        </w:rPr>
        <w:tab/>
      </w:r>
      <w:r>
        <w:rPr>
          <w:rFonts w:ascii="Times New Roman" w:cs="Times New Roman" w:eastAsia="Times New Roman" w:hAnsi="Times New Roman"/>
          <w:sz w:val="14"/>
          <w:szCs w:val="14"/>
          <w:b w:val="1"/>
          <w:bCs w:val="1"/>
          <w:color w:val="auto"/>
        </w:rPr>
        <w:t>Arrowhead Research and Development Activities</w:t>
      </w:r>
      <w:r>
        <w:rPr>
          <w:rFonts w:ascii="Times New Roman" w:cs="Times New Roman" w:eastAsia="Times New Roman" w:hAnsi="Times New Roman"/>
          <w:sz w:val="14"/>
          <w:szCs w:val="14"/>
          <w:color w:val="auto"/>
        </w:rPr>
        <w:t>.</w:t>
      </w: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4"/>
          <w:szCs w:val="14"/>
          <w:b w:val="1"/>
          <w:bCs w:val="1"/>
          <w:color w:val="auto"/>
        </w:rPr>
        <w:t>SNCA Program Research and Development</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both"/>
        <w:ind w:left="1680" w:hanging="504"/>
        <w:spacing w:after="0" w:line="269" w:lineRule="auto"/>
        <w:tabs>
          <w:tab w:leader="none" w:pos="167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Arrowhead SNCA Program Development Responsibility</w:t>
      </w:r>
      <w:r>
        <w:rPr>
          <w:rFonts w:ascii="Times New Roman" w:cs="Times New Roman" w:eastAsia="Times New Roman" w:hAnsi="Times New Roman"/>
          <w:sz w:val="14"/>
          <w:szCs w:val="14"/>
          <w:color w:val="auto"/>
        </w:rPr>
        <w:t>. Arrowhead will be responsible, at its cost and expense, for conducting and completing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SNCA Program Research Activities in accordance with the SNCA Development Plan, but excluding all costs and expenses for the Manufacture by or on behalf of Arrowhead of Licensed SNCA Compounds used in the performance of such SNCA Program Research Activities which will be borne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80"/>
          </w:cols>
          <w:pgMar w:left="300" w:top="123" w:right="319" w:bottom="1440" w:gutter="0" w:footer="0" w:header="0"/>
        </w:sectPr>
      </w:pPr>
    </w:p>
    <w:bookmarkStart w:id="153" w:name="page154"/>
    <w:bookmarkEnd w:id="153"/>
    <w:p>
      <w:pPr>
        <w:ind w:left="2360" w:right="360" w:hanging="2360"/>
        <w:spacing w:after="0" w:line="290" w:lineRule="auto"/>
        <w:tabs>
          <w:tab w:leader="none" w:pos="336"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solely by Novartis as set forth in Section 5.1 (Arrowhead Manufacturing Activities).</w:t>
      </w:r>
    </w:p>
    <w:p>
      <w:pPr>
        <w:spacing w:after="0" w:line="143" w:lineRule="exact"/>
        <w:rPr>
          <w:sz w:val="20"/>
          <w:szCs w:val="20"/>
          <w:color w:val="auto"/>
        </w:rPr>
      </w:pPr>
    </w:p>
    <w:p>
      <w:pPr>
        <w:jc w:val="both"/>
        <w:ind w:left="1320" w:hanging="504"/>
        <w:spacing w:after="0"/>
        <w:tabs>
          <w:tab w:leader="none" w:pos="131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SNCA Development Plan</w:t>
      </w:r>
      <w:r>
        <w:rPr>
          <w:rFonts w:ascii="Times New Roman" w:cs="Times New Roman" w:eastAsia="Times New Roman" w:hAnsi="Times New Roman"/>
          <w:sz w:val="14"/>
          <w:szCs w:val="14"/>
          <w:color w:val="auto"/>
        </w:rPr>
        <w:t>. Arrowhead will conduct the SNCA Program Research Activities in accordance with a written plan to be prepared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Arrowhead and submitted by Arrowhead to the JSC to review, discuss, and determine whether to approve as promptly as reasonably practicable after the Effective Date (and in any event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Effective Date) (as such plan may be updated thereafter in accordance with this Agreement, the “</w:t>
      </w:r>
      <w:r>
        <w:rPr>
          <w:rFonts w:ascii="Times New Roman" w:cs="Times New Roman" w:eastAsia="Times New Roman" w:hAnsi="Times New Roman"/>
          <w:sz w:val="14"/>
          <w:szCs w:val="14"/>
          <w:b w:val="1"/>
          <w:bCs w:val="1"/>
          <w:color w:val="auto"/>
        </w:rPr>
        <w:t>SNCA Development Plan</w:t>
      </w:r>
      <w:r>
        <w:rPr>
          <w:rFonts w:ascii="Times New Roman" w:cs="Times New Roman" w:eastAsia="Times New Roman" w:hAnsi="Times New Roman"/>
          <w:sz w:val="14"/>
          <w:szCs w:val="14"/>
          <w:color w:val="auto"/>
        </w:rPr>
        <w:t>”). The SNCA Development Plan will include (and any subsequent update thereof will include) (i) the planned Research and pre-clinical Development activities to be conducted by or on behalf of Arrowhead that are necessary to support a filing of a CTA for the first lead Licensed SNCA Product for the SNCA Program to commence a Phase I Clinical Trial and the timelines of such activities, (ii) the Manufacturing activities to be conducted by or on behalf of Arrowhead in support of the activities described in the foregoing clause (i) (if any), and (iii) the anticipated costs (on a batch pricing or Fully Burdened Cost basis) for the Manufacturing activities described in the foregoing clause (ii) (collectively, the activities of clause (i) and clause (ii), the “</w:t>
      </w:r>
      <w:r>
        <w:rPr>
          <w:rFonts w:ascii="Times New Roman" w:cs="Times New Roman" w:eastAsia="Times New Roman" w:hAnsi="Times New Roman"/>
          <w:sz w:val="14"/>
          <w:szCs w:val="14"/>
          <w:b w:val="1"/>
          <w:bCs w:val="1"/>
          <w:color w:val="auto"/>
        </w:rPr>
        <w:t>SNCA Program Research Activities</w:t>
      </w:r>
      <w:r>
        <w:rPr>
          <w:rFonts w:ascii="Times New Roman" w:cs="Times New Roman" w:eastAsia="Times New Roman" w:hAnsi="Times New Roman"/>
          <w:sz w:val="14"/>
          <w:szCs w:val="14"/>
          <w:color w:val="auto"/>
        </w:rPr>
        <w:t xml:space="preserve">”). The initial draft of the SNCA Development Plan is attached to this Agreement as </w:t>
      </w:r>
      <w:r>
        <w:rPr>
          <w:rFonts w:ascii="Times New Roman" w:cs="Times New Roman" w:eastAsia="Times New Roman" w:hAnsi="Times New Roman"/>
          <w:sz w:val="14"/>
          <w:szCs w:val="14"/>
          <w:b w:val="1"/>
          <w:bCs w:val="1"/>
          <w:color w:val="auto"/>
        </w:rPr>
        <w:t>Schedule 3.1.1(b)</w:t>
      </w:r>
      <w:r>
        <w:rPr>
          <w:rFonts w:ascii="Times New Roman" w:cs="Times New Roman" w:eastAsia="Times New Roman" w:hAnsi="Times New Roman"/>
          <w:sz w:val="14"/>
          <w:szCs w:val="14"/>
          <w:color w:val="auto"/>
        </w:rPr>
        <w:t xml:space="preserve"> (Initial SNCA Development Plan). Either Party, through the JSC, may propose updates to the SNCA Development Plan and the JSC will review, discuss, and determine whether to approve each such update. The Parties agree that, as of the Execution Date, the anticipated lead Licensed SNCA Product for the SNCA Program is ARO-SNCA SC. Promptly following the JSC’s approval of the SNCA Development Plan, Arrowhead will provide to Novartis’ Alliance Manager: (a) a one-time good faith estimate of the costs and expenses to be incurred by Arrowhead for its performance of the SNCA Program Research Activities thereunder, and (b) a good faith estimate of the costs and expenses to be incurred by Novartis in connection with Arrowhead’s performance of the SNCA Program Research Activities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costs and expenses for the Manufacture by or on behalf of Arrowhead of Licensed SNCA Compounds used in the performance of SNCA Program Research Activities), which shall be updated by Arrowhead on a Calendar Quarter basis to reflect a forecast of the costs to be incurred by Novartis for the immediately following Calendar Quarter.</w:t>
      </w:r>
    </w:p>
    <w:p>
      <w:pPr>
        <w:spacing w:after="0" w:line="236"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4"/>
          <w:szCs w:val="14"/>
          <w:b w:val="1"/>
          <w:bCs w:val="1"/>
          <w:color w:val="auto"/>
        </w:rPr>
        <w:t>CT Program Research and Development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20" w:hanging="504"/>
        <w:spacing w:after="0"/>
        <w:tabs>
          <w:tab w:leader="none" w:pos="13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Selection of Collaboration Targets</w:t>
      </w:r>
      <w:r>
        <w:rPr>
          <w:rFonts w:ascii="Times New Roman" w:cs="Times New Roman" w:eastAsia="Times New Roman" w:hAnsi="Times New Roman"/>
          <w:sz w:val="16"/>
          <w:szCs w:val="16"/>
          <w:color w:val="auto"/>
        </w:rPr>
        <w:t>.</w:t>
      </w:r>
    </w:p>
    <w:p>
      <w:pPr>
        <w:spacing w:after="0" w:line="134" w:lineRule="exact"/>
        <w:rPr>
          <w:rFonts w:ascii="Times New Roman" w:cs="Times New Roman" w:eastAsia="Times New Roman" w:hAnsi="Times New Roman"/>
          <w:sz w:val="16"/>
          <w:szCs w:val="16"/>
          <w:color w:val="auto"/>
        </w:rPr>
      </w:pPr>
    </w:p>
    <w:p>
      <w:pPr>
        <w:ind w:left="1840" w:hanging="515"/>
        <w:spacing w:after="0"/>
        <w:tabs>
          <w:tab w:leader="none" w:pos="184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1840" w:hanging="515"/>
        <w:spacing w:after="0"/>
        <w:tabs>
          <w:tab w:leader="none" w:pos="1839"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hereby confirms, as of the Execution Date, that (A) it has engaged with the other Party a mutually agreed, independent, third-party gatekeeper (the “</w:t>
      </w:r>
      <w:r>
        <w:rPr>
          <w:rFonts w:ascii="Times New Roman" w:cs="Times New Roman" w:eastAsia="Times New Roman" w:hAnsi="Times New Roman"/>
          <w:sz w:val="14"/>
          <w:szCs w:val="14"/>
          <w:b w:val="1"/>
          <w:bCs w:val="1"/>
          <w:color w:val="auto"/>
        </w:rPr>
        <w:t>Gatekeeper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through which Novartis may inquire whether a CNS Target or a Cardiomyocyte Target, as applicable, that Novartis would like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is available, (B) it has executed and is a party to a written agreement with such Gatekeeper with customary terms and conditions that are consistent with this Section 3.1.2(a) (Selection of Collaboration Target), including appropriate confidentiality obligations, and</w:t>
      </w:r>
    </w:p>
    <w:p>
      <w:pPr>
        <w:ind w:left="2080" w:hanging="245"/>
        <w:spacing w:after="0"/>
        <w:tabs>
          <w:tab w:leader="none" w:pos="208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has agreed to share equally the fees and expenses of the Gatekeeper with the other Party.</w:t>
      </w:r>
    </w:p>
    <w:p>
      <w:pPr>
        <w:spacing w:after="0" w:line="3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920"/>
          </w:cols>
          <w:pgMar w:left="660" w:top="123" w:right="319" w:bottom="1440" w:gutter="0" w:footer="0" w:header="0"/>
        </w:sectPr>
      </w:pPr>
    </w:p>
    <w:bookmarkStart w:id="154" w:name="page155"/>
    <w:bookmarkEnd w:id="154"/>
    <w:p>
      <w:pPr>
        <w:ind w:left="2360" w:right="360" w:hanging="2360"/>
        <w:spacing w:after="0" w:line="290" w:lineRule="auto"/>
        <w:tabs>
          <w:tab w:leader="none" w:pos="336"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375" w:lineRule="exact"/>
        <w:rPr>
          <w:rFonts w:ascii="Times New Roman" w:cs="Times New Roman" w:eastAsia="Times New Roman" w:hAnsi="Times New Roman"/>
          <w:sz w:val="14"/>
          <w:szCs w:val="14"/>
          <w:b w:val="1"/>
          <w:bCs w:val="1"/>
          <w:color w:val="auto"/>
        </w:rPr>
      </w:pPr>
    </w:p>
    <w:p>
      <w:pPr>
        <w:jc w:val="both"/>
        <w:ind w:left="1840" w:hanging="515"/>
        <w:spacing w:after="0" w:line="216" w:lineRule="auto"/>
        <w:tabs>
          <w:tab w:leader="none" w:pos="1840"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Novartis has submitted one or more written inquiries to the Gatekeeper to determine if, as applicable, a CNS Target or Cardiomyocyte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Target was available for inclusion as a Collaboration Target under this Agreement (each, a “</w:t>
      </w:r>
      <w:r>
        <w:rPr>
          <w:rFonts w:ascii="Times New Roman" w:cs="Times New Roman" w:eastAsia="Times New Roman" w:hAnsi="Times New Roman"/>
          <w:sz w:val="16"/>
          <w:szCs w:val="16"/>
          <w:b w:val="1"/>
          <w:bCs w:val="1"/>
          <w:color w:val="auto"/>
        </w:rPr>
        <w:t>Proposed Target</w:t>
      </w:r>
      <w:r>
        <w:rPr>
          <w:rFonts w:ascii="Times New Roman" w:cs="Times New Roman" w:eastAsia="Times New Roman" w:hAnsi="Times New Roman"/>
          <w:sz w:val="16"/>
          <w:szCs w:val="16"/>
          <w:color w:val="auto"/>
        </w:rPr>
        <w:t>”). Novartis’ written inquiry(ies) to the Gatekeeper for each Proposed Target included the following information (each, a “</w:t>
      </w:r>
      <w:r>
        <w:rPr>
          <w:rFonts w:ascii="Times New Roman" w:cs="Times New Roman" w:eastAsia="Times New Roman" w:hAnsi="Times New Roman"/>
          <w:sz w:val="16"/>
          <w:szCs w:val="16"/>
          <w:b w:val="1"/>
          <w:bCs w:val="1"/>
          <w:color w:val="auto"/>
        </w:rPr>
        <w:t>Proposed Target Notice</w:t>
      </w:r>
      <w:r>
        <w:rPr>
          <w:rFonts w:ascii="Times New Roman" w:cs="Times New Roman" w:eastAsia="Times New Roman" w:hAnsi="Times New Roman"/>
          <w:sz w:val="16"/>
          <w:szCs w:val="16"/>
          <w:color w:val="auto"/>
        </w:rPr>
        <w:t xml:space="preserve">”) the identity of such Proposed Target (including the NCBI Gene ID for known targets or, if no such NCBI Gene ID exists, an unequivocal identifier of such target), and whether such Proposed Target was a CNS Target or a Cardiomyocyte Target.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jc w:val="both"/>
        <w:ind w:left="1840" w:hanging="515"/>
        <w:spacing w:after="0" w:line="213" w:lineRule="auto"/>
        <w:tabs>
          <w:tab w:leader="none" w:pos="1831" w:val="left"/>
        </w:tabs>
        <w:numPr>
          <w:ilvl w:val="2"/>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Arrowhead will use Commercially Reasonable Efforts to include the gatekeeping process set forth in Section 3.1.2(a)(iii) (Selection of Collaboration Targets) in any collaboration, license, or other arrangement with a Third Party that includes Arrowhead using the Arrowhead Platform to Exploit compounds and products Directed To CNS Targets or Cardiomyocyte Targets. Notwithstanding the foregoing, Novartis agrees to negotiate in good faith and execute an amendment to this Agreement in the event any such Third Party requires any reasonable changes to the gatekeeping process set forth in Section 3.1.2(a)(iii) (Selection of Collaboration Targets).</w:t>
      </w:r>
    </w:p>
    <w:p>
      <w:pPr>
        <w:spacing w:after="0" w:line="125" w:lineRule="exact"/>
        <w:rPr>
          <w:rFonts w:ascii="Times New Roman" w:cs="Times New Roman" w:eastAsia="Times New Roman" w:hAnsi="Times New Roman"/>
          <w:sz w:val="16"/>
          <w:szCs w:val="16"/>
          <w:color w:val="auto"/>
        </w:rPr>
      </w:pPr>
    </w:p>
    <w:p>
      <w:pPr>
        <w:ind w:left="1320" w:hanging="504"/>
        <w:spacing w:after="0"/>
        <w:tabs>
          <w:tab w:leader="none" w:pos="132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Novartis Collaboration Target Substitution Right</w:t>
      </w:r>
      <w:r>
        <w:rPr>
          <w:rFonts w:ascii="Times New Roman" w:cs="Times New Roman" w:eastAsia="Times New Roman" w:hAnsi="Times New Roman"/>
          <w:sz w:val="16"/>
          <w:szCs w:val="16"/>
          <w:color w:val="auto"/>
        </w:rPr>
        <w:t>.</w:t>
      </w:r>
    </w:p>
    <w:p>
      <w:pPr>
        <w:spacing w:after="0" w:line="134" w:lineRule="exact"/>
        <w:rPr>
          <w:rFonts w:ascii="Times New Roman" w:cs="Times New Roman" w:eastAsia="Times New Roman" w:hAnsi="Times New Roman"/>
          <w:sz w:val="16"/>
          <w:szCs w:val="16"/>
          <w:color w:val="auto"/>
        </w:rPr>
      </w:pPr>
    </w:p>
    <w:p>
      <w:pPr>
        <w:jc w:val="both"/>
        <w:ind w:left="1840" w:hanging="515"/>
        <w:spacing w:after="0" w:line="218" w:lineRule="auto"/>
        <w:tabs>
          <w:tab w:leader="none" w:pos="1838" w:val="left"/>
        </w:tabs>
        <w:numPr>
          <w:ilvl w:val="2"/>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Any alternate proposed CNS Target or Cardiomyocyte Target, as the case may be, will be a “</w:t>
      </w:r>
      <w:r>
        <w:rPr>
          <w:rFonts w:ascii="Times New Roman" w:cs="Times New Roman" w:eastAsia="Times New Roman" w:hAnsi="Times New Roman"/>
          <w:sz w:val="16"/>
          <w:szCs w:val="16"/>
          <w:b w:val="1"/>
          <w:bCs w:val="1"/>
          <w:color w:val="auto"/>
        </w:rPr>
        <w:t>Proposed Replacement Target</w:t>
      </w:r>
      <w:r>
        <w:rPr>
          <w:rFonts w:ascii="Times New Roman" w:cs="Times New Roman" w:eastAsia="Times New Roman" w:hAnsi="Times New Roman"/>
          <w:sz w:val="16"/>
          <w:szCs w:val="16"/>
          <w:color w:val="auto"/>
        </w:rPr>
        <w:t>” and,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alternate target becomes the subject of a Collaboration Target Selection Notice delivered by Novartis to Arrowhead in accordance with this Section 3.1.2(b) (Novartis Collaboration Target Substitution Right), it will be deemed a Collaboration Target upon Arrowhead’s receipt of such Collaboration Target Selection Notice.</w:t>
      </w:r>
    </w:p>
    <w:p>
      <w:pPr>
        <w:spacing w:after="0" w:line="127" w:lineRule="exact"/>
        <w:rPr>
          <w:rFonts w:ascii="Times New Roman" w:cs="Times New Roman" w:eastAsia="Times New Roman" w:hAnsi="Times New Roman"/>
          <w:sz w:val="16"/>
          <w:szCs w:val="16"/>
          <w:color w:val="auto"/>
        </w:rPr>
      </w:pPr>
    </w:p>
    <w:p>
      <w:pPr>
        <w:ind w:left="1840" w:hanging="515"/>
        <w:spacing w:after="0"/>
        <w:tabs>
          <w:tab w:leader="none" w:pos="1840" w:val="left"/>
        </w:tabs>
        <w:numPr>
          <w:ilvl w:val="2"/>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For Target Failure</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2340" w:hanging="505"/>
        <w:spacing w:after="0" w:line="213" w:lineRule="auto"/>
        <w:tabs>
          <w:tab w:leader="none" w:pos="2333" w:val="left"/>
        </w:tabs>
        <w:numPr>
          <w:ilvl w:val="3"/>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during the Selection Term, Arrowhead notifies Novartis in writing of a Target Failure with respect to an ongoing CT Program as contemplated under Section 3.1.2(c) (Arrowhead CT Development Responsibility), then Novartis will have the right (but not the obligation) to provide to the Gatekeeper a Proposed Target Notice nominating a Proposed Replacement Target prior to the end of the Selection Term, which Proposed Replacement Target will be subject to the selection process set forth under Section 3.1.2(a)(iii) (Selection of Collaboration Target).</w:t>
      </w:r>
    </w:p>
    <w:p>
      <w:pPr>
        <w:spacing w:after="0" w:line="125" w:lineRule="exact"/>
        <w:rPr>
          <w:rFonts w:ascii="Times New Roman" w:cs="Times New Roman" w:eastAsia="Times New Roman" w:hAnsi="Times New Roman"/>
          <w:sz w:val="16"/>
          <w:szCs w:val="16"/>
          <w:color w:val="auto"/>
        </w:rPr>
      </w:pPr>
    </w:p>
    <w:p>
      <w:pPr>
        <w:jc w:val="both"/>
        <w:ind w:left="2340" w:hanging="505"/>
        <w:spacing w:after="0" w:line="218" w:lineRule="auto"/>
        <w:tabs>
          <w:tab w:leader="none" w:pos="2335" w:val="left"/>
        </w:tabs>
        <w:numPr>
          <w:ilvl w:val="3"/>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period after the expiration of the Selection Term, if Arrowhead notifies Novartis in writing of a Target Failure with respect to an ongoing CT Program as contemplated under Section 3.1.2(c) (Arrowhead CT Development Responsibility), then Novartis will have the right (but not the obligation) to provide to the Gatekeeper a Proposed Target Notice nominating a Proposed Replacement Target, which alternate proposed target will be subject to the selection process set forth under Section 3.1.2(a)(iii)</w:t>
      </w:r>
    </w:p>
    <w:p>
      <w:pPr>
        <w:spacing w:after="0" w:line="3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920"/>
          </w:cols>
          <w:pgMar w:left="660" w:top="123" w:right="319" w:bottom="1440" w:gutter="0" w:footer="0" w:header="0"/>
        </w:sectPr>
      </w:pPr>
    </w:p>
    <w:bookmarkStart w:id="155" w:name="page156"/>
    <w:bookmarkEnd w:id="155"/>
    <w:p>
      <w:pPr>
        <w:ind w:left="2360" w:right="360" w:hanging="2360"/>
        <w:spacing w:after="0" w:line="290" w:lineRule="auto"/>
        <w:tabs>
          <w:tab w:leader="none" w:pos="336"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 xml:space="preserve">(Selection of Collaboration Target),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date that Novartis is notified by Arrowhead of the Target Failure.</w:t>
      </w:r>
    </w:p>
    <w:p>
      <w:pPr>
        <w:spacing w:after="0" w:line="145" w:lineRule="exact"/>
        <w:rPr>
          <w:sz w:val="20"/>
          <w:szCs w:val="20"/>
          <w:color w:val="auto"/>
        </w:rPr>
      </w:pPr>
    </w:p>
    <w:p>
      <w:pPr>
        <w:ind w:left="2340" w:hanging="505"/>
        <w:spacing w:after="0"/>
        <w:tabs>
          <w:tab w:leader="none" w:pos="2340"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2340" w:hanging="505"/>
        <w:spacing w:after="0" w:line="221" w:lineRule="auto"/>
        <w:tabs>
          <w:tab w:leader="none" w:pos="2333" w:val="left"/>
        </w:tabs>
        <w:numPr>
          <w:ilvl w:val="2"/>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Novartis will have no further rights of any kind with respect to any Collaboration Target for which there was a Target Failure, including under Section 2.10.1 (Exclusivity Covenants) and Section 3.5.1 (Arrowhead Development Diligence Obligations), and either Party will be free to pursue any compounds and products Directed To such Targets outside of this Agreement.</w:t>
      </w:r>
    </w:p>
    <w:p>
      <w:pPr>
        <w:spacing w:after="0" w:line="126" w:lineRule="exact"/>
        <w:rPr>
          <w:rFonts w:ascii="Times New Roman" w:cs="Times New Roman" w:eastAsia="Times New Roman" w:hAnsi="Times New Roman"/>
          <w:sz w:val="16"/>
          <w:szCs w:val="16"/>
          <w:color w:val="auto"/>
        </w:rPr>
      </w:pPr>
    </w:p>
    <w:p>
      <w:pPr>
        <w:jc w:val="both"/>
        <w:ind w:left="1840" w:hanging="515"/>
        <w:spacing w:after="0" w:line="243" w:lineRule="auto"/>
        <w:tabs>
          <w:tab w:leader="none" w:pos="1840" w:val="left"/>
        </w:tabs>
        <w:numPr>
          <w:ilvl w:val="1"/>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For Convenience</w:t>
      </w:r>
      <w:r>
        <w:rPr>
          <w:rFonts w:ascii="Times New Roman" w:cs="Times New Roman" w:eastAsia="Times New Roman" w:hAnsi="Times New Roman"/>
          <w:sz w:val="14"/>
          <w:szCs w:val="14"/>
          <w:color w:val="auto"/>
        </w:rPr>
        <w:t>. In addition to Novartis’ right to nominate a Proposed Replacement Target in accordance with Section 3.1.2(b)(ii) (For Target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Failure), Novartis will have the right (but not the obligation) to nominate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Proposed Replacement Target at its convenience during the first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Selection Term, which Proposed Replacement Target will be subject to the selection process set forth under Section 3.1.2(a)(iii)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(Selection of Collaboration Target).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In the event Arrowhead receives a Collaboration Target Selection Notice from Novartis for such Proposed Replacement Target and it becomes a “Collaboration Target” under this Agreement pursuant to Section 3.1.2(a)(iii) (Selection of Collaboration Target), Novartis will pay to Arrowhead the CT Substitution Fee in accordance with Section 8.2 (CT Substitution Fee).</w:t>
      </w:r>
    </w:p>
    <w:p>
      <w:pPr>
        <w:spacing w:after="0" w:line="114" w:lineRule="exact"/>
        <w:rPr>
          <w:rFonts w:ascii="Times New Roman" w:cs="Times New Roman" w:eastAsia="Times New Roman" w:hAnsi="Times New Roman"/>
          <w:sz w:val="14"/>
          <w:szCs w:val="14"/>
          <w:color w:val="auto"/>
        </w:rPr>
      </w:pPr>
    </w:p>
    <w:p>
      <w:pPr>
        <w:jc w:val="both"/>
        <w:ind w:left="1320" w:hanging="504"/>
        <w:spacing w:after="0" w:line="209" w:lineRule="auto"/>
        <w:tabs>
          <w:tab w:leader="none" w:pos="1312"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Arrowhead CT Program Development Responsibility</w:t>
      </w:r>
      <w:r>
        <w:rPr>
          <w:rFonts w:ascii="Times New Roman" w:cs="Times New Roman" w:eastAsia="Times New Roman" w:hAnsi="Times New Roman"/>
          <w:sz w:val="16"/>
          <w:szCs w:val="16"/>
          <w:color w:val="auto"/>
        </w:rPr>
        <w:t>. During the Collaboration Term, on a CT Program-by-CT Program basis, Arrowhead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responsible, at its sole cost and expense, for conducting and completing the CT Program Research Activities for the Collaboration Target of such CT Program in accordance with the applicable CT Development Plan for such CT Program, but excluding all costs and expenses for the Manufacture by or on behalf of Arrowhead of Licensed CT Compounds used in the performance of such CT Program Research Activities which will be borne solely by Novartis as set forth in Section 5.1 (Arrowhead Manufacturing Activities). Arrowhead will not perform any Research or other non-clinical or clinical Development activities for any Collaboration Target other than in accordance with the applicable CT Development Plan for such CT Program. If Arrowhead, acting in good faith, determines that the data and results generated in its performance of the CT Program Research Activities for a CT Program show achievement of the Futility Criteria specified for such CT Program in the applicable CT Development Plan, then Arrowhead will promptly notify Novartis in writing of such determination, and each Party’s rights and obligations with respect to such CT Program and its corresponding Collaboration Target will terminate (a “</w:t>
      </w:r>
      <w:r>
        <w:rPr>
          <w:rFonts w:ascii="Times New Roman" w:cs="Times New Roman" w:eastAsia="Times New Roman" w:hAnsi="Times New Roman"/>
          <w:sz w:val="16"/>
          <w:szCs w:val="16"/>
          <w:b w:val="1"/>
          <w:bCs w:val="1"/>
          <w:color w:val="auto"/>
        </w:rPr>
        <w:t>Target Failure</w:t>
      </w:r>
      <w:r>
        <w:rPr>
          <w:rFonts w:ascii="Times New Roman" w:cs="Times New Roman" w:eastAsia="Times New Roman" w:hAnsi="Times New Roman"/>
          <w:sz w:val="16"/>
          <w:szCs w:val="16"/>
          <w:color w:val="auto"/>
        </w:rPr>
        <w:t xml:space="preserve">”), including pursuant to Section 2.10 (Exclusivity) and Section 3.5.1 (Arrowhead Development Diligence Obligations)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1320" w:hanging="504"/>
        <w:spacing w:after="0" w:line="253" w:lineRule="auto"/>
        <w:tabs>
          <w:tab w:leader="none" w:pos="131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CT Development Plans</w:t>
      </w:r>
      <w:r>
        <w:rPr>
          <w:rFonts w:ascii="Times New Roman" w:cs="Times New Roman" w:eastAsia="Times New Roman" w:hAnsi="Times New Roman"/>
          <w:sz w:val="14"/>
          <w:szCs w:val="14"/>
          <w:color w:val="auto"/>
        </w:rPr>
        <w:t>. Arrowhead will conduct the CT Program Research Activities for each CT Program in accordance with a written plan prepared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by Arrowhead and submitted by Arrowhead to the JSC to review, discuss, and determine whether to approve (A) with respect to such plan for each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Collaboration Targets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(B) with respect to such plan for any Proposed Replacement Target that becomes a Collaboration Target in accordance with Section 3.1.2(b)(ii) (For Target Failure) or Section 3.1.2(b)(iii) (For Convenience), as promptly as reasonably practicable after the date of</w:t>
      </w:r>
    </w:p>
    <w:p>
      <w:pPr>
        <w:spacing w:after="0" w:line="3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920"/>
          </w:cols>
          <w:pgMar w:left="660" w:top="123" w:right="319" w:bottom="1440" w:gutter="0" w:footer="0" w:header="0"/>
        </w:sectPr>
      </w:pPr>
    </w:p>
    <w:bookmarkStart w:id="156" w:name="page157"/>
    <w:bookmarkEnd w:id="156"/>
    <w:p>
      <w:pPr>
        <w:ind w:left="2360" w:right="360" w:hanging="2360"/>
        <w:spacing w:after="0" w:line="290" w:lineRule="auto"/>
        <w:tabs>
          <w:tab w:leader="none" w:pos="336"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20"/>
        <w:spacing w:after="0" w:line="252" w:lineRule="auto"/>
        <w:rPr>
          <w:sz w:val="20"/>
          <w:szCs w:val="20"/>
          <w:color w:val="auto"/>
        </w:rPr>
      </w:pPr>
      <w:r>
        <w:rPr>
          <w:rFonts w:ascii="Times New Roman" w:cs="Times New Roman" w:eastAsia="Times New Roman" w:hAnsi="Times New Roman"/>
          <w:sz w:val="14"/>
          <w:szCs w:val="14"/>
          <w:color w:val="auto"/>
        </w:rPr>
        <w:t xml:space="preserve">Arrowhead’s receipt of the corresponding Collaboration Target Selection Notice therefor but in any event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date of such notice (as each such plan may be updated thereafter in accordance with this Agreement, each a “</w:t>
      </w:r>
      <w:r>
        <w:rPr>
          <w:rFonts w:ascii="Times New Roman" w:cs="Times New Roman" w:eastAsia="Times New Roman" w:hAnsi="Times New Roman"/>
          <w:sz w:val="14"/>
          <w:szCs w:val="14"/>
          <w:b w:val="1"/>
          <w:bCs w:val="1"/>
          <w:color w:val="auto"/>
        </w:rPr>
        <w:t>CT Development Plan</w:t>
      </w:r>
      <w:r>
        <w:rPr>
          <w:rFonts w:ascii="Times New Roman" w:cs="Times New Roman" w:eastAsia="Times New Roman" w:hAnsi="Times New Roman"/>
          <w:sz w:val="14"/>
          <w:szCs w:val="14"/>
          <w:color w:val="auto"/>
        </w:rPr>
        <w:t>”). The CT Development Plan for a CT</w:t>
      </w:r>
    </w:p>
    <w:p>
      <w:pPr>
        <w:ind w:left="1320"/>
        <w:spacing w:after="0" w:line="229" w:lineRule="auto"/>
        <w:rPr>
          <w:sz w:val="20"/>
          <w:szCs w:val="20"/>
          <w:color w:val="auto"/>
        </w:rPr>
      </w:pPr>
      <w:r>
        <w:rPr>
          <w:rFonts w:ascii="Times New Roman" w:cs="Times New Roman" w:eastAsia="Times New Roman" w:hAnsi="Times New Roman"/>
          <w:sz w:val="14"/>
          <w:szCs w:val="14"/>
          <w:color w:val="auto"/>
        </w:rPr>
        <w:t>Program will include (and any subsequent update thereof will include) (i) the planned Research and pre-clinical Development activities to be conducted by or on behalf of Arrowhead that are necessary to support a filing of a CTA for the first Lead Development Candidate for such CT Program to</w:t>
      </w:r>
    </w:p>
    <w:p>
      <w:pPr>
        <w:ind w:left="1320"/>
        <w:spacing w:after="0" w:line="237" w:lineRule="auto"/>
        <w:rPr>
          <w:sz w:val="20"/>
          <w:szCs w:val="20"/>
          <w:color w:val="auto"/>
        </w:rPr>
      </w:pPr>
      <w:r>
        <w:rPr>
          <w:rFonts w:ascii="Times New Roman" w:cs="Times New Roman" w:eastAsia="Times New Roman" w:hAnsi="Times New Roman"/>
          <w:sz w:val="14"/>
          <w:szCs w:val="14"/>
          <w:color w:val="auto"/>
        </w:rPr>
        <w:t>commence a Phase I Clinical Trial and the timelines of such activities, (ii) the Manufacturing activities to be conducted by or on behalf of Arrowhead in</w:t>
      </w:r>
    </w:p>
    <w:p>
      <w:pPr>
        <w:spacing w:after="0" w:line="1" w:lineRule="exact"/>
        <w:rPr>
          <w:sz w:val="20"/>
          <w:szCs w:val="20"/>
          <w:color w:val="auto"/>
        </w:rPr>
      </w:pPr>
    </w:p>
    <w:p>
      <w:pPr>
        <w:ind w:left="1320"/>
        <w:spacing w:after="0" w:line="229" w:lineRule="auto"/>
        <w:rPr>
          <w:sz w:val="20"/>
          <w:szCs w:val="20"/>
          <w:color w:val="auto"/>
        </w:rPr>
      </w:pPr>
      <w:r>
        <w:rPr>
          <w:rFonts w:ascii="Times New Roman" w:cs="Times New Roman" w:eastAsia="Times New Roman" w:hAnsi="Times New Roman"/>
          <w:sz w:val="14"/>
          <w:szCs w:val="14"/>
          <w:color w:val="auto"/>
        </w:rPr>
        <w:t>support of the activities described in the foregoing clause (i) (if any), (iii) the anticipated costs (on a batch pricing or Fully Burdened Cost basis) for the Manufacturing activities described in the foregoing clause (ii), and (iv) the criteria to be achieved by a Licensed Compound of such CT Program for it to</w:t>
      </w:r>
    </w:p>
    <w:p>
      <w:pPr>
        <w:ind w:left="1320"/>
        <w:spacing w:after="0" w:line="229" w:lineRule="auto"/>
        <w:rPr>
          <w:sz w:val="20"/>
          <w:szCs w:val="20"/>
          <w:color w:val="auto"/>
        </w:rPr>
      </w:pPr>
      <w:r>
        <w:rPr>
          <w:rFonts w:ascii="Times New Roman" w:cs="Times New Roman" w:eastAsia="Times New Roman" w:hAnsi="Times New Roman"/>
          <w:sz w:val="14"/>
          <w:szCs w:val="14"/>
          <w:color w:val="auto"/>
        </w:rPr>
        <w:t xml:space="preserve">be nominated and accepted as the Lead Development Candidate for such CT Program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LDC Criteria</w:t>
      </w:r>
      <w:r>
        <w:rPr>
          <w:rFonts w:ascii="Times New Roman" w:cs="Times New Roman" w:eastAsia="Times New Roman" w:hAnsi="Times New Roman"/>
          <w:sz w:val="14"/>
          <w:szCs w:val="14"/>
          <w:color w:val="auto"/>
        </w:rPr>
        <w:t>”) (collectively, the activities of clause (i) and clause (ii), the “</w:t>
      </w:r>
      <w:r>
        <w:rPr>
          <w:rFonts w:ascii="Times New Roman" w:cs="Times New Roman" w:eastAsia="Times New Roman" w:hAnsi="Times New Roman"/>
          <w:sz w:val="14"/>
          <w:szCs w:val="14"/>
          <w:b w:val="1"/>
          <w:bCs w:val="1"/>
          <w:color w:val="auto"/>
        </w:rPr>
        <w:t>CT Program Research Activities</w:t>
      </w:r>
      <w:r>
        <w:rPr>
          <w:rFonts w:ascii="Times New Roman" w:cs="Times New Roman" w:eastAsia="Times New Roman" w:hAnsi="Times New Roman"/>
          <w:sz w:val="14"/>
          <w:szCs w:val="14"/>
          <w:color w:val="auto"/>
        </w:rPr>
        <w:t>”). Either Party, through the JSC, may propose updates to any CT Development Plan and the JSC</w:t>
      </w:r>
    </w:p>
    <w:p>
      <w:pPr>
        <w:ind w:left="1320"/>
        <w:spacing w:after="0" w:line="208" w:lineRule="auto"/>
        <w:rPr>
          <w:sz w:val="20"/>
          <w:szCs w:val="20"/>
          <w:color w:val="auto"/>
        </w:rPr>
      </w:pPr>
      <w:r>
        <w:rPr>
          <w:rFonts w:ascii="Times New Roman" w:cs="Times New Roman" w:eastAsia="Times New Roman" w:hAnsi="Times New Roman"/>
          <w:sz w:val="16"/>
          <w:szCs w:val="16"/>
          <w:color w:val="auto"/>
        </w:rPr>
        <w:t>will review, discuss, and determine whether to approve each such update. Promptly following the JSC’s approval of each CT Development Plan,</w:t>
      </w:r>
    </w:p>
    <w:p>
      <w:pPr>
        <w:ind w:left="1320"/>
        <w:spacing w:after="0" w:line="229" w:lineRule="auto"/>
        <w:rPr>
          <w:sz w:val="20"/>
          <w:szCs w:val="20"/>
          <w:color w:val="auto"/>
        </w:rPr>
      </w:pPr>
      <w:r>
        <w:rPr>
          <w:rFonts w:ascii="Times New Roman" w:cs="Times New Roman" w:eastAsia="Times New Roman" w:hAnsi="Times New Roman"/>
          <w:sz w:val="14"/>
          <w:szCs w:val="14"/>
          <w:color w:val="auto"/>
        </w:rPr>
        <w:t>Arrowhead will provide to Novartis’ Alliance Manager: (a) a one-time good faith estimate of the costs and expenses to be incurred by Arrowhead for its performance of the CT Program Research Activities thereunder, and (b) a good faith estimate of the costs and expenses to be incurred by Novartis in</w:t>
      </w:r>
    </w:p>
    <w:p>
      <w:pPr>
        <w:ind w:left="1320"/>
        <w:spacing w:after="0" w:line="208" w:lineRule="auto"/>
        <w:rPr>
          <w:sz w:val="20"/>
          <w:szCs w:val="20"/>
          <w:color w:val="auto"/>
        </w:rPr>
      </w:pPr>
      <w:r>
        <w:rPr>
          <w:rFonts w:ascii="Times New Roman" w:cs="Times New Roman" w:eastAsia="Times New Roman" w:hAnsi="Times New Roman"/>
          <w:sz w:val="16"/>
          <w:szCs w:val="16"/>
          <w:color w:val="auto"/>
        </w:rPr>
        <w:t>connection with Arrowhead’s performance of the CT Program Research Activities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costs and expenses for the Manufacture by or on behalf of</w:t>
      </w:r>
    </w:p>
    <w:p>
      <w:pPr>
        <w:ind w:left="1320"/>
        <w:spacing w:after="0" w:line="217" w:lineRule="auto"/>
        <w:rPr>
          <w:sz w:val="20"/>
          <w:szCs w:val="20"/>
          <w:color w:val="auto"/>
        </w:rPr>
      </w:pPr>
      <w:r>
        <w:rPr>
          <w:rFonts w:ascii="Times New Roman" w:cs="Times New Roman" w:eastAsia="Times New Roman" w:hAnsi="Times New Roman"/>
          <w:sz w:val="16"/>
          <w:szCs w:val="16"/>
          <w:color w:val="auto"/>
        </w:rPr>
        <w:t>Arrowhead of Licensed CT Compounds used in the performance of CT Program Research Activities), which shall be updated by Arrowhead on a Calendar Quarter basis to reflect a forecast of the costs to be incurred by Novartis for the immediately following Calendar Quarter.</w:t>
      </w:r>
    </w:p>
    <w:p>
      <w:pPr>
        <w:spacing w:after="0" w:line="125" w:lineRule="exact"/>
        <w:rPr>
          <w:sz w:val="20"/>
          <w:szCs w:val="20"/>
          <w:color w:val="auto"/>
        </w:rPr>
      </w:pPr>
    </w:p>
    <w:p>
      <w:pPr>
        <w:jc w:val="both"/>
        <w:ind w:left="1320" w:hanging="504"/>
        <w:spacing w:after="0"/>
        <w:tabs>
          <w:tab w:leader="none" w:pos="131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Lead Development Candidate Continuation</w:t>
      </w:r>
      <w:r>
        <w:rPr>
          <w:rFonts w:ascii="Times New Roman" w:cs="Times New Roman" w:eastAsia="Times New Roman" w:hAnsi="Times New Roman"/>
          <w:sz w:val="14"/>
          <w:szCs w:val="14"/>
          <w:color w:val="auto"/>
        </w:rPr>
        <w:t>. On a CT Program-by-CT Program basis, no later than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Novartis will deliver to Arrowhead a written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notice indicating whether (i) Arrowhead is to continue with the CT Program Research Activities to prepare the CTA Ready Data Package for the Lead Development Candidate that is the subject of such LDC Nomination Date and deliver such CTA Ready Data Package to Novartis in accordance with Section 3.2.2(a) (Transition of Research &amp; Development Activities), and whether (ii) (A) Arrowhead is to Manufacture, or have Manufactured, (1) an initial batch of such Lead Development Candidate in support of preclinical GLP toxicity studies, and (2) an initial batch of such Lead Development Candidate for the use in a Phase I Clinical Trial pursuant to Novartis’ option in Section 5.3 (Novartis Manufacturing Options), or (B) (1) Novartis is assuming the Manufacture of and supply to Arrowhead of the requirements of such Lead Development Candidate to be used in the performance of the activities of the corresponding CT Program Research Activities until delivery of the CTA Ready Data Package for such applicable CT Program, and (2) Novartis is requesting a manufacturing technology transfer for such CT Program in accordance with Section 5.4 (Manufacturing Technology Transfer);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 that</w:t>
      </w:r>
      <w:r>
        <w:rPr>
          <w:rFonts w:ascii="Times New Roman" w:cs="Times New Roman" w:eastAsia="Times New Roman" w:hAnsi="Times New Roman"/>
          <w:sz w:val="14"/>
          <w:szCs w:val="14"/>
          <w:color w:val="auto"/>
        </w:rPr>
        <w:t>, at Novartis’ election, all foregoing confirmations can be given by Novartis to Arrowhead instead during the same meeting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JSC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the event that Arrowhead has not received such confirmations, whether by written notice or through the JSC, for a certain CT Program within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period (or such longer period mutually agreed by the Parties), such CT Program will be deemed terminated by Novartis in accordance with Section 13.2 (Termination for Convenience) and Section 13.6 (Effects of Termination)</w:t>
      </w:r>
    </w:p>
    <w:p>
      <w:pPr>
        <w:spacing w:after="0" w:line="200" w:lineRule="exact"/>
        <w:rPr>
          <w:sz w:val="20"/>
          <w:szCs w:val="20"/>
          <w:color w:val="auto"/>
        </w:rPr>
      </w:pPr>
    </w:p>
    <w:p>
      <w:pPr>
        <w:spacing w:after="0" w:line="27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920"/>
          </w:cols>
          <w:pgMar w:left="660" w:top="123" w:right="319" w:bottom="1440" w:gutter="0" w:footer="0" w:header="0"/>
        </w:sectPr>
      </w:pPr>
    </w:p>
    <w:bookmarkStart w:id="157" w:name="page158"/>
    <w:bookmarkEnd w:id="157"/>
    <w:p>
      <w:pPr>
        <w:ind w:left="2720" w:right="360" w:hanging="2360"/>
        <w:spacing w:after="0" w:line="290" w:lineRule="auto"/>
        <w:tabs>
          <w:tab w:leader="none" w:pos="696"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 xml:space="preserve">as of the date of the expiration of such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period or, if applicable, such longer period mutually agreed by the Parties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3.2.</w:t>
      </w:r>
      <w:r>
        <w:rPr>
          <w:sz w:val="20"/>
          <w:szCs w:val="20"/>
          <w:color w:val="auto"/>
        </w:rPr>
        <w:tab/>
      </w:r>
      <w:r>
        <w:rPr>
          <w:rFonts w:ascii="Times New Roman" w:cs="Times New Roman" w:eastAsia="Times New Roman" w:hAnsi="Times New Roman"/>
          <w:sz w:val="14"/>
          <w:szCs w:val="14"/>
          <w:b w:val="1"/>
          <w:bCs w:val="1"/>
          <w:color w:val="auto"/>
        </w:rPr>
        <w:t>Novartis Development and Medical Affairs Activities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b w:val="1"/>
          <w:bCs w:val="1"/>
          <w:color w:val="auto"/>
        </w:rPr>
        <w:t>Novartis Development and Medical Affairs Responsibility</w:t>
      </w:r>
      <w:r>
        <w:rPr>
          <w:rFonts w:ascii="Times New Roman" w:cs="Times New Roman" w:eastAsia="Times New Roman" w:hAnsi="Times New Roman"/>
          <w:sz w:val="16"/>
          <w:szCs w:val="16"/>
          <w:color w:val="auto"/>
        </w:rPr>
        <w:t>. For each Program, from and after the Technology Transfer Date for such Program, Novartis will have sole control over and decision-making authority for the Development of, and performance of Medical Affairs for, all Licensed Compounds and Licensed</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Products that are the subject of such Program.</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4"/>
          <w:szCs w:val="14"/>
          <w:b w:val="1"/>
          <w:bCs w:val="1"/>
          <w:color w:val="auto"/>
        </w:rPr>
        <w:t>Transition of Research &amp; Development Activities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680" w:hanging="504"/>
        <w:spacing w:after="0" w:line="216" w:lineRule="auto"/>
        <w:tabs>
          <w:tab w:leader="none" w:pos="167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Program, promptly following Arrowhead’s completion of the last of its activities specified under the applicable Development Plan for such Program, Arrowhead will provide to Novartis, at Arrowhead’s cost and expense, the CTA Ready Data Package for such Program (on a Program-by-Program basis, the date of completion of such technology transfer for such Program, the “</w:t>
      </w:r>
      <w:r>
        <w:rPr>
          <w:rFonts w:ascii="Times New Roman" w:cs="Times New Roman" w:eastAsia="Times New Roman" w:hAnsi="Times New Roman"/>
          <w:sz w:val="16"/>
          <w:szCs w:val="16"/>
          <w:b w:val="1"/>
          <w:bCs w:val="1"/>
          <w:color w:val="auto"/>
        </w:rPr>
        <w:t>Technology Transfer Date</w:t>
      </w:r>
      <w:r>
        <w:rPr>
          <w:rFonts w:ascii="Times New Roman" w:cs="Times New Roman" w:eastAsia="Times New Roman" w:hAnsi="Times New Roman"/>
          <w:sz w:val="16"/>
          <w:szCs w:val="16"/>
          <w:color w:val="auto"/>
        </w:rPr>
        <w:t>”). For clarity, Arrowhead will not be required to create any documentation or data with respect to any Program that does not already exist as of immediately prior to its applicable Technology Transfer Date.</w:t>
      </w:r>
    </w:p>
    <w:p>
      <w:pPr>
        <w:spacing w:after="0" w:line="114" w:lineRule="exact"/>
        <w:rPr>
          <w:rFonts w:ascii="Times New Roman" w:cs="Times New Roman" w:eastAsia="Times New Roman" w:hAnsi="Times New Roman"/>
          <w:sz w:val="16"/>
          <w:szCs w:val="16"/>
          <w:color w:val="auto"/>
        </w:rPr>
      </w:pPr>
    </w:p>
    <w:p>
      <w:pPr>
        <w:jc w:val="both"/>
        <w:ind w:left="1680" w:hanging="504"/>
        <w:spacing w:after="0" w:line="209" w:lineRule="auto"/>
        <w:tabs>
          <w:tab w:leader="none" w:pos="167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its receipt of a CTA Ready Data Package for a certain Program, Novartis will have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 (i) review the contents of such CTA Ready Data Package and (ii) ask any reasonable questions regarding such CTA Ready Data Package, which Arrowhead will promptly answer. If Novartis, acting in good faith, determines that a CTA Ready Data Package for a certain Program is incomplete, as compared to the information set forth on </w:t>
      </w:r>
      <w:r>
        <w:rPr>
          <w:rFonts w:ascii="Times New Roman" w:cs="Times New Roman" w:eastAsia="Times New Roman" w:hAnsi="Times New Roman"/>
          <w:sz w:val="16"/>
          <w:szCs w:val="16"/>
          <w:b w:val="1"/>
          <w:bCs w:val="1"/>
          <w:color w:val="auto"/>
        </w:rPr>
        <w:t>Schedule 1.69</w:t>
      </w:r>
      <w:r>
        <w:rPr>
          <w:rFonts w:ascii="Times New Roman" w:cs="Times New Roman" w:eastAsia="Times New Roman" w:hAnsi="Times New Roman"/>
          <w:sz w:val="16"/>
          <w:szCs w:val="16"/>
          <w:color w:val="auto"/>
        </w:rPr>
        <w:t xml:space="preserve"> (CTA Ready Data Package Form) to be included in such CTA Ready Data Package or that Arrowhead has not otherwise provided Novartis with any Arrowhead Know-How that is generated in the performance of activities under the applicable Development Plan for such Program that is necessary to support a filing by Novartis of a CTA for, as applicable, the first lead Licensed SNCA Product or the first Lead Development Candidate of such Program, then Novartis will promptly notify Arrowhead of such deficiency and identify in reasonable detail in such notice such missing information or other Arrowhead Know-How. Unless Arrowhead disputes in good faith such deficiency, in which case such dispute will be referred to the JSC for resolution, Arrowhead will promptly deliver to Novartis such previously missing information or other Arrowhead Know-How, as applicable. Novartis will be deemed to have accepted the CTA Ready Data Package for a certain Program as complete and final upon the date of expiration of such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period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1680" w:hanging="504"/>
        <w:spacing w:after="0" w:line="212" w:lineRule="auto"/>
        <w:tabs>
          <w:tab w:leader="none" w:pos="1672"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Novartis’ reasonable request and for a period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Technology Transfer Date for a Program, Arrowhead will provide such assistance, including making its Personnel reasonably available to Novartis during normal business hours, as is reasonably necessary to support the transition of Development and Medical Affairs activities to Novartis for such Program. Novartis will reimburse Arrowhead for (i) any reasonable Out-of-Pocket Costs incurred in providing such assistance and (ii) Arrowhead’s reasonable costs, at the FTE Rate, incurred in connection with its Personnel’s participation in any such assistance activities, including working group meetings or any other one-on-one meetings with Personnel of Novartis or its designee; in each case (i) and (ii) in accordance with a mutually agreed work plan and budget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80"/>
          </w:cols>
          <w:pgMar w:left="300" w:top="123" w:right="319" w:bottom="1440" w:gutter="0" w:footer="0" w:header="0"/>
        </w:sectPr>
      </w:pPr>
    </w:p>
    <w:bookmarkStart w:id="158" w:name="page159"/>
    <w:bookmarkEnd w:id="158"/>
    <w:p>
      <w:pPr>
        <w:ind w:left="2720" w:right="360" w:hanging="2360"/>
        <w:spacing w:after="0" w:line="290" w:lineRule="auto"/>
        <w:tabs>
          <w:tab w:leader="none" w:pos="696"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3.3.</w:t>
      </w:r>
      <w:r>
        <w:rPr>
          <w:sz w:val="20"/>
          <w:szCs w:val="20"/>
          <w:color w:val="auto"/>
        </w:rPr>
        <w:tab/>
      </w:r>
      <w:r>
        <w:rPr>
          <w:rFonts w:ascii="Times New Roman" w:cs="Times New Roman" w:eastAsia="Times New Roman" w:hAnsi="Times New Roman"/>
          <w:sz w:val="14"/>
          <w:szCs w:val="14"/>
          <w:b w:val="1"/>
          <w:bCs w:val="1"/>
          <w:color w:val="auto"/>
        </w:rPr>
        <w:t>Transition of NHP MAD Study Activities</w:t>
      </w:r>
      <w:r>
        <w:rPr>
          <w:rFonts w:ascii="Times New Roman" w:cs="Times New Roman" w:eastAsia="Times New Roman" w:hAnsi="Times New Roman"/>
          <w:sz w:val="14"/>
          <w:szCs w:val="14"/>
          <w:color w:val="auto"/>
        </w:rPr>
        <w:t>.</w:t>
      </w:r>
    </w:p>
    <w:p>
      <w:pPr>
        <w:ind w:left="520"/>
        <w:spacing w:after="0" w:line="237" w:lineRule="auto"/>
        <w:tabs>
          <w:tab w:leader="none" w:pos="1160" w:val="left"/>
        </w:tabs>
        <w:rPr>
          <w:sz w:val="20"/>
          <w:szCs w:val="20"/>
          <w:color w:val="auto"/>
        </w:rPr>
      </w:pPr>
      <w:r>
        <w:rPr>
          <w:rFonts w:ascii="Times New Roman" w:cs="Times New Roman" w:eastAsia="Times New Roman" w:hAnsi="Times New Roman"/>
          <w:sz w:val="16"/>
          <w:szCs w:val="16"/>
          <w:color w:val="auto"/>
        </w:rPr>
        <w:t>3.3.1.</w:t>
      </w:r>
      <w:r>
        <w:rPr>
          <w:sz w:val="20"/>
          <w:szCs w:val="20"/>
          <w:color w:val="auto"/>
        </w:rPr>
        <w:tab/>
      </w:r>
      <w:r>
        <w:rPr>
          <w:rFonts w:ascii="Times New Roman" w:cs="Times New Roman" w:eastAsia="Times New Roman" w:hAnsi="Times New Roman"/>
          <w:sz w:val="14"/>
          <w:szCs w:val="14"/>
          <w:color w:val="auto"/>
        </w:rPr>
        <w:t>Without limiting Section 3.2.2 above, following the Effective Date, Novartis may elect to, at its sole discretion: (a) sponsor and conduct the NHP MAD Study at a</w:t>
      </w: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contract research organization designated by Novartis or (b) have Arrowhead sponsor and conduct (or have conducted) the NHP MAD Study at a contract research organization designated by Novartis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3.3.2.</w:t>
      </w:r>
      <w:r>
        <w:rPr>
          <w:sz w:val="20"/>
          <w:szCs w:val="20"/>
          <w:color w:val="auto"/>
        </w:rPr>
        <w:tab/>
      </w:r>
      <w:r>
        <w:rPr>
          <w:rFonts w:ascii="Times New Roman" w:cs="Times New Roman" w:eastAsia="Times New Roman" w:hAnsi="Times New Roman"/>
          <w:sz w:val="14"/>
          <w:szCs w:val="14"/>
          <w:color w:val="auto"/>
        </w:rPr>
        <w:t>In the event that Novartis elects to its sponsor the NHP MAD Study and have the NHP MAD Study transferred to a contract research organization in accordance</w:t>
      </w: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with Section 3.3.1(a) above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From and after such transition, Novartis shall conduct (or have conducted on its behalf) the NHP MAD Study at its sole cost and expense.</w:t>
      </w:r>
    </w:p>
    <w:p>
      <w:pPr>
        <w:spacing w:after="0" w:line="127" w:lineRule="exact"/>
        <w:rPr>
          <w:sz w:val="20"/>
          <w:szCs w:val="20"/>
          <w:color w:val="auto"/>
        </w:rPr>
      </w:pPr>
    </w:p>
    <w:p>
      <w:pPr>
        <w:jc w:val="right"/>
        <w:ind w:left="520"/>
        <w:spacing w:after="0" w:line="212" w:lineRule="auto"/>
        <w:rPr>
          <w:sz w:val="20"/>
          <w:szCs w:val="20"/>
          <w:color w:val="auto"/>
        </w:rPr>
      </w:pPr>
      <w:r>
        <w:rPr>
          <w:rFonts w:ascii="Times New Roman" w:cs="Times New Roman" w:eastAsia="Times New Roman" w:hAnsi="Times New Roman"/>
          <w:sz w:val="16"/>
          <w:szCs w:val="16"/>
          <w:color w:val="auto"/>
        </w:rPr>
        <w:t>3.3.3.    In the event that Novartis elects to have Arrowhead sponsor the NHP MAD Study in accordance with Section 3.3.1(b) above, Novartis shall be responsible for (and shall reimburse Arrowhead for) reasonable and documented costs incurred by Arrowhead in engaging the designated contract research organization for such</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NHP MAD Study.</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3.4.   Additional R&amp;D Activities</w:t>
      </w:r>
      <w:r>
        <w:rPr>
          <w:rFonts w:ascii="Times New Roman" w:cs="Times New Roman" w:eastAsia="Times New Roman" w:hAnsi="Times New Roman"/>
          <w:sz w:val="16"/>
          <w:szCs w:val="16"/>
          <w:color w:val="auto"/>
        </w:rPr>
        <w:t>. During the Term, subject to Section 3.6 (Arrowhead Development Costs Reimbursement), on a Program-by-Program basis, Novartis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request through the JSC that Arrowhead perform certain (a) Research or other non-clinical Development activities for the Licensed Compounds and Licensed Products that</w:t>
      </w:r>
    </w:p>
    <w:p>
      <w:pPr>
        <w:ind w:left="520"/>
        <w:spacing w:after="0"/>
        <w:rPr>
          <w:sz w:val="20"/>
          <w:szCs w:val="20"/>
          <w:color w:val="auto"/>
        </w:rPr>
      </w:pPr>
      <w:r>
        <w:rPr>
          <w:rFonts w:ascii="Times New Roman" w:cs="Times New Roman" w:eastAsia="Times New Roman" w:hAnsi="Times New Roman"/>
          <w:sz w:val="14"/>
          <w:szCs w:val="14"/>
          <w:color w:val="auto"/>
        </w:rPr>
        <w:t>are the subject of such Program or (b) CMC Activities, in each case ((a) and (b)), as may be reasonably useful to support the filing of an IND with the FDA for the Licensed</w:t>
      </w:r>
    </w:p>
    <w:p>
      <w:pPr>
        <w:ind w:left="520"/>
        <w:spacing w:after="0" w:line="229" w:lineRule="auto"/>
        <w:rPr>
          <w:sz w:val="20"/>
          <w:szCs w:val="20"/>
          <w:color w:val="auto"/>
        </w:rPr>
      </w:pPr>
      <w:r>
        <w:rPr>
          <w:rFonts w:ascii="Times New Roman" w:cs="Times New Roman" w:eastAsia="Times New Roman" w:hAnsi="Times New Roman"/>
          <w:sz w:val="14"/>
          <w:szCs w:val="14"/>
          <w:color w:val="auto"/>
        </w:rPr>
        <w:t>Compounds and Licensed Product that are the subject of such Program (“Additional R&amp;D Activities”). If the Parties mutually agree through the JSC that Additional R&amp;D Activities for a specific Program are to be performed by Arrowhead, Arrowhead will prepare a written plan that sets forth such Additional R&amp;D Activities for such Program</w:t>
      </w:r>
    </w:p>
    <w:p>
      <w:pPr>
        <w:ind w:left="520"/>
        <w:spacing w:after="0" w:line="237" w:lineRule="auto"/>
        <w:rPr>
          <w:sz w:val="20"/>
          <w:szCs w:val="20"/>
          <w:color w:val="auto"/>
        </w:rPr>
      </w:pPr>
      <w:r>
        <w:rPr>
          <w:rFonts w:ascii="Times New Roman" w:cs="Times New Roman" w:eastAsia="Times New Roman" w:hAnsi="Times New Roman"/>
          <w:sz w:val="14"/>
          <w:szCs w:val="14"/>
          <w:color w:val="auto"/>
        </w:rPr>
        <w:t>(for each Program, as such plan may be amended in accordance with this Agreement, an “Additional R&amp;D Plan”) and submit such proposed Additional R&amp;D Plan to the</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JSC to review, discuss, and determine whether to approve. Each Additional R&amp;D Plan will include (and any subsequent update thereof will include) (i) the planned Additional R&amp;D Activities to be conducted by or on behalf of Arrowhead and the timelines of such Additional R&amp;D Activities, (ii) the Manufacturing activities to be</w:t>
      </w:r>
    </w:p>
    <w:p>
      <w:pPr>
        <w:ind w:left="520"/>
        <w:spacing w:after="0"/>
        <w:rPr>
          <w:sz w:val="20"/>
          <w:szCs w:val="20"/>
          <w:color w:val="auto"/>
        </w:rPr>
      </w:pPr>
      <w:r>
        <w:rPr>
          <w:rFonts w:ascii="Times New Roman" w:cs="Times New Roman" w:eastAsia="Times New Roman" w:hAnsi="Times New Roman"/>
          <w:sz w:val="14"/>
          <w:szCs w:val="14"/>
          <w:color w:val="auto"/>
        </w:rPr>
        <w:t>conducted by or on behalf of Arrowhead in support of the activities described in the foregoing clauses (a) or (b) (if any), and (c) a budget that sets forth all FTE Costs and</w:t>
      </w:r>
    </w:p>
    <w:p>
      <w:pPr>
        <w:ind w:left="520"/>
        <w:spacing w:after="0" w:line="229" w:lineRule="auto"/>
        <w:rPr>
          <w:sz w:val="20"/>
          <w:szCs w:val="20"/>
          <w:color w:val="auto"/>
        </w:rPr>
      </w:pPr>
      <w:r>
        <w:rPr>
          <w:rFonts w:ascii="Times New Roman" w:cs="Times New Roman" w:eastAsia="Times New Roman" w:hAnsi="Times New Roman"/>
          <w:sz w:val="14"/>
          <w:szCs w:val="14"/>
          <w:color w:val="auto"/>
        </w:rPr>
        <w:t>Out-of-Pocket Costs to be incurred by or on behalf of Arrowhead in the performance of such Additional R&amp;D Activities under such plan (for each Program, an “Additional R&amp;D Budget”). Either Party may propose (through the JSC) updates to any Additional R&amp;D Plan (including the Additional R&amp;D Budget set forth therein) and the JSC will</w:t>
      </w:r>
    </w:p>
    <w:p>
      <w:pPr>
        <w:ind w:left="520"/>
        <w:spacing w:after="0" w:line="237" w:lineRule="auto"/>
        <w:rPr>
          <w:sz w:val="20"/>
          <w:szCs w:val="20"/>
          <w:color w:val="auto"/>
        </w:rPr>
      </w:pPr>
      <w:r>
        <w:rPr>
          <w:rFonts w:ascii="Times New Roman" w:cs="Times New Roman" w:eastAsia="Times New Roman" w:hAnsi="Times New Roman"/>
          <w:sz w:val="14"/>
          <w:szCs w:val="14"/>
          <w:color w:val="auto"/>
        </w:rPr>
        <w:t>review, discuss, and determine whether to approve each such update to any Additional R&amp;D Plan, including updates to the Additional R&amp;D Budget therein. For clarity, in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the event that the JSC does not approve (or the Parties are unable to come to a unanimous agreement to approve) any Additional R&amp;D Activities, Novartis shall have the right under this Agreement to conduct such Additional R&amp;D Activities on behalf of itself for the Development of the Licensed Products and Arrowhead shall provide</w:t>
      </w:r>
    </w:p>
    <w:p>
      <w:pPr>
        <w:ind w:left="520"/>
        <w:spacing w:after="0" w:line="208" w:lineRule="auto"/>
        <w:rPr>
          <w:sz w:val="20"/>
          <w:szCs w:val="20"/>
          <w:color w:val="auto"/>
        </w:rPr>
      </w:pPr>
      <w:r>
        <w:rPr>
          <w:rFonts w:ascii="Times New Roman" w:cs="Times New Roman" w:eastAsia="Times New Roman" w:hAnsi="Times New Roman"/>
          <w:sz w:val="16"/>
          <w:szCs w:val="16"/>
          <w:color w:val="auto"/>
        </w:rPr>
        <w:t>reasonable assistance at Novartis’ cost in connection with Novartis’ performance of such activities.</w:t>
      </w:r>
    </w:p>
    <w:p>
      <w:pPr>
        <w:spacing w:after="0" w:line="221"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3.5.</w:t>
      </w:r>
      <w:r>
        <w:rPr>
          <w:sz w:val="20"/>
          <w:szCs w:val="20"/>
          <w:color w:val="auto"/>
        </w:rPr>
        <w:tab/>
      </w:r>
      <w:r>
        <w:rPr>
          <w:rFonts w:ascii="Times New Roman" w:cs="Times New Roman" w:eastAsia="Times New Roman" w:hAnsi="Times New Roman"/>
          <w:sz w:val="14"/>
          <w:szCs w:val="14"/>
          <w:b w:val="1"/>
          <w:bCs w:val="1"/>
          <w:color w:val="auto"/>
        </w:rPr>
        <w:t>Development Diligence Obligations</w:t>
      </w:r>
      <w:r>
        <w:rPr>
          <w:rFonts w:ascii="Times New Roman" w:cs="Times New Roman" w:eastAsia="Times New Roman" w:hAnsi="Times New Roman"/>
          <w:sz w:val="14"/>
          <w:szCs w:val="14"/>
          <w:color w:val="auto"/>
        </w:rPr>
        <w:t>.</w:t>
      </w:r>
    </w:p>
    <w:p>
      <w:pPr>
        <w:jc w:val="right"/>
        <w:ind w:left="520"/>
        <w:spacing w:after="0" w:line="207" w:lineRule="auto"/>
        <w:rPr>
          <w:sz w:val="20"/>
          <w:szCs w:val="20"/>
          <w:color w:val="auto"/>
        </w:rPr>
      </w:pPr>
      <w:r>
        <w:rPr>
          <w:rFonts w:ascii="Times New Roman" w:cs="Times New Roman" w:eastAsia="Times New Roman" w:hAnsi="Times New Roman"/>
          <w:sz w:val="16"/>
          <w:szCs w:val="16"/>
          <w:color w:val="auto"/>
        </w:rPr>
        <w:t xml:space="preserve">3.5.1.    </w:t>
      </w:r>
      <w:r>
        <w:rPr>
          <w:rFonts w:ascii="Times New Roman" w:cs="Times New Roman" w:eastAsia="Times New Roman" w:hAnsi="Times New Roman"/>
          <w:sz w:val="16"/>
          <w:szCs w:val="16"/>
          <w:b w:val="1"/>
          <w:bCs w:val="1"/>
          <w:color w:val="auto"/>
        </w:rPr>
        <w:t>Arrowhead Development Diligence Obligations</w:t>
      </w:r>
      <w:r>
        <w:rPr>
          <w:rFonts w:ascii="Times New Roman" w:cs="Times New Roman" w:eastAsia="Times New Roman" w:hAnsi="Times New Roman"/>
          <w:sz w:val="16"/>
          <w:szCs w:val="16"/>
          <w:color w:val="auto"/>
        </w:rPr>
        <w:t>. For each Program, Arrowhead will use Commercially Reasonable Efforts to (a) conduct the SNCA Program Research Activities in case of the SNCA Program and the CT Program Research Activities in case of a CT Program, each, in accordance with its applicable</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Development Plan (including the timelines set forth therein), as may be amended by the Parties through the JSC, and (b) if applicable, to conduct any Additional R&amp;D Activities in accordance with the applicable Additional R&amp;D Plan approved by the JSC (including the timelines set forth therein), as may be amended by</w:t>
      </w:r>
    </w:p>
    <w:p>
      <w:pPr>
        <w:ind w:left="1180"/>
        <w:spacing w:after="0" w:line="224" w:lineRule="auto"/>
        <w:rPr>
          <w:sz w:val="20"/>
          <w:szCs w:val="20"/>
          <w:color w:val="auto"/>
        </w:rPr>
      </w:pPr>
      <w:r>
        <w:rPr>
          <w:rFonts w:ascii="Times New Roman" w:cs="Times New Roman" w:eastAsia="Times New Roman" w:hAnsi="Times New Roman"/>
          <w:sz w:val="16"/>
          <w:szCs w:val="16"/>
          <w:color w:val="auto"/>
        </w:rPr>
        <w:t xml:space="preserve">the Parties through the JSC. For clarity, and in relation to a specific CT Program, the preceding sentence does not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Arrowhead will have the right to perform any of its obligations under this Agreement through its Affiliates and one or more Subcontractors.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80"/>
          </w:cols>
          <w:pgMar w:left="300" w:top="123" w:right="319" w:bottom="1440" w:gutter="0" w:footer="0" w:header="0"/>
        </w:sectPr>
      </w:pPr>
    </w:p>
    <w:bookmarkStart w:id="159" w:name="page160"/>
    <w:bookmarkEnd w:id="159"/>
    <w:p>
      <w:pPr>
        <w:ind w:left="2720" w:right="360" w:hanging="2360"/>
        <w:spacing w:after="0" w:line="290" w:lineRule="auto"/>
        <w:tabs>
          <w:tab w:leader="none" w:pos="696"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80" w:hanging="661"/>
        <w:spacing w:after="0" w:line="227" w:lineRule="auto"/>
        <w:tabs>
          <w:tab w:leader="none" w:pos="1160" w:val="left"/>
        </w:tabs>
        <w:rPr>
          <w:sz w:val="20"/>
          <w:szCs w:val="20"/>
          <w:color w:val="auto"/>
        </w:rPr>
      </w:pPr>
      <w:r>
        <w:rPr>
          <w:rFonts w:ascii="Times New Roman" w:cs="Times New Roman" w:eastAsia="Times New Roman" w:hAnsi="Times New Roman"/>
          <w:sz w:val="16"/>
          <w:szCs w:val="16"/>
          <w:color w:val="auto"/>
        </w:rPr>
        <w:t>3.5.2.</w:t>
      </w:r>
      <w:r>
        <w:rPr>
          <w:sz w:val="20"/>
          <w:szCs w:val="20"/>
          <w:color w:val="auto"/>
        </w:rPr>
        <w:tab/>
      </w:r>
      <w:r>
        <w:rPr>
          <w:rFonts w:ascii="Times New Roman" w:cs="Times New Roman" w:eastAsia="Times New Roman" w:hAnsi="Times New Roman"/>
          <w:sz w:val="16"/>
          <w:szCs w:val="16"/>
          <w:b w:val="1"/>
          <w:bCs w:val="1"/>
          <w:color w:val="auto"/>
        </w:rPr>
        <w:t>Novartis Development Diligence Obligations</w:t>
      </w:r>
      <w:r>
        <w:rPr>
          <w:rFonts w:ascii="Times New Roman" w:cs="Times New Roman" w:eastAsia="Times New Roman" w:hAnsi="Times New Roman"/>
          <w:sz w:val="16"/>
          <w:szCs w:val="16"/>
          <w:color w:val="auto"/>
        </w:rPr>
        <w:t>. For the SNCA Program and each CT Program, upon the Technology Transfer Date with respect to such Program,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Novartis, either itself or through its Affiliates or Sublicensees, will use Commercially Reasonable Efforts to Develop and seek Regulatory Approval for at least one Licensed Product that is the subject of such Program in each of [***].</w:t>
      </w:r>
    </w:p>
    <w:p>
      <w:pPr>
        <w:spacing w:after="0" w:line="115" w:lineRule="exact"/>
        <w:rPr>
          <w:sz w:val="20"/>
          <w:szCs w:val="20"/>
          <w:color w:val="auto"/>
        </w:rPr>
      </w:pPr>
    </w:p>
    <w:p>
      <w:pPr>
        <w:jc w:val="both"/>
        <w:ind w:left="520" w:hanging="508"/>
        <w:spacing w:after="0" w:line="252"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3.6.</w:t>
      </w:r>
      <w:r>
        <w:rPr>
          <w:sz w:val="20"/>
          <w:szCs w:val="20"/>
          <w:color w:val="auto"/>
        </w:rPr>
        <w:tab/>
      </w:r>
      <w:r>
        <w:rPr>
          <w:rFonts w:ascii="Times New Roman" w:cs="Times New Roman" w:eastAsia="Times New Roman" w:hAnsi="Times New Roman"/>
          <w:sz w:val="14"/>
          <w:szCs w:val="14"/>
          <w:b w:val="1"/>
          <w:bCs w:val="1"/>
          <w:color w:val="auto"/>
        </w:rPr>
        <w:t>Arrowhead Development Costs Reimbursement</w:t>
      </w:r>
      <w:r>
        <w:rPr>
          <w:rFonts w:ascii="Times New Roman" w:cs="Times New Roman" w:eastAsia="Times New Roman" w:hAnsi="Times New Roman"/>
          <w:sz w:val="14"/>
          <w:szCs w:val="14"/>
          <w:color w:val="auto"/>
        </w:rPr>
        <w:t>. In consideration for Arrowhead’s performance of, if any, the Additional R&amp;D Activities for any Program in accordance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applicable Additional R&amp;D Plan, Novartis will reimburse Arrowhead for the amount of all FTE Costs and Out-of-Pocket Costs incurred by or on behalf of</w:t>
      </w:r>
    </w:p>
    <w:p>
      <w:pPr>
        <w:ind w:left="520"/>
        <w:spacing w:after="0" w:line="229" w:lineRule="auto"/>
        <w:rPr>
          <w:sz w:val="20"/>
          <w:szCs w:val="20"/>
          <w:color w:val="auto"/>
        </w:rPr>
      </w:pPr>
      <w:r>
        <w:rPr>
          <w:rFonts w:ascii="Times New Roman" w:cs="Times New Roman" w:eastAsia="Times New Roman" w:hAnsi="Times New Roman"/>
          <w:sz w:val="14"/>
          <w:szCs w:val="14"/>
          <w:color w:val="auto"/>
        </w:rPr>
        <w:t>Arrowhead in the performance of any such Additional R&amp;D Activities from and after the Effective Date for each Program (“</w:t>
      </w:r>
      <w:r>
        <w:rPr>
          <w:rFonts w:ascii="Times New Roman" w:cs="Times New Roman" w:eastAsia="Times New Roman" w:hAnsi="Times New Roman"/>
          <w:sz w:val="14"/>
          <w:szCs w:val="14"/>
          <w:b w:val="1"/>
          <w:bCs w:val="1"/>
          <w:color w:val="auto"/>
        </w:rPr>
        <w:t>Arrowhead Development Costs</w:t>
      </w:r>
      <w:r>
        <w:rPr>
          <w:rFonts w:ascii="Times New Roman" w:cs="Times New Roman" w:eastAsia="Times New Roman" w:hAnsi="Times New Roman"/>
          <w:sz w:val="14"/>
          <w:szCs w:val="14"/>
          <w:color w:val="auto"/>
        </w:rPr>
        <w:t xml:space="preserve">”) to the extent such Arrowhead Development Costs do not exceed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the amounts set forth in the corresponding Additional R&amp;D Budget set forth in the corresponding Additional</w:t>
      </w:r>
    </w:p>
    <w:p>
      <w:pPr>
        <w:ind w:left="520"/>
        <w:spacing w:after="0" w:line="229" w:lineRule="auto"/>
        <w:rPr>
          <w:sz w:val="20"/>
          <w:szCs w:val="20"/>
          <w:color w:val="auto"/>
        </w:rPr>
      </w:pPr>
      <w:r>
        <w:rPr>
          <w:rFonts w:ascii="Times New Roman" w:cs="Times New Roman" w:eastAsia="Times New Roman" w:hAnsi="Times New Roman"/>
          <w:sz w:val="14"/>
          <w:szCs w:val="14"/>
          <w:color w:val="auto"/>
        </w:rPr>
        <w:t>R&amp;D Plan (the “</w:t>
      </w:r>
      <w:r>
        <w:rPr>
          <w:rFonts w:ascii="Times New Roman" w:cs="Times New Roman" w:eastAsia="Times New Roman" w:hAnsi="Times New Roman"/>
          <w:sz w:val="14"/>
          <w:szCs w:val="14"/>
          <w:b w:val="1"/>
          <w:bCs w:val="1"/>
          <w:color w:val="auto"/>
        </w:rPr>
        <w:t>Reimbursable Development Costs</w:t>
      </w:r>
      <w:r>
        <w:rPr>
          <w:rFonts w:ascii="Times New Roman" w:cs="Times New Roman" w:eastAsia="Times New Roman" w:hAnsi="Times New Roman"/>
          <w:sz w:val="14"/>
          <w:szCs w:val="14"/>
          <w:color w:val="auto"/>
        </w:rPr>
        <w:t xml:space="preserve">”).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following the final day of each Calendar Quarter, Arrowhead will issue to Novartis an invoice for, if any, the amount of the Reimbursable Development Costs for each applicable Program incurred by Arrowhead during such Calendar Quarter, specifying whether such costs</w:t>
      </w: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are FTE Costs or Out-of-Pocket Costs and setting forth reasonable details regarding the individual costs of activities included in the Additional R&amp;D Activities. Novartis will reimburse Arrowhead for all undisputed amounts set forth in any such invoice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receipt thereof.</w:t>
      </w:r>
    </w:p>
    <w:p>
      <w:pPr>
        <w:spacing w:after="0" w:line="1" w:lineRule="exact"/>
        <w:rPr>
          <w:sz w:val="20"/>
          <w:szCs w:val="20"/>
          <w:color w:val="auto"/>
        </w:rPr>
      </w:pPr>
    </w:p>
    <w:p>
      <w:pPr>
        <w:jc w:val="both"/>
        <w:ind w:left="520" w:hanging="508"/>
        <w:spacing w:after="0" w:line="202"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3.7.</w:t>
      </w:r>
      <w:r>
        <w:rPr>
          <w:sz w:val="20"/>
          <w:szCs w:val="20"/>
          <w:color w:val="auto"/>
        </w:rPr>
        <w:tab/>
      </w:r>
      <w:r>
        <w:rPr>
          <w:rFonts w:ascii="Times New Roman" w:cs="Times New Roman" w:eastAsia="Times New Roman" w:hAnsi="Times New Roman"/>
          <w:sz w:val="16"/>
          <w:szCs w:val="16"/>
          <w:b w:val="1"/>
          <w:bCs w:val="1"/>
          <w:color w:val="auto"/>
        </w:rPr>
        <w:t>Novartis Program Costs</w:t>
      </w:r>
      <w:r>
        <w:rPr>
          <w:rFonts w:ascii="Times New Roman" w:cs="Times New Roman" w:eastAsia="Times New Roman" w:hAnsi="Times New Roman"/>
          <w:sz w:val="16"/>
          <w:szCs w:val="16"/>
          <w:color w:val="auto"/>
        </w:rPr>
        <w:t>. For the SNCA Program and each CT Program, from and after the Technology Transfer Date for such applicable Program, Novartis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responsible for 100% of all costs and expenses incurred by or on behalf of Novartis for the Development of all Licensed Compounds and Licensed Products that are the subject of such applicable Program for the Territory.</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3.8.</w:t>
      </w:r>
      <w:r>
        <w:rPr>
          <w:sz w:val="20"/>
          <w:szCs w:val="20"/>
          <w:color w:val="auto"/>
        </w:rPr>
        <w:tab/>
      </w:r>
      <w:r>
        <w:rPr>
          <w:rFonts w:ascii="Times New Roman" w:cs="Times New Roman" w:eastAsia="Times New Roman" w:hAnsi="Times New Roman"/>
          <w:sz w:val="14"/>
          <w:szCs w:val="14"/>
          <w:b w:val="1"/>
          <w:bCs w:val="1"/>
          <w:color w:val="auto"/>
        </w:rPr>
        <w:t>Licensed Products Research and Development Reports</w:t>
      </w:r>
      <w:r>
        <w:rPr>
          <w:rFonts w:ascii="Times New Roman" w:cs="Times New Roman" w:eastAsia="Times New Roman" w:hAnsi="Times New Roman"/>
          <w:sz w:val="14"/>
          <w:szCs w:val="14"/>
          <w:color w:val="auto"/>
        </w:rPr>
        <w:t>.</w:t>
      </w:r>
    </w:p>
    <w:p>
      <w:pPr>
        <w:ind w:left="520"/>
        <w:spacing w:after="0" w:line="237" w:lineRule="auto"/>
        <w:tabs>
          <w:tab w:leader="none" w:pos="1160" w:val="left"/>
        </w:tabs>
        <w:rPr>
          <w:sz w:val="20"/>
          <w:szCs w:val="20"/>
          <w:color w:val="auto"/>
        </w:rPr>
      </w:pPr>
      <w:r>
        <w:rPr>
          <w:rFonts w:ascii="Times New Roman" w:cs="Times New Roman" w:eastAsia="Times New Roman" w:hAnsi="Times New Roman"/>
          <w:sz w:val="16"/>
          <w:szCs w:val="16"/>
          <w:color w:val="auto"/>
        </w:rPr>
        <w:t>3.8.1.</w:t>
      </w:r>
      <w:r>
        <w:rPr>
          <w:sz w:val="20"/>
          <w:szCs w:val="20"/>
          <w:color w:val="auto"/>
        </w:rPr>
        <w:tab/>
      </w:r>
      <w:r>
        <w:rPr>
          <w:rFonts w:ascii="Times New Roman" w:cs="Times New Roman" w:eastAsia="Times New Roman" w:hAnsi="Times New Roman"/>
          <w:sz w:val="14"/>
          <w:szCs w:val="14"/>
          <w:b w:val="1"/>
          <w:bCs w:val="1"/>
          <w:color w:val="auto"/>
        </w:rPr>
        <w:t>Arrowhead Development Reports</w:t>
      </w:r>
      <w:r>
        <w:rPr>
          <w:rFonts w:ascii="Times New Roman" w:cs="Times New Roman" w:eastAsia="Times New Roman" w:hAnsi="Times New Roman"/>
          <w:sz w:val="14"/>
          <w:szCs w:val="14"/>
          <w:color w:val="auto"/>
        </w:rPr>
        <w:t>. During the period commencing on the Effective Date and continuing until the dissolution of the JSC, Arrowhead will keep</w:t>
      </w:r>
    </w:p>
    <w:p>
      <w:pPr>
        <w:jc w:val="both"/>
        <w:ind w:left="1180"/>
        <w:spacing w:after="0" w:line="229" w:lineRule="auto"/>
        <w:rPr>
          <w:sz w:val="20"/>
          <w:szCs w:val="20"/>
          <w:color w:val="auto"/>
        </w:rPr>
      </w:pPr>
      <w:r>
        <w:rPr>
          <w:rFonts w:ascii="Times New Roman" w:cs="Times New Roman" w:eastAsia="Times New Roman" w:hAnsi="Times New Roman"/>
          <w:sz w:val="14"/>
          <w:szCs w:val="14"/>
          <w:color w:val="auto"/>
        </w:rPr>
        <w:t>the JSC informed regarding the progress of the SNCA Program Research Activities and the CT Program Research Activities, in each case, for all Licensed Compounds and Licensed Products by providing to the JSC reasonably in advance of each meeting of the JSC (or at a different frequency determined by the JSC)</w:t>
      </w:r>
    </w:p>
    <w:p>
      <w:pPr>
        <w:ind w:left="1180"/>
        <w:spacing w:after="0" w:line="237" w:lineRule="auto"/>
        <w:rPr>
          <w:sz w:val="20"/>
          <w:szCs w:val="20"/>
          <w:color w:val="auto"/>
        </w:rPr>
      </w:pPr>
      <w:r>
        <w:rPr>
          <w:rFonts w:ascii="Times New Roman" w:cs="Times New Roman" w:eastAsia="Times New Roman" w:hAnsi="Times New Roman"/>
          <w:sz w:val="14"/>
          <w:szCs w:val="14"/>
          <w:color w:val="auto"/>
        </w:rPr>
        <w:t>a report (i) summarizing results and describing progress made against timelines in all Development Plans, and the SNCA Program Research Activities and the CT</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Program Research Activities planned to be undertaken for the applicable corresponding Licensed Compounds and Licensed Products prior to the next meeting of the JSC, and (ii) for all Licensed Compounds and Licensed Products, a reasonable summary of results, information, and data generated from the SNCA Program</w:t>
      </w:r>
    </w:p>
    <w:p>
      <w:pPr>
        <w:ind w:left="1180"/>
        <w:spacing w:after="0" w:line="208" w:lineRule="auto"/>
        <w:rPr>
          <w:sz w:val="20"/>
          <w:szCs w:val="20"/>
          <w:color w:val="auto"/>
        </w:rPr>
      </w:pPr>
      <w:r>
        <w:rPr>
          <w:rFonts w:ascii="Times New Roman" w:cs="Times New Roman" w:eastAsia="Times New Roman" w:hAnsi="Times New Roman"/>
          <w:sz w:val="16"/>
          <w:szCs w:val="16"/>
          <w:color w:val="auto"/>
        </w:rPr>
        <w:t>Research Activities and the CT Program Research Activities, as are applicable, for such Licensed Compounds and Licensed Products (each such report, a</w:t>
      </w:r>
    </w:p>
    <w:p>
      <w:pPr>
        <w:ind w:left="1180"/>
        <w:spacing w:after="0" w:line="22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Report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JSC meets more often than once per Calendar Quarter, then Arrowhead will only be required to provide one Development Report to the JSC in such Calendar Quarter. In addition, through the Parties’ respective Alliance Managers, Arrowhead will promptly share</w:t>
      </w:r>
    </w:p>
    <w:p>
      <w:pPr>
        <w:ind w:left="1180"/>
        <w:spacing w:after="0" w:line="208" w:lineRule="auto"/>
        <w:rPr>
          <w:sz w:val="20"/>
          <w:szCs w:val="20"/>
          <w:color w:val="auto"/>
        </w:rPr>
      </w:pPr>
      <w:r>
        <w:rPr>
          <w:rFonts w:ascii="Times New Roman" w:cs="Times New Roman" w:eastAsia="Times New Roman" w:hAnsi="Times New Roman"/>
          <w:sz w:val="16"/>
          <w:szCs w:val="16"/>
          <w:color w:val="auto"/>
        </w:rPr>
        <w:t>with Novartis all other material developments and material information that it comes to possess relating to the Research and Development of the Licensed</w:t>
      </w:r>
    </w:p>
    <w:p>
      <w:pPr>
        <w:ind w:left="1180"/>
        <w:spacing w:after="0" w:line="200" w:lineRule="auto"/>
        <w:rPr>
          <w:sz w:val="20"/>
          <w:szCs w:val="20"/>
          <w:color w:val="auto"/>
        </w:rPr>
      </w:pPr>
      <w:r>
        <w:rPr>
          <w:rFonts w:ascii="Times New Roman" w:cs="Times New Roman" w:eastAsia="Times New Roman" w:hAnsi="Times New Roman"/>
          <w:sz w:val="16"/>
          <w:szCs w:val="16"/>
          <w:color w:val="auto"/>
        </w:rPr>
        <w:t>Compounds and Licensed Products conducted by or on behalf of Arrowhead under the applicable Development Plan, including any additional information regarding the Development of the Licensed Products reasonably requested by Novartis from time to time to the extent and in the form readily available to</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Arrowhead and able to be disclosed to Novartis,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Arrowhead will not be required to provide any Arrowhead Excluded Know-How.</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3.8.2.    </w:t>
      </w:r>
      <w:r>
        <w:rPr>
          <w:rFonts w:ascii="Times New Roman" w:cs="Times New Roman" w:eastAsia="Times New Roman" w:hAnsi="Times New Roman"/>
          <w:sz w:val="16"/>
          <w:szCs w:val="16"/>
          <w:b w:val="1"/>
          <w:bCs w:val="1"/>
          <w:color w:val="auto"/>
        </w:rPr>
        <w:t>Novartis Development Reports</w:t>
      </w:r>
      <w:r>
        <w:rPr>
          <w:rFonts w:ascii="Times New Roman" w:cs="Times New Roman" w:eastAsia="Times New Roman" w:hAnsi="Times New Roman"/>
          <w:sz w:val="16"/>
          <w:szCs w:val="16"/>
          <w:color w:val="auto"/>
        </w:rPr>
        <w:t>. On a Program-by-Program basis, following the assumption of all Development activities for such Program by Novartis in accordance with Section 3.2.1 (Novartis Development and Medical Affairs Responsibility), and until the receipt of Regulatory Approval for the first Licensed</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Product that is the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80"/>
          </w:cols>
          <w:pgMar w:left="300" w:top="123" w:right="319" w:bottom="1440" w:gutter="0" w:footer="0" w:header="0"/>
        </w:sectPr>
      </w:pPr>
    </w:p>
    <w:bookmarkStart w:id="160" w:name="page161"/>
    <w:bookmarkEnd w:id="160"/>
    <w:p>
      <w:pPr>
        <w:ind w:left="2720" w:right="360" w:hanging="2360"/>
        <w:spacing w:after="0" w:line="290" w:lineRule="auto"/>
        <w:tabs>
          <w:tab w:leader="none" w:pos="696"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19" w:lineRule="auto"/>
        <w:rPr>
          <w:sz w:val="20"/>
          <w:szCs w:val="20"/>
          <w:color w:val="auto"/>
        </w:rPr>
      </w:pPr>
      <w:r>
        <w:rPr>
          <w:rFonts w:ascii="Times New Roman" w:cs="Times New Roman" w:eastAsia="Times New Roman" w:hAnsi="Times New Roman"/>
          <w:sz w:val="16"/>
          <w:szCs w:val="16"/>
          <w:color w:val="auto"/>
        </w:rPr>
        <w:t xml:space="preserve">subject of such Program in the United States or any of the Major European Markets, Novartis will provide Arrowhead with a reasonably detailed report (which may be in the form of slides) 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summarizing the material Development activities conducted by Novartis and its Affiliates and their respective</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Sublicensees with respect to the Licensed Compounds and the Licensed Products that are the subject of such Program, including (a) material developments with respect to such Licensed Compounds and Licensed Products, [***], and (b) any Regulatory Approvals received for such Licensed Products in the Territory. All</w:t>
      </w:r>
    </w:p>
    <w:p>
      <w:pPr>
        <w:ind w:left="1180"/>
        <w:spacing w:after="0"/>
        <w:rPr>
          <w:sz w:val="20"/>
          <w:szCs w:val="20"/>
          <w:color w:val="auto"/>
        </w:rPr>
      </w:pPr>
      <w:r>
        <w:rPr>
          <w:rFonts w:ascii="Times New Roman" w:cs="Times New Roman" w:eastAsia="Times New Roman" w:hAnsi="Times New Roman"/>
          <w:sz w:val="16"/>
          <w:szCs w:val="16"/>
          <w:color w:val="auto"/>
        </w:rPr>
        <w:t>information in such reports will be deemed Novartis’ Confidential Information.</w:t>
      </w:r>
    </w:p>
    <w:p>
      <w:pPr>
        <w:spacing w:after="0" w:line="12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3.9.   Scientific Records</w:t>
      </w:r>
      <w:r>
        <w:rPr>
          <w:rFonts w:ascii="Times New Roman" w:cs="Times New Roman" w:eastAsia="Times New Roman" w:hAnsi="Times New Roman"/>
          <w:sz w:val="14"/>
          <w:szCs w:val="14"/>
          <w:color w:val="auto"/>
        </w:rPr>
        <w:t>. Arrowhead (with respect to the SNCA Program Research Activities and the CT Program Research Activities for the applicable Programs) and Novartis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respect to all other Development activities hereunder for all Programs) will maintain scientific records in sufficient detail and in good scientific manner appropriate for</w:t>
      </w:r>
    </w:p>
    <w:p>
      <w:pPr>
        <w:ind w:left="520"/>
        <w:spacing w:after="0" w:line="229" w:lineRule="auto"/>
        <w:rPr>
          <w:sz w:val="20"/>
          <w:szCs w:val="20"/>
          <w:color w:val="auto"/>
        </w:rPr>
      </w:pPr>
      <w:r>
        <w:rPr>
          <w:rFonts w:ascii="Times New Roman" w:cs="Times New Roman" w:eastAsia="Times New Roman" w:hAnsi="Times New Roman"/>
          <w:sz w:val="14"/>
          <w:szCs w:val="14"/>
          <w:color w:val="auto"/>
        </w:rPr>
        <w:t>patent and regulatory purposes, and, to the extent applicable, in compliance with GLP, GMP, and GCP with respect to activities intended to be submitted in regulatory filings (including INDs), all of which records will fully and accurately reflect all work done and results achieved in the performance of the Development activities and Clinical</w:t>
      </w:r>
    </w:p>
    <w:p>
      <w:pPr>
        <w:ind w:left="520"/>
        <w:spacing w:after="0" w:line="208" w:lineRule="auto"/>
        <w:rPr>
          <w:sz w:val="20"/>
          <w:szCs w:val="20"/>
          <w:color w:val="auto"/>
        </w:rPr>
      </w:pPr>
      <w:r>
        <w:rPr>
          <w:rFonts w:ascii="Times New Roman" w:cs="Times New Roman" w:eastAsia="Times New Roman" w:hAnsi="Times New Roman"/>
          <w:sz w:val="16"/>
          <w:szCs w:val="16"/>
          <w:color w:val="auto"/>
        </w:rPr>
        <w:t>Trials by or on behalf of such Party with respect to Licensed Products under this Agreement.</w:t>
      </w:r>
    </w:p>
    <w:p>
      <w:pPr>
        <w:ind w:left="520" w:hanging="515"/>
        <w:spacing w:after="0"/>
        <w:tabs>
          <w:tab w:leader="none" w:pos="520"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REGULATORY MATTERS</w:t>
      </w:r>
    </w:p>
    <w:p>
      <w:pPr>
        <w:spacing w:after="0" w:line="10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4.1.</w:t>
      </w:r>
      <w:r>
        <w:rPr>
          <w:sz w:val="20"/>
          <w:szCs w:val="20"/>
          <w:color w:val="auto"/>
        </w:rPr>
        <w:tab/>
      </w:r>
      <w:r>
        <w:rPr>
          <w:rFonts w:ascii="Times New Roman" w:cs="Times New Roman" w:eastAsia="Times New Roman" w:hAnsi="Times New Roman"/>
          <w:sz w:val="14"/>
          <w:szCs w:val="14"/>
          <w:b w:val="1"/>
          <w:bCs w:val="1"/>
          <w:color w:val="auto"/>
        </w:rPr>
        <w:t>Regulatory Responsibilities</w:t>
      </w:r>
      <w:r>
        <w:rPr>
          <w:rFonts w:ascii="Times New Roman" w:cs="Times New Roman" w:eastAsia="Times New Roman" w:hAnsi="Times New Roman"/>
          <w:sz w:val="14"/>
          <w:szCs w:val="14"/>
          <w:color w:val="auto"/>
        </w:rPr>
        <w:t>.</w:t>
      </w:r>
    </w:p>
    <w:p>
      <w:pPr>
        <w:ind w:left="1180" w:hanging="661"/>
        <w:spacing w:after="0" w:line="224" w:lineRule="auto"/>
        <w:tabs>
          <w:tab w:leader="none" w:pos="1160" w:val="left"/>
        </w:tabs>
        <w:rPr>
          <w:sz w:val="20"/>
          <w:szCs w:val="20"/>
          <w:color w:val="auto"/>
        </w:rPr>
      </w:pPr>
      <w:r>
        <w:rPr>
          <w:rFonts w:ascii="Times New Roman" w:cs="Times New Roman" w:eastAsia="Times New Roman" w:hAnsi="Times New Roman"/>
          <w:sz w:val="16"/>
          <w:szCs w:val="16"/>
          <w:color w:val="auto"/>
        </w:rPr>
        <w:t>4.1.1.</w:t>
      </w:r>
      <w:r>
        <w:rPr>
          <w:sz w:val="20"/>
          <w:szCs w:val="20"/>
          <w:color w:val="auto"/>
        </w:rPr>
        <w:tab/>
      </w:r>
      <w:r>
        <w:rPr>
          <w:rFonts w:ascii="Times New Roman" w:cs="Times New Roman" w:eastAsia="Times New Roman" w:hAnsi="Times New Roman"/>
          <w:sz w:val="16"/>
          <w:szCs w:val="16"/>
          <w:b w:val="1"/>
          <w:bCs w:val="1"/>
          <w:color w:val="auto"/>
        </w:rPr>
        <w:t>Arrowhead Regulatory Responsibilities</w:t>
      </w:r>
      <w:r>
        <w:rPr>
          <w:rFonts w:ascii="Times New Roman" w:cs="Times New Roman" w:eastAsia="Times New Roman" w:hAnsi="Times New Roman"/>
          <w:sz w:val="16"/>
          <w:szCs w:val="16"/>
          <w:color w:val="auto"/>
        </w:rPr>
        <w:t>. With respect to each Program, at least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prior to the anticipated Technology Transfer Date for such Program,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JSC will meet to discuss the status of such Program, including the results of all studies conducted in support thereof.</w:t>
      </w:r>
    </w:p>
    <w:p>
      <w:pPr>
        <w:spacing w:after="0" w:line="114" w:lineRule="exact"/>
        <w:rPr>
          <w:sz w:val="20"/>
          <w:szCs w:val="20"/>
          <w:color w:val="auto"/>
        </w:rPr>
      </w:pPr>
    </w:p>
    <w:p>
      <w:pPr>
        <w:jc w:val="right"/>
        <w:ind w:left="520"/>
        <w:spacing w:after="0" w:line="252"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b w:val="1"/>
          <w:bCs w:val="1"/>
          <w:color w:val="auto"/>
        </w:rPr>
        <w:t>Novartis Regulatory Responsibilities</w:t>
      </w:r>
      <w:r>
        <w:rPr>
          <w:rFonts w:ascii="Times New Roman" w:cs="Times New Roman" w:eastAsia="Times New Roman" w:hAnsi="Times New Roman"/>
          <w:sz w:val="14"/>
          <w:szCs w:val="14"/>
          <w:color w:val="auto"/>
        </w:rPr>
        <w:t>. With respect to each Licensed SNCA Product and each Licensed CT Product at all times, including prior to and following the Technology Transfer Date for, respectively, the SNCA Program and the applicable CT Program, (a) Novartis (itself or through its Affiliate or Sublicensee)</w:t>
      </w:r>
    </w:p>
    <w:p>
      <w:pPr>
        <w:ind w:left="1180"/>
        <w:spacing w:after="0" w:line="229" w:lineRule="auto"/>
        <w:rPr>
          <w:sz w:val="20"/>
          <w:szCs w:val="20"/>
          <w:color w:val="auto"/>
        </w:rPr>
      </w:pPr>
      <w:r>
        <w:rPr>
          <w:rFonts w:ascii="Times New Roman" w:cs="Times New Roman" w:eastAsia="Times New Roman" w:hAnsi="Times New Roman"/>
          <w:sz w:val="14"/>
          <w:szCs w:val="14"/>
          <w:color w:val="auto"/>
        </w:rPr>
        <w:t>will have sole control over, and decision-making authority with respect to, all regulatory matters in the Territory relating to such applicable Licensed Products, will own and maintain all INDs, MAAs, Regulatory Approvals, other Regulatory Submissions, and related regulatory documents, in the Territory with respect to</w:t>
      </w:r>
    </w:p>
    <w:p>
      <w:pPr>
        <w:ind w:left="1180"/>
        <w:spacing w:after="0" w:line="208" w:lineRule="auto"/>
        <w:rPr>
          <w:sz w:val="20"/>
          <w:szCs w:val="20"/>
          <w:color w:val="auto"/>
        </w:rPr>
      </w:pPr>
      <w:r>
        <w:rPr>
          <w:rFonts w:ascii="Times New Roman" w:cs="Times New Roman" w:eastAsia="Times New Roman" w:hAnsi="Times New Roman"/>
          <w:sz w:val="16"/>
          <w:szCs w:val="16"/>
          <w:color w:val="auto"/>
        </w:rPr>
        <w:t>such applicable Licensed Products (in each case, as applicable), and will be responsible, and act as the sole point of contact, for communications with all</w:t>
      </w:r>
    </w:p>
    <w:p>
      <w:pPr>
        <w:ind w:left="1180"/>
        <w:spacing w:after="0" w:line="200" w:lineRule="auto"/>
        <w:rPr>
          <w:sz w:val="20"/>
          <w:szCs w:val="20"/>
          <w:color w:val="auto"/>
        </w:rPr>
      </w:pPr>
      <w:r>
        <w:rPr>
          <w:rFonts w:ascii="Times New Roman" w:cs="Times New Roman" w:eastAsia="Times New Roman" w:hAnsi="Times New Roman"/>
          <w:sz w:val="16"/>
          <w:szCs w:val="16"/>
          <w:color w:val="auto"/>
        </w:rPr>
        <w:t>Regulatory Authorities in the Territory relating to such applicable Licensed Products; (b) Novartis (itself or through its Affiliate or Sublicensee) will have sole control over, and decision-making authority with respect to, preparing, filing, and maintaining all INDs, MAAs, Regulatory Approvals, other Regulatory</w:t>
      </w:r>
    </w:p>
    <w:p>
      <w:pPr>
        <w:ind w:left="1180"/>
        <w:spacing w:after="0"/>
        <w:rPr>
          <w:sz w:val="20"/>
          <w:szCs w:val="20"/>
          <w:color w:val="auto"/>
        </w:rPr>
      </w:pPr>
      <w:r>
        <w:rPr>
          <w:rFonts w:ascii="Times New Roman" w:cs="Times New Roman" w:eastAsia="Times New Roman" w:hAnsi="Times New Roman"/>
          <w:sz w:val="14"/>
          <w:szCs w:val="14"/>
          <w:color w:val="auto"/>
        </w:rPr>
        <w:t>Submissions, and related regulatory documents, for such applicable Licensed Products, and, at Novartis’ cost and expense, Arrowhead will provide reasonable</w:t>
      </w:r>
    </w:p>
    <w:p>
      <w:pPr>
        <w:ind w:left="1180"/>
        <w:spacing w:after="0" w:line="200" w:lineRule="auto"/>
        <w:rPr>
          <w:sz w:val="20"/>
          <w:szCs w:val="20"/>
          <w:color w:val="auto"/>
        </w:rPr>
      </w:pPr>
      <w:r>
        <w:rPr>
          <w:rFonts w:ascii="Times New Roman" w:cs="Times New Roman" w:eastAsia="Times New Roman" w:hAnsi="Times New Roman"/>
          <w:sz w:val="16"/>
          <w:szCs w:val="16"/>
          <w:color w:val="auto"/>
        </w:rPr>
        <w:t>support and cooperation for such INDs, MAAs, Regulatory Approvals, other Regulatory Submissions, and related regulatory documents, as requested by Novartis; and (c) Novartis will be responsible, and act as the sole point of contact, for all meetings with all applicable Regulatory Authorities in the Territory</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related to such applicable Licensed Products.</w:t>
      </w:r>
    </w:p>
    <w:p>
      <w:pPr>
        <w:spacing w:after="0" w:line="125" w:lineRule="exact"/>
        <w:rPr>
          <w:sz w:val="20"/>
          <w:szCs w:val="20"/>
          <w:color w:val="auto"/>
        </w:rPr>
      </w:pPr>
    </w:p>
    <w:p>
      <w:pPr>
        <w:ind w:left="520" w:hanging="508"/>
        <w:spacing w:after="0" w:line="213"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4.2.</w:t>
      </w:r>
      <w:r>
        <w:rPr>
          <w:sz w:val="20"/>
          <w:szCs w:val="20"/>
          <w:color w:val="auto"/>
        </w:rPr>
        <w:tab/>
      </w:r>
      <w:r>
        <w:rPr>
          <w:rFonts w:ascii="Times New Roman" w:cs="Times New Roman" w:eastAsia="Times New Roman" w:hAnsi="Times New Roman"/>
          <w:sz w:val="16"/>
          <w:szCs w:val="16"/>
          <w:b w:val="1"/>
          <w:bCs w:val="1"/>
          <w:color w:val="auto"/>
        </w:rPr>
        <w:t>Costs of Regulatory Affairs</w:t>
      </w:r>
      <w:r>
        <w:rPr>
          <w:rFonts w:ascii="Times New Roman" w:cs="Times New Roman" w:eastAsia="Times New Roman" w:hAnsi="Times New Roman"/>
          <w:sz w:val="16"/>
          <w:szCs w:val="16"/>
          <w:color w:val="auto"/>
        </w:rPr>
        <w:t>. Novartis will be solely responsible for all costs and expenses incurred by or on behalf of Novartis or its Affiliates associated with preparing,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filing, obtaining, and maintaining Regulatory Approvals in the Territory for the Licensed Products.</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4.3.</w:t>
      </w:r>
      <w:r>
        <w:rPr>
          <w:sz w:val="20"/>
          <w:szCs w:val="20"/>
          <w:color w:val="auto"/>
        </w:rPr>
        <w:tab/>
      </w:r>
      <w:r>
        <w:rPr>
          <w:rFonts w:ascii="Times New Roman" w:cs="Times New Roman" w:eastAsia="Times New Roman" w:hAnsi="Times New Roman"/>
          <w:sz w:val="14"/>
          <w:szCs w:val="14"/>
          <w:b w:val="1"/>
          <w:bCs w:val="1"/>
          <w:color w:val="auto"/>
        </w:rPr>
        <w:t>Pharmacovigilance Agreement</w:t>
      </w:r>
      <w:r>
        <w:rPr>
          <w:rFonts w:ascii="Times New Roman" w:cs="Times New Roman" w:eastAsia="Times New Roman" w:hAnsi="Times New Roman"/>
          <w:sz w:val="14"/>
          <w:szCs w:val="14"/>
          <w:color w:val="auto"/>
        </w:rPr>
        <w:t>. The Parties shall cooperate with respect to the reporting and handling of safety information involving or relating to the Licensed Products.</w:t>
      </w:r>
    </w:p>
    <w:p>
      <w:pPr>
        <w:ind w:left="520"/>
        <w:spacing w:after="0" w:line="217" w:lineRule="auto"/>
        <w:rPr>
          <w:sz w:val="20"/>
          <w:szCs w:val="20"/>
          <w:color w:val="auto"/>
        </w:rPr>
      </w:pPr>
      <w:r>
        <w:rPr>
          <w:rFonts w:ascii="Times New Roman" w:cs="Times New Roman" w:eastAsia="Times New Roman" w:hAnsi="Times New Roman"/>
          <w:sz w:val="16"/>
          <w:szCs w:val="16"/>
          <w:color w:val="auto"/>
        </w:rPr>
        <w:t>Prior to the first dosing of the first patient by or on behalf of Novartis in any Clinical Trial with a Licensed Product, or such earlier date as may be required under applicable Law, the Parties will negotiate and execute a pharmacovigilance agreement, on reasonable and customary terms that may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80"/>
          </w:cols>
          <w:pgMar w:left="300" w:top="123" w:right="319" w:bottom="1440" w:gutter="0" w:footer="0" w:header="0"/>
        </w:sectPr>
      </w:pPr>
    </w:p>
    <w:bookmarkStart w:id="161" w:name="page162"/>
    <w:bookmarkEnd w:id="161"/>
    <w:p>
      <w:pPr>
        <w:ind w:left="2720" w:right="360" w:hanging="2360"/>
        <w:spacing w:after="0" w:line="290" w:lineRule="auto"/>
        <w:tabs>
          <w:tab w:leader="none" w:pos="696"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4"/>
          <w:szCs w:val="14"/>
          <w:color w:val="auto"/>
        </w:rPr>
        <w:t>provide for, among other things, (a) the establishment of a joint safety committee that will oversee each Party’s activities under such pharmacovigilance agreement as a subcommittee of the JSC and (b) guidelines and responsibilities for (i) the receipt, investigation, recording, review, communication, reporting, and exchange between the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Parties of Adverse Event reports and other safety information relating to the Licensed Compounds and Licensed Products, (ii) reconciliation procedures to ensure adequate and compliant exchange of safety data, (iii) contact with Regulatory Authorities with respect to the foregoing, and (iv) the maintenance of a global safety database with</w:t>
      </w:r>
    </w:p>
    <w:p>
      <w:pPr>
        <w:ind w:left="520"/>
        <w:spacing w:after="0" w:line="208" w:lineRule="auto"/>
        <w:rPr>
          <w:sz w:val="20"/>
          <w:szCs w:val="20"/>
          <w:color w:val="auto"/>
        </w:rPr>
      </w:pPr>
      <w:r>
        <w:rPr>
          <w:rFonts w:ascii="Times New Roman" w:cs="Times New Roman" w:eastAsia="Times New Roman" w:hAnsi="Times New Roman"/>
          <w:sz w:val="16"/>
          <w:szCs w:val="16"/>
          <w:color w:val="auto"/>
        </w:rPr>
        <w:t>respect to the Licensed Compounds and Licensed Products, in each case ((i) – (iv)), in accordance with applicable Law (the “</w:t>
      </w:r>
      <w:r>
        <w:rPr>
          <w:rFonts w:ascii="Times New Roman" w:cs="Times New Roman" w:eastAsia="Times New Roman" w:hAnsi="Times New Roman"/>
          <w:sz w:val="16"/>
          <w:szCs w:val="16"/>
          <w:b w:val="1"/>
          <w:bCs w:val="1"/>
          <w:color w:val="auto"/>
        </w:rPr>
        <w:t>Pharmacovigilance Agreement</w:t>
      </w:r>
      <w:r>
        <w:rPr>
          <w:rFonts w:ascii="Times New Roman" w:cs="Times New Roman" w:eastAsia="Times New Roman" w:hAnsi="Times New Roman"/>
          <w:sz w:val="16"/>
          <w:szCs w:val="16"/>
          <w:color w:val="auto"/>
        </w:rPr>
        <w:t>”). The</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Pharmacovigilance Agreement will contain terms no less stringent than those required by ICH or other applicable guidelines in order to allow the Parties to meet the applicable regulatory and legal requirements regarding the management of safety data. Pending entry into such Pharmacovigilance Agreement, the Parties will, if necessary,</w:t>
      </w:r>
    </w:p>
    <w:p>
      <w:pPr>
        <w:ind w:left="520"/>
        <w:spacing w:after="0" w:line="194" w:lineRule="auto"/>
        <w:rPr>
          <w:sz w:val="20"/>
          <w:szCs w:val="20"/>
          <w:color w:val="auto"/>
        </w:rPr>
      </w:pPr>
      <w:r>
        <w:rPr>
          <w:rFonts w:ascii="Times New Roman" w:cs="Times New Roman" w:eastAsia="Times New Roman" w:hAnsi="Times New Roman"/>
          <w:sz w:val="16"/>
          <w:szCs w:val="16"/>
          <w:color w:val="auto"/>
        </w:rPr>
        <w:t>implement an interim procedure for exchange of any and all information concerning all Adverse Events related to use of the Licensed Products.</w:t>
      </w:r>
    </w:p>
    <w:p>
      <w:pPr>
        <w:ind w:left="520" w:hanging="515"/>
        <w:spacing w:after="0"/>
        <w:tabs>
          <w:tab w:leader="none" w:pos="520"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MANUFACTURING</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5.1.</w:t>
      </w:r>
      <w:r>
        <w:rPr>
          <w:sz w:val="20"/>
          <w:szCs w:val="20"/>
          <w:color w:val="auto"/>
        </w:rPr>
        <w:tab/>
      </w:r>
      <w:r>
        <w:rPr>
          <w:rFonts w:ascii="Times New Roman" w:cs="Times New Roman" w:eastAsia="Times New Roman" w:hAnsi="Times New Roman"/>
          <w:sz w:val="16"/>
          <w:szCs w:val="16"/>
          <w:b w:val="1"/>
          <w:bCs w:val="1"/>
          <w:color w:val="auto"/>
        </w:rPr>
        <w:t>Arrowhead Manufacturing Activities under Development Plans</w:t>
      </w:r>
      <w:r>
        <w:rPr>
          <w:rFonts w:ascii="Times New Roman" w:cs="Times New Roman" w:eastAsia="Times New Roman" w:hAnsi="Times New Roman"/>
          <w:sz w:val="16"/>
          <w:szCs w:val="16"/>
          <w:color w:val="auto"/>
        </w:rPr>
        <w:t>. For the SNCA Program and the SNCA Program Research Activities in accordance with the SNCA</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Development Plan, (a) Arrowhead will be responsible for the Manufacture and supply of the requirements of the Licensed SNCA Compounds that are used in the performance of such activities until delivery of the CTA Ready Data Package for the SNCA Program, and (b) Novartis will reimburse Arrowhead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Notwithstanding</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the foregoing, Arrowhead will be responsible for the Manufacture and supply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the requirements of ARO-SNCA SC that are used in Novartis’ performance of the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NHP MAD Study. For each CT Program and the CT Program Research Activities in accordance with its corresponding CT Development Plan, (i) if Novartis does not elect to have Arrowhead undertake such activities pursuant to Section 3.1.2(e) (Lead Development Candidate Continuation), Novartis, at its sole cost and expense, will be</w:t>
      </w:r>
    </w:p>
    <w:p>
      <w:pPr>
        <w:ind w:left="520"/>
        <w:spacing w:after="0" w:line="208" w:lineRule="auto"/>
        <w:rPr>
          <w:sz w:val="20"/>
          <w:szCs w:val="20"/>
          <w:color w:val="auto"/>
        </w:rPr>
      </w:pPr>
      <w:r>
        <w:rPr>
          <w:rFonts w:ascii="Times New Roman" w:cs="Times New Roman" w:eastAsia="Times New Roman" w:hAnsi="Times New Roman"/>
          <w:sz w:val="16"/>
          <w:szCs w:val="16"/>
          <w:color w:val="auto"/>
        </w:rPr>
        <w:t>responsible for the Manufacture and supply to Arrowhead of the requirements of the applicable Licensed Compounds that are used in the performance of such activities</w:t>
      </w:r>
    </w:p>
    <w:p>
      <w:pPr>
        <w:ind w:left="520"/>
        <w:spacing w:after="0" w:line="229" w:lineRule="auto"/>
        <w:rPr>
          <w:sz w:val="20"/>
          <w:szCs w:val="20"/>
          <w:color w:val="auto"/>
        </w:rPr>
      </w:pPr>
      <w:r>
        <w:rPr>
          <w:rFonts w:ascii="Times New Roman" w:cs="Times New Roman" w:eastAsia="Times New Roman" w:hAnsi="Times New Roman"/>
          <w:sz w:val="14"/>
          <w:szCs w:val="14"/>
          <w:color w:val="auto"/>
        </w:rPr>
        <w:t>until delivery of the CTA Ready Data Package for such applicable Program, or (ii) if Novartis has elected to have Arrowhead undertake such activities pursuant to Section 3.1.2(e) (Lead Development Candidate Continuation), (A) Arrowhead will be responsible for the Manufacture and supply of the requirements of the applicable Licensed</w:t>
      </w: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Compounds that are used in the performance of such activities until delivery of the CTA Ready Data Package for such applicable Program, and (B) Novartis will reimburse Arrowhead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5.2.   Remaining Inventory at Technology Transfer Date</w:t>
      </w:r>
      <w:r>
        <w:rPr>
          <w:rFonts w:ascii="Times New Roman" w:cs="Times New Roman" w:eastAsia="Times New Roman" w:hAnsi="Times New Roman"/>
          <w:sz w:val="16"/>
          <w:szCs w:val="16"/>
          <w:color w:val="auto"/>
        </w:rPr>
        <w:t>. For each Program, promptly following the Technology Transfer Date for such Program (or such earlier date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Parties may mutually agree), Arrowhead will deliver, or have delivered, to Novartis any and all remaining useable inventory of the Licensed Compounds of such Program</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that is in Arrowhead’s possession as of such date and which Arrowhead reasonably purchased or Manufactured (or had Manufactured) for meeting Novartis’ requirements in accordance with Section 5.1 (Arrowhead Manufacturing Activities under Development Plans), and Novartis will pay Arrowhead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208"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5.3.</w:t>
      </w:r>
      <w:r>
        <w:rPr>
          <w:sz w:val="20"/>
          <w:szCs w:val="20"/>
          <w:color w:val="auto"/>
        </w:rPr>
        <w:tab/>
      </w:r>
      <w:r>
        <w:rPr>
          <w:rFonts w:ascii="Times New Roman" w:cs="Times New Roman" w:eastAsia="Times New Roman" w:hAnsi="Times New Roman"/>
          <w:sz w:val="16"/>
          <w:szCs w:val="16"/>
          <w:b w:val="1"/>
          <w:bCs w:val="1"/>
          <w:color w:val="auto"/>
        </w:rPr>
        <w:t>Novartis Manufacturing Options</w:t>
      </w:r>
      <w:r>
        <w:rPr>
          <w:rFonts w:ascii="Times New Roman" w:cs="Times New Roman" w:eastAsia="Times New Roman" w:hAnsi="Times New Roman"/>
          <w:sz w:val="16"/>
          <w:szCs w:val="16"/>
          <w:color w:val="auto"/>
        </w:rPr>
        <w:t>. Without limiting Novartis’ right to request and have completed a Manufacturing technology transfer pursuant to Section 5.4</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(Manufacturing Technology Transfer), for each Program, Novartis will have the option (a) to have Arrowhead Manufacture and supply to Novartis and its Affiliates and Sublicensees from and after the Technology Transfer Date for such Program, all Licensed Products that are the subject of such Program, as necessary for the continued</w:t>
      </w:r>
    </w:p>
    <w:p>
      <w:pPr>
        <w:ind w:left="520"/>
        <w:spacing w:after="0" w:line="208" w:lineRule="auto"/>
        <w:rPr>
          <w:sz w:val="20"/>
          <w:szCs w:val="20"/>
          <w:color w:val="auto"/>
        </w:rPr>
      </w:pPr>
      <w:r>
        <w:rPr>
          <w:rFonts w:ascii="Times New Roman" w:cs="Times New Roman" w:eastAsia="Times New Roman" w:hAnsi="Times New Roman"/>
          <w:sz w:val="16"/>
          <w:szCs w:val="16"/>
          <w:color w:val="auto"/>
        </w:rPr>
        <w:t>Development thereof by Novartis or any of its Affiliates or Sublicensees in the Territory at Arrowhead’s Fully Burdened Cost without markup, and (b) to discuss with</w:t>
      </w:r>
    </w:p>
    <w:p>
      <w:pPr>
        <w:ind w:left="520"/>
        <w:spacing w:after="0" w:line="229" w:lineRule="auto"/>
        <w:rPr>
          <w:sz w:val="20"/>
          <w:szCs w:val="20"/>
          <w:color w:val="auto"/>
        </w:rPr>
      </w:pPr>
      <w:r>
        <w:rPr>
          <w:rFonts w:ascii="Times New Roman" w:cs="Times New Roman" w:eastAsia="Times New Roman" w:hAnsi="Times New Roman"/>
          <w:sz w:val="14"/>
          <w:szCs w:val="14"/>
          <w:color w:val="auto"/>
        </w:rPr>
        <w:t>Arrowhead having Arrowhead Manufacture and supply to Novartis and its Affiliates and Sublicensees, all Licensed Products that are the subject of such Program, for Commercialization thereof by Novartis or any of its Affiliates or its Sublicensees in the Territory at a supply price to be negotiated and agreed in writing by the Parties, in</w:t>
      </w:r>
    </w:p>
    <w:p>
      <w:pPr>
        <w:ind w:left="520"/>
        <w:spacing w:after="0" w:line="224" w:lineRule="auto"/>
        <w:rPr>
          <w:sz w:val="20"/>
          <w:szCs w:val="20"/>
          <w:color w:val="auto"/>
        </w:rPr>
      </w:pPr>
      <w:r>
        <w:rPr>
          <w:rFonts w:ascii="Times New Roman" w:cs="Times New Roman" w:eastAsia="Times New Roman" w:hAnsi="Times New Roman"/>
          <w:sz w:val="16"/>
          <w:szCs w:val="16"/>
          <w:color w:val="auto"/>
        </w:rPr>
        <w:t>each case ((a) and (b)), of (i) the active pharmaceutical ingredient or drug substance for such Licensed Product (“</w:t>
      </w:r>
      <w:r>
        <w:rPr>
          <w:rFonts w:ascii="Times New Roman" w:cs="Times New Roman" w:eastAsia="Times New Roman" w:hAnsi="Times New Roman"/>
          <w:sz w:val="16"/>
          <w:szCs w:val="16"/>
          <w:b w:val="1"/>
          <w:bCs w:val="1"/>
          <w:color w:val="auto"/>
        </w:rPr>
        <w:t>Drug Substance</w:t>
      </w:r>
      <w:r>
        <w:rPr>
          <w:rFonts w:ascii="Times New Roman" w:cs="Times New Roman" w:eastAsia="Times New Roman" w:hAnsi="Times New Roman"/>
          <w:sz w:val="16"/>
          <w:szCs w:val="16"/>
          <w:color w:val="auto"/>
        </w:rPr>
        <w:t>”) and (ii) if further requested by Novartis, the drug product form of such Licensed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80"/>
          </w:cols>
          <w:pgMar w:left="300" w:top="122" w:right="319" w:bottom="1440" w:gutter="0" w:footer="0" w:header="0"/>
        </w:sectPr>
      </w:pPr>
    </w:p>
    <w:bookmarkStart w:id="162" w:name="page163"/>
    <w:bookmarkEnd w:id="162"/>
    <w:p>
      <w:pPr>
        <w:ind w:left="2720" w:right="360" w:hanging="2360"/>
        <w:spacing w:after="0" w:line="290" w:lineRule="auto"/>
        <w:tabs>
          <w:tab w:leader="none" w:pos="696"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4"/>
          <w:szCs w:val="14"/>
          <w:color w:val="auto"/>
        </w:rPr>
        <w:t>Product (“</w:t>
      </w:r>
      <w:r>
        <w:rPr>
          <w:rFonts w:ascii="Times New Roman" w:cs="Times New Roman" w:eastAsia="Times New Roman" w:hAnsi="Times New Roman"/>
          <w:sz w:val="14"/>
          <w:szCs w:val="14"/>
          <w:b w:val="1"/>
          <w:bCs w:val="1"/>
          <w:color w:val="auto"/>
        </w:rPr>
        <w:t>Drug Product</w:t>
      </w:r>
      <w:r>
        <w:rPr>
          <w:rFonts w:ascii="Times New Roman" w:cs="Times New Roman" w:eastAsia="Times New Roman" w:hAnsi="Times New Roman"/>
          <w:sz w:val="14"/>
          <w:szCs w:val="14"/>
          <w:color w:val="auto"/>
        </w:rPr>
        <w:t>”). Promptly following (A) Novartis providing Arrowhead written notice of Novartis’ exercise of its option under the foregoing clause (a) or (B) the Parties’ agreement through good faith negotiations that Arrowhead will Manufacture and supply commercial requirements necessary for Commercialization of any of</w:t>
      </w:r>
    </w:p>
    <w:p>
      <w:pPr>
        <w:ind w:left="520"/>
        <w:spacing w:after="0" w:line="229" w:lineRule="auto"/>
        <w:rPr>
          <w:sz w:val="20"/>
          <w:szCs w:val="20"/>
          <w:color w:val="auto"/>
        </w:rPr>
      </w:pPr>
      <w:r>
        <w:rPr>
          <w:rFonts w:ascii="Times New Roman" w:cs="Times New Roman" w:eastAsia="Times New Roman" w:hAnsi="Times New Roman"/>
          <w:sz w:val="14"/>
          <w:szCs w:val="14"/>
          <w:color w:val="auto"/>
        </w:rPr>
        <w:t>the Licensed Products of a specific Program in the Territory if Novartis elects to exercise its option under the foregoing clause (b), the Parties will negotiate in good faith, respectively, a clinical supply agreement or a commercial supply agreement on reasonable and customary terms for such agreements, and a related quality agreement. For</w:t>
      </w:r>
    </w:p>
    <w:p>
      <w:pPr>
        <w:ind w:left="520"/>
        <w:spacing w:after="0" w:line="208" w:lineRule="auto"/>
        <w:rPr>
          <w:sz w:val="20"/>
          <w:szCs w:val="20"/>
          <w:color w:val="auto"/>
        </w:rPr>
      </w:pPr>
      <w:r>
        <w:rPr>
          <w:rFonts w:ascii="Times New Roman" w:cs="Times New Roman" w:eastAsia="Times New Roman" w:hAnsi="Times New Roman"/>
          <w:sz w:val="16"/>
          <w:szCs w:val="16"/>
          <w:color w:val="auto"/>
        </w:rPr>
        <w:t xml:space="preserve">clarity, (1) any clinical supply agreement will specify that all Licensed Products will be provided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and (2) whether Arrowhead engages in clinical or commercial</w:t>
      </w:r>
    </w:p>
    <w:p>
      <w:pPr>
        <w:ind w:left="520"/>
        <w:spacing w:after="0" w:line="200" w:lineRule="auto"/>
        <w:rPr>
          <w:sz w:val="20"/>
          <w:szCs w:val="20"/>
          <w:color w:val="auto"/>
        </w:rPr>
      </w:pPr>
      <w:r>
        <w:rPr>
          <w:rFonts w:ascii="Times New Roman" w:cs="Times New Roman" w:eastAsia="Times New Roman" w:hAnsi="Times New Roman"/>
          <w:sz w:val="16"/>
          <w:szCs w:val="16"/>
          <w:color w:val="auto"/>
        </w:rPr>
        <w:t>Manufacture and supply pursuant to this Section 5.3 (Novartis Manufacturing Options), Novartis will be solely responsible, itself or through an Affiliate or a CMO, for final packaging and labelling of the Drug Product for each of the Licensed Products for the Territory.</w:t>
      </w:r>
    </w:p>
    <w:p>
      <w:pPr>
        <w:spacing w:after="0" w:line="1" w:lineRule="exact"/>
        <w:rPr>
          <w:sz w:val="20"/>
          <w:szCs w:val="20"/>
          <w:color w:val="auto"/>
        </w:rPr>
      </w:pP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5.4.   Manufacturing Technology Transfer</w:t>
      </w:r>
      <w:r>
        <w:rPr>
          <w:rFonts w:ascii="Times New Roman" w:cs="Times New Roman" w:eastAsia="Times New Roman" w:hAnsi="Times New Roman"/>
          <w:sz w:val="16"/>
          <w:szCs w:val="16"/>
          <w:color w:val="auto"/>
        </w:rPr>
        <w:t>. With respect to each Program, at any time after the Effective Date, Novartis may request in writing the transfer from Arrowhead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Arrowhead’s CMO to Novartis or any CMO designated by Novartis, copies or samples of all Arrowhead Know-How that is necessary or reasonably useful to enable the</w:t>
      </w:r>
    </w:p>
    <w:p>
      <w:pPr>
        <w:ind w:left="520"/>
        <w:spacing w:after="0"/>
        <w:rPr>
          <w:sz w:val="20"/>
          <w:szCs w:val="20"/>
          <w:color w:val="auto"/>
        </w:rPr>
      </w:pPr>
      <w:r>
        <w:rPr>
          <w:rFonts w:ascii="Times New Roman" w:cs="Times New Roman" w:eastAsia="Times New Roman" w:hAnsi="Times New Roman"/>
          <w:sz w:val="14"/>
          <w:szCs w:val="14"/>
          <w:color w:val="auto"/>
        </w:rPr>
        <w:t>Manufacture of the Licensed Compounds and Licensed Products that are the subject of such Program (the “</w:t>
      </w:r>
      <w:r>
        <w:rPr>
          <w:rFonts w:ascii="Times New Roman" w:cs="Times New Roman" w:eastAsia="Times New Roman" w:hAnsi="Times New Roman"/>
          <w:sz w:val="14"/>
          <w:szCs w:val="14"/>
          <w:b w:val="1"/>
          <w:bCs w:val="1"/>
          <w:color w:val="auto"/>
        </w:rPr>
        <w:t>Arrowhead Manufacturing Know-How</w:t>
      </w:r>
      <w:r>
        <w:rPr>
          <w:rFonts w:ascii="Times New Roman" w:cs="Times New Roman" w:eastAsia="Times New Roman" w:hAnsi="Times New Roman"/>
          <w:sz w:val="14"/>
          <w:szCs w:val="14"/>
          <w:color w:val="auto"/>
        </w:rPr>
        <w:t>”). Promptly following</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any such written request by Novartis (but in any event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such written request), the JMC will prepare, and submit to the JSC to review, discuss, and determine whether to approve, a written Manufacturing technology transfer plan that provides for (i) Arrowhead or Arrowhead’s Third Party CMO transferring copies of</w:t>
      </w:r>
    </w:p>
    <w:p>
      <w:pPr>
        <w:ind w:left="520"/>
        <w:spacing w:after="0" w:line="208" w:lineRule="auto"/>
        <w:rPr>
          <w:sz w:val="20"/>
          <w:szCs w:val="20"/>
          <w:color w:val="auto"/>
        </w:rPr>
      </w:pPr>
      <w:r>
        <w:rPr>
          <w:rFonts w:ascii="Times New Roman" w:cs="Times New Roman" w:eastAsia="Times New Roman" w:hAnsi="Times New Roman"/>
          <w:sz w:val="16"/>
          <w:szCs w:val="16"/>
          <w:color w:val="auto"/>
        </w:rPr>
        <w:t>relevant documentation, samples of Drug Substance, and copies of other embodiments of such Arrowhead Manufacturing Know-How (including data within reports,</w:t>
      </w:r>
    </w:p>
    <w:p>
      <w:pPr>
        <w:ind w:left="520"/>
        <w:spacing w:after="0" w:line="229" w:lineRule="auto"/>
        <w:rPr>
          <w:sz w:val="20"/>
          <w:szCs w:val="20"/>
          <w:color w:val="auto"/>
        </w:rPr>
      </w:pPr>
      <w:r>
        <w:rPr>
          <w:rFonts w:ascii="Times New Roman" w:cs="Times New Roman" w:eastAsia="Times New Roman" w:hAnsi="Times New Roman"/>
          <w:sz w:val="14"/>
          <w:szCs w:val="14"/>
          <w:color w:val="auto"/>
        </w:rPr>
        <w:t>notebooks, and electronic files), and (ii) Arrowhead making available its technical Personnel on a reasonable basis and as more specifically specified therein to consult with Novartis with respect to such transferred Arrowhead Manufacturing Know-How (such plan, the “</w:t>
      </w:r>
      <w:r>
        <w:rPr>
          <w:rFonts w:ascii="Times New Roman" w:cs="Times New Roman" w:eastAsia="Times New Roman" w:hAnsi="Times New Roman"/>
          <w:sz w:val="14"/>
          <w:szCs w:val="14"/>
          <w:b w:val="1"/>
          <w:bCs w:val="1"/>
          <w:color w:val="auto"/>
        </w:rPr>
        <w:t>Manufacturing Technology Transfer Plan</w:t>
      </w:r>
      <w:r>
        <w:rPr>
          <w:rFonts w:ascii="Times New Roman" w:cs="Times New Roman" w:eastAsia="Times New Roman" w:hAnsi="Times New Roman"/>
          <w:sz w:val="14"/>
          <w:szCs w:val="14"/>
          <w:color w:val="auto"/>
        </w:rPr>
        <w:t>”). Pursuant to the timelines</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set forth in the Manufacturing Technology Transfer Plan that is agreed to by the Parties, and in any event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thereafter, Arrowhead will work with Novartis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to complete the transfer of the Arrowhead Manufacturing Know-How and other activities set forth in the Manufacturing Technology Transfer Plan on the timelines and in accordance with the budget set forth therein. Novartis will reimburse Arrowhead for its Out-of-Pocket Costs, but for clarity not its FTE Costs, incurred in completing such</w:t>
      </w:r>
    </w:p>
    <w:p>
      <w:pPr>
        <w:ind w:left="520"/>
        <w:spacing w:after="0" w:line="237" w:lineRule="auto"/>
        <w:rPr>
          <w:sz w:val="20"/>
          <w:szCs w:val="20"/>
          <w:color w:val="auto"/>
        </w:rPr>
      </w:pPr>
      <w:r>
        <w:rPr>
          <w:rFonts w:ascii="Times New Roman" w:cs="Times New Roman" w:eastAsia="Times New Roman" w:hAnsi="Times New Roman"/>
          <w:sz w:val="14"/>
          <w:szCs w:val="14"/>
          <w:color w:val="auto"/>
        </w:rPr>
        <w:t>transfer in accordance with the Manufacturing Technology Transfer Plan. Any additional assistance to be provided by Arrowhead in connection with Arrowhead Know-</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How that has been transferred pursuant to a completed Manufacturing Technology Transfer Plan may be requested by Novartis and provided by Arrowhead pursuant to a separate written agreement between the Parties providing for reasonable compensation to be paid to Arrowhead for providing such additional assistance. Following</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completion of the transfer of the Arrowhead Manufacturing Know-How and other activities set forth in the applicable Manufacturing Technology Transfer Plan for a Program, Novartis shall be solely responsible for the Manufacture and supply of the Licensed Compounds and Licensed Products for such Program.</w:t>
      </w:r>
    </w:p>
    <w:p>
      <w:pPr>
        <w:spacing w:after="0" w:line="1" w:lineRule="exact"/>
        <w:rPr>
          <w:sz w:val="20"/>
          <w:szCs w:val="20"/>
          <w:color w:val="auto"/>
        </w:rPr>
      </w:pPr>
    </w:p>
    <w:p>
      <w:pPr>
        <w:ind w:left="520" w:hanging="515"/>
        <w:spacing w:after="0"/>
        <w:tabs>
          <w:tab w:leader="none" w:pos="520" w:val="left"/>
        </w:tabs>
        <w:numPr>
          <w:ilvl w:val="0"/>
          <w:numId w:val="1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COMMERCIALIZATION</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6.1.</w:t>
      </w:r>
      <w:r>
        <w:rPr>
          <w:sz w:val="20"/>
          <w:szCs w:val="20"/>
          <w:color w:val="auto"/>
        </w:rPr>
        <w:tab/>
      </w:r>
      <w:r>
        <w:rPr>
          <w:rFonts w:ascii="Times New Roman" w:cs="Times New Roman" w:eastAsia="Times New Roman" w:hAnsi="Times New Roman"/>
          <w:sz w:val="14"/>
          <w:szCs w:val="14"/>
          <w:b w:val="1"/>
          <w:bCs w:val="1"/>
          <w:color w:val="auto"/>
        </w:rPr>
        <w:t>Commercialization of the Licensed Products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b w:val="1"/>
          <w:bCs w:val="1"/>
          <w:color w:val="auto"/>
        </w:rPr>
        <w:t>Commercialization Diligence Obligations</w:t>
      </w:r>
      <w:r>
        <w:rPr>
          <w:rFonts w:ascii="Times New Roman" w:cs="Times New Roman" w:eastAsia="Times New Roman" w:hAnsi="Times New Roman"/>
          <w:sz w:val="16"/>
          <w:szCs w:val="16"/>
          <w:color w:val="auto"/>
        </w:rPr>
        <w:t>. On a Program-by-Program basis, following receipt by Novartis or its Affiliates or Sublicensees of Marketing Approval for a Licensed Product that is the subject of such Program in the applicable country, Novartis, either itself or through its Affiliates or Sublicensees, will</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use Commercially Reasonable Efforts to Commercialize at least one Licensed Product that is the subject of such Program in each of: [***].</w:t>
      </w:r>
    </w:p>
    <w:p>
      <w:pPr>
        <w:spacing w:after="0" w:line="125" w:lineRule="exact"/>
        <w:rPr>
          <w:sz w:val="20"/>
          <w:szCs w:val="20"/>
          <w:color w:val="auto"/>
        </w:rPr>
      </w:pPr>
    </w:p>
    <w:p>
      <w:pPr>
        <w:ind w:left="1180" w:hanging="661"/>
        <w:spacing w:after="0" w:line="230" w:lineRule="auto"/>
        <w:tabs>
          <w:tab w:leader="none" w:pos="1160" w:val="left"/>
        </w:tabs>
        <w:rPr>
          <w:sz w:val="20"/>
          <w:szCs w:val="20"/>
          <w:color w:val="auto"/>
        </w:rPr>
      </w:pPr>
      <w:r>
        <w:rPr>
          <w:rFonts w:ascii="Times New Roman" w:cs="Times New Roman" w:eastAsia="Times New Roman" w:hAnsi="Times New Roman"/>
          <w:sz w:val="16"/>
          <w:szCs w:val="16"/>
          <w:color w:val="auto"/>
        </w:rPr>
        <w:t>6.1.2.</w:t>
      </w:r>
      <w:r>
        <w:rPr>
          <w:sz w:val="20"/>
          <w:szCs w:val="20"/>
          <w:color w:val="auto"/>
        </w:rPr>
        <w:tab/>
      </w:r>
      <w:r>
        <w:rPr>
          <w:rFonts w:ascii="Times New Roman" w:cs="Times New Roman" w:eastAsia="Times New Roman" w:hAnsi="Times New Roman"/>
          <w:sz w:val="16"/>
          <w:szCs w:val="16"/>
          <w:b w:val="1"/>
          <w:bCs w:val="1"/>
          <w:color w:val="auto"/>
        </w:rPr>
        <w:t>Commercialization Responsibility</w:t>
      </w:r>
      <w:r>
        <w:rPr>
          <w:rFonts w:ascii="Times New Roman" w:cs="Times New Roman" w:eastAsia="Times New Roman" w:hAnsi="Times New Roman"/>
          <w:sz w:val="16"/>
          <w:szCs w:val="16"/>
          <w:color w:val="auto"/>
        </w:rPr>
        <w:t>. As between the Parties, Novartis will have sole control over and decision-making authority with respect to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Commercialization activities for the Licensed Products in the Territory, at its sole cost and expense.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80"/>
          </w:cols>
          <w:pgMar w:left="300" w:top="123" w:right="319" w:bottom="1440" w:gutter="0" w:footer="0" w:header="0"/>
        </w:sectPr>
      </w:pPr>
    </w:p>
    <w:bookmarkStart w:id="163" w:name="page164"/>
    <w:bookmarkEnd w:id="163"/>
    <w:p>
      <w:pPr>
        <w:ind w:left="2720" w:right="360" w:hanging="2360"/>
        <w:spacing w:after="0" w:line="290" w:lineRule="auto"/>
        <w:tabs>
          <w:tab w:leader="none" w:pos="696"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6.2.   Reporting Obligations</w:t>
      </w:r>
      <w:r>
        <w:rPr>
          <w:rFonts w:ascii="Times New Roman" w:cs="Times New Roman" w:eastAsia="Times New Roman" w:hAnsi="Times New Roman"/>
          <w:sz w:val="16"/>
          <w:szCs w:val="16"/>
          <w:color w:val="auto"/>
        </w:rPr>
        <w:t>. Novartis will report to Arrowhead in writing, [***], summarizing in reasonable detail Novartis’ and its Affiliates’ and its and their Sublicensees’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Commercialization activities for such Licensed Product performed to date (or updating such report for activities performed since the last such report was given hereunder, as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applicable). In addition, for each Program, Novartis will provide Arrowhead with written notice of the First Commercial Sale of each Licensed Product of such Program in the first country of the Territory reasonably practicable after such event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All information in such reports will be deemed Novartis’ Confidential Information.</w:t>
      </w:r>
    </w:p>
    <w:p>
      <w:pPr>
        <w:spacing w:after="0" w:line="237"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6.3.</w:t>
      </w:r>
      <w:r>
        <w:rPr>
          <w:sz w:val="20"/>
          <w:szCs w:val="20"/>
          <w:color w:val="auto"/>
        </w:rPr>
        <w:tab/>
      </w:r>
      <w:r>
        <w:rPr>
          <w:rFonts w:ascii="Times New Roman" w:cs="Times New Roman" w:eastAsia="Times New Roman" w:hAnsi="Times New Roman"/>
          <w:sz w:val="14"/>
          <w:szCs w:val="14"/>
          <w:b w:val="1"/>
          <w:bCs w:val="1"/>
          <w:color w:val="auto"/>
        </w:rPr>
        <w:t>Recalls, Market Withdrawals, or Corrective Actions</w:t>
      </w:r>
      <w:r>
        <w:rPr>
          <w:rFonts w:ascii="Times New Roman" w:cs="Times New Roman" w:eastAsia="Times New Roman" w:hAnsi="Times New Roman"/>
          <w:sz w:val="14"/>
          <w:szCs w:val="14"/>
          <w:color w:val="auto"/>
        </w:rPr>
        <w:t>. Each Party will use reasonable efforts to notify the other Party promptly, but in no event later than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following</w:t>
      </w:r>
    </w:p>
    <w:p>
      <w:pPr>
        <w:ind w:left="520"/>
        <w:spacing w:after="0" w:line="200" w:lineRule="auto"/>
        <w:rPr>
          <w:sz w:val="20"/>
          <w:szCs w:val="20"/>
          <w:color w:val="auto"/>
        </w:rPr>
      </w:pPr>
      <w:r>
        <w:rPr>
          <w:rFonts w:ascii="Times New Roman" w:cs="Times New Roman" w:eastAsia="Times New Roman" w:hAnsi="Times New Roman"/>
          <w:sz w:val="16"/>
          <w:szCs w:val="16"/>
          <w:color w:val="auto"/>
        </w:rPr>
        <w:t>its determination that any event, incident, or circumstance has occurred that may result in the need for a recall, market suspension, or market withdrawal of a Licensed Product in the Territory and will include in such notice the reasoning behind such determination. Novartis will have the sole right to make the final determination as to</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whether to voluntarily implement any such recall, market suspension, or market withdrawal in the Territory. Except as otherwise set forth in the applicable supply agreement and its corresponding quality agreement, Novartis will be solely responsible for the execution and all costs and expenses of all recalls, market suspensions, or market</w:t>
      </w:r>
    </w:p>
    <w:p>
      <w:pPr>
        <w:ind w:left="520"/>
        <w:spacing w:after="0" w:line="200" w:lineRule="auto"/>
        <w:rPr>
          <w:sz w:val="20"/>
          <w:szCs w:val="20"/>
          <w:color w:val="auto"/>
        </w:rPr>
      </w:pPr>
      <w:r>
        <w:rPr>
          <w:rFonts w:ascii="Times New Roman" w:cs="Times New Roman" w:eastAsia="Times New Roman" w:hAnsi="Times New Roman"/>
          <w:sz w:val="16"/>
          <w:szCs w:val="16"/>
          <w:color w:val="auto"/>
        </w:rPr>
        <w:t>withdrawals undertaken pursuant to this Section 6.3 (Recalls, Market Withdrawals, or Corrective Actions), and, at Novartis’ cost and expense, Arrowhead will reasonably cooperate in all such efforts.</w:t>
      </w:r>
    </w:p>
    <w:p>
      <w:pPr>
        <w:spacing w:after="0" w:line="1" w:lineRule="exact"/>
        <w:rPr>
          <w:sz w:val="20"/>
          <w:szCs w:val="20"/>
          <w:color w:val="auto"/>
        </w:rPr>
      </w:pPr>
    </w:p>
    <w:p>
      <w:pPr>
        <w:ind w:left="520" w:hanging="515"/>
        <w:spacing w:after="0"/>
        <w:tabs>
          <w:tab w:leader="none" w:pos="520"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GOVERNANCE</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7.1.</w:t>
      </w:r>
      <w:r>
        <w:rPr>
          <w:sz w:val="20"/>
          <w:szCs w:val="20"/>
          <w:color w:val="auto"/>
        </w:rPr>
        <w:tab/>
      </w:r>
      <w:r>
        <w:rPr>
          <w:rFonts w:ascii="Times New Roman" w:cs="Times New Roman" w:eastAsia="Times New Roman" w:hAnsi="Times New Roman"/>
          <w:sz w:val="14"/>
          <w:szCs w:val="14"/>
          <w:b w:val="1"/>
          <w:bCs w:val="1"/>
          <w:color w:val="auto"/>
        </w:rPr>
        <w:t>Alliance Managers</w:t>
      </w:r>
      <w:r>
        <w:rPr>
          <w:rFonts w:ascii="Times New Roman" w:cs="Times New Roman" w:eastAsia="Times New Roman" w:hAnsi="Times New Roman"/>
          <w:sz w:val="14"/>
          <w:szCs w:val="14"/>
          <w:color w:val="auto"/>
        </w:rPr>
        <w:t>. Promptly following the Effective Date, each Party will designate an individual to facilitate communication and coordination of the Parties’ activities</w:t>
      </w:r>
    </w:p>
    <w:p>
      <w:pPr>
        <w:ind w:left="520"/>
        <w:spacing w:after="0" w:line="229" w:lineRule="auto"/>
        <w:rPr>
          <w:sz w:val="20"/>
          <w:szCs w:val="20"/>
          <w:color w:val="auto"/>
        </w:rPr>
      </w:pPr>
      <w:r>
        <w:rPr>
          <w:rFonts w:ascii="Times New Roman" w:cs="Times New Roman" w:eastAsia="Times New Roman" w:hAnsi="Times New Roman"/>
          <w:sz w:val="14"/>
          <w:szCs w:val="14"/>
          <w:color w:val="auto"/>
        </w:rPr>
        <w:t>under this Agreement relating to the Development and Manufacture of Licensed Compounds and Licensed Products (each, an “</w:t>
      </w:r>
      <w:r>
        <w:rPr>
          <w:rFonts w:ascii="Times New Roman" w:cs="Times New Roman" w:eastAsia="Times New Roman" w:hAnsi="Times New Roman"/>
          <w:sz w:val="14"/>
          <w:szCs w:val="14"/>
          <w:b w:val="1"/>
          <w:bCs w:val="1"/>
          <w:color w:val="auto"/>
        </w:rPr>
        <w:t>Alliance Manager</w:t>
      </w:r>
      <w:r>
        <w:rPr>
          <w:rFonts w:ascii="Times New Roman" w:cs="Times New Roman" w:eastAsia="Times New Roman" w:hAnsi="Times New Roman"/>
          <w:sz w:val="14"/>
          <w:szCs w:val="14"/>
          <w:color w:val="auto"/>
        </w:rPr>
        <w:t>”). For clarity, an Alliance Manager shall have the right to attend the JSC and all governance committees, and will have no voting right on any committee, unless otherwise agreed in writing by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Parties.</w:t>
      </w:r>
    </w:p>
    <w:p>
      <w:pPr>
        <w:spacing w:after="0" w:line="221"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7.2.</w:t>
      </w:r>
      <w:r>
        <w:rPr>
          <w:sz w:val="20"/>
          <w:szCs w:val="20"/>
          <w:color w:val="auto"/>
        </w:rPr>
        <w:tab/>
      </w:r>
      <w:r>
        <w:rPr>
          <w:rFonts w:ascii="Times New Roman" w:cs="Times New Roman" w:eastAsia="Times New Roman" w:hAnsi="Times New Roman"/>
          <w:sz w:val="14"/>
          <w:szCs w:val="14"/>
          <w:b w:val="1"/>
          <w:bCs w:val="1"/>
          <w:color w:val="auto"/>
        </w:rPr>
        <w:t>Joint Steering Committee</w:t>
      </w:r>
      <w:r>
        <w:rPr>
          <w:rFonts w:ascii="Times New Roman" w:cs="Times New Roman" w:eastAsia="Times New Roman" w:hAnsi="Times New Roman"/>
          <w:sz w:val="14"/>
          <w:szCs w:val="14"/>
          <w:color w:val="auto"/>
        </w:rPr>
        <w:t>.</w:t>
      </w:r>
    </w:p>
    <w:p>
      <w:pPr>
        <w:jc w:val="right"/>
        <w:ind w:left="520"/>
        <w:spacing w:after="0" w:line="207" w:lineRule="auto"/>
        <w:rPr>
          <w:sz w:val="20"/>
          <w:szCs w:val="20"/>
          <w:color w:val="auto"/>
        </w:rPr>
      </w:pPr>
      <w:r>
        <w:rPr>
          <w:rFonts w:ascii="Times New Roman" w:cs="Times New Roman" w:eastAsia="Times New Roman" w:hAnsi="Times New Roman"/>
          <w:sz w:val="16"/>
          <w:szCs w:val="16"/>
          <w:color w:val="auto"/>
        </w:rPr>
        <w:t xml:space="preserve">7.2.1.    </w:t>
      </w:r>
      <w:r>
        <w:rPr>
          <w:rFonts w:ascii="Times New Roman" w:cs="Times New Roman" w:eastAsia="Times New Roman" w:hAnsi="Times New Roman"/>
          <w:sz w:val="16"/>
          <w:szCs w:val="16"/>
          <w:b w:val="1"/>
          <w:bCs w:val="1"/>
          <w:color w:val="auto"/>
        </w:rPr>
        <w:t>Formation; Composition; Dissolution</w:t>
      </w:r>
      <w:r>
        <w:rPr>
          <w:rFonts w:ascii="Times New Roman" w:cs="Times New Roman" w:eastAsia="Times New Roman" w:hAnsi="Times New Roman"/>
          <w:sz w:val="16"/>
          <w:szCs w:val="16"/>
          <w:color w:val="auto"/>
        </w:rPr>
        <w:t xml:space="preserve">.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after the Effective Date, the Parties will establish a committee (the “</w:t>
      </w:r>
      <w:r>
        <w:rPr>
          <w:rFonts w:ascii="Times New Roman" w:cs="Times New Roman" w:eastAsia="Times New Roman" w:hAnsi="Times New Roman"/>
          <w:sz w:val="16"/>
          <w:szCs w:val="16"/>
          <w:b w:val="1"/>
          <w:bCs w:val="1"/>
          <w:color w:val="auto"/>
        </w:rPr>
        <w:t>Joint Steering Committee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JSC</w:t>
      </w:r>
      <w:r>
        <w:rPr>
          <w:rFonts w:ascii="Times New Roman" w:cs="Times New Roman" w:eastAsia="Times New Roman" w:hAnsi="Times New Roman"/>
          <w:sz w:val="16"/>
          <w:szCs w:val="16"/>
          <w:color w:val="auto"/>
        </w:rPr>
        <w:t xml:space="preserve">”) to provide strategic oversight of the Parties’ activities under this Agreement. Each Party will initially appoint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representatives to the JSC, with each</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representative having knowledge and expertise in the Development and Manufacture of compounds and products similar to the Licensed Compounds and Licensed Products and having sufficient decision-making authority and seniority within the applicable Party to provide meaningful input and make decisions</w:t>
      </w:r>
    </w:p>
    <w:p>
      <w:pPr>
        <w:ind w:left="1180"/>
        <w:spacing w:after="0"/>
        <w:rPr>
          <w:sz w:val="20"/>
          <w:szCs w:val="20"/>
          <w:color w:val="auto"/>
        </w:rPr>
      </w:pPr>
      <w:r>
        <w:rPr>
          <w:rFonts w:ascii="Times New Roman" w:cs="Times New Roman" w:eastAsia="Times New Roman" w:hAnsi="Times New Roman"/>
          <w:sz w:val="14"/>
          <w:szCs w:val="14"/>
          <w:color w:val="auto"/>
        </w:rPr>
        <w:t xml:space="preserve">arising within the scope of the JSC’s responsibility. The JSC may change its size from time to time by agreement of the Parties,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JSC will consist</w:t>
      </w:r>
    </w:p>
    <w:p>
      <w:pPr>
        <w:ind w:left="1180"/>
        <w:spacing w:after="0" w:line="229" w:lineRule="auto"/>
        <w:rPr>
          <w:sz w:val="20"/>
          <w:szCs w:val="20"/>
          <w:color w:val="auto"/>
        </w:rPr>
      </w:pPr>
      <w:r>
        <w:rPr>
          <w:rFonts w:ascii="Times New Roman" w:cs="Times New Roman" w:eastAsia="Times New Roman" w:hAnsi="Times New Roman"/>
          <w:sz w:val="14"/>
          <w:szCs w:val="14"/>
          <w:color w:val="auto"/>
        </w:rPr>
        <w:t>at all times of an equal number of representatives of each of Arrowhead and Novartis. Each Party may replace its JSC representatives at any time upon written notice to the other Party. The JSC will be chaired by a chairperson designated by [***]. The JSC may invite non-members to participate in the discussions and</w:t>
      </w:r>
    </w:p>
    <w:p>
      <w:pPr>
        <w:ind w:left="1180"/>
        <w:spacing w:after="0" w:line="237" w:lineRule="auto"/>
        <w:rPr>
          <w:sz w:val="20"/>
          <w:szCs w:val="20"/>
          <w:color w:val="auto"/>
        </w:rPr>
      </w:pPr>
      <w:r>
        <w:rPr>
          <w:rFonts w:ascii="Times New Roman" w:cs="Times New Roman" w:eastAsia="Times New Roman" w:hAnsi="Times New Roman"/>
          <w:sz w:val="14"/>
          <w:szCs w:val="14"/>
          <w:color w:val="auto"/>
        </w:rPr>
        <w:t xml:space="preserve">meetings of the JSC, if necessary,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participants have no voting authority at the meetings of the JSC and are bound under enforceable obligations</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of confidentiality and non-use no less protective of the Parties’ Confidential Information than those set forth in this Agreement. The JSC chairperson’s responsibilities will include conducting meetings, including, when feasible, ensuring that objectives for each meeting are set and achieved. The Alliance</w:t>
      </w:r>
    </w:p>
    <w:p>
      <w:pPr>
        <w:spacing w:after="0" w:line="1" w:lineRule="exact"/>
        <w:rPr>
          <w:sz w:val="20"/>
          <w:szCs w:val="20"/>
          <w:color w:val="auto"/>
        </w:rPr>
      </w:pPr>
    </w:p>
    <w:p>
      <w:pPr>
        <w:ind w:left="1180"/>
        <w:spacing w:after="0" w:line="224" w:lineRule="auto"/>
        <w:rPr>
          <w:sz w:val="20"/>
          <w:szCs w:val="20"/>
          <w:color w:val="auto"/>
        </w:rPr>
      </w:pPr>
      <w:r>
        <w:rPr>
          <w:rFonts w:ascii="Times New Roman" w:cs="Times New Roman" w:eastAsia="Times New Roman" w:hAnsi="Times New Roman"/>
          <w:sz w:val="16"/>
          <w:szCs w:val="16"/>
          <w:color w:val="auto"/>
        </w:rPr>
        <w:t>Managers will prepare and circulate meeting agendas and ensure the preparation and approval of minutes. The JSC will dissolve upon later of (a) [***] and (b) [***].</w:t>
      </w:r>
    </w:p>
    <w:p>
      <w:pPr>
        <w:spacing w:after="0" w:line="114"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7.2.2.</w:t>
      </w:r>
      <w:r>
        <w:rPr>
          <w:sz w:val="20"/>
          <w:szCs w:val="20"/>
          <w:color w:val="auto"/>
        </w:rPr>
        <w:tab/>
      </w:r>
      <w:r>
        <w:rPr>
          <w:rFonts w:ascii="Times New Roman" w:cs="Times New Roman" w:eastAsia="Times New Roman" w:hAnsi="Times New Roman"/>
          <w:sz w:val="14"/>
          <w:szCs w:val="14"/>
          <w:b w:val="1"/>
          <w:bCs w:val="1"/>
          <w:color w:val="auto"/>
        </w:rPr>
        <w:t>Specific Responsibilities of the JSC</w:t>
      </w:r>
      <w:r>
        <w:rPr>
          <w:rFonts w:ascii="Times New Roman" w:cs="Times New Roman" w:eastAsia="Times New Roman" w:hAnsi="Times New Roman"/>
          <w:sz w:val="14"/>
          <w:szCs w:val="14"/>
          <w:color w:val="auto"/>
        </w:rPr>
        <w:t>. The JSC will have the following responsibilities:</w:t>
      </w:r>
    </w:p>
    <w:p>
      <w:pPr>
        <w:spacing w:after="0" w:line="147" w:lineRule="exact"/>
        <w:rPr>
          <w:sz w:val="20"/>
          <w:szCs w:val="20"/>
          <w:color w:val="auto"/>
        </w:rPr>
      </w:pPr>
    </w:p>
    <w:p>
      <w:pPr>
        <w:ind w:left="1680" w:hanging="504"/>
        <w:spacing w:after="0" w:line="235" w:lineRule="auto"/>
        <w:tabs>
          <w:tab w:leader="none" w:pos="167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discussing, and determining whether to approve the SNCA Development Plan, and any updates thereto as set forth in Section 3.1.1(b) (SNCA Development Plan);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80"/>
          </w:cols>
          <w:pgMar w:left="300" w:top="123" w:right="319" w:bottom="1440" w:gutter="0" w:footer="0" w:header="0"/>
        </w:sectPr>
      </w:pPr>
    </w:p>
    <w:bookmarkStart w:id="164" w:name="page165"/>
    <w:bookmarkEnd w:id="164"/>
    <w:p>
      <w:pPr>
        <w:ind w:left="2360" w:right="360" w:hanging="2360"/>
        <w:spacing w:after="0" w:line="290" w:lineRule="auto"/>
        <w:tabs>
          <w:tab w:leader="none" w:pos="336"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377" w:lineRule="exact"/>
        <w:rPr>
          <w:rFonts w:ascii="Times New Roman" w:cs="Times New Roman" w:eastAsia="Times New Roman" w:hAnsi="Times New Roman"/>
          <w:sz w:val="14"/>
          <w:szCs w:val="14"/>
          <w:b w:val="1"/>
          <w:bCs w:val="1"/>
          <w:color w:val="auto"/>
        </w:rPr>
      </w:pPr>
    </w:p>
    <w:p>
      <w:pPr>
        <w:ind w:left="1320" w:hanging="504"/>
        <w:spacing w:after="0" w:line="235" w:lineRule="auto"/>
        <w:tabs>
          <w:tab w:leader="none" w:pos="13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discussing, and determining whether to approve a CT Development Plan, and any updates thereto as set forth in Section 3.1.2(d) (CT Development Plans);</w:t>
      </w:r>
    </w:p>
    <w:p>
      <w:pPr>
        <w:spacing w:after="0" w:line="127" w:lineRule="exact"/>
        <w:rPr>
          <w:rFonts w:ascii="Times New Roman" w:cs="Times New Roman" w:eastAsia="Times New Roman" w:hAnsi="Times New Roman"/>
          <w:sz w:val="16"/>
          <w:szCs w:val="16"/>
          <w:color w:val="auto"/>
        </w:rPr>
      </w:pPr>
    </w:p>
    <w:p>
      <w:pPr>
        <w:ind w:left="1320" w:hanging="504"/>
        <w:spacing w:after="0" w:line="229" w:lineRule="auto"/>
        <w:tabs>
          <w:tab w:leader="none" w:pos="131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resolving any dispute between the Parties as to the achievement of the Futility Criteria with respect to any CT Program as set forth in Section 3.1.2(c) (Arrowhead CT Program Development Responsibility);</w:t>
      </w:r>
    </w:p>
    <w:p>
      <w:pPr>
        <w:spacing w:after="0" w:line="124" w:lineRule="exact"/>
        <w:rPr>
          <w:rFonts w:ascii="Times New Roman" w:cs="Times New Roman" w:eastAsia="Times New Roman" w:hAnsi="Times New Roman"/>
          <w:sz w:val="16"/>
          <w:szCs w:val="16"/>
          <w:color w:val="auto"/>
        </w:rPr>
      </w:pPr>
    </w:p>
    <w:p>
      <w:pPr>
        <w:ind w:left="1320" w:hanging="504"/>
        <w:spacing w:after="0"/>
        <w:tabs>
          <w:tab w:leader="none" w:pos="132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left="1320" w:hanging="504"/>
        <w:spacing w:after="0" w:line="230" w:lineRule="auto"/>
        <w:tabs>
          <w:tab w:leader="none" w:pos="1312"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 respect to any elements of </w:t>
      </w:r>
      <w:r>
        <w:rPr>
          <w:rFonts w:ascii="Times New Roman" w:cs="Times New Roman" w:eastAsia="Times New Roman" w:hAnsi="Times New Roman"/>
          <w:sz w:val="16"/>
          <w:szCs w:val="16"/>
          <w:b w:val="1"/>
          <w:bCs w:val="1"/>
          <w:color w:val="auto"/>
        </w:rPr>
        <w:t>Schedule 1.69</w:t>
      </w:r>
      <w:r>
        <w:rPr>
          <w:rFonts w:ascii="Times New Roman" w:cs="Times New Roman" w:eastAsia="Times New Roman" w:hAnsi="Times New Roman"/>
          <w:sz w:val="16"/>
          <w:szCs w:val="16"/>
          <w:color w:val="auto"/>
        </w:rPr>
        <w:t xml:space="preserve"> (CTA Ready Data Package Form) expressly marked as to be discussed or pending agreement by the Parties, reviewing and discussing and determining the contents thereof;</w:t>
      </w:r>
    </w:p>
    <w:p>
      <w:pPr>
        <w:spacing w:after="0" w:line="126" w:lineRule="exact"/>
        <w:rPr>
          <w:rFonts w:ascii="Times New Roman" w:cs="Times New Roman" w:eastAsia="Times New Roman" w:hAnsi="Times New Roman"/>
          <w:sz w:val="16"/>
          <w:szCs w:val="16"/>
          <w:color w:val="auto"/>
        </w:rPr>
      </w:pPr>
    </w:p>
    <w:p>
      <w:pPr>
        <w:ind w:left="1320" w:hanging="504"/>
        <w:spacing w:after="0" w:line="229" w:lineRule="auto"/>
        <w:tabs>
          <w:tab w:leader="none" w:pos="1316"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resolving any dispute between the Parties as to whether a CTA Ready Data Package for a certain Program is incomplete as set forth in Section 3.2.2(b) (Transition of Research &amp; Development Activities);</w:t>
      </w:r>
    </w:p>
    <w:p>
      <w:pPr>
        <w:spacing w:after="0" w:line="126" w:lineRule="exact"/>
        <w:rPr>
          <w:rFonts w:ascii="Times New Roman" w:cs="Times New Roman" w:eastAsia="Times New Roman" w:hAnsi="Times New Roman"/>
          <w:sz w:val="16"/>
          <w:szCs w:val="16"/>
          <w:color w:val="auto"/>
        </w:rPr>
      </w:pPr>
    </w:p>
    <w:p>
      <w:pPr>
        <w:jc w:val="both"/>
        <w:ind w:left="1320" w:hanging="504"/>
        <w:spacing w:after="0" w:line="221" w:lineRule="auto"/>
        <w:tabs>
          <w:tab w:leader="none" w:pos="13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reviewing, discussing, and determining whether to approve performance by Arrowhead of Additional R&amp;D Activities for a specific Program, and (ii) if such approval is granted, reviewing, discussing, and determining whether to approve the corresponding Additional R&amp;D Plan, and any updates thereto as set forth in Section 3.3 (Additional R&amp;D Activities);</w:t>
      </w:r>
    </w:p>
    <w:p>
      <w:pPr>
        <w:spacing w:after="0" w:line="128" w:lineRule="exact"/>
        <w:rPr>
          <w:rFonts w:ascii="Times New Roman" w:cs="Times New Roman" w:eastAsia="Times New Roman" w:hAnsi="Times New Roman"/>
          <w:sz w:val="16"/>
          <w:szCs w:val="16"/>
          <w:color w:val="auto"/>
        </w:rPr>
      </w:pPr>
    </w:p>
    <w:p>
      <w:pPr>
        <w:ind w:left="1320" w:hanging="504"/>
        <w:spacing w:after="0" w:line="235" w:lineRule="auto"/>
        <w:tabs>
          <w:tab w:leader="none" w:pos="13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discussing, and determining whether to reduce the frequency of Arrowhead’s reports summarizing Arrowhead’s Development activities under this Agreement as set forth in Section 3.8.1 (Arrowhead Development Reports);</w:t>
      </w:r>
    </w:p>
    <w:p>
      <w:pPr>
        <w:spacing w:after="0" w:line="117" w:lineRule="exact"/>
        <w:rPr>
          <w:rFonts w:ascii="Times New Roman" w:cs="Times New Roman" w:eastAsia="Times New Roman" w:hAnsi="Times New Roman"/>
          <w:sz w:val="16"/>
          <w:szCs w:val="16"/>
          <w:color w:val="auto"/>
        </w:rPr>
      </w:pPr>
    </w:p>
    <w:p>
      <w:pPr>
        <w:ind w:left="1320" w:hanging="504"/>
        <w:spacing w:after="0" w:line="235" w:lineRule="auto"/>
        <w:tabs>
          <w:tab w:leader="none" w:pos="1318"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discussing, and determining whether to approve the Manufacturing Technology Transfer Plan as set forth in Section 5.4 (Manufacturing Technology Transfer);</w:t>
      </w:r>
    </w:p>
    <w:p>
      <w:pPr>
        <w:spacing w:after="0" w:line="127" w:lineRule="exact"/>
        <w:rPr>
          <w:rFonts w:ascii="Times New Roman" w:cs="Times New Roman" w:eastAsia="Times New Roman" w:hAnsi="Times New Roman"/>
          <w:sz w:val="16"/>
          <w:szCs w:val="16"/>
          <w:color w:val="auto"/>
        </w:rPr>
      </w:pPr>
    </w:p>
    <w:p>
      <w:pPr>
        <w:ind w:left="1320" w:hanging="504"/>
        <w:spacing w:after="0"/>
        <w:tabs>
          <w:tab w:leader="none" w:pos="132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discussing, and determining how to resolve any issue escalated by, or disputes within, the JMC;</w:t>
      </w:r>
    </w:p>
    <w:p>
      <w:pPr>
        <w:spacing w:after="0" w:line="134" w:lineRule="exact"/>
        <w:rPr>
          <w:rFonts w:ascii="Times New Roman" w:cs="Times New Roman" w:eastAsia="Times New Roman" w:hAnsi="Times New Roman"/>
          <w:sz w:val="16"/>
          <w:szCs w:val="16"/>
          <w:color w:val="auto"/>
        </w:rPr>
      </w:pPr>
    </w:p>
    <w:p>
      <w:pPr>
        <w:jc w:val="both"/>
        <w:ind w:left="1320" w:hanging="504"/>
        <w:spacing w:after="0" w:line="226" w:lineRule="auto"/>
        <w:tabs>
          <w:tab w:leader="none" w:pos="131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such additional committees, subcommittees, working groups or other directed teams of the JSC as it deems necessary to oversee activities relating to the Licensed Compounds and Licensed Products under this Agreement, including the joint safety committee as described in Section 4.3 (Pharmacovigilance Agreement); and</w:t>
      </w:r>
    </w:p>
    <w:p>
      <w:pPr>
        <w:spacing w:after="0" w:line="116" w:lineRule="exact"/>
        <w:rPr>
          <w:rFonts w:ascii="Times New Roman" w:cs="Times New Roman" w:eastAsia="Times New Roman" w:hAnsi="Times New Roman"/>
          <w:sz w:val="16"/>
          <w:szCs w:val="16"/>
          <w:color w:val="auto"/>
        </w:rPr>
      </w:pPr>
    </w:p>
    <w:p>
      <w:pPr>
        <w:ind w:left="1320" w:hanging="504"/>
        <w:spacing w:after="0"/>
        <w:tabs>
          <w:tab w:leader="none" w:pos="132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such other functions expressly allocated to the JSC in this Agreement or by the written agreement of the Parties.</w:t>
      </w:r>
    </w:p>
    <w:p>
      <w:pPr>
        <w:spacing w:after="0" w:line="136"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7.2.3.</w:t>
      </w:r>
      <w:r>
        <w:rPr>
          <w:sz w:val="20"/>
          <w:szCs w:val="20"/>
          <w:color w:val="auto"/>
        </w:rPr>
        <w:tab/>
      </w:r>
      <w:r>
        <w:rPr>
          <w:rFonts w:ascii="Times New Roman" w:cs="Times New Roman" w:eastAsia="Times New Roman" w:hAnsi="Times New Roman"/>
          <w:sz w:val="16"/>
          <w:szCs w:val="16"/>
          <w:b w:val="1"/>
          <w:bCs w:val="1"/>
          <w:color w:val="auto"/>
        </w:rPr>
        <w:t>Meetings</w:t>
      </w:r>
      <w:r>
        <w:rPr>
          <w:rFonts w:ascii="Times New Roman" w:cs="Times New Roman" w:eastAsia="Times New Roman" w:hAnsi="Times New Roman"/>
          <w:sz w:val="16"/>
          <w:szCs w:val="16"/>
          <w:color w:val="auto"/>
        </w:rPr>
        <w:t>. The JSC will meet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unless the Parties agree in writing to a different frequency. The JSC may meet in person, by videoconference, or by</w:t>
      </w:r>
    </w:p>
    <w:p>
      <w:pPr>
        <w:ind w:left="820"/>
        <w:spacing w:after="0" w:line="229" w:lineRule="auto"/>
        <w:rPr>
          <w:sz w:val="20"/>
          <w:szCs w:val="20"/>
          <w:color w:val="auto"/>
        </w:rPr>
      </w:pPr>
      <w:r>
        <w:rPr>
          <w:rFonts w:ascii="Times New Roman" w:cs="Times New Roman" w:eastAsia="Times New Roman" w:hAnsi="Times New Roman"/>
          <w:sz w:val="14"/>
          <w:szCs w:val="14"/>
          <w:color w:val="auto"/>
        </w:rPr>
        <w:t>teleconference, but at least one meeting of the JSC per Calendar Year will be in person unless the Parties otherwise agree in writing. In-person JSC meetings will be held at locations alternately selected by Arrowhead and by Novartis, or at any other location agreed by the members of the JSC. The first JSC meeting will be</w:t>
      </w:r>
    </w:p>
    <w:p>
      <w:pPr>
        <w:ind w:left="820"/>
        <w:spacing w:after="0" w:line="237" w:lineRule="auto"/>
        <w:rPr>
          <w:sz w:val="20"/>
          <w:szCs w:val="20"/>
          <w:color w:val="auto"/>
        </w:rPr>
      </w:pPr>
      <w:r>
        <w:rPr>
          <w:rFonts w:ascii="Times New Roman" w:cs="Times New Roman" w:eastAsia="Times New Roman" w:hAnsi="Times New Roman"/>
          <w:sz w:val="14"/>
          <w:szCs w:val="14"/>
          <w:color w:val="auto"/>
        </w:rPr>
        <w:t xml:space="preserve">held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following the Effective Date. Meetings of the JSC will be effective only if a quorum is present, which quorum will require the presence of at</w:t>
      </w:r>
    </w:p>
    <w:p>
      <w:pPr>
        <w:spacing w:after="0" w:line="1" w:lineRule="exact"/>
        <w:rPr>
          <w:sz w:val="20"/>
          <w:szCs w:val="20"/>
          <w:color w:val="auto"/>
        </w:rPr>
      </w:pPr>
    </w:p>
    <w:p>
      <w:pPr>
        <w:ind w:left="820"/>
        <w:spacing w:after="0" w:line="217" w:lineRule="auto"/>
        <w:rPr>
          <w:sz w:val="20"/>
          <w:szCs w:val="20"/>
          <w:color w:val="auto"/>
        </w:rPr>
      </w:pPr>
      <w:r>
        <w:rPr>
          <w:rFonts w:ascii="Times New Roman" w:cs="Times New Roman" w:eastAsia="Times New Roman" w:hAnsi="Times New Roman"/>
          <w:sz w:val="16"/>
          <w:szCs w:val="16"/>
          <w:color w:val="auto"/>
        </w:rPr>
        <w:t xml:space="preserve">least one representative from each Party.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to any meeting of the JSC (or such shorter time period as the Parties may agree), the JSC chairperson will work with the Alliance Managers to</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920"/>
          </w:cols>
          <w:pgMar w:left="660" w:top="123" w:right="319" w:bottom="1440" w:gutter="0" w:footer="0" w:header="0"/>
        </w:sectPr>
      </w:pPr>
    </w:p>
    <w:bookmarkStart w:id="165" w:name="page166"/>
    <w:bookmarkEnd w:id="165"/>
    <w:p>
      <w:pPr>
        <w:ind w:left="2720" w:right="360" w:hanging="2360"/>
        <w:spacing w:after="0" w:line="290" w:lineRule="auto"/>
        <w:tabs>
          <w:tab w:leader="none" w:pos="696"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50" w:lineRule="auto"/>
        <w:rPr>
          <w:sz w:val="20"/>
          <w:szCs w:val="20"/>
          <w:color w:val="auto"/>
        </w:rPr>
      </w:pPr>
      <w:r>
        <w:rPr>
          <w:rFonts w:ascii="Times New Roman" w:cs="Times New Roman" w:eastAsia="Times New Roman" w:hAnsi="Times New Roman"/>
          <w:sz w:val="14"/>
          <w:szCs w:val="14"/>
          <w:color w:val="auto"/>
        </w:rPr>
        <w:t xml:space="preserve">prepare and circulate an agenda for such meeting. Additional topics may be included on such agenda prior to the meeting, and the Party or the committee proposing an item will provide materials to the JSC representatives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to the JSC meeting to support discussion. The JSC chairperson may</w:t>
      </w:r>
    </w:p>
    <w:p>
      <w:pPr>
        <w:spacing w:after="0" w:line="1" w:lineRule="exact"/>
        <w:rPr>
          <w:sz w:val="20"/>
          <w:szCs w:val="20"/>
          <w:color w:val="auto"/>
        </w:rPr>
      </w:pPr>
    </w:p>
    <w:p>
      <w:pPr>
        <w:jc w:val="both"/>
        <w:ind w:left="1180"/>
        <w:spacing w:after="0" w:line="229" w:lineRule="auto"/>
        <w:rPr>
          <w:sz w:val="20"/>
          <w:szCs w:val="20"/>
          <w:color w:val="auto"/>
        </w:rPr>
      </w:pPr>
      <w:r>
        <w:rPr>
          <w:rFonts w:ascii="Times New Roman" w:cs="Times New Roman" w:eastAsia="Times New Roman" w:hAnsi="Times New Roman"/>
          <w:sz w:val="14"/>
          <w:szCs w:val="14"/>
          <w:color w:val="auto"/>
        </w:rPr>
        <w:t>also call a special meeting of the JSC (by videoconference, teleconference, or in person) if the JSC chairperson reasonably believes that a significant matter must be addressed prior to the next scheduled meeting, in which event such JSC chairperson will work with the Alliance Managers to provide the members of the JSC,</w:t>
      </w:r>
    </w:p>
    <w:p>
      <w:pPr>
        <w:ind w:left="1180"/>
        <w:spacing w:after="0" w:line="237" w:lineRule="auto"/>
        <w:rPr>
          <w:sz w:val="20"/>
          <w:szCs w:val="20"/>
          <w:color w:val="auto"/>
        </w:rPr>
      </w:pPr>
      <w:r>
        <w:rPr>
          <w:rFonts w:ascii="Times New Roman" w:cs="Times New Roman" w:eastAsia="Times New Roman" w:hAnsi="Times New Roman"/>
          <w:sz w:val="14"/>
          <w:szCs w:val="14"/>
          <w:color w:val="auto"/>
        </w:rPr>
        <w:t>promptly after the decision is made to hold such special JSC meeting, with an agenda for the meeting and materials reasonably adequate to enable an informed</w:t>
      </w:r>
    </w:p>
    <w:p>
      <w:pPr>
        <w:spacing w:after="0" w:line="1" w:lineRule="exact"/>
        <w:rPr>
          <w:sz w:val="20"/>
          <w:szCs w:val="20"/>
          <w:color w:val="auto"/>
        </w:rPr>
      </w:pPr>
    </w:p>
    <w:p>
      <w:pPr>
        <w:jc w:val="both"/>
        <w:ind w:left="1180"/>
        <w:spacing w:after="0" w:line="229" w:lineRule="auto"/>
        <w:rPr>
          <w:sz w:val="20"/>
          <w:szCs w:val="20"/>
          <w:color w:val="auto"/>
        </w:rPr>
      </w:pPr>
      <w:r>
        <w:rPr>
          <w:rFonts w:ascii="Times New Roman" w:cs="Times New Roman" w:eastAsia="Times New Roman" w:hAnsi="Times New Roman"/>
          <w:sz w:val="14"/>
          <w:szCs w:val="14"/>
          <w:color w:val="auto"/>
        </w:rPr>
        <w:t xml:space="preserve">decision. The Alliance Managers working with the JSC chairperson will be responsible for preparing reasonably detailed written minutes of JSC meetings that reflect all decisions made and action items identified at such meetings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each JSC meeting, and endeavor to finalize such minutes within </w:t>
      </w:r>
      <w:r>
        <w:rPr>
          <w:rFonts w:ascii="Times New Roman" w:cs="Times New Roman" w:eastAsia="Times New Roman" w:hAnsi="Times New Roman"/>
          <w:sz w:val="14"/>
          <w:szCs w:val="14"/>
          <w:b w:val="1"/>
          <w:bCs w:val="1"/>
          <w:color w:val="auto"/>
        </w:rPr>
        <w:t>[***]</w:t>
      </w:r>
    </w:p>
    <w:p>
      <w:pPr>
        <w:ind w:left="1180"/>
        <w:spacing w:after="0"/>
        <w:rPr>
          <w:sz w:val="20"/>
          <w:szCs w:val="20"/>
          <w:color w:val="auto"/>
        </w:rPr>
      </w:pPr>
      <w:r>
        <w:rPr>
          <w:rFonts w:ascii="Times New Roman" w:cs="Times New Roman" w:eastAsia="Times New Roman" w:hAnsi="Times New Roman"/>
          <w:sz w:val="16"/>
          <w:szCs w:val="16"/>
          <w:color w:val="auto"/>
        </w:rPr>
        <w:t>after each JSC meeting.</w:t>
      </w:r>
    </w:p>
    <w:p>
      <w:pPr>
        <w:spacing w:after="0" w:line="114"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7.2.4.    </w:t>
      </w:r>
      <w:r>
        <w:rPr>
          <w:rFonts w:ascii="Times New Roman" w:cs="Times New Roman" w:eastAsia="Times New Roman" w:hAnsi="Times New Roman"/>
          <w:sz w:val="16"/>
          <w:szCs w:val="16"/>
          <w:b w:val="1"/>
          <w:bCs w:val="1"/>
          <w:color w:val="auto"/>
        </w:rPr>
        <w:t>Decision-Making</w:t>
      </w:r>
      <w:r>
        <w:rPr>
          <w:rFonts w:ascii="Times New Roman" w:cs="Times New Roman" w:eastAsia="Times New Roman" w:hAnsi="Times New Roman"/>
          <w:sz w:val="16"/>
          <w:szCs w:val="16"/>
          <w:color w:val="auto"/>
        </w:rPr>
        <w:t>. The JSC endeavor to reach decisions by consensus, with each Party, through its representative members of the JSC, having one vote. Approvals of the JSC will require the unanimous agreement of the representatives. If the JSC cannot reach unanimous agreement on an issue that comes before</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the JSC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meeting at which such issue was raised and over which the JSC has oversight, then the Parties will refer such issue for resolution in accordance with Section 7.4 (Resolution of Committee Disputes).</w:t>
      </w:r>
    </w:p>
    <w:p>
      <w:pPr>
        <w:spacing w:after="0" w:line="12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7.3.</w:t>
      </w:r>
      <w:r>
        <w:rPr>
          <w:sz w:val="20"/>
          <w:szCs w:val="20"/>
          <w:color w:val="auto"/>
        </w:rPr>
        <w:tab/>
      </w:r>
      <w:r>
        <w:rPr>
          <w:rFonts w:ascii="Times New Roman" w:cs="Times New Roman" w:eastAsia="Times New Roman" w:hAnsi="Times New Roman"/>
          <w:sz w:val="14"/>
          <w:szCs w:val="14"/>
          <w:b w:val="1"/>
          <w:bCs w:val="1"/>
          <w:color w:val="auto"/>
        </w:rPr>
        <w:t>Joint Manufacturing Committee</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7.3.1.    </w:t>
      </w:r>
      <w:r>
        <w:rPr>
          <w:rFonts w:ascii="Times New Roman" w:cs="Times New Roman" w:eastAsia="Times New Roman" w:hAnsi="Times New Roman"/>
          <w:sz w:val="16"/>
          <w:szCs w:val="16"/>
          <w:b w:val="1"/>
          <w:bCs w:val="1"/>
          <w:color w:val="auto"/>
        </w:rPr>
        <w:t>Formation; Composition; Dissolution</w:t>
      </w:r>
      <w:r>
        <w:rPr>
          <w:rFonts w:ascii="Times New Roman" w:cs="Times New Roman" w:eastAsia="Times New Roman" w:hAnsi="Times New Roman"/>
          <w:sz w:val="16"/>
          <w:szCs w:val="16"/>
          <w:color w:val="auto"/>
        </w:rPr>
        <w:t xml:space="preserve">.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the Parties will establish a committee to coordinate and oversee Manufacturing activities in connection with the Development of the Licensed Compounds and Licensed Products for the Territory (each, a “</w:t>
      </w:r>
      <w:r>
        <w:rPr>
          <w:rFonts w:ascii="Times New Roman" w:cs="Times New Roman" w:eastAsia="Times New Roman" w:hAnsi="Times New Roman"/>
          <w:sz w:val="16"/>
          <w:szCs w:val="16"/>
          <w:b w:val="1"/>
          <w:bCs w:val="1"/>
          <w:color w:val="auto"/>
        </w:rPr>
        <w:t>Joint Manufacturing Committee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JMC</w:t>
      </w:r>
      <w:r>
        <w:rPr>
          <w:rFonts w:ascii="Times New Roman" w:cs="Times New Roman" w:eastAsia="Times New Roman" w:hAnsi="Times New Roman"/>
          <w:sz w:val="16"/>
          <w:szCs w:val="16"/>
          <w:color w:val="auto"/>
        </w:rPr>
        <w:t>”). Each Party</w:t>
      </w:r>
    </w:p>
    <w:p>
      <w:pPr>
        <w:ind w:left="1180"/>
        <w:spacing w:after="0"/>
        <w:rPr>
          <w:sz w:val="20"/>
          <w:szCs w:val="20"/>
          <w:color w:val="auto"/>
        </w:rPr>
      </w:pPr>
      <w:r>
        <w:rPr>
          <w:rFonts w:ascii="Times New Roman" w:cs="Times New Roman" w:eastAsia="Times New Roman" w:hAnsi="Times New Roman"/>
          <w:sz w:val="14"/>
          <w:szCs w:val="14"/>
          <w:color w:val="auto"/>
        </w:rPr>
        <w:t xml:space="preserve">will initially appoint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representatives to the JMC, with each representative having knowledge and expertise in the performance of Manufacturing activities</w:t>
      </w:r>
    </w:p>
    <w:p>
      <w:pPr>
        <w:ind w:left="1180"/>
        <w:spacing w:after="0" w:line="229" w:lineRule="auto"/>
        <w:rPr>
          <w:sz w:val="20"/>
          <w:szCs w:val="20"/>
          <w:color w:val="auto"/>
        </w:rPr>
      </w:pPr>
      <w:r>
        <w:rPr>
          <w:rFonts w:ascii="Times New Roman" w:cs="Times New Roman" w:eastAsia="Times New Roman" w:hAnsi="Times New Roman"/>
          <w:sz w:val="14"/>
          <w:szCs w:val="14"/>
          <w:color w:val="auto"/>
        </w:rPr>
        <w:t>with respect to compounds and products similar to the applicable Licensed Compounds and Licensed Products, and having sufficient seniority and decision-making authority within the applicable Party to provide meaningful input and make decisions arising within the scope of such JMC’s responsibilities. The JMC</w:t>
      </w:r>
    </w:p>
    <w:p>
      <w:pPr>
        <w:ind w:left="1180"/>
        <w:spacing w:after="0" w:line="237" w:lineRule="auto"/>
        <w:rPr>
          <w:sz w:val="20"/>
          <w:szCs w:val="20"/>
          <w:color w:val="auto"/>
        </w:rPr>
      </w:pPr>
      <w:r>
        <w:rPr>
          <w:rFonts w:ascii="Times New Roman" w:cs="Times New Roman" w:eastAsia="Times New Roman" w:hAnsi="Times New Roman"/>
          <w:sz w:val="14"/>
          <w:szCs w:val="14"/>
          <w:color w:val="auto"/>
        </w:rPr>
        <w:t xml:space="preserve">may change its size from time to time by agreement of the Parties,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JMC will consist at all times of an equal number of representatives of each of</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Arrowhead and Novartis. Each Party may replace its JMC representatives at any time upon written notice to the other Party. The JMC may invite non-members to participate in the discussions and meetings of the JMC,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participants have no voting authority at the meetings of the JMC and are bound under</w:t>
      </w:r>
    </w:p>
    <w:p>
      <w:pPr>
        <w:ind w:left="1180"/>
        <w:spacing w:after="0" w:line="237" w:lineRule="auto"/>
        <w:rPr>
          <w:sz w:val="20"/>
          <w:szCs w:val="20"/>
          <w:color w:val="auto"/>
        </w:rPr>
      </w:pPr>
      <w:r>
        <w:rPr>
          <w:rFonts w:ascii="Times New Roman" w:cs="Times New Roman" w:eastAsia="Times New Roman" w:hAnsi="Times New Roman"/>
          <w:sz w:val="14"/>
          <w:szCs w:val="14"/>
          <w:color w:val="auto"/>
        </w:rPr>
        <w:t>enforceable obligations of confidentiality and non-use no less protective of the Parties’ Confidential Information than those set forth in this Agreement. The JMC</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will be chaired by co-chairpersons designated by Arrowhead and Novartis, respectively, whose responsibilities will include conducting meetings, including, when feasible, ensuring that objectives for each meeting are set and achieved. The JMC will exist for so long as [***].</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7.3.2.</w:t>
      </w:r>
      <w:r>
        <w:rPr>
          <w:sz w:val="20"/>
          <w:szCs w:val="20"/>
          <w:color w:val="auto"/>
        </w:rPr>
        <w:tab/>
      </w:r>
      <w:r>
        <w:rPr>
          <w:rFonts w:ascii="Times New Roman" w:cs="Times New Roman" w:eastAsia="Times New Roman" w:hAnsi="Times New Roman"/>
          <w:sz w:val="14"/>
          <w:szCs w:val="14"/>
          <w:b w:val="1"/>
          <w:bCs w:val="1"/>
          <w:color w:val="auto"/>
        </w:rPr>
        <w:t>Specific Responsibilities of the JMC</w:t>
      </w:r>
      <w:r>
        <w:rPr>
          <w:rFonts w:ascii="Times New Roman" w:cs="Times New Roman" w:eastAsia="Times New Roman" w:hAnsi="Times New Roman"/>
          <w:sz w:val="14"/>
          <w:szCs w:val="14"/>
          <w:color w:val="auto"/>
        </w:rPr>
        <w:t>. Subject to any limitations under applicable Law, the JMC will have the following responsibilities:</w:t>
      </w:r>
    </w:p>
    <w:p>
      <w:pPr>
        <w:spacing w:after="0" w:line="147" w:lineRule="exact"/>
        <w:rPr>
          <w:sz w:val="20"/>
          <w:szCs w:val="20"/>
          <w:color w:val="auto"/>
        </w:rPr>
      </w:pPr>
    </w:p>
    <w:p>
      <w:pPr>
        <w:ind w:left="1680" w:hanging="504"/>
        <w:spacing w:after="0" w:line="229" w:lineRule="auto"/>
        <w:tabs>
          <w:tab w:leader="none" w:pos="1672"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 Manufacturing activities to be performed by or on behalf of Arrowhead under any applicable clinical supply agreement or commercial supply agreement;</w:t>
      </w:r>
    </w:p>
    <w:p>
      <w:pPr>
        <w:spacing w:after="0" w:line="126" w:lineRule="exact"/>
        <w:rPr>
          <w:rFonts w:ascii="Times New Roman" w:cs="Times New Roman" w:eastAsia="Times New Roman" w:hAnsi="Times New Roman"/>
          <w:sz w:val="16"/>
          <w:szCs w:val="16"/>
          <w:color w:val="auto"/>
        </w:rPr>
      </w:pPr>
    </w:p>
    <w:p>
      <w:pPr>
        <w:ind w:left="1680" w:hanging="504"/>
        <w:spacing w:after="0" w:line="235" w:lineRule="auto"/>
        <w:tabs>
          <w:tab w:leader="none" w:pos="167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Manufacturing Technology Transfer Plan for discussion, review, and approval by the JSC as set forth in Section 5.4 (Manufacturing Technology Transfer);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80"/>
          </w:cols>
          <w:pgMar w:left="300" w:top="123" w:right="319" w:bottom="1440" w:gutter="0" w:footer="0" w:header="0"/>
        </w:sectPr>
      </w:pPr>
    </w:p>
    <w:bookmarkStart w:id="166" w:name="page167"/>
    <w:bookmarkEnd w:id="166"/>
    <w:p>
      <w:pPr>
        <w:ind w:left="2720" w:right="360" w:hanging="2360"/>
        <w:spacing w:after="0" w:line="290" w:lineRule="auto"/>
        <w:tabs>
          <w:tab w:leader="none" w:pos="696"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377" w:lineRule="exact"/>
        <w:rPr>
          <w:rFonts w:ascii="Times New Roman" w:cs="Times New Roman" w:eastAsia="Times New Roman" w:hAnsi="Times New Roman"/>
          <w:sz w:val="14"/>
          <w:szCs w:val="14"/>
          <w:b w:val="1"/>
          <w:bCs w:val="1"/>
          <w:color w:val="auto"/>
        </w:rPr>
      </w:pPr>
    </w:p>
    <w:p>
      <w:pPr>
        <w:ind w:left="1680" w:hanging="504"/>
        <w:spacing w:after="0" w:line="235" w:lineRule="auto"/>
        <w:tabs>
          <w:tab w:leader="none" w:pos="1672"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transfer of the Arrowhead Manufacturing Know-How and other activities set forth in the Manufacturing Technology Transfer Plan as set forth in Section 5.4 (Manufacturing Technology Transfer); and</w:t>
      </w:r>
    </w:p>
    <w:p>
      <w:pPr>
        <w:spacing w:after="0" w:line="127" w:lineRule="exact"/>
        <w:rPr>
          <w:rFonts w:ascii="Times New Roman" w:cs="Times New Roman" w:eastAsia="Times New Roman" w:hAnsi="Times New Roman"/>
          <w:sz w:val="16"/>
          <w:szCs w:val="16"/>
          <w:color w:val="auto"/>
        </w:rPr>
      </w:pPr>
    </w:p>
    <w:p>
      <w:pPr>
        <w:ind w:left="1680" w:hanging="504"/>
        <w:spacing w:after="0"/>
        <w:tabs>
          <w:tab w:leader="none" w:pos="1680"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such other functions expressly allocated to the JMC in this Agreement or by the written agreement of the Parties.</w:t>
      </w:r>
    </w:p>
    <w:p>
      <w:pPr>
        <w:spacing w:after="0" w:line="132"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7.3.3.    </w:t>
      </w:r>
      <w:r>
        <w:rPr>
          <w:rFonts w:ascii="Times New Roman" w:cs="Times New Roman" w:eastAsia="Times New Roman" w:hAnsi="Times New Roman"/>
          <w:sz w:val="16"/>
          <w:szCs w:val="16"/>
          <w:b w:val="1"/>
          <w:bCs w:val="1"/>
          <w:color w:val="auto"/>
        </w:rPr>
        <w:t>Meetings</w:t>
      </w:r>
      <w:r>
        <w:rPr>
          <w:rFonts w:ascii="Times New Roman" w:cs="Times New Roman" w:eastAsia="Times New Roman" w:hAnsi="Times New Roman"/>
          <w:sz w:val="16"/>
          <w:szCs w:val="16"/>
          <w:color w:val="auto"/>
        </w:rPr>
        <w:t xml:space="preserve">. The JMC will meet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unless the Parties agree in writing to a different frequency, and otherwise as agreed by the Parties with respect to Manufacturing activities-specific matters. The JMC may meet in person, by videoconference, or by teleconference, but at least one meeting of the JMC per</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Calendar Year will be in person unless the Parties otherwise agree in writing. In-person JMC meetings will be held at locations alternately selected by Arrowhead and by Novartis, or at any other location agreed by the members of the JMC. Meetings of the JMC will be effective only if a quorum is present, which quorum</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will require the presence of at least one representative of each Party.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to the first meeting of the JMC in the 2025 stub-Calendar Year and in each Calendar Year thereafter while the JMC exists, the co-chairpersons for the JMC will prepare a communication plan setting forth a schedule of the dates of</w:t>
      </w:r>
    </w:p>
    <w:p>
      <w:pPr>
        <w:ind w:left="1180"/>
        <w:spacing w:after="0" w:line="237" w:lineRule="auto"/>
        <w:rPr>
          <w:sz w:val="20"/>
          <w:szCs w:val="20"/>
          <w:color w:val="auto"/>
        </w:rPr>
      </w:pPr>
      <w:r>
        <w:rPr>
          <w:rFonts w:ascii="Times New Roman" w:cs="Times New Roman" w:eastAsia="Times New Roman" w:hAnsi="Times New Roman"/>
          <w:sz w:val="14"/>
          <w:szCs w:val="14"/>
          <w:color w:val="auto"/>
        </w:rPr>
        <w:t>each meeting for the JMC for that Calendar Year (a “</w:t>
      </w:r>
      <w:r>
        <w:rPr>
          <w:rFonts w:ascii="Times New Roman" w:cs="Times New Roman" w:eastAsia="Times New Roman" w:hAnsi="Times New Roman"/>
          <w:sz w:val="14"/>
          <w:szCs w:val="14"/>
          <w:b w:val="1"/>
          <w:bCs w:val="1"/>
          <w:color w:val="auto"/>
        </w:rPr>
        <w:t>JMC Communication Plan</w:t>
      </w:r>
      <w:r>
        <w:rPr>
          <w:rFonts w:ascii="Times New Roman" w:cs="Times New Roman" w:eastAsia="Times New Roman" w:hAnsi="Times New Roman"/>
          <w:sz w:val="14"/>
          <w:szCs w:val="14"/>
          <w:color w:val="auto"/>
        </w:rPr>
        <w:t xml:space="preserve">”).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to any meeting of the JMC (or such shorter time</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period as the Parties may agree), the co-chairpersons of the JMC will work with the Alliance Managers to prepare and circulate an agenda for such meeting. Additional topics may be included on such agenda, prior to the meeting, and the Party proposing an item will provide materials to the representatives of the JMC</w:t>
      </w:r>
    </w:p>
    <w:p>
      <w:pPr>
        <w:ind w:left="1180"/>
        <w:spacing w:after="0" w:line="208" w:lineRule="auto"/>
        <w:rPr>
          <w:sz w:val="20"/>
          <w:szCs w:val="20"/>
          <w:color w:val="auto"/>
        </w:rPr>
      </w:pPr>
      <w:r>
        <w:rPr>
          <w:rFonts w:ascii="Times New Roman" w:cs="Times New Roman" w:eastAsia="Times New Roman" w:hAnsi="Times New Roman"/>
          <w:sz w:val="16"/>
          <w:szCs w:val="16"/>
          <w:color w:val="auto"/>
        </w:rPr>
        <w:t xml:space="preserve">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to the JMC meeting to support discussion. A JMC co-chairperson may also call a special meeting of the JMC (by videoconference,</w:t>
      </w:r>
    </w:p>
    <w:p>
      <w:pPr>
        <w:ind w:left="1180"/>
        <w:spacing w:after="0" w:line="229" w:lineRule="auto"/>
        <w:rPr>
          <w:sz w:val="20"/>
          <w:szCs w:val="20"/>
          <w:color w:val="auto"/>
        </w:rPr>
      </w:pPr>
      <w:r>
        <w:rPr>
          <w:rFonts w:ascii="Times New Roman" w:cs="Times New Roman" w:eastAsia="Times New Roman" w:hAnsi="Times New Roman"/>
          <w:sz w:val="14"/>
          <w:szCs w:val="14"/>
          <w:color w:val="auto"/>
        </w:rPr>
        <w:t>teleconference, or in person) if such JMC co-chairperson reasonably believes that a significant matter must be addressed prior to the next scheduled meeting, in which event such JMC co-chairperson will work with the Alliance Managers to provide the members of the JMC, promptly after the decision is made to hold</w:t>
      </w:r>
    </w:p>
    <w:p>
      <w:pPr>
        <w:jc w:val="right"/>
        <w:spacing w:after="0" w:line="208" w:lineRule="auto"/>
        <w:rPr>
          <w:sz w:val="20"/>
          <w:szCs w:val="20"/>
          <w:color w:val="auto"/>
        </w:rPr>
      </w:pPr>
      <w:r>
        <w:rPr>
          <w:rFonts w:ascii="Times New Roman" w:cs="Times New Roman" w:eastAsia="Times New Roman" w:hAnsi="Times New Roman"/>
          <w:sz w:val="16"/>
          <w:szCs w:val="16"/>
          <w:color w:val="auto"/>
        </w:rPr>
        <w:t>such special JMC meeting, with an agenda for the meeting and materials reasonably adequate to enable an informed decision. The Alliance Managers and the co-</w:t>
      </w:r>
    </w:p>
    <w:p>
      <w:pPr>
        <w:ind w:left="1180"/>
        <w:spacing w:after="0" w:line="256" w:lineRule="auto"/>
        <w:rPr>
          <w:sz w:val="20"/>
          <w:szCs w:val="20"/>
          <w:color w:val="auto"/>
        </w:rPr>
      </w:pPr>
      <w:r>
        <w:rPr>
          <w:rFonts w:ascii="Times New Roman" w:cs="Times New Roman" w:eastAsia="Times New Roman" w:hAnsi="Times New Roman"/>
          <w:sz w:val="14"/>
          <w:szCs w:val="14"/>
          <w:color w:val="auto"/>
        </w:rPr>
        <w:t xml:space="preserve">chairperson of the JMC will be responsible for preparing reasonably detailed written minutes of meetings of the JMC that reflect all decisions made and action items identified at such meetings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such meeting of the JMC, and endeavor to finalize such minutes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each meeting of the JMC.</w:t>
      </w:r>
    </w:p>
    <w:p>
      <w:pPr>
        <w:spacing w:after="0" w:line="107"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7.3.4.</w:t>
      </w:r>
      <w:r>
        <w:rPr>
          <w:sz w:val="20"/>
          <w:szCs w:val="20"/>
          <w:color w:val="auto"/>
        </w:rPr>
        <w:tab/>
      </w:r>
      <w:r>
        <w:rPr>
          <w:rFonts w:ascii="Times New Roman" w:cs="Times New Roman" w:eastAsia="Times New Roman" w:hAnsi="Times New Roman"/>
          <w:sz w:val="14"/>
          <w:szCs w:val="14"/>
          <w:b w:val="1"/>
          <w:bCs w:val="1"/>
          <w:color w:val="auto"/>
        </w:rPr>
        <w:t>Decision-Making</w:t>
      </w:r>
      <w:r>
        <w:rPr>
          <w:rFonts w:ascii="Times New Roman" w:cs="Times New Roman" w:eastAsia="Times New Roman" w:hAnsi="Times New Roman"/>
          <w:sz w:val="14"/>
          <w:szCs w:val="14"/>
          <w:color w:val="auto"/>
        </w:rPr>
        <w:t>. The JMC will endeavor to reach decisions by consensus, with each Party, through its representative members of the JMC, having one vote.</w:t>
      </w:r>
    </w:p>
    <w:p>
      <w:pPr>
        <w:spacing w:after="0" w:line="2"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Approvals of each respective applicable JMC matter will require the unanimous agreement of the representatives of the JMC. If the JMC cannot reach unanimous agreement on a matter that comes before it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following the meeting at which such issue was raised and over which such JMC has oversight, then the</w:t>
      </w:r>
    </w:p>
    <w:p>
      <w:pPr>
        <w:ind w:left="1180"/>
        <w:spacing w:after="0"/>
        <w:rPr>
          <w:sz w:val="20"/>
          <w:szCs w:val="20"/>
          <w:color w:val="auto"/>
        </w:rPr>
      </w:pPr>
      <w:r>
        <w:rPr>
          <w:rFonts w:ascii="Times New Roman" w:cs="Times New Roman" w:eastAsia="Times New Roman" w:hAnsi="Times New Roman"/>
          <w:sz w:val="16"/>
          <w:szCs w:val="16"/>
          <w:color w:val="auto"/>
        </w:rPr>
        <w:t>Parties will refer such issue for resolution to the JSC pursuant to Section 7.4.1 (Referral to the JSC).</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7.3.5.</w:t>
      </w:r>
      <w:r>
        <w:rPr>
          <w:sz w:val="20"/>
          <w:szCs w:val="20"/>
          <w:color w:val="auto"/>
        </w:rPr>
        <w:tab/>
      </w:r>
      <w:r>
        <w:rPr>
          <w:rFonts w:ascii="Times New Roman" w:cs="Times New Roman" w:eastAsia="Times New Roman" w:hAnsi="Times New Roman"/>
          <w:sz w:val="14"/>
          <w:szCs w:val="14"/>
          <w:b w:val="1"/>
          <w:bCs w:val="1"/>
          <w:color w:val="auto"/>
        </w:rPr>
        <w:t>[***].</w:t>
      </w:r>
    </w:p>
    <w:p>
      <w:pPr>
        <w:spacing w:after="0" w:line="1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7.4.</w:t>
      </w:r>
      <w:r>
        <w:rPr>
          <w:sz w:val="20"/>
          <w:szCs w:val="20"/>
          <w:color w:val="auto"/>
        </w:rPr>
        <w:tab/>
      </w:r>
      <w:r>
        <w:rPr>
          <w:rFonts w:ascii="Times New Roman" w:cs="Times New Roman" w:eastAsia="Times New Roman" w:hAnsi="Times New Roman"/>
          <w:sz w:val="14"/>
          <w:szCs w:val="14"/>
          <w:b w:val="1"/>
          <w:bCs w:val="1"/>
          <w:color w:val="auto"/>
        </w:rPr>
        <w:t>Resolution of Committee Disputes</w:t>
      </w:r>
      <w:r>
        <w:rPr>
          <w:rFonts w:ascii="Times New Roman" w:cs="Times New Roman" w:eastAsia="Times New Roman" w:hAnsi="Times New Roman"/>
          <w:sz w:val="14"/>
          <w:szCs w:val="14"/>
          <w:color w:val="auto"/>
        </w:rPr>
        <w:t>.</w:t>
      </w:r>
    </w:p>
    <w:p>
      <w:pPr>
        <w:ind w:left="520"/>
        <w:spacing w:after="0" w:line="207" w:lineRule="auto"/>
        <w:tabs>
          <w:tab w:leader="none" w:pos="1160" w:val="left"/>
        </w:tabs>
        <w:rPr>
          <w:sz w:val="20"/>
          <w:szCs w:val="20"/>
          <w:color w:val="auto"/>
        </w:rPr>
      </w:pPr>
      <w:r>
        <w:rPr>
          <w:rFonts w:ascii="Times New Roman" w:cs="Times New Roman" w:eastAsia="Times New Roman" w:hAnsi="Times New Roman"/>
          <w:sz w:val="16"/>
          <w:szCs w:val="16"/>
          <w:color w:val="auto"/>
        </w:rPr>
        <w:t>7.4.1.</w:t>
      </w:r>
      <w:r>
        <w:rPr>
          <w:sz w:val="20"/>
          <w:szCs w:val="20"/>
          <w:color w:val="auto"/>
        </w:rPr>
        <w:tab/>
      </w:r>
      <w:r>
        <w:rPr>
          <w:rFonts w:ascii="Times New Roman" w:cs="Times New Roman" w:eastAsia="Times New Roman" w:hAnsi="Times New Roman"/>
          <w:sz w:val="16"/>
          <w:szCs w:val="16"/>
          <w:b w:val="1"/>
          <w:bCs w:val="1"/>
          <w:color w:val="auto"/>
        </w:rPr>
        <w:t>Referral to the JSC</w:t>
      </w:r>
      <w:r>
        <w:rPr>
          <w:rFonts w:ascii="Times New Roman" w:cs="Times New Roman" w:eastAsia="Times New Roman" w:hAnsi="Times New Roman"/>
          <w:sz w:val="16"/>
          <w:szCs w:val="16"/>
          <w:color w:val="auto"/>
        </w:rPr>
        <w:t>. If any subcommittee or working group of the JMC or any additional committees or subcommittees formed by the JSC cannot reach</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consensus on any matter within its decision-making authority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meeting at which such failure to reach consensus occurred, then such matter will first be referred for attempted resolution to the applicable committee. If the JMC or any other committee or subcommittee of the JSC cannot reach consensus</w:t>
      </w:r>
    </w:p>
    <w:p>
      <w:pPr>
        <w:ind w:left="1180"/>
        <w:spacing w:after="0"/>
        <w:rPr>
          <w:sz w:val="20"/>
          <w:szCs w:val="20"/>
          <w:color w:val="auto"/>
        </w:rPr>
      </w:pPr>
      <w:r>
        <w:rPr>
          <w:rFonts w:ascii="Times New Roman" w:cs="Times New Roman" w:eastAsia="Times New Roman" w:hAnsi="Times New Roman"/>
          <w:sz w:val="16"/>
          <w:szCs w:val="16"/>
          <w:color w:val="auto"/>
        </w:rPr>
        <w:t xml:space="preserve">on any matter within its decision-making authority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meeting at which such failure to reach</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80"/>
          </w:cols>
          <w:pgMar w:left="300" w:top="123" w:right="319" w:bottom="1440" w:gutter="0" w:footer="0" w:header="0"/>
        </w:sectPr>
      </w:pPr>
    </w:p>
    <w:bookmarkStart w:id="167" w:name="page168"/>
    <w:bookmarkEnd w:id="167"/>
    <w:p>
      <w:pPr>
        <w:ind w:left="2360" w:right="360" w:hanging="2360"/>
        <w:spacing w:after="0" w:line="290" w:lineRule="auto"/>
        <w:tabs>
          <w:tab w:leader="none" w:pos="336"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consensus occurred, then the matter will be referred for attempted resolution to the JSC.</w:t>
      </w:r>
    </w:p>
    <w:p>
      <w:pPr>
        <w:spacing w:after="0" w:line="136"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7.4.2.</w:t>
      </w:r>
      <w:r>
        <w:rPr>
          <w:sz w:val="20"/>
          <w:szCs w:val="20"/>
          <w:color w:val="auto"/>
        </w:rPr>
        <w:tab/>
      </w:r>
      <w:r>
        <w:rPr>
          <w:rFonts w:ascii="Times New Roman" w:cs="Times New Roman" w:eastAsia="Times New Roman" w:hAnsi="Times New Roman"/>
          <w:sz w:val="14"/>
          <w:szCs w:val="14"/>
          <w:b w:val="1"/>
          <w:bCs w:val="1"/>
          <w:color w:val="auto"/>
        </w:rPr>
        <w:t>Referral to Executive Officers</w:t>
      </w:r>
      <w:r>
        <w:rPr>
          <w:rFonts w:ascii="Times New Roman" w:cs="Times New Roman" w:eastAsia="Times New Roman" w:hAnsi="Times New Roman"/>
          <w:sz w:val="14"/>
          <w:szCs w:val="14"/>
          <w:color w:val="auto"/>
        </w:rPr>
        <w:t>. If the JSC cannot reach a consensus decision under Section 7.4.1 (Referral to the JSC), then the matter will be referred to the</w:t>
      </w:r>
    </w:p>
    <w:p>
      <w:pPr>
        <w:spacing w:after="0" w:line="2" w:lineRule="exact"/>
        <w:rPr>
          <w:sz w:val="20"/>
          <w:szCs w:val="20"/>
          <w:color w:val="auto"/>
        </w:rPr>
      </w:pPr>
    </w:p>
    <w:p>
      <w:pPr>
        <w:ind w:left="820"/>
        <w:spacing w:after="0" w:line="200" w:lineRule="auto"/>
        <w:rPr>
          <w:sz w:val="20"/>
          <w:szCs w:val="20"/>
          <w:color w:val="auto"/>
        </w:rPr>
      </w:pPr>
      <w:r>
        <w:rPr>
          <w:rFonts w:ascii="Times New Roman" w:cs="Times New Roman" w:eastAsia="Times New Roman" w:hAnsi="Times New Roman"/>
          <w:sz w:val="16"/>
          <w:szCs w:val="16"/>
          <w:color w:val="auto"/>
        </w:rPr>
        <w:t xml:space="preserve">Executive Officers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its determination under Section 7.4.1 (Referral to the JSC) that a consensus cannot be reached. If a matter is referred to the Executive Officers under this Section 7.4.2 (Referral to Executive Officers), then the JSC will submit in writing to their respective Executive Officers the</w:t>
      </w:r>
    </w:p>
    <w:p>
      <w:pPr>
        <w:spacing w:after="0" w:line="1" w:lineRule="exact"/>
        <w:rPr>
          <w:sz w:val="20"/>
          <w:szCs w:val="20"/>
          <w:color w:val="auto"/>
        </w:rPr>
      </w:pPr>
    </w:p>
    <w:p>
      <w:pPr>
        <w:ind w:left="820"/>
        <w:spacing w:after="0" w:line="224" w:lineRule="auto"/>
        <w:rPr>
          <w:sz w:val="20"/>
          <w:szCs w:val="20"/>
          <w:color w:val="auto"/>
        </w:rPr>
      </w:pPr>
      <w:r>
        <w:rPr>
          <w:rFonts w:ascii="Times New Roman" w:cs="Times New Roman" w:eastAsia="Times New Roman" w:hAnsi="Times New Roman"/>
          <w:sz w:val="16"/>
          <w:szCs w:val="16"/>
          <w:color w:val="auto"/>
        </w:rPr>
        <w:t xml:space="preserve">respective positions of the Parties. Such Executive Officers will use good faith efforts to resolve such matter promptly, which good faith efforts will include at least one meeting between such Executive Officers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such chairperson’s submission of their respective positions on such matter to them.</w:t>
      </w:r>
    </w:p>
    <w:p>
      <w:pPr>
        <w:spacing w:after="0" w:line="114" w:lineRule="exact"/>
        <w:rPr>
          <w:sz w:val="20"/>
          <w:szCs w:val="20"/>
          <w:color w:val="auto"/>
        </w:rPr>
      </w:pPr>
    </w:p>
    <w:p>
      <w:pPr>
        <w:ind w:left="820" w:hanging="661"/>
        <w:spacing w:after="0" w:line="237" w:lineRule="auto"/>
        <w:tabs>
          <w:tab w:leader="none" w:pos="800" w:val="left"/>
        </w:tabs>
        <w:rPr>
          <w:sz w:val="20"/>
          <w:szCs w:val="20"/>
          <w:color w:val="auto"/>
        </w:rPr>
      </w:pPr>
      <w:r>
        <w:rPr>
          <w:rFonts w:ascii="Times New Roman" w:cs="Times New Roman" w:eastAsia="Times New Roman" w:hAnsi="Times New Roman"/>
          <w:sz w:val="16"/>
          <w:szCs w:val="16"/>
          <w:color w:val="auto"/>
        </w:rPr>
        <w:t>7.4.3.</w:t>
      </w:r>
      <w:r>
        <w:rPr>
          <w:sz w:val="20"/>
          <w:szCs w:val="20"/>
          <w:color w:val="auto"/>
        </w:rPr>
        <w:tab/>
      </w:r>
      <w:r>
        <w:rPr>
          <w:rFonts w:ascii="Times New Roman" w:cs="Times New Roman" w:eastAsia="Times New Roman" w:hAnsi="Times New Roman"/>
          <w:sz w:val="16"/>
          <w:szCs w:val="16"/>
          <w:b w:val="1"/>
          <w:bCs w:val="1"/>
          <w:color w:val="auto"/>
        </w:rPr>
        <w:t>Final Decision</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Making Authority</w:t>
      </w:r>
      <w:r>
        <w:rPr>
          <w:rFonts w:ascii="Times New Roman" w:cs="Times New Roman" w:eastAsia="Times New Roman" w:hAnsi="Times New Roman"/>
          <w:sz w:val="16"/>
          <w:szCs w:val="16"/>
          <w:color w:val="auto"/>
        </w:rPr>
        <w:t>. If the Executive Officers are unable to reach unanimous agreement on any such matter within</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after the meeting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between the Executive Officers, then, subject to Section 7.4.4 (Exercise of Decision-Making Authority), the following will apply:</w:t>
      </w:r>
    </w:p>
    <w:p>
      <w:pPr>
        <w:spacing w:after="0" w:line="114" w:lineRule="exact"/>
        <w:rPr>
          <w:sz w:val="20"/>
          <w:szCs w:val="20"/>
          <w:color w:val="auto"/>
        </w:rPr>
      </w:pPr>
    </w:p>
    <w:p>
      <w:pPr>
        <w:ind w:left="1320" w:hanging="504"/>
        <w:spacing w:after="0"/>
        <w:tabs>
          <w:tab w:leader="none" w:pos="132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escalated matter relates to a dispute over (i) whether the Futility Criteria have been met with respect to a CT Program or (ii)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then:</w:t>
      </w:r>
    </w:p>
    <w:p>
      <w:pPr>
        <w:spacing w:after="0" w:line="146" w:lineRule="exact"/>
        <w:rPr>
          <w:rFonts w:ascii="Times New Roman" w:cs="Times New Roman" w:eastAsia="Times New Roman" w:hAnsi="Times New Roman"/>
          <w:sz w:val="16"/>
          <w:szCs w:val="16"/>
          <w:color w:val="auto"/>
        </w:rPr>
      </w:pPr>
    </w:p>
    <w:p>
      <w:pPr>
        <w:jc w:val="both"/>
        <w:ind w:left="2340" w:hanging="505"/>
        <w:spacing w:after="0" w:line="221" w:lineRule="auto"/>
        <w:tabs>
          <w:tab w:leader="none" w:pos="2333" w:val="left"/>
        </w:tabs>
        <w:numPr>
          <w:ilvl w:val="2"/>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will appoint an independent Third Party expert having at least 15 years of pharmaceutical and biotechnology industry experience and such Third Party experts will appoint a third independent Third Party expert (the “</w:t>
      </w:r>
      <w:r>
        <w:rPr>
          <w:rFonts w:ascii="Times New Roman" w:cs="Times New Roman" w:eastAsia="Times New Roman" w:hAnsi="Times New Roman"/>
          <w:sz w:val="16"/>
          <w:szCs w:val="16"/>
          <w:b w:val="1"/>
          <w:bCs w:val="1"/>
          <w:color w:val="auto"/>
        </w:rPr>
        <w:t>Third Party Experts</w:t>
      </w:r>
      <w:r>
        <w:rPr>
          <w:rFonts w:ascii="Times New Roman" w:cs="Times New Roman" w:eastAsia="Times New Roman" w:hAnsi="Times New Roman"/>
          <w:sz w:val="16"/>
          <w:szCs w:val="16"/>
          <w:color w:val="auto"/>
        </w:rPr>
        <w:t>”) to resolve such matter;</w:t>
      </w:r>
    </w:p>
    <w:p>
      <w:pPr>
        <w:spacing w:after="0" w:line="126" w:lineRule="exact"/>
        <w:rPr>
          <w:rFonts w:ascii="Times New Roman" w:cs="Times New Roman" w:eastAsia="Times New Roman" w:hAnsi="Times New Roman"/>
          <w:sz w:val="16"/>
          <w:szCs w:val="16"/>
          <w:color w:val="auto"/>
        </w:rPr>
      </w:pPr>
    </w:p>
    <w:p>
      <w:pPr>
        <w:ind w:left="2340" w:hanging="505"/>
        <w:spacing w:after="0" w:line="237" w:lineRule="auto"/>
        <w:tabs>
          <w:tab w:leader="none" w:pos="2335" w:val="left"/>
        </w:tabs>
        <w:numPr>
          <w:ilvl w:val="2"/>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will be entitled,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appointment of the final Third Party Expert, to make a written submission to the Third Party Experts explaining the basis for such Party’s position;</w:t>
      </w:r>
    </w:p>
    <w:p>
      <w:pPr>
        <w:spacing w:after="0" w:line="114" w:lineRule="exact"/>
        <w:rPr>
          <w:rFonts w:ascii="Times New Roman" w:cs="Times New Roman" w:eastAsia="Times New Roman" w:hAnsi="Times New Roman"/>
          <w:sz w:val="16"/>
          <w:szCs w:val="16"/>
          <w:color w:val="auto"/>
        </w:rPr>
      </w:pPr>
    </w:p>
    <w:p>
      <w:pPr>
        <w:jc w:val="both"/>
        <w:ind w:left="2340" w:hanging="505"/>
        <w:spacing w:after="0" w:line="227" w:lineRule="auto"/>
        <w:tabs>
          <w:tab w:leader="none" w:pos="2335" w:val="left"/>
        </w:tabs>
        <w:numPr>
          <w:ilvl w:val="2"/>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Third Party Experts will render a decision on such matter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such Third Party Experts’ receipt of the last such written submission by the Parties, which decision (1) will be solely “yes” or “no” with respect to, as applicable, whether the Futility Criteria of such CT Program have been met or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and (2) will be final and binding on the Parties; and</w:t>
      </w:r>
    </w:p>
    <w:p>
      <w:pPr>
        <w:spacing w:after="0" w:line="114" w:lineRule="exact"/>
        <w:rPr>
          <w:rFonts w:ascii="Times New Roman" w:cs="Times New Roman" w:eastAsia="Times New Roman" w:hAnsi="Times New Roman"/>
          <w:sz w:val="16"/>
          <w:szCs w:val="16"/>
          <w:color w:val="auto"/>
        </w:rPr>
      </w:pPr>
    </w:p>
    <w:p>
      <w:pPr>
        <w:ind w:left="2340" w:hanging="505"/>
        <w:spacing w:after="0" w:line="237" w:lineRule="auto"/>
        <w:tabs>
          <w:tab w:leader="none" w:pos="2333" w:val="left"/>
        </w:tabs>
        <w:numPr>
          <w:ilvl w:val="2"/>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will be responsible for its own costs and expenses;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fees of the Third Party Experts will be borne by the Party against which the Third Party Experts decide;</w:t>
      </w:r>
    </w:p>
    <w:p>
      <w:pPr>
        <w:spacing w:after="0" w:line="126" w:lineRule="exact"/>
        <w:rPr>
          <w:rFonts w:ascii="Times New Roman" w:cs="Times New Roman" w:eastAsia="Times New Roman" w:hAnsi="Times New Roman"/>
          <w:sz w:val="16"/>
          <w:szCs w:val="16"/>
          <w:color w:val="auto"/>
        </w:rPr>
      </w:pPr>
    </w:p>
    <w:p>
      <w:pPr>
        <w:ind w:left="1320" w:hanging="504"/>
        <w:spacing w:after="0" w:line="229" w:lineRule="auto"/>
        <w:tabs>
          <w:tab w:leader="none" w:pos="131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escalated matter relates to the day-to-day operational aspects of activities assigned to Arrowhead under a Development Plan, then Arrowhead will have final decision-making authority with respect to such matter;</w:t>
      </w:r>
    </w:p>
    <w:p>
      <w:pPr>
        <w:spacing w:after="0" w:line="126" w:lineRule="exact"/>
        <w:rPr>
          <w:rFonts w:ascii="Times New Roman" w:cs="Times New Roman" w:eastAsia="Times New Roman" w:hAnsi="Times New Roman"/>
          <w:sz w:val="16"/>
          <w:szCs w:val="16"/>
          <w:color w:val="auto"/>
        </w:rPr>
      </w:pPr>
    </w:p>
    <w:p>
      <w:pPr>
        <w:jc w:val="both"/>
        <w:ind w:left="1320" w:hanging="504"/>
        <w:spacing w:after="0" w:line="242" w:lineRule="auto"/>
        <w:tabs>
          <w:tab w:leader="none" w:pos="1312"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escalated matter relates to approval of (i) Additional R&amp;D Activities to be performed by Arrowhead for a specific Program, (ii) an Additional R&amp;D Plan or (iii) any updates to an Additional R&amp;D Plan, in each case (i)-(iii) where approval of such activities, plan or updates thereto would (A)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or</w:t>
      </w:r>
    </w:p>
    <w:p>
      <w:pPr>
        <w:spacing w:after="0" w:line="1" w:lineRule="exact"/>
        <w:rPr>
          <w:rFonts w:ascii="Times New Roman" w:cs="Times New Roman" w:eastAsia="Times New Roman" w:hAnsi="Times New Roman"/>
          <w:sz w:val="14"/>
          <w:szCs w:val="14"/>
          <w:color w:val="auto"/>
        </w:rPr>
      </w:pPr>
    </w:p>
    <w:p>
      <w:pPr>
        <w:ind w:left="1580" w:hanging="255"/>
        <w:spacing w:after="0"/>
        <w:tabs>
          <w:tab w:leader="none" w:pos="1580" w:val="left"/>
        </w:tabs>
        <w:numPr>
          <w:ilvl w:val="1"/>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then, as applicable, no such Additional R&amp;D Activities will be performed or the then-current Additional R&amp;D Plan will continue to govern</w:t>
      </w:r>
    </w:p>
    <w:p>
      <w:pPr>
        <w:spacing w:after="0" w:line="3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920"/>
          </w:cols>
          <w:pgMar w:left="660" w:top="123" w:right="319" w:bottom="1440" w:gutter="0" w:footer="0" w:header="0"/>
        </w:sectPr>
      </w:pPr>
    </w:p>
    <w:bookmarkStart w:id="168" w:name="page169"/>
    <w:bookmarkEnd w:id="168"/>
    <w:p>
      <w:pPr>
        <w:ind w:left="2720" w:right="360" w:hanging="2360"/>
        <w:spacing w:after="0" w:line="290" w:lineRule="auto"/>
        <w:tabs>
          <w:tab w:leader="none" w:pos="696"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color w:val="auto"/>
        </w:rPr>
        <w:t>and control performance of the Additional R&amp;D Activities for the corresponding Program; and</w:t>
      </w:r>
    </w:p>
    <w:p>
      <w:pPr>
        <w:spacing w:after="0" w:line="145" w:lineRule="exact"/>
        <w:rPr>
          <w:sz w:val="20"/>
          <w:szCs w:val="20"/>
          <w:color w:val="auto"/>
        </w:rPr>
      </w:pPr>
    </w:p>
    <w:p>
      <w:pPr>
        <w:jc w:val="both"/>
        <w:ind w:left="1680" w:hanging="504"/>
        <w:spacing w:after="0" w:line="221" w:lineRule="auto"/>
        <w:tabs>
          <w:tab w:leader="none" w:pos="167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escalated matter relates to the establishing of any additional committees, subcommittees, working groups or other directed teams to oversee activities relating to the Licensed Compounds and Licensed Products under this Agreement, such committee, subcommittee, working group or other directed team, as applicable, shall not be established;</w:t>
      </w:r>
    </w:p>
    <w:p>
      <w:pPr>
        <w:spacing w:after="0" w:line="126" w:lineRule="exact"/>
        <w:rPr>
          <w:rFonts w:ascii="Times New Roman" w:cs="Times New Roman" w:eastAsia="Times New Roman" w:hAnsi="Times New Roman"/>
          <w:sz w:val="16"/>
          <w:szCs w:val="16"/>
          <w:color w:val="auto"/>
        </w:rPr>
      </w:pPr>
    </w:p>
    <w:p>
      <w:pPr>
        <w:ind w:left="1680" w:hanging="504"/>
        <w:spacing w:after="0"/>
        <w:tabs>
          <w:tab w:leader="none" w:pos="16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7.4.4 (Exercise of Decision-Making Authority),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7.4.4.</w:t>
      </w:r>
      <w:r>
        <w:rPr>
          <w:sz w:val="20"/>
          <w:szCs w:val="20"/>
          <w:color w:val="auto"/>
        </w:rPr>
        <w:tab/>
      </w:r>
      <w:r>
        <w:rPr>
          <w:rFonts w:ascii="Times New Roman" w:cs="Times New Roman" w:eastAsia="Times New Roman" w:hAnsi="Times New Roman"/>
          <w:sz w:val="14"/>
          <w:szCs w:val="14"/>
          <w:b w:val="1"/>
          <w:bCs w:val="1"/>
          <w:color w:val="auto"/>
        </w:rPr>
        <w:t>Exercise of Decision-Making Authority</w:t>
      </w:r>
      <w:r>
        <w:rPr>
          <w:rFonts w:ascii="Times New Roman" w:cs="Times New Roman" w:eastAsia="Times New Roman" w:hAnsi="Times New Roman"/>
          <w:sz w:val="14"/>
          <w:szCs w:val="14"/>
          <w:color w:val="auto"/>
        </w:rPr>
        <w:t>. No exercise of a Party’s decision-making authority on any matters may, without the other Party’s prior written consent,</w:t>
      </w:r>
    </w:p>
    <w:p>
      <w:pPr>
        <w:spacing w:after="0" w:line="2" w:lineRule="exact"/>
        <w:rPr>
          <w:sz w:val="20"/>
          <w:szCs w:val="20"/>
          <w:color w:val="auto"/>
        </w:rPr>
      </w:pPr>
    </w:p>
    <w:p>
      <w:pPr>
        <w:jc w:val="both"/>
        <w:ind w:left="1180" w:hanging="4"/>
        <w:spacing w:after="0" w:line="212" w:lineRule="auto"/>
        <w:tabs>
          <w:tab w:leader="none" w:pos="140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unilaterally waive its own compliance with, modify, or amend the terms or conditions of this Agreement; (b) otherwise conflict with this Agreement; (c) approve any initial Development Plan for the SNCA Program that would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(d) approve any initial Development Plan or any amendment to a Development Plan, in each case, that would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 approve any amendment to a Development Plan that would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or (f) result in a material change of the day-to-day use or operational allocation of such Person’s personnel, equipment, and resources.</w:t>
      </w:r>
    </w:p>
    <w:p>
      <w:pPr>
        <w:spacing w:after="0" w:line="126" w:lineRule="exact"/>
        <w:rPr>
          <w:sz w:val="20"/>
          <w:szCs w:val="20"/>
          <w:color w:val="auto"/>
        </w:rPr>
      </w:pPr>
    </w:p>
    <w:p>
      <w:pPr>
        <w:ind w:left="520" w:hanging="508"/>
        <w:spacing w:after="0" w:line="213"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7.5.</w:t>
      </w:r>
      <w:r>
        <w:rPr>
          <w:sz w:val="20"/>
          <w:szCs w:val="20"/>
          <w:color w:val="auto"/>
        </w:rPr>
        <w:tab/>
      </w:r>
      <w:r>
        <w:rPr>
          <w:rFonts w:ascii="Times New Roman" w:cs="Times New Roman" w:eastAsia="Times New Roman" w:hAnsi="Times New Roman"/>
          <w:sz w:val="16"/>
          <w:szCs w:val="16"/>
          <w:b w:val="1"/>
          <w:bCs w:val="1"/>
          <w:color w:val="auto"/>
        </w:rPr>
        <w:t>General Committee Authority</w:t>
      </w:r>
      <w:r>
        <w:rPr>
          <w:rFonts w:ascii="Times New Roman" w:cs="Times New Roman" w:eastAsia="Times New Roman" w:hAnsi="Times New Roman"/>
          <w:sz w:val="16"/>
          <w:szCs w:val="16"/>
          <w:color w:val="auto"/>
        </w:rPr>
        <w:t>. Each Committee has solely the powers expressly assigned to it in this Article 7 (Governance). No Committee will have any power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 modify, or waive the terms or conditions of this Agreement or compliance with the terms and conditions of this Agreement.</w:t>
      </w:r>
    </w:p>
    <w:p>
      <w:pPr>
        <w:spacing w:after="0" w:line="1" w:lineRule="exact"/>
        <w:rPr>
          <w:sz w:val="20"/>
          <w:szCs w:val="20"/>
          <w:color w:val="auto"/>
        </w:rPr>
      </w:pPr>
    </w:p>
    <w:p>
      <w:pPr>
        <w:ind w:left="520" w:hanging="515"/>
        <w:spacing w:after="0"/>
        <w:tabs>
          <w:tab w:leader="none" w:pos="520"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PAYMENTS</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8.1.   Upfront Payment</w:t>
      </w:r>
      <w:r>
        <w:rPr>
          <w:rFonts w:ascii="Times New Roman" w:cs="Times New Roman" w:eastAsia="Times New Roman" w:hAnsi="Times New Roman"/>
          <w:sz w:val="16"/>
          <w:szCs w:val="16"/>
          <w:color w:val="auto"/>
        </w:rPr>
        <w:t>. In consideration of the licenses and other rights granted to Novartis hereunder, within</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after receipt by Novartis of an invoice therefor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Arrowhead, which invoice shall be issued by Arrowhead no earlier than the Effective Date, Novartis will make an one-time, non-refundable and non-creditable upfront</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payment to Arrowhead of $200,000,000 via wire transfer of immediately available funds to a U.S. bank account that has been designated by Arrowhead prior to the Effective Date (the “</w:t>
      </w:r>
      <w:r>
        <w:rPr>
          <w:rFonts w:ascii="Times New Roman" w:cs="Times New Roman" w:eastAsia="Times New Roman" w:hAnsi="Times New Roman"/>
          <w:sz w:val="16"/>
          <w:szCs w:val="16"/>
          <w:b w:val="1"/>
          <w:bCs w:val="1"/>
          <w:color w:val="auto"/>
        </w:rPr>
        <w:t>Upfront Payment</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8.2.   CT Substitution Fee</w:t>
      </w:r>
      <w:r>
        <w:rPr>
          <w:rFonts w:ascii="Times New Roman" w:cs="Times New Roman" w:eastAsia="Times New Roman" w:hAnsi="Times New Roman"/>
          <w:sz w:val="16"/>
          <w:szCs w:val="16"/>
          <w:color w:val="auto"/>
        </w:rPr>
        <w:t>. Novartis will make a one-time, non-refundable and non-creditable payment to Arrowhead of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any Proposed Replacement Target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becomes a Collaboration Target under this Agreement pursuant to Novartis’ exercise of its rights under Section 3.1.2(b)(iii) (For Convenience) (the “</w:t>
      </w:r>
      <w:r>
        <w:rPr>
          <w:rFonts w:ascii="Times New Roman" w:cs="Times New Roman" w:eastAsia="Times New Roman" w:hAnsi="Times New Roman"/>
          <w:sz w:val="16"/>
          <w:szCs w:val="16"/>
          <w:b w:val="1"/>
          <w:bCs w:val="1"/>
          <w:color w:val="auto"/>
        </w:rPr>
        <w:t>CT Substitution</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b w:val="1"/>
          <w:bCs w:val="1"/>
          <w:color w:val="auto"/>
        </w:rPr>
        <w:t>Fee</w:t>
      </w:r>
      <w:r>
        <w:rPr>
          <w:rFonts w:ascii="Times New Roman" w:cs="Times New Roman" w:eastAsia="Times New Roman" w:hAnsi="Times New Roman"/>
          <w:sz w:val="14"/>
          <w:szCs w:val="14"/>
          <w:color w:val="auto"/>
        </w:rPr>
        <w:t>”), no later than</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after receipt by Novartis of an undisputed invoice for such CT Substitution Fee, with such invoice to be issued by Arrowhead on or promptly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following the date of Arrowhead’s receipt of the Collaboration Target Selection Notice from Novartis for such Proposed Replacement Target pursuant to Section 3.1.2(a)(iii)</w:t>
      </w:r>
    </w:p>
    <w:p>
      <w:pPr>
        <w:ind w:right="4880" w:firstLine="514"/>
        <w:spacing w:after="0" w:line="200" w:lineRule="auto"/>
        <w:tabs>
          <w:tab w:leader="none" w:pos="75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(Selection of Collaboration Target). For clarity, the CT Substitution Fee will be paid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8.3. Milestone Payments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1180" w:hanging="662"/>
        <w:spacing w:after="0" w:line="20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8.3.1.</w:t>
      </w:r>
      <w:r>
        <w:rPr>
          <w:rFonts w:ascii="Times New Roman" w:cs="Times New Roman" w:eastAsia="Times New Roman" w:hAnsi="Times New Roman"/>
          <w:sz w:val="16"/>
          <w:szCs w:val="16"/>
          <w:b w:val="1"/>
          <w:bCs w:val="1"/>
          <w:color w:val="auto"/>
        </w:rPr>
        <w:t>CT Programs Research Milestones</w:t>
      </w:r>
      <w:r>
        <w:rPr>
          <w:rFonts w:ascii="Times New Roman" w:cs="Times New Roman" w:eastAsia="Times New Roman" w:hAnsi="Times New Roman"/>
          <w:sz w:val="16"/>
          <w:szCs w:val="16"/>
          <w:color w:val="auto"/>
        </w:rPr>
        <w:t>. On a CT Program-by-CT Program basis, upon the LDC Nomination Date for such CT Program and Novartis’ confirmation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Arrowhead is to continue with the CT Program Research Activities to prepare the CTA Ready Data Package for the Lead Development Candidate as set forth in Section 3.1.2(e) (collectively, a “</w:t>
      </w:r>
      <w:r>
        <w:rPr>
          <w:rFonts w:ascii="Times New Roman" w:cs="Times New Roman" w:eastAsia="Times New Roman" w:hAnsi="Times New Roman"/>
          <w:sz w:val="16"/>
          <w:szCs w:val="16"/>
          <w:b w:val="1"/>
          <w:bCs w:val="1"/>
          <w:color w:val="auto"/>
        </w:rPr>
        <w:t>CTP Research Milestone Event</w:t>
      </w:r>
      <w:r>
        <w:rPr>
          <w:rFonts w:ascii="Times New Roman" w:cs="Times New Roman" w:eastAsia="Times New Roman" w:hAnsi="Times New Roman"/>
          <w:sz w:val="16"/>
          <w:szCs w:val="16"/>
          <w:color w:val="auto"/>
        </w:rPr>
        <w:t xml:space="preserve">”), Novartis will pay to Arrowhead a one-time, non-refundable, and non-creditable milestone payment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color w:val="auto"/>
        </w:rPr>
        <w:t>CTP Research Milestone Payment</w:t>
      </w:r>
      <w:r>
        <w:rPr>
          <w:rFonts w:ascii="Times New Roman" w:cs="Times New Roman" w:eastAsia="Times New Roman" w:hAnsi="Times New Roman"/>
          <w:sz w:val="16"/>
          <w:szCs w:val="16"/>
          <w:color w:val="auto"/>
        </w:rPr>
        <w:t xml:space="preserve">”)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receipt by Novartis of an invoice for such corresponding CTP Research Milestone Payment. For the avoidance of doubt, if an LDC Nomination Date occurs with respect to all CT Programs and Novartis confirms that Arrowhead is to continue with the CT Program Research Activities to prepare the CTA Ready Data Package for all such Lead Development Candidates, then the CTP Research Milestone Payments payable by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80"/>
          </w:cols>
          <w:pgMar w:left="300" w:top="123" w:right="319" w:bottom="1440" w:gutter="0" w:footer="0" w:header="0"/>
        </w:sectPr>
      </w:pPr>
    </w:p>
    <w:bookmarkStart w:id="169" w:name="page170"/>
    <w:bookmarkEnd w:id="169"/>
    <w:p>
      <w:pPr>
        <w:ind w:left="2720" w:right="380" w:hanging="2360"/>
        <w:spacing w:after="0" w:line="290" w:lineRule="auto"/>
        <w:tabs>
          <w:tab w:leader="none" w:pos="696"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Novartis under this Section 8.3.1 (CT Programs Research Milestones) will be a maximum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8.3.2.</w:t>
      </w:r>
      <w:r>
        <w:rPr>
          <w:sz w:val="20"/>
          <w:szCs w:val="20"/>
          <w:color w:val="auto"/>
        </w:rPr>
        <w:tab/>
      </w:r>
      <w:r>
        <w:rPr>
          <w:rFonts w:ascii="Times New Roman" w:cs="Times New Roman" w:eastAsia="Times New Roman" w:hAnsi="Times New Roman"/>
          <w:sz w:val="14"/>
          <w:szCs w:val="14"/>
          <w:b w:val="1"/>
          <w:bCs w:val="1"/>
          <w:color w:val="auto"/>
        </w:rPr>
        <w:t>Regulatory Milestones</w:t>
      </w:r>
      <w:r>
        <w:rPr>
          <w:rFonts w:ascii="Times New Roman" w:cs="Times New Roman" w:eastAsia="Times New Roman" w:hAnsi="Times New Roman"/>
          <w:sz w:val="14"/>
          <w:szCs w:val="14"/>
          <w:color w:val="auto"/>
        </w:rPr>
        <w:t>. On a Program-by-Program basis, Novartis will pay to Arrowhead one-time, non-refundable, and non-creditable milestone payments in</w:t>
      </w:r>
    </w:p>
    <w:p>
      <w:pPr>
        <w:spacing w:after="0" w:line="2" w:lineRule="exact"/>
        <w:rPr>
          <w:sz w:val="20"/>
          <w:szCs w:val="20"/>
          <w:color w:val="auto"/>
        </w:rPr>
      </w:pPr>
    </w:p>
    <w:p>
      <w:pPr>
        <w:ind w:left="1180" w:right="20"/>
        <w:spacing w:after="0" w:line="229" w:lineRule="auto"/>
        <w:rPr>
          <w:sz w:val="20"/>
          <w:szCs w:val="20"/>
          <w:color w:val="auto"/>
        </w:rPr>
      </w:pPr>
      <w:r>
        <w:rPr>
          <w:rFonts w:ascii="Times New Roman" w:cs="Times New Roman" w:eastAsia="Times New Roman" w:hAnsi="Times New Roman"/>
          <w:sz w:val="14"/>
          <w:szCs w:val="14"/>
          <w:color w:val="auto"/>
        </w:rPr>
        <w:t>accordance with Table 8.3.2 (Regulatory Milestones) below (each a “</w:t>
      </w:r>
      <w:r>
        <w:rPr>
          <w:rFonts w:ascii="Times New Roman" w:cs="Times New Roman" w:eastAsia="Times New Roman" w:hAnsi="Times New Roman"/>
          <w:sz w:val="14"/>
          <w:szCs w:val="14"/>
          <w:b w:val="1"/>
          <w:bCs w:val="1"/>
          <w:color w:val="auto"/>
        </w:rPr>
        <w:t>Regulatory Milestone Payment</w:t>
      </w:r>
      <w:r>
        <w:rPr>
          <w:rFonts w:ascii="Times New Roman" w:cs="Times New Roman" w:eastAsia="Times New Roman" w:hAnsi="Times New Roman"/>
          <w:sz w:val="14"/>
          <w:szCs w:val="14"/>
          <w:color w:val="auto"/>
        </w:rPr>
        <w:t>”) upon the first achievement by Novartis or its Affiliates or its or their Sublicensees of each of the applicable regulatory milestone events for the applicable Program as set forth in Table 8.3.2 (Regulatory Milestones) below</w:t>
      </w:r>
    </w:p>
    <w:p>
      <w:pPr>
        <w:ind w:left="1180" w:right="20"/>
        <w:spacing w:after="0" w:line="229" w:lineRule="auto"/>
        <w:rPr>
          <w:sz w:val="20"/>
          <w:szCs w:val="20"/>
          <w:color w:val="auto"/>
        </w:rPr>
      </w:pPr>
      <w:r>
        <w:rPr>
          <w:rFonts w:ascii="Times New Roman" w:cs="Times New Roman" w:eastAsia="Times New Roman" w:hAnsi="Times New Roman"/>
          <w:sz w:val="14"/>
          <w:szCs w:val="14"/>
          <w:color w:val="auto"/>
        </w:rPr>
        <w:t>(each a “</w:t>
      </w:r>
      <w:r>
        <w:rPr>
          <w:rFonts w:ascii="Times New Roman" w:cs="Times New Roman" w:eastAsia="Times New Roman" w:hAnsi="Times New Roman"/>
          <w:sz w:val="14"/>
          <w:szCs w:val="14"/>
          <w:b w:val="1"/>
          <w:bCs w:val="1"/>
          <w:color w:val="auto"/>
        </w:rPr>
        <w:t>Regulatory Milestone Event</w:t>
      </w:r>
      <w:r>
        <w:rPr>
          <w:rFonts w:ascii="Times New Roman" w:cs="Times New Roman" w:eastAsia="Times New Roman" w:hAnsi="Times New Roman"/>
          <w:sz w:val="14"/>
          <w:szCs w:val="14"/>
          <w:color w:val="auto"/>
        </w:rPr>
        <w:t>”) for the first Licensed Product that is the subject of such applicable Program to achieve such applicable Regulatory Milestone Event. For the avoidance of doubt, if Novartis or its Affiliates or their respective Sublicensees achieve all Regulatory Milestone Events with respect to</w:t>
      </w:r>
    </w:p>
    <w:p>
      <w:pPr>
        <w:jc w:val="both"/>
        <w:ind w:left="1180" w:right="20" w:hanging="4"/>
        <w:spacing w:after="0" w:line="229" w:lineRule="auto"/>
        <w:tabs>
          <w:tab w:leader="none" w:pos="139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Programs, then the Regulatory Milestone Payments payable by Novartis under this Section 8.3.2 (Regulatory Milestones) will be a maximum of $[***], (b) all CT Programs, then the Regulatory Milestone Payments payable by Novartis under this Section 8.3.2 (Regulatory Milestones) will be a maximum of $[***],</w:t>
      </w:r>
    </w:p>
    <w:p>
      <w:pPr>
        <w:jc w:val="both"/>
        <w:ind w:left="1180" w:right="20" w:hanging="4"/>
        <w:spacing w:after="0" w:line="218" w:lineRule="auto"/>
        <w:tabs>
          <w:tab w:leader="none" w:pos="1395"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SNCA Program, then the Regulatory Milestone Payments payable by Novartis under this Section 8.3.2 (Regulatory Milestones) with respect to the SNCA Program will be a maximum of $[***], and (d) a CT Program, then the Regulatory Milestone Payments payable by Novartis under this Section 8.3.2 (Regulatory Milestones) with respect to such CT Program will be a maximum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106680</wp:posOffset>
            </wp:positionV>
            <wp:extent cx="7168515" cy="12192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2">
                      <a:extLst>
                        <a:ext uri="{28A0092B-C50C-407E-A947-70E740481C1C}"/>
                      </a:extLst>
                    </a:blip>
                    <a:srcRect/>
                    <a:stretch>
                      <a:fillRect/>
                    </a:stretch>
                  </pic:blipFill>
                  <pic:spPr bwMode="auto">
                    <a:xfrm>
                      <a:off x="0" y="0"/>
                      <a:ext cx="7168515" cy="121920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8.3.2–Regulatory Milestones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Borders>
              <w:top w:val="single" w:sz="8" w:color="DEEAF6"/>
              <w:bottom w:val="single" w:sz="8" w:color="DEEAF6"/>
            </w:tcBorders>
            <w:shd w:val="clear" w:color="auto" w:fill="DEEAF6"/>
          </w:tcPr>
          <w:p>
            <w:pPr>
              <w:spacing w:after="0"/>
              <w:rPr>
                <w:sz w:val="17"/>
                <w:szCs w:val="17"/>
                <w:color w:val="auto"/>
              </w:rPr>
            </w:pPr>
          </w:p>
        </w:tc>
        <w:tc>
          <w:tcPr>
            <w:tcW w:w="1640" w:type="dxa"/>
            <w:vAlign w:val="bottom"/>
            <w:tcBorders>
              <w:top w:val="single" w:sz="8" w:color="auto"/>
              <w:bottom w:val="single" w:sz="8" w:color="DEEAF6"/>
            </w:tcBorders>
            <w:shd w:val="clear" w:color="auto" w:fill="DEEAF6"/>
          </w:tcPr>
          <w:p>
            <w:pPr>
              <w:spacing w:after="0"/>
              <w:rPr>
                <w:sz w:val="17"/>
                <w:szCs w:val="17"/>
                <w:color w:val="auto"/>
              </w:rPr>
            </w:pPr>
          </w:p>
        </w:tc>
        <w:tc>
          <w:tcPr>
            <w:tcW w:w="6000" w:type="dxa"/>
            <w:vAlign w:val="bottom"/>
            <w:tcBorders>
              <w:top w:val="single" w:sz="8" w:color="auto"/>
              <w:bottom w:val="single" w:sz="8" w:color="DEEAF6"/>
              <w:right w:val="single" w:sz="8" w:color="auto"/>
            </w:tcBorders>
            <w:shd w:val="clear" w:color="auto" w:fill="DEEAF6"/>
          </w:tcPr>
          <w:p>
            <w:pPr>
              <w:spacing w:after="0"/>
              <w:rPr>
                <w:sz w:val="17"/>
                <w:szCs w:val="17"/>
                <w:color w:val="auto"/>
              </w:rPr>
            </w:pPr>
          </w:p>
        </w:tc>
        <w:tc>
          <w:tcPr>
            <w:tcW w:w="2040" w:type="dxa"/>
            <w:vAlign w:val="bottom"/>
            <w:tcBorders>
              <w:top w:val="single" w:sz="8" w:color="auto"/>
              <w:bottom w:val="single" w:sz="8" w:color="auto"/>
            </w:tcBorders>
            <w:gridSpan w:val="2"/>
            <w:shd w:val="clear" w:color="auto" w:fill="DEEAF6"/>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Regulatory Milestone Payment</w:t>
            </w:r>
          </w:p>
        </w:tc>
        <w:tc>
          <w:tcPr>
            <w:tcW w:w="1580" w:type="dxa"/>
            <w:vAlign w:val="bottom"/>
            <w:tcBorders>
              <w:top w:val="single" w:sz="8" w:color="auto"/>
              <w:bottom w:val="single" w:sz="8" w:color="auto"/>
            </w:tcBorders>
            <w:shd w:val="clear" w:color="auto" w:fill="DEEAF6"/>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DEEAF6"/>
          </w:tcPr>
          <w:p>
            <w:pPr>
              <w:spacing w:after="0"/>
              <w:rPr>
                <w:sz w:val="16"/>
                <w:szCs w:val="16"/>
                <w:color w:val="auto"/>
              </w:rPr>
            </w:pPr>
          </w:p>
        </w:tc>
        <w:tc>
          <w:tcPr>
            <w:tcW w:w="1640" w:type="dxa"/>
            <w:vAlign w:val="bottom"/>
            <w:shd w:val="clear" w:color="auto" w:fill="DEEAF6"/>
          </w:tcPr>
          <w:p>
            <w:pPr>
              <w:spacing w:after="0"/>
              <w:rPr>
                <w:sz w:val="16"/>
                <w:szCs w:val="16"/>
                <w:color w:val="auto"/>
              </w:rPr>
            </w:pPr>
          </w:p>
        </w:tc>
        <w:tc>
          <w:tcPr>
            <w:tcW w:w="6000" w:type="dxa"/>
            <w:vAlign w:val="bottom"/>
            <w:tcBorders>
              <w:right w:val="single" w:sz="8" w:color="auto"/>
            </w:tcBorders>
            <w:shd w:val="clear" w:color="auto" w:fill="DEEAF6"/>
          </w:tcPr>
          <w:p>
            <w:pPr>
              <w:ind w:left="1280"/>
              <w:spacing w:after="0"/>
              <w:rPr>
                <w:sz w:val="20"/>
                <w:szCs w:val="20"/>
                <w:color w:val="auto"/>
              </w:rPr>
            </w:pPr>
            <w:r>
              <w:rPr>
                <w:rFonts w:ascii="Times New Roman" w:cs="Times New Roman" w:eastAsia="Times New Roman" w:hAnsi="Times New Roman"/>
                <w:sz w:val="16"/>
                <w:szCs w:val="16"/>
                <w:b w:val="1"/>
                <w:bCs w:val="1"/>
                <w:i w:val="1"/>
                <w:iCs w:val="1"/>
                <w:color w:val="auto"/>
              </w:rPr>
              <w:t>Regulatory Milestone Event</w:t>
            </w:r>
          </w:p>
        </w:tc>
        <w:tc>
          <w:tcPr>
            <w:tcW w:w="182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SNCA Program</w:t>
            </w:r>
          </w:p>
        </w:tc>
        <w:tc>
          <w:tcPr>
            <w:tcW w:w="220" w:type="dxa"/>
            <w:vAlign w:val="bottom"/>
            <w:shd w:val="clear" w:color="auto" w:fill="DBE5F1"/>
          </w:tcPr>
          <w:p>
            <w:pPr>
              <w:spacing w:after="0"/>
              <w:rPr>
                <w:sz w:val="16"/>
                <w:szCs w:val="16"/>
                <w:color w:val="auto"/>
              </w:rPr>
            </w:pPr>
          </w:p>
        </w:tc>
        <w:tc>
          <w:tcPr>
            <w:tcW w:w="1580" w:type="dxa"/>
            <w:vAlign w:val="bottom"/>
            <w:vMerge w:val="restart"/>
            <w:shd w:val="clear" w:color="auto" w:fill="DBE5F1"/>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Each CT Program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20" w:type="dxa"/>
            <w:vAlign w:val="bottom"/>
            <w:shd w:val="clear" w:color="auto" w:fill="DEEAF6"/>
          </w:tcPr>
          <w:p>
            <w:pPr>
              <w:spacing w:after="0"/>
              <w:rPr>
                <w:sz w:val="8"/>
                <w:szCs w:val="8"/>
                <w:color w:val="auto"/>
              </w:rPr>
            </w:pPr>
          </w:p>
        </w:tc>
        <w:tc>
          <w:tcPr>
            <w:tcW w:w="1640" w:type="dxa"/>
            <w:vAlign w:val="bottom"/>
            <w:shd w:val="clear" w:color="auto" w:fill="DEEAF6"/>
          </w:tcPr>
          <w:p>
            <w:pPr>
              <w:spacing w:after="0"/>
              <w:rPr>
                <w:sz w:val="8"/>
                <w:szCs w:val="8"/>
                <w:color w:val="auto"/>
              </w:rPr>
            </w:pPr>
          </w:p>
        </w:tc>
        <w:tc>
          <w:tcPr>
            <w:tcW w:w="6000" w:type="dxa"/>
            <w:vAlign w:val="bottom"/>
            <w:tcBorders>
              <w:right w:val="single" w:sz="8" w:color="auto"/>
            </w:tcBorders>
            <w:shd w:val="clear" w:color="auto" w:fill="DEEAF6"/>
          </w:tcPr>
          <w:p>
            <w:pPr>
              <w:spacing w:after="0"/>
              <w:rPr>
                <w:sz w:val="8"/>
                <w:szCs w:val="8"/>
                <w:color w:val="auto"/>
              </w:rPr>
            </w:pPr>
          </w:p>
        </w:tc>
        <w:tc>
          <w:tcPr>
            <w:tcW w:w="1820" w:type="dxa"/>
            <w:vAlign w:val="bottom"/>
            <w:tcBorders>
              <w:right w:val="single" w:sz="8" w:color="auto"/>
            </w:tcBorders>
            <w:vMerge w:val="continue"/>
            <w:shd w:val="clear" w:color="auto" w:fill="DBE5F1"/>
          </w:tcPr>
          <w:p>
            <w:pPr>
              <w:spacing w:after="0"/>
              <w:rPr>
                <w:sz w:val="8"/>
                <w:szCs w:val="8"/>
                <w:color w:val="auto"/>
              </w:rPr>
            </w:pPr>
          </w:p>
        </w:tc>
        <w:tc>
          <w:tcPr>
            <w:tcW w:w="220" w:type="dxa"/>
            <w:vAlign w:val="bottom"/>
            <w:shd w:val="clear" w:color="auto" w:fill="DBE5F1"/>
          </w:tcPr>
          <w:p>
            <w:pPr>
              <w:spacing w:after="0"/>
              <w:rPr>
                <w:sz w:val="8"/>
                <w:szCs w:val="8"/>
                <w:color w:val="auto"/>
              </w:rPr>
            </w:pPr>
          </w:p>
        </w:tc>
        <w:tc>
          <w:tcPr>
            <w:tcW w:w="1580" w:type="dxa"/>
            <w:vAlign w:val="bottom"/>
            <w:vMerge w:val="continue"/>
            <w:shd w:val="clear" w:color="auto" w:fill="DBE5F1"/>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shd w:val="clear" w:color="auto" w:fill="DEEAF6"/>
          </w:tcPr>
          <w:p>
            <w:pPr>
              <w:spacing w:after="0"/>
              <w:rPr>
                <w:sz w:val="9"/>
                <w:szCs w:val="9"/>
                <w:color w:val="auto"/>
              </w:rPr>
            </w:pPr>
          </w:p>
        </w:tc>
        <w:tc>
          <w:tcPr>
            <w:tcW w:w="1640" w:type="dxa"/>
            <w:vAlign w:val="bottom"/>
            <w:tcBorders>
              <w:bottom w:val="single" w:sz="8" w:color="auto"/>
            </w:tcBorders>
            <w:shd w:val="clear" w:color="auto" w:fill="DEEAF6"/>
          </w:tcPr>
          <w:p>
            <w:pPr>
              <w:spacing w:after="0"/>
              <w:rPr>
                <w:sz w:val="9"/>
                <w:szCs w:val="9"/>
                <w:color w:val="auto"/>
              </w:rPr>
            </w:pPr>
          </w:p>
        </w:tc>
        <w:tc>
          <w:tcPr>
            <w:tcW w:w="6000" w:type="dxa"/>
            <w:vAlign w:val="bottom"/>
            <w:tcBorders>
              <w:bottom w:val="single" w:sz="8" w:color="auto"/>
              <w:right w:val="single" w:sz="8" w:color="auto"/>
            </w:tcBorders>
            <w:shd w:val="clear" w:color="auto" w:fill="DEEAF6"/>
          </w:tcPr>
          <w:p>
            <w:pPr>
              <w:spacing w:after="0"/>
              <w:rPr>
                <w:sz w:val="9"/>
                <w:szCs w:val="9"/>
                <w:color w:val="auto"/>
              </w:rPr>
            </w:pPr>
          </w:p>
        </w:tc>
        <w:tc>
          <w:tcPr>
            <w:tcW w:w="1820" w:type="dxa"/>
            <w:vAlign w:val="bottom"/>
            <w:tcBorders>
              <w:bottom w:val="single" w:sz="8" w:color="auto"/>
              <w:right w:val="single" w:sz="8" w:color="auto"/>
            </w:tcBorders>
            <w:shd w:val="clear" w:color="auto" w:fill="DBE5F1"/>
          </w:tcPr>
          <w:p>
            <w:pPr>
              <w:spacing w:after="0"/>
              <w:rPr>
                <w:sz w:val="9"/>
                <w:szCs w:val="9"/>
                <w:color w:val="auto"/>
              </w:rPr>
            </w:pPr>
          </w:p>
        </w:tc>
        <w:tc>
          <w:tcPr>
            <w:tcW w:w="220" w:type="dxa"/>
            <w:vAlign w:val="bottom"/>
            <w:tcBorders>
              <w:bottom w:val="single" w:sz="8" w:color="auto"/>
            </w:tcBorders>
            <w:shd w:val="clear" w:color="auto" w:fill="DBE5F1"/>
          </w:tcPr>
          <w:p>
            <w:pPr>
              <w:spacing w:after="0"/>
              <w:rPr>
                <w:sz w:val="9"/>
                <w:szCs w:val="9"/>
                <w:color w:val="auto"/>
              </w:rPr>
            </w:pPr>
          </w:p>
        </w:tc>
        <w:tc>
          <w:tcPr>
            <w:tcW w:w="1580" w:type="dxa"/>
            <w:vAlign w:val="bottom"/>
            <w:tcBorders>
              <w:bottom w:val="single" w:sz="8" w:color="auto"/>
            </w:tcBorders>
            <w:shd w:val="clear" w:color="auto" w:fill="DBE5F1"/>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b w:val="1"/>
                <w:bCs w:val="1"/>
                <w:color w:val="auto"/>
              </w:rPr>
              <w:t>[***]</w:t>
            </w:r>
          </w:p>
        </w:tc>
        <w:tc>
          <w:tcPr>
            <w:tcW w:w="60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b w:val="1"/>
                <w:bCs w:val="1"/>
                <w:color w:val="auto"/>
              </w:rPr>
              <w:t>[***]</w:t>
            </w:r>
          </w:p>
        </w:tc>
        <w:tc>
          <w:tcPr>
            <w:tcW w:w="60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b w:val="1"/>
                <w:bCs w:val="1"/>
                <w:color w:val="auto"/>
              </w:rPr>
              <w:t>[***]</w:t>
            </w:r>
          </w:p>
        </w:tc>
        <w:tc>
          <w:tcPr>
            <w:tcW w:w="60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b w:val="1"/>
                <w:bCs w:val="1"/>
                <w:color w:val="auto"/>
              </w:rPr>
              <w:t>[***]</w:t>
            </w:r>
          </w:p>
        </w:tc>
        <w:tc>
          <w:tcPr>
            <w:tcW w:w="60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40" w:type="dxa"/>
            <w:vAlign w:val="bottom"/>
            <w:tcBorders>
              <w:bottom w:val="single" w:sz="8" w:color="auto"/>
            </w:tcBorders>
          </w:tcPr>
          <w:p>
            <w:pPr>
              <w:jc w:val="right"/>
              <w:ind w:right="1182"/>
              <w:spacing w:after="0"/>
              <w:rPr>
                <w:sz w:val="20"/>
                <w:szCs w:val="20"/>
                <w:color w:val="auto"/>
              </w:rPr>
            </w:pPr>
            <w:r>
              <w:rPr>
                <w:rFonts w:ascii="Times New Roman" w:cs="Times New Roman" w:eastAsia="Times New Roman" w:hAnsi="Times New Roman"/>
                <w:sz w:val="16"/>
                <w:szCs w:val="16"/>
                <w:b w:val="1"/>
                <w:bCs w:val="1"/>
                <w:color w:val="auto"/>
              </w:rPr>
              <w:t>[***]</w:t>
            </w:r>
          </w:p>
        </w:tc>
        <w:tc>
          <w:tcPr>
            <w:tcW w:w="600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left="1020" w:right="20"/>
        <w:spacing w:after="0" w:line="286" w:lineRule="auto"/>
        <w:rPr>
          <w:sz w:val="20"/>
          <w:szCs w:val="20"/>
          <w:color w:val="auto"/>
        </w:rPr>
      </w:pPr>
      <w:r>
        <w:rPr>
          <w:rFonts w:ascii="Times New Roman" w:cs="Times New Roman" w:eastAsia="Times New Roman" w:hAnsi="Times New Roman"/>
          <w:sz w:val="14"/>
          <w:szCs w:val="14"/>
          <w:color w:val="auto"/>
        </w:rPr>
        <w:t xml:space="preserve">Novartis will notify Arrowhead in writing of the achievement of a Regulatory Milestone Event 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its occurrence or, if achieved by an Affiliate or a Sublicensee, after Novartis becoming aware of the achievement thereof, and pay to Arrowhead the corresponding Regulatory Milestone Payment no later than</w:t>
      </w:r>
    </w:p>
    <w:p>
      <w:pPr>
        <w:spacing w:after="0" w:line="1" w:lineRule="exact"/>
        <w:rPr>
          <w:sz w:val="20"/>
          <w:szCs w:val="20"/>
          <w:color w:val="auto"/>
        </w:rPr>
      </w:pPr>
    </w:p>
    <w:p>
      <w:pPr>
        <w:ind w:left="520" w:right="2980" w:firstLine="503"/>
        <w:spacing w:after="0" w:line="435" w:lineRule="auto"/>
        <w:tabs>
          <w:tab w:leader="none" w:pos="1405" w:val="left"/>
        </w:tabs>
        <w:numPr>
          <w:ilvl w:val="0"/>
          <w:numId w:val="1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after receipt by Novartis of an invoice from Arrowhead for such corresponding Regulatory Milestone Payment. 8.3.3. </w:t>
      </w:r>
      <w:r>
        <w:rPr>
          <w:rFonts w:ascii="Times New Roman" w:cs="Times New Roman" w:eastAsia="Times New Roman" w:hAnsi="Times New Roman"/>
          <w:sz w:val="16"/>
          <w:szCs w:val="16"/>
          <w:b w:val="1"/>
          <w:bCs w:val="1"/>
          <w:color w:val="auto"/>
        </w:rPr>
        <w:t>Sales Milestones</w:t>
      </w:r>
      <w:r>
        <w:rPr>
          <w:rFonts w:ascii="Times New Roman" w:cs="Times New Roman" w:eastAsia="Times New Roman" w:hAnsi="Times New Roman"/>
          <w:sz w:val="16"/>
          <w:szCs w:val="16"/>
          <w:color w:val="auto"/>
        </w:rPr>
        <w:t>.</w:t>
      </w:r>
    </w:p>
    <w:p>
      <w:pPr>
        <w:jc w:val="both"/>
        <w:ind w:left="1020" w:right="20"/>
        <w:spacing w:after="0" w:line="254" w:lineRule="auto"/>
        <w:rPr>
          <w:sz w:val="20"/>
          <w:szCs w:val="20"/>
          <w:color w:val="auto"/>
        </w:rPr>
      </w:pPr>
      <w:r>
        <w:rPr>
          <w:rFonts w:ascii="Times New Roman" w:cs="Times New Roman" w:eastAsia="Times New Roman" w:hAnsi="Times New Roman"/>
          <w:sz w:val="16"/>
          <w:szCs w:val="16"/>
          <w:color w:val="auto"/>
        </w:rPr>
        <w:t>On a Program-by-Program and Licensed Product-by-Licensed Product basis, Novartis will make non-refundable and non-creditable milestone payments to Arrowhead in accordance with Table 8.3.3 (Sales Milestones) (each a “</w:t>
      </w:r>
      <w:r>
        <w:rPr>
          <w:rFonts w:ascii="Times New Roman" w:cs="Times New Roman" w:eastAsia="Times New Roman" w:hAnsi="Times New Roman"/>
          <w:sz w:val="16"/>
          <w:szCs w:val="16"/>
          <w:b w:val="1"/>
          <w:bCs w:val="1"/>
          <w:color w:val="auto"/>
        </w:rPr>
        <w:t>Sales Milestone Payment</w:t>
      </w:r>
      <w:r>
        <w:rPr>
          <w:rFonts w:ascii="Times New Roman" w:cs="Times New Roman" w:eastAsia="Times New Roman" w:hAnsi="Times New Roman"/>
          <w:sz w:val="16"/>
          <w:szCs w:val="16"/>
          <w:color w:val="auto"/>
        </w:rPr>
        <w:t>”) upon the first achievement by Novartis or its Affiliates or its or their Sublicensees of each</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300"/>
          </w:cols>
          <w:pgMar w:left="300" w:top="123" w:right="299" w:bottom="1440" w:gutter="0" w:footer="0" w:header="0"/>
        </w:sectPr>
      </w:pPr>
    </w:p>
    <w:bookmarkStart w:id="170" w:name="page171"/>
    <w:bookmarkEnd w:id="170"/>
    <w:p>
      <w:pPr>
        <w:ind w:left="2720" w:right="380" w:hanging="2360"/>
        <w:spacing w:after="0" w:line="290" w:lineRule="auto"/>
        <w:tabs>
          <w:tab w:leader="none" w:pos="696"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020" w:right="20"/>
        <w:spacing w:after="0" w:line="248" w:lineRule="auto"/>
        <w:rPr>
          <w:sz w:val="20"/>
          <w:szCs w:val="20"/>
          <w:color w:val="auto"/>
        </w:rPr>
      </w:pPr>
      <w:r>
        <w:rPr>
          <w:rFonts w:ascii="Times New Roman" w:cs="Times New Roman" w:eastAsia="Times New Roman" w:hAnsi="Times New Roman"/>
          <w:sz w:val="16"/>
          <w:szCs w:val="16"/>
          <w:color w:val="auto"/>
        </w:rPr>
        <w:t>of the sales milestone events set forth in Table 8.3.3 (Sales Milestones) below for each such Licensed Product of such Program (each a “</w:t>
      </w:r>
      <w:r>
        <w:rPr>
          <w:rFonts w:ascii="Times New Roman" w:cs="Times New Roman" w:eastAsia="Times New Roman" w:hAnsi="Times New Roman"/>
          <w:sz w:val="16"/>
          <w:szCs w:val="16"/>
          <w:b w:val="1"/>
          <w:bCs w:val="1"/>
          <w:color w:val="auto"/>
        </w:rPr>
        <w:t>Sales Milestone Event</w:t>
      </w:r>
      <w:r>
        <w:rPr>
          <w:rFonts w:ascii="Times New Roman" w:cs="Times New Roman" w:eastAsia="Times New Roman" w:hAnsi="Times New Roman"/>
          <w:sz w:val="16"/>
          <w:szCs w:val="16"/>
          <w:color w:val="auto"/>
        </w:rPr>
        <w:t>”) with respect to the aggregate annual Net Sales of each such Licensed Product in the Territory. For the avoidance of doubt, if Novartis or its Affiliates or their respective Sublicensees achieve all Sales Milestone Events with respect to (a) a Licensed SNCA Product of the SNCA Program, then the Sales Milestone Payments payable by Novartis under this Section 8.3.3 (Sales Milestones) for such Licensed SNCA Product will be a maximum of $[***], and (b) a Licensed CT Product of a CT Program, then the Sales Milestone Payments payable by Novartis under this Section 8.3.3 (Sales Milestones) for such Licensed CT Product will be a maximum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68515" cy="1084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3">
                      <a:extLst>
                        <a:ext uri="{28A0092B-C50C-407E-A947-70E740481C1C}"/>
                      </a:extLst>
                    </a:blip>
                    <a:srcRect/>
                    <a:stretch>
                      <a:fillRect/>
                    </a:stretch>
                  </pic:blipFill>
                  <pic:spPr bwMode="auto">
                    <a:xfrm>
                      <a:off x="0" y="0"/>
                      <a:ext cx="7168515" cy="108458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8.3.3 –Sales Milestones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Borders>
              <w:top w:val="single" w:sz="8" w:color="DEEAF6"/>
              <w:bottom w:val="single" w:sz="8" w:color="DBE5F1"/>
            </w:tcBorders>
            <w:shd w:val="clear" w:color="auto" w:fill="DEEAF6"/>
          </w:tcPr>
          <w:p>
            <w:pPr>
              <w:spacing w:after="0"/>
              <w:rPr>
                <w:sz w:val="17"/>
                <w:szCs w:val="17"/>
                <w:color w:val="auto"/>
              </w:rPr>
            </w:pPr>
          </w:p>
        </w:tc>
        <w:tc>
          <w:tcPr>
            <w:tcW w:w="900" w:type="dxa"/>
            <w:vAlign w:val="bottom"/>
            <w:tcBorders>
              <w:top w:val="single" w:sz="8" w:color="auto"/>
              <w:bottom w:val="single" w:sz="8" w:color="DBE5F1"/>
            </w:tcBorders>
            <w:shd w:val="clear" w:color="auto" w:fill="DEEAF6"/>
          </w:tcPr>
          <w:p>
            <w:pPr>
              <w:spacing w:after="0"/>
              <w:rPr>
                <w:sz w:val="17"/>
                <w:szCs w:val="17"/>
                <w:color w:val="auto"/>
              </w:rPr>
            </w:pPr>
          </w:p>
        </w:tc>
        <w:tc>
          <w:tcPr>
            <w:tcW w:w="3360" w:type="dxa"/>
            <w:vAlign w:val="bottom"/>
            <w:tcBorders>
              <w:top w:val="single" w:sz="8" w:color="auto"/>
              <w:bottom w:val="single" w:sz="8" w:color="DBE5F1"/>
              <w:right w:val="single" w:sz="8" w:color="auto"/>
            </w:tcBorders>
            <w:shd w:val="clear" w:color="auto" w:fill="DEEAF6"/>
          </w:tcPr>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Sales Milestone Event</w:t>
            </w:r>
          </w:p>
        </w:tc>
        <w:tc>
          <w:tcPr>
            <w:tcW w:w="2700" w:type="dxa"/>
            <w:vAlign w:val="bottom"/>
            <w:tcBorders>
              <w:top w:val="single" w:sz="8" w:color="auto"/>
              <w:bottom w:val="single" w:sz="8" w:color="auto"/>
            </w:tcBorders>
            <w:shd w:val="clear" w:color="auto" w:fill="DEEAF6"/>
          </w:tcPr>
          <w:p>
            <w:pPr>
              <w:spacing w:after="0"/>
              <w:rPr>
                <w:sz w:val="17"/>
                <w:szCs w:val="17"/>
                <w:color w:val="auto"/>
              </w:rPr>
            </w:pPr>
          </w:p>
        </w:tc>
        <w:tc>
          <w:tcPr>
            <w:tcW w:w="4300" w:type="dxa"/>
            <w:vAlign w:val="bottom"/>
            <w:tcBorders>
              <w:top w:val="single" w:sz="8" w:color="auto"/>
              <w:bottom w:val="single" w:sz="8" w:color="auto"/>
            </w:tcBorders>
            <w:gridSpan w:val="2"/>
            <w:shd w:val="clear" w:color="auto" w:fill="DEEAF6"/>
          </w:tcPr>
          <w:p>
            <w:pPr>
              <w:spacing w:after="0"/>
              <w:rPr>
                <w:sz w:val="20"/>
                <w:szCs w:val="20"/>
                <w:color w:val="auto"/>
              </w:rPr>
            </w:pPr>
            <w:r>
              <w:rPr>
                <w:rFonts w:ascii="Times New Roman" w:cs="Times New Roman" w:eastAsia="Times New Roman" w:hAnsi="Times New Roman"/>
                <w:sz w:val="16"/>
                <w:szCs w:val="16"/>
                <w:b w:val="1"/>
                <w:bCs w:val="1"/>
                <w:i w:val="1"/>
                <w:iCs w:val="1"/>
                <w:color w:val="auto"/>
              </w:rPr>
              <w:t>Sales Milestone Payment</w:t>
            </w:r>
          </w:p>
        </w:tc>
        <w:tc>
          <w:tcPr>
            <w:tcW w:w="20" w:type="dxa"/>
            <w:vAlign w:val="bottom"/>
            <w:tcBorders>
              <w:top w:val="single" w:sz="8" w:color="auto"/>
              <w:bottom w:val="single" w:sz="8" w:color="auto"/>
            </w:tcBorders>
          </w:tcPr>
          <w:p>
            <w:pPr>
              <w:spacing w:after="0"/>
              <w:rPr>
                <w:sz w:val="17"/>
                <w:szCs w:val="17"/>
                <w:color w:val="auto"/>
              </w:rPr>
            </w:pPr>
          </w:p>
        </w:tc>
      </w:tr>
      <w:tr>
        <w:trPr>
          <w:trHeight w:val="192"/>
        </w:trPr>
        <w:tc>
          <w:tcPr>
            <w:tcW w:w="20" w:type="dxa"/>
            <w:vAlign w:val="bottom"/>
            <w:shd w:val="clear" w:color="auto" w:fill="DBE5F1"/>
          </w:tcPr>
          <w:p>
            <w:pPr>
              <w:spacing w:after="0"/>
              <w:rPr>
                <w:sz w:val="16"/>
                <w:szCs w:val="16"/>
                <w:color w:val="auto"/>
              </w:rPr>
            </w:pPr>
          </w:p>
        </w:tc>
        <w:tc>
          <w:tcPr>
            <w:tcW w:w="900" w:type="dxa"/>
            <w:vAlign w:val="bottom"/>
            <w:tcBorders>
              <w:bottom w:val="single" w:sz="8" w:color="auto"/>
            </w:tcBorders>
            <w:shd w:val="clear" w:color="auto" w:fill="DBE5F1"/>
          </w:tcPr>
          <w:p>
            <w:pPr>
              <w:spacing w:after="0"/>
              <w:rPr>
                <w:sz w:val="16"/>
                <w:szCs w:val="16"/>
                <w:color w:val="auto"/>
              </w:rPr>
            </w:pPr>
          </w:p>
        </w:tc>
        <w:tc>
          <w:tcPr>
            <w:tcW w:w="3360" w:type="dxa"/>
            <w:vAlign w:val="bottom"/>
            <w:tcBorders>
              <w:bottom w:val="single" w:sz="8" w:color="auto"/>
              <w:right w:val="single" w:sz="8" w:color="auto"/>
            </w:tcBorders>
            <w:shd w:val="clear" w:color="auto" w:fill="DBE5F1"/>
          </w:tcPr>
          <w:p>
            <w:pPr>
              <w:spacing w:after="0"/>
              <w:rPr>
                <w:sz w:val="16"/>
                <w:szCs w:val="16"/>
                <w:color w:val="auto"/>
              </w:rPr>
            </w:pPr>
          </w:p>
        </w:tc>
        <w:tc>
          <w:tcPr>
            <w:tcW w:w="2700" w:type="dxa"/>
            <w:vAlign w:val="bottom"/>
            <w:tcBorders>
              <w:bottom w:val="single" w:sz="8" w:color="auto"/>
            </w:tcBorders>
            <w:shd w:val="clear" w:color="auto" w:fill="DBE5F1"/>
          </w:tcPr>
          <w:p>
            <w:pPr>
              <w:jc w:val="center"/>
              <w:ind w:left="1542"/>
              <w:spacing w:after="0"/>
              <w:rPr>
                <w:sz w:val="20"/>
                <w:szCs w:val="20"/>
                <w:color w:val="auto"/>
              </w:rPr>
            </w:pPr>
            <w:r>
              <w:rPr>
                <w:rFonts w:ascii="Times New Roman" w:cs="Times New Roman" w:eastAsia="Times New Roman" w:hAnsi="Times New Roman"/>
                <w:sz w:val="16"/>
                <w:szCs w:val="16"/>
                <w:b w:val="1"/>
                <w:bCs w:val="1"/>
                <w:color w:val="auto"/>
                <w:w w:val="95"/>
              </w:rPr>
              <w:t>SNCA Program</w:t>
            </w:r>
          </w:p>
        </w:tc>
        <w:tc>
          <w:tcPr>
            <w:tcW w:w="1640" w:type="dxa"/>
            <w:vAlign w:val="bottom"/>
            <w:tcBorders>
              <w:bottom w:val="single" w:sz="8" w:color="auto"/>
              <w:right w:val="single" w:sz="8" w:color="auto"/>
            </w:tcBorders>
            <w:shd w:val="clear" w:color="auto" w:fill="DBE5F1"/>
          </w:tcPr>
          <w:p>
            <w:pPr>
              <w:spacing w:after="0"/>
              <w:rPr>
                <w:sz w:val="16"/>
                <w:szCs w:val="16"/>
                <w:color w:val="auto"/>
              </w:rPr>
            </w:pPr>
          </w:p>
        </w:tc>
        <w:tc>
          <w:tcPr>
            <w:tcW w:w="2660" w:type="dxa"/>
            <w:vAlign w:val="bottom"/>
            <w:tcBorders>
              <w:bottom w:val="single" w:sz="8" w:color="auto"/>
            </w:tcBorders>
            <w:shd w:val="clear" w:color="auto" w:fill="DBE5F1"/>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Each CT Program</w:t>
            </w:r>
          </w:p>
        </w:tc>
        <w:tc>
          <w:tcPr>
            <w:tcW w:w="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336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tcBorders>
          </w:tcPr>
          <w:p>
            <w:pPr>
              <w:jc w:val="center"/>
              <w:ind w:left="1542"/>
              <w:spacing w:after="0"/>
              <w:rPr>
                <w:sz w:val="20"/>
                <w:szCs w:val="20"/>
                <w:color w:val="auto"/>
              </w:rPr>
            </w:pPr>
            <w:r>
              <w:rPr>
                <w:rFonts w:ascii="Times New Roman" w:cs="Times New Roman" w:eastAsia="Times New Roman" w:hAnsi="Times New Roman"/>
                <w:sz w:val="16"/>
                <w:szCs w:val="16"/>
                <w:color w:val="auto"/>
                <w:w w:val="92"/>
              </w:rPr>
              <w:t>[***]</w:t>
            </w:r>
          </w:p>
        </w:tc>
        <w:tc>
          <w:tcPr>
            <w:tcW w:w="16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336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tcBorders>
          </w:tcPr>
          <w:p>
            <w:pPr>
              <w:jc w:val="center"/>
              <w:ind w:left="1542"/>
              <w:spacing w:after="0"/>
              <w:rPr>
                <w:sz w:val="20"/>
                <w:szCs w:val="20"/>
                <w:color w:val="auto"/>
              </w:rPr>
            </w:pPr>
            <w:r>
              <w:rPr>
                <w:rFonts w:ascii="Times New Roman" w:cs="Times New Roman" w:eastAsia="Times New Roman" w:hAnsi="Times New Roman"/>
                <w:sz w:val="16"/>
                <w:szCs w:val="16"/>
                <w:color w:val="auto"/>
                <w:w w:val="92"/>
              </w:rPr>
              <w:t>[***]</w:t>
            </w:r>
          </w:p>
        </w:tc>
        <w:tc>
          <w:tcPr>
            <w:tcW w:w="16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336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tcBorders>
          </w:tcPr>
          <w:p>
            <w:pPr>
              <w:jc w:val="center"/>
              <w:ind w:left="1542"/>
              <w:spacing w:after="0"/>
              <w:rPr>
                <w:sz w:val="20"/>
                <w:szCs w:val="20"/>
                <w:color w:val="auto"/>
              </w:rPr>
            </w:pPr>
            <w:r>
              <w:rPr>
                <w:rFonts w:ascii="Times New Roman" w:cs="Times New Roman" w:eastAsia="Times New Roman" w:hAnsi="Times New Roman"/>
                <w:sz w:val="16"/>
                <w:szCs w:val="16"/>
                <w:color w:val="auto"/>
                <w:w w:val="92"/>
              </w:rPr>
              <w:t>[***]</w:t>
            </w:r>
          </w:p>
        </w:tc>
        <w:tc>
          <w:tcPr>
            <w:tcW w:w="16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336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tcBorders>
          </w:tcPr>
          <w:p>
            <w:pPr>
              <w:jc w:val="center"/>
              <w:ind w:left="1542"/>
              <w:spacing w:after="0"/>
              <w:rPr>
                <w:sz w:val="20"/>
                <w:szCs w:val="20"/>
                <w:color w:val="auto"/>
              </w:rPr>
            </w:pPr>
            <w:r>
              <w:rPr>
                <w:rFonts w:ascii="Times New Roman" w:cs="Times New Roman" w:eastAsia="Times New Roman" w:hAnsi="Times New Roman"/>
                <w:sz w:val="16"/>
                <w:szCs w:val="16"/>
                <w:color w:val="auto"/>
                <w:w w:val="92"/>
              </w:rPr>
              <w:t>[***]</w:t>
            </w:r>
          </w:p>
        </w:tc>
        <w:tc>
          <w:tcPr>
            <w:tcW w:w="16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9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3360" w:type="dxa"/>
            <w:vAlign w:val="bottom"/>
            <w:tcBorders>
              <w:bottom w:val="single" w:sz="8" w:color="auto"/>
              <w:right w:val="single" w:sz="8" w:color="auto"/>
            </w:tcBorders>
          </w:tcPr>
          <w:p>
            <w:pPr>
              <w:spacing w:after="0"/>
              <w:rPr>
                <w:sz w:val="16"/>
                <w:szCs w:val="16"/>
                <w:color w:val="auto"/>
              </w:rPr>
            </w:pPr>
          </w:p>
        </w:tc>
        <w:tc>
          <w:tcPr>
            <w:tcW w:w="2700" w:type="dxa"/>
            <w:vAlign w:val="bottom"/>
            <w:tcBorders>
              <w:bottom w:val="single" w:sz="8" w:color="auto"/>
            </w:tcBorders>
          </w:tcPr>
          <w:p>
            <w:pPr>
              <w:jc w:val="center"/>
              <w:ind w:left="1542"/>
              <w:spacing w:after="0"/>
              <w:rPr>
                <w:sz w:val="20"/>
                <w:szCs w:val="20"/>
                <w:color w:val="auto"/>
              </w:rPr>
            </w:pPr>
            <w:r>
              <w:rPr>
                <w:rFonts w:ascii="Times New Roman" w:cs="Times New Roman" w:eastAsia="Times New Roman" w:hAnsi="Times New Roman"/>
                <w:sz w:val="16"/>
                <w:szCs w:val="16"/>
                <w:color w:val="auto"/>
                <w:w w:val="92"/>
              </w:rPr>
              <w:t>[***]</w:t>
            </w:r>
          </w:p>
        </w:tc>
        <w:tc>
          <w:tcPr>
            <w:tcW w:w="164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t>
            </w: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1020" w:right="20"/>
        <w:spacing w:after="0" w:line="261" w:lineRule="auto"/>
        <w:rPr>
          <w:sz w:val="20"/>
          <w:szCs w:val="20"/>
          <w:color w:val="auto"/>
        </w:rPr>
      </w:pPr>
      <w:r>
        <w:rPr>
          <w:rFonts w:ascii="Times New Roman" w:cs="Times New Roman" w:eastAsia="Times New Roman" w:hAnsi="Times New Roman"/>
          <w:sz w:val="16"/>
          <w:szCs w:val="16"/>
          <w:color w:val="auto"/>
        </w:rPr>
        <w:t xml:space="preserve">Novartis will notify Arrowhead in writing of the achievement of a Sales Milestone Event by Novartis or any of its Affiliates or any of its or their Sublicensees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end of the Calendar Year in which such Sales Milestone Payment is payable under this Section 8.3.3 (Sales Milestones), and pay to Arrowhead the corresponding Sales Milestone Payment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receipt by Novartis of an invoice for such Sales Milestone Event.</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79" w:lineRule="exact"/>
        <w:rPr>
          <w:sz w:val="20"/>
          <w:szCs w:val="20"/>
          <w:color w:val="auto"/>
        </w:rPr>
      </w:pPr>
    </w:p>
    <w:p>
      <w:pPr>
        <w:jc w:val="both"/>
        <w:ind w:left="1020" w:right="20"/>
        <w:spacing w:after="0" w:line="259" w:lineRule="auto"/>
        <w:rPr>
          <w:sz w:val="20"/>
          <w:szCs w:val="20"/>
          <w:color w:val="auto"/>
        </w:rPr>
      </w:pPr>
      <w:r>
        <w:rPr>
          <w:rFonts w:ascii="Times New Roman" w:cs="Times New Roman" w:eastAsia="Times New Roman" w:hAnsi="Times New Roman"/>
          <w:sz w:val="16"/>
          <w:szCs w:val="16"/>
          <w:color w:val="auto"/>
        </w:rPr>
        <w:t xml:space="preserve">For clarity, the Sales Milestone Payments will be due for each Licensed Product that is the subject of a specific Program, but in no event will any Sales Milestone Event be due more than one time for each such Licensed Product. </w:t>
      </w:r>
      <w:r>
        <w:rPr>
          <w:rFonts w:ascii="Times New Roman" w:cs="Times New Roman" w:eastAsia="Times New Roman" w:hAnsi="Times New Roman"/>
          <w:sz w:val="16"/>
          <w:szCs w:val="16"/>
          <w:b w:val="1"/>
          <w:bCs w:val="1"/>
          <w:color w:val="auto"/>
        </w:rPr>
        <w:t>[***]</w:t>
      </w:r>
    </w:p>
    <w:p>
      <w:pPr>
        <w:spacing w:after="0" w:line="12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8.4.</w:t>
      </w:r>
      <w:r>
        <w:rPr>
          <w:sz w:val="20"/>
          <w:szCs w:val="20"/>
          <w:color w:val="auto"/>
        </w:rPr>
        <w:tab/>
      </w: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4"/>
          <w:szCs w:val="14"/>
          <w:color w:val="auto"/>
        </w:rPr>
        <w:t>. On a Program-by-Program, Licensed Product-by-Licensed Product and country-by-country basis, during the Royalty Term for such Licensed Product that is the</w:t>
      </w:r>
    </w:p>
    <w:p>
      <w:pPr>
        <w:jc w:val="both"/>
        <w:ind w:left="520" w:right="20"/>
        <w:spacing w:after="0" w:line="200" w:lineRule="auto"/>
        <w:rPr>
          <w:sz w:val="20"/>
          <w:szCs w:val="20"/>
          <w:color w:val="auto"/>
        </w:rPr>
      </w:pPr>
      <w:r>
        <w:rPr>
          <w:rFonts w:ascii="Times New Roman" w:cs="Times New Roman" w:eastAsia="Times New Roman" w:hAnsi="Times New Roman"/>
          <w:sz w:val="16"/>
          <w:szCs w:val="16"/>
          <w:color w:val="auto"/>
        </w:rPr>
        <w:t xml:space="preserve">subject of such Program in such country in the Territory, Novartis will pay to Arrowhead nonrefundable, non-creditable royalty payments calculated by multiplying the applicable royalty rates set forth in Table 8.4 (Royalty Payments) below by the corresponding amount of incremental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the Territory (subject to, if any,</w:t>
      </w:r>
    </w:p>
    <w:p>
      <w:pPr>
        <w:spacing w:after="0" w:line="1" w:lineRule="exact"/>
        <w:rPr>
          <w:sz w:val="20"/>
          <w:szCs w:val="20"/>
          <w:color w:val="auto"/>
        </w:rPr>
      </w:pPr>
    </w:p>
    <w:p>
      <w:pPr>
        <w:ind w:left="520" w:right="20"/>
        <w:spacing w:after="0" w:line="224" w:lineRule="auto"/>
        <w:rPr>
          <w:sz w:val="20"/>
          <w:szCs w:val="20"/>
          <w:color w:val="auto"/>
        </w:rPr>
      </w:pPr>
      <w:r>
        <w:rPr>
          <w:rFonts w:ascii="Times New Roman" w:cs="Times New Roman" w:eastAsia="Times New Roman" w:hAnsi="Times New Roman"/>
          <w:sz w:val="16"/>
          <w:szCs w:val="16"/>
          <w:color w:val="auto"/>
        </w:rPr>
        <w:t>applicable permitted reduction pursuant to Section 8.5 (Royalty Reductions)) by Novartis, its Affiliates, or their respective Sublicensees during the applicable Calendar Year (such payments, “</w:t>
      </w:r>
      <w:r>
        <w:rPr>
          <w:rFonts w:ascii="Times New Roman" w:cs="Times New Roman" w:eastAsia="Times New Roman" w:hAnsi="Times New Roman"/>
          <w:sz w:val="16"/>
          <w:szCs w:val="16"/>
          <w:b w:val="1"/>
          <w:bCs w:val="1"/>
          <w:color w:val="auto"/>
        </w:rPr>
        <w:t>Royalties</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300"/>
          </w:cols>
          <w:pgMar w:left="300" w:top="123" w:right="299" w:bottom="1440" w:gutter="0" w:footer="0" w:header="0"/>
        </w:sectPr>
      </w:pPr>
    </w:p>
    <w:bookmarkStart w:id="171" w:name="page172"/>
    <w:bookmarkEnd w:id="171"/>
    <w:p>
      <w:pPr>
        <w:ind w:left="2720" w:right="380" w:hanging="2360"/>
        <w:spacing w:after="0" w:line="290" w:lineRule="auto"/>
        <w:tabs>
          <w:tab w:leader="none" w:pos="696"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652780</wp:posOffset>
            </wp:positionV>
            <wp:extent cx="7168515" cy="16236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4">
                      <a:extLst>
                        <a:ext uri="{28A0092B-C50C-407E-A947-70E740481C1C}"/>
                      </a:extLst>
                    </a:blip>
                    <a:srcRect/>
                    <a:stretch>
                      <a:fillRect/>
                    </a:stretch>
                  </pic:blipFill>
                  <pic:spPr bwMode="auto">
                    <a:xfrm>
                      <a:off x="0" y="0"/>
                      <a:ext cx="7168515" cy="162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8.4 – Royalty Payments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8020" w:type="dxa"/>
            <w:vAlign w:val="bottom"/>
            <w:tcBorders>
              <w:top w:val="single" w:sz="8" w:color="auto"/>
              <w:right w:val="single" w:sz="8" w:color="auto"/>
            </w:tcBorders>
            <w:shd w:val="clear" w:color="auto" w:fill="DEEAF6"/>
          </w:tcPr>
          <w:p>
            <w:pPr>
              <w:spacing w:after="0"/>
              <w:rPr>
                <w:sz w:val="24"/>
                <w:szCs w:val="24"/>
                <w:color w:val="auto"/>
              </w:rPr>
            </w:pPr>
          </w:p>
        </w:tc>
        <w:tc>
          <w:tcPr>
            <w:tcW w:w="3260" w:type="dxa"/>
            <w:vAlign w:val="bottom"/>
            <w:tcBorders>
              <w:top w:val="single" w:sz="8" w:color="auto"/>
            </w:tcBorders>
            <w:gridSpan w:val="2"/>
            <w:shd w:val="clear" w:color="auto" w:fill="DEEAF6"/>
          </w:tcPr>
          <w:p>
            <w:pPr>
              <w:ind w:left="1220"/>
              <w:spacing w:after="0"/>
              <w:rPr>
                <w:sz w:val="20"/>
                <w:szCs w:val="20"/>
                <w:color w:val="auto"/>
              </w:rPr>
            </w:pPr>
            <w:r>
              <w:rPr>
                <w:rFonts w:ascii="Times New Roman" w:cs="Times New Roman" w:eastAsia="Times New Roman" w:hAnsi="Times New Roman"/>
                <w:sz w:val="16"/>
                <w:szCs w:val="16"/>
                <w:b w:val="1"/>
                <w:bCs w:val="1"/>
                <w:i w:val="1"/>
                <w:iCs w:val="1"/>
                <w:color w:val="auto"/>
              </w:rPr>
              <w:t>Royalty Rate</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20" w:type="dxa"/>
            <w:vAlign w:val="bottom"/>
            <w:tcBorders>
              <w:bottom w:val="single" w:sz="8" w:color="DEEAF6"/>
              <w:right w:val="single" w:sz="8" w:color="auto"/>
            </w:tcBorders>
            <w:vMerge w:val="restart"/>
            <w:shd w:val="clear" w:color="auto" w:fill="DEEAF6"/>
          </w:tcPr>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Aggregate annual Net Sales [***] in a given Calendar Year during the Royalty Term</w:t>
            </w:r>
          </w:p>
        </w:tc>
        <w:tc>
          <w:tcPr>
            <w:tcW w:w="1460" w:type="dxa"/>
            <w:vAlign w:val="bottom"/>
            <w:tcBorders>
              <w:bottom w:val="single" w:sz="8" w:color="auto"/>
              <w:right w:val="single" w:sz="8" w:color="DEEAF6"/>
            </w:tcBorders>
            <w:shd w:val="clear" w:color="auto" w:fill="DEEAF6"/>
          </w:tcPr>
          <w:p>
            <w:pPr>
              <w:spacing w:after="0"/>
              <w:rPr>
                <w:sz w:val="9"/>
                <w:szCs w:val="9"/>
                <w:color w:val="auto"/>
              </w:rPr>
            </w:pPr>
          </w:p>
        </w:tc>
        <w:tc>
          <w:tcPr>
            <w:tcW w:w="1800" w:type="dxa"/>
            <w:vAlign w:val="bottom"/>
            <w:tcBorders>
              <w:bottom w:val="single" w:sz="8" w:color="auto"/>
            </w:tcBorders>
            <w:shd w:val="clear" w:color="auto" w:fill="DEEAF6"/>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20" w:type="dxa"/>
            <w:vAlign w:val="bottom"/>
            <w:tcBorders>
              <w:right w:val="single" w:sz="8" w:color="auto"/>
            </w:tcBorders>
            <w:vMerge w:val="continue"/>
            <w:shd w:val="clear" w:color="auto" w:fill="DEEAF6"/>
          </w:tcPr>
          <w:p>
            <w:pPr>
              <w:spacing w:after="0"/>
              <w:rPr>
                <w:sz w:val="6"/>
                <w:szCs w:val="6"/>
                <w:color w:val="auto"/>
              </w:rPr>
            </w:pPr>
          </w:p>
        </w:tc>
        <w:tc>
          <w:tcPr>
            <w:tcW w:w="1460" w:type="dxa"/>
            <w:vAlign w:val="bottom"/>
            <w:tcBorders>
              <w:right w:val="single" w:sz="8" w:color="auto"/>
            </w:tcBorders>
            <w:vMerge w:val="restart"/>
            <w:shd w:val="clear" w:color="auto" w:fill="DBE5F1"/>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SNCA Program</w:t>
            </w:r>
          </w:p>
        </w:tc>
        <w:tc>
          <w:tcPr>
            <w:tcW w:w="1800" w:type="dxa"/>
            <w:vAlign w:val="bottom"/>
            <w:vMerge w:val="restart"/>
            <w:shd w:val="clear" w:color="auto" w:fill="DBE5F1"/>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Each CT Program</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20" w:type="dxa"/>
            <w:vAlign w:val="bottom"/>
            <w:tcBorders>
              <w:right w:val="single" w:sz="8" w:color="auto"/>
            </w:tcBorders>
            <w:shd w:val="clear" w:color="auto" w:fill="DEEAF6"/>
          </w:tcPr>
          <w:p>
            <w:pPr>
              <w:spacing w:after="0"/>
              <w:rPr>
                <w:sz w:val="17"/>
                <w:szCs w:val="17"/>
                <w:color w:val="auto"/>
              </w:rPr>
            </w:pPr>
          </w:p>
        </w:tc>
        <w:tc>
          <w:tcPr>
            <w:tcW w:w="1460" w:type="dxa"/>
            <w:vAlign w:val="bottom"/>
            <w:tcBorders>
              <w:right w:val="single" w:sz="8" w:color="auto"/>
            </w:tcBorders>
            <w:vMerge w:val="continue"/>
            <w:shd w:val="clear" w:color="auto" w:fill="DBE5F1"/>
          </w:tcPr>
          <w:p>
            <w:pPr>
              <w:spacing w:after="0"/>
              <w:rPr>
                <w:sz w:val="17"/>
                <w:szCs w:val="17"/>
                <w:color w:val="auto"/>
              </w:rPr>
            </w:pPr>
          </w:p>
        </w:tc>
        <w:tc>
          <w:tcPr>
            <w:tcW w:w="1800" w:type="dxa"/>
            <w:vAlign w:val="bottom"/>
            <w:vMerge w:val="continue"/>
            <w:shd w:val="clear" w:color="auto" w:fill="DBE5F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8020" w:type="dxa"/>
            <w:vAlign w:val="bottom"/>
            <w:tcBorders>
              <w:bottom w:val="single" w:sz="8" w:color="auto"/>
              <w:right w:val="single" w:sz="8" w:color="auto"/>
            </w:tcBorders>
            <w:shd w:val="clear" w:color="auto" w:fill="DEEAF6"/>
          </w:tcPr>
          <w:p>
            <w:pPr>
              <w:spacing w:after="0"/>
              <w:rPr>
                <w:sz w:val="9"/>
                <w:szCs w:val="9"/>
                <w:color w:val="auto"/>
              </w:rPr>
            </w:pPr>
          </w:p>
        </w:tc>
        <w:tc>
          <w:tcPr>
            <w:tcW w:w="1460" w:type="dxa"/>
            <w:vAlign w:val="bottom"/>
            <w:tcBorders>
              <w:bottom w:val="single" w:sz="8" w:color="auto"/>
              <w:right w:val="single" w:sz="8" w:color="auto"/>
            </w:tcBorders>
            <w:shd w:val="clear" w:color="auto" w:fill="DBE5F1"/>
          </w:tcPr>
          <w:p>
            <w:pPr>
              <w:spacing w:after="0"/>
              <w:rPr>
                <w:sz w:val="9"/>
                <w:szCs w:val="9"/>
                <w:color w:val="auto"/>
              </w:rPr>
            </w:pPr>
          </w:p>
        </w:tc>
        <w:tc>
          <w:tcPr>
            <w:tcW w:w="1800" w:type="dxa"/>
            <w:vAlign w:val="bottom"/>
            <w:tcBorders>
              <w:bottom w:val="single" w:sz="8" w:color="auto"/>
            </w:tcBorders>
            <w:shd w:val="clear" w:color="auto" w:fill="DBE5F1"/>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8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The portion of annual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less than $</w:t>
            </w:r>
            <w:r>
              <w:rPr>
                <w:rFonts w:ascii="Times New Roman" w:cs="Times New Roman" w:eastAsia="Times New Roman" w:hAnsi="Times New Roman"/>
                <w:sz w:val="16"/>
                <w:szCs w:val="16"/>
                <w:b w:val="1"/>
                <w:bCs w:val="1"/>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The portion of annual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greater than or equal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and less than $</w:t>
            </w:r>
            <w:r>
              <w:rPr>
                <w:rFonts w:ascii="Times New Roman" w:cs="Times New Roman" w:eastAsia="Times New Roman" w:hAnsi="Times New Roman"/>
                <w:sz w:val="16"/>
                <w:szCs w:val="16"/>
                <w:b w:val="1"/>
                <w:bCs w:val="1"/>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The portion of annual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greater than or equal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and less than $</w:t>
            </w:r>
            <w:r>
              <w:rPr>
                <w:rFonts w:ascii="Times New Roman" w:cs="Times New Roman" w:eastAsia="Times New Roman" w:hAnsi="Times New Roman"/>
                <w:sz w:val="16"/>
                <w:szCs w:val="16"/>
                <w:b w:val="1"/>
                <w:bCs w:val="1"/>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The portion of annual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greater than or equal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and less than $</w:t>
            </w:r>
            <w:r>
              <w:rPr>
                <w:rFonts w:ascii="Times New Roman" w:cs="Times New Roman" w:eastAsia="Times New Roman" w:hAnsi="Times New Roman"/>
                <w:sz w:val="16"/>
                <w:szCs w:val="16"/>
                <w:b w:val="1"/>
                <w:bCs w:val="1"/>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xml:space="preserve">The portion of annual Net Sales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greater than or equal to $</w:t>
            </w:r>
            <w:r>
              <w:rPr>
                <w:rFonts w:ascii="Times New Roman" w:cs="Times New Roman" w:eastAsia="Times New Roman" w:hAnsi="Times New Roman"/>
                <w:sz w:val="16"/>
                <w:szCs w:val="16"/>
                <w:b w:val="1"/>
                <w:bCs w:val="1"/>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For clarity, royalties shall be payable only once with respect to the same unit of Licensed Product of a Program.</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left="1020" w:right="20"/>
        <w:spacing w:after="0" w:line="254" w:lineRule="auto"/>
        <w:rPr>
          <w:sz w:val="20"/>
          <w:szCs w:val="20"/>
          <w:color w:val="auto"/>
        </w:rPr>
      </w:pPr>
      <w:r>
        <w:rPr>
          <w:rFonts w:ascii="Times New Roman" w:cs="Times New Roman" w:eastAsia="Times New Roman" w:hAnsi="Times New Roman"/>
          <w:sz w:val="16"/>
          <w:szCs w:val="16"/>
          <w:color w:val="auto"/>
        </w:rPr>
        <w:t>Following the expiration of the Royalty Term on a Licensed Product-by-Licensed Product and country-by-country basis, Novartis’ and its Affiliates’ licenses under Section 2.1 (License Grants to Novartis) with respect to such Licensed Product in such country shall continue in effect, but become fully paid-up, royalty-free, transferable (in accordance with Section 16.1 (Assignment)), perpetual and irrevocable.</w:t>
      </w:r>
    </w:p>
    <w:p>
      <w:pPr>
        <w:spacing w:after="0" w:line="1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8.5.</w:t>
      </w:r>
      <w:r>
        <w:rPr>
          <w:sz w:val="20"/>
          <w:szCs w:val="20"/>
          <w:color w:val="auto"/>
        </w:rPr>
        <w:tab/>
      </w:r>
      <w:r>
        <w:rPr>
          <w:rFonts w:ascii="Times New Roman" w:cs="Times New Roman" w:eastAsia="Times New Roman" w:hAnsi="Times New Roman"/>
          <w:sz w:val="14"/>
          <w:szCs w:val="14"/>
          <w:b w:val="1"/>
          <w:bCs w:val="1"/>
          <w:color w:val="auto"/>
        </w:rPr>
        <w:t>Royalty Reductions</w:t>
      </w:r>
      <w:r>
        <w:rPr>
          <w:rFonts w:ascii="Times New Roman" w:cs="Times New Roman" w:eastAsia="Times New Roman" w:hAnsi="Times New Roman"/>
          <w:sz w:val="14"/>
          <w:szCs w:val="14"/>
          <w:color w:val="auto"/>
        </w:rPr>
        <w:t>.</w:t>
      </w:r>
    </w:p>
    <w:p>
      <w:pPr>
        <w:jc w:val="right"/>
        <w:ind w:left="520" w:right="20"/>
        <w:spacing w:after="0" w:line="200" w:lineRule="auto"/>
        <w:rPr>
          <w:sz w:val="20"/>
          <w:szCs w:val="20"/>
          <w:color w:val="auto"/>
        </w:rPr>
      </w:pPr>
      <w:r>
        <w:rPr>
          <w:rFonts w:ascii="Times New Roman" w:cs="Times New Roman" w:eastAsia="Times New Roman" w:hAnsi="Times New Roman"/>
          <w:sz w:val="16"/>
          <w:szCs w:val="16"/>
          <w:color w:val="auto"/>
        </w:rPr>
        <w:t xml:space="preserve">8.5.1.    </w:t>
      </w:r>
      <w:r>
        <w:rPr>
          <w:rFonts w:ascii="Times New Roman" w:cs="Times New Roman" w:eastAsia="Times New Roman" w:hAnsi="Times New Roman"/>
          <w:sz w:val="16"/>
          <w:szCs w:val="16"/>
          <w:b w:val="1"/>
          <w:bCs w:val="1"/>
          <w:color w:val="auto"/>
        </w:rPr>
        <w:t>Reduction for No Valid Claim</w:t>
      </w:r>
      <w:r>
        <w:rPr>
          <w:rFonts w:ascii="Times New Roman" w:cs="Times New Roman" w:eastAsia="Times New Roman" w:hAnsi="Times New Roman"/>
          <w:sz w:val="16"/>
          <w:szCs w:val="16"/>
          <w:color w:val="auto"/>
        </w:rPr>
        <w:t xml:space="preserve">. Subject to Section 8.5.7 (Minimum Floor), on a Licensed Product-by-Licensed Product and country-by-country basis, if, within any time period during the Royalty Term for such Licensed Product in such country, such Licensed Product is not Covered by a Valid Claim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 Net</w:t>
      </w:r>
    </w:p>
    <w:p>
      <w:pPr>
        <w:spacing w:after="0" w:line="1" w:lineRule="exact"/>
        <w:rPr>
          <w:sz w:val="20"/>
          <w:szCs w:val="20"/>
          <w:color w:val="auto"/>
        </w:rPr>
      </w:pPr>
    </w:p>
    <w:p>
      <w:pPr>
        <w:ind w:left="1180" w:right="20"/>
        <w:spacing w:after="0" w:line="217" w:lineRule="auto"/>
        <w:rPr>
          <w:sz w:val="20"/>
          <w:szCs w:val="20"/>
          <w:color w:val="auto"/>
        </w:rPr>
      </w:pPr>
      <w:r>
        <w:rPr>
          <w:rFonts w:ascii="Times New Roman" w:cs="Times New Roman" w:eastAsia="Times New Roman" w:hAnsi="Times New Roman"/>
          <w:sz w:val="16"/>
          <w:szCs w:val="16"/>
          <w:color w:val="auto"/>
        </w:rPr>
        <w:t xml:space="preserve">Sales of such Licensed Product in such country used to calculate Royalties due for such Licensed Product in such country in accordance with Section 8.4 (Royalties) will be reduced by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during such time period.</w:t>
      </w:r>
    </w:p>
    <w:p>
      <w:pPr>
        <w:spacing w:after="0" w:line="11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8.5.2.</w:t>
      </w:r>
      <w:r>
        <w:rPr>
          <w:sz w:val="20"/>
          <w:szCs w:val="20"/>
          <w:color w:val="auto"/>
        </w:rPr>
        <w:tab/>
      </w:r>
      <w:r>
        <w:rPr>
          <w:rFonts w:ascii="Times New Roman" w:cs="Times New Roman" w:eastAsia="Times New Roman" w:hAnsi="Times New Roman"/>
          <w:sz w:val="14"/>
          <w:szCs w:val="14"/>
          <w:b w:val="1"/>
          <w:bCs w:val="1"/>
          <w:color w:val="auto"/>
        </w:rPr>
        <w:t>Reduction for Generic Competition</w:t>
      </w:r>
      <w:r>
        <w:rPr>
          <w:rFonts w:ascii="Times New Roman" w:cs="Times New Roman" w:eastAsia="Times New Roman" w:hAnsi="Times New Roman"/>
          <w:sz w:val="14"/>
          <w:szCs w:val="14"/>
          <w:color w:val="auto"/>
        </w:rPr>
        <w:t>. Subject to Section 8.5.7 (Minimum Floor), on a Licensed Product-by-Licensed Product and country-by-country basis, if,</w:t>
      </w:r>
    </w:p>
    <w:p>
      <w:pPr>
        <w:spacing w:after="0" w:line="2" w:lineRule="exact"/>
        <w:rPr>
          <w:sz w:val="20"/>
          <w:szCs w:val="20"/>
          <w:color w:val="auto"/>
        </w:rPr>
      </w:pPr>
    </w:p>
    <w:p>
      <w:pPr>
        <w:ind w:left="1180" w:right="20"/>
        <w:spacing w:after="0" w:line="229" w:lineRule="auto"/>
        <w:rPr>
          <w:sz w:val="20"/>
          <w:szCs w:val="20"/>
          <w:color w:val="auto"/>
        </w:rPr>
      </w:pPr>
      <w:r>
        <w:rPr>
          <w:rFonts w:ascii="Times New Roman" w:cs="Times New Roman" w:eastAsia="Times New Roman" w:hAnsi="Times New Roman"/>
          <w:sz w:val="14"/>
          <w:szCs w:val="14"/>
          <w:color w:val="auto"/>
        </w:rPr>
        <w:t>during the Royalty Term for such Licensed Product in such country, one or more Generic Products with respect to such Licensed Product is sold in such country in a given Calendar Quarter (the date of such first sale of a given Generic Product, such Generic Product’s “</w:t>
      </w:r>
      <w:r>
        <w:rPr>
          <w:rFonts w:ascii="Times New Roman" w:cs="Times New Roman" w:eastAsia="Times New Roman" w:hAnsi="Times New Roman"/>
          <w:sz w:val="14"/>
          <w:szCs w:val="14"/>
          <w:b w:val="1"/>
          <w:bCs w:val="1"/>
          <w:color w:val="auto"/>
        </w:rPr>
        <w:t>Generic Entry Date</w:t>
      </w:r>
      <w:r>
        <w:rPr>
          <w:rFonts w:ascii="Times New Roman" w:cs="Times New Roman" w:eastAsia="Times New Roman" w:hAnsi="Times New Roman"/>
          <w:sz w:val="14"/>
          <w:szCs w:val="14"/>
          <w:color w:val="auto"/>
        </w:rPr>
        <w:t>”), then if, in any given Calendar</w:t>
      </w:r>
    </w:p>
    <w:p>
      <w:pPr>
        <w:ind w:left="1180"/>
        <w:spacing w:after="0" w:line="208" w:lineRule="auto"/>
        <w:rPr>
          <w:sz w:val="20"/>
          <w:szCs w:val="20"/>
          <w:color w:val="auto"/>
        </w:rPr>
      </w:pPr>
      <w:r>
        <w:rPr>
          <w:rFonts w:ascii="Times New Roman" w:cs="Times New Roman" w:eastAsia="Times New Roman" w:hAnsi="Times New Roman"/>
          <w:sz w:val="16"/>
          <w:szCs w:val="16"/>
          <w:color w:val="auto"/>
        </w:rPr>
        <w:t>Quarter after the first Generic Entry Date in such country, there has been a reduction in Net Sales of such Licensed Product in such country in such Calendar</w:t>
      </w:r>
    </w:p>
    <w:p>
      <w:pPr>
        <w:ind w:left="1180" w:right="20"/>
        <w:spacing w:after="0" w:line="229" w:lineRule="auto"/>
        <w:rPr>
          <w:sz w:val="20"/>
          <w:szCs w:val="20"/>
          <w:color w:val="auto"/>
        </w:rPr>
      </w:pPr>
      <w:r>
        <w:rPr>
          <w:rFonts w:ascii="Times New Roman" w:cs="Times New Roman" w:eastAsia="Times New Roman" w:hAnsi="Times New Roman"/>
          <w:sz w:val="14"/>
          <w:szCs w:val="14"/>
          <w:color w:val="auto"/>
        </w:rPr>
        <w:t xml:space="preserve">Quarter of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as compared to the averaged Net Sales of such Licensed Product in such country over the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immediately preceding the first Generic Entry Date in such country, then, commencing in the first full Calendar Quarter following such Calendar Quarter, the Net Sales of such Licensed Product</w:t>
      </w:r>
    </w:p>
    <w:p>
      <w:pPr>
        <w:ind w:left="1180"/>
        <w:spacing w:after="0"/>
        <w:rPr>
          <w:sz w:val="20"/>
          <w:szCs w:val="20"/>
          <w:color w:val="auto"/>
        </w:rPr>
      </w:pPr>
      <w:r>
        <w:rPr>
          <w:rFonts w:ascii="Times New Roman" w:cs="Times New Roman" w:eastAsia="Times New Roman" w:hAnsi="Times New Roman"/>
          <w:sz w:val="16"/>
          <w:szCs w:val="16"/>
          <w:color w:val="auto"/>
        </w:rPr>
        <w:t>in such country used to calculate Royalties due for</w:t>
      </w: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300"/>
          </w:cols>
          <w:pgMar w:left="300" w:top="123" w:right="299" w:bottom="1440" w:gutter="0" w:footer="0" w:header="0"/>
        </w:sectPr>
      </w:pPr>
    </w:p>
    <w:bookmarkStart w:id="172" w:name="page173"/>
    <w:bookmarkEnd w:id="172"/>
    <w:p>
      <w:pPr>
        <w:ind w:left="2720" w:right="360" w:hanging="2360"/>
        <w:spacing w:after="0" w:line="290" w:lineRule="auto"/>
        <w:tabs>
          <w:tab w:leader="none" w:pos="696"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such Licensed Product in such country in accordance with Section 8.4 (Royalties) will be reduced by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8.5.3.</w:t>
      </w:r>
      <w:r>
        <w:rPr>
          <w:sz w:val="20"/>
          <w:szCs w:val="20"/>
          <w:color w:val="auto"/>
        </w:rPr>
        <w:tab/>
      </w:r>
      <w:r>
        <w:rPr>
          <w:rFonts w:ascii="Times New Roman" w:cs="Times New Roman" w:eastAsia="Times New Roman" w:hAnsi="Times New Roman"/>
          <w:sz w:val="16"/>
          <w:szCs w:val="16"/>
          <w:b w:val="1"/>
          <w:bCs w:val="1"/>
          <w:color w:val="auto"/>
        </w:rPr>
        <w:t>Third Party Payments</w:t>
      </w:r>
      <w:r>
        <w:rPr>
          <w:rFonts w:ascii="Times New Roman" w:cs="Times New Roman" w:eastAsia="Times New Roman" w:hAnsi="Times New Roman"/>
          <w:sz w:val="16"/>
          <w:szCs w:val="16"/>
          <w:color w:val="auto"/>
        </w:rPr>
        <w:t>. Subject to Section 8.5.7 (Minimum Floor), in the event that, during the Royalty Term for a Licensed Product in a country, Novartis</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makes any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pursuant to or in connection with an agreement by Novartis with such Third Party as set forth in Section 2.9.2(a) (Program-Specific Third Party Rights) or to Arrowhead for such Third Party pursuant to or in connection with a Platform Third Party Agreement as set forth in Section 2.9.2(b)(iii) (Platform</w:t>
      </w:r>
    </w:p>
    <w:p>
      <w:pPr>
        <w:ind w:left="1180"/>
        <w:spacing w:after="0" w:line="208" w:lineRule="auto"/>
        <w:rPr>
          <w:sz w:val="20"/>
          <w:szCs w:val="20"/>
          <w:color w:val="auto"/>
        </w:rPr>
      </w:pPr>
      <w:r>
        <w:rPr>
          <w:rFonts w:ascii="Times New Roman" w:cs="Times New Roman" w:eastAsia="Times New Roman" w:hAnsi="Times New Roman"/>
          <w:sz w:val="16"/>
          <w:szCs w:val="16"/>
          <w:color w:val="auto"/>
        </w:rPr>
        <w:t xml:space="preserve">Third Party Rights), in each case, under which Novartis is granted rights by license or sublicense to any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such Party in such country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owned or</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otherwise controlled by such Third Party that are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for the Development, Manufacture, or Commercialization of such Licensed Product in such country and where such payments are directly related to Novartis being granted such rights, Novartis may credit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such payments actually paid by Novartis to such</w:t>
      </w:r>
    </w:p>
    <w:p>
      <w:pPr>
        <w:ind w:left="1180"/>
        <w:spacing w:after="0" w:line="229" w:lineRule="auto"/>
        <w:rPr>
          <w:sz w:val="20"/>
          <w:szCs w:val="20"/>
          <w:color w:val="auto"/>
        </w:rPr>
      </w:pPr>
      <w:r>
        <w:rPr>
          <w:rFonts w:ascii="Times New Roman" w:cs="Times New Roman" w:eastAsia="Times New Roman" w:hAnsi="Times New Roman"/>
          <w:sz w:val="14"/>
          <w:szCs w:val="14"/>
          <w:color w:val="auto"/>
        </w:rPr>
        <w:t>Third Party or to Arrowhead for such Third Party pursuant to the terms of, respectively, such agreement or such Platform Third Party Agreement to the extent reasonably allocable to such rights in such country against any Royalties payable for such Licensed Product in such country by Novartis to Arrowhead under</w:t>
      </w:r>
    </w:p>
    <w:p>
      <w:pPr>
        <w:ind w:left="1180"/>
        <w:spacing w:after="0"/>
        <w:rPr>
          <w:sz w:val="20"/>
          <w:szCs w:val="20"/>
          <w:color w:val="auto"/>
        </w:rPr>
      </w:pPr>
      <w:r>
        <w:rPr>
          <w:rFonts w:ascii="Times New Roman" w:cs="Times New Roman" w:eastAsia="Times New Roman" w:hAnsi="Times New Roman"/>
          <w:sz w:val="16"/>
          <w:szCs w:val="16"/>
          <w:color w:val="auto"/>
        </w:rPr>
        <w:t>Section 8.4 (Royalties).</w:t>
      </w:r>
    </w:p>
    <w:p>
      <w:pPr>
        <w:spacing w:after="0" w:line="125" w:lineRule="exact"/>
        <w:rPr>
          <w:sz w:val="20"/>
          <w:szCs w:val="20"/>
          <w:color w:val="auto"/>
        </w:rPr>
      </w:pPr>
    </w:p>
    <w:tbl>
      <w:tblPr>
        <w:tblLayout w:type="fixed"/>
        <w:tblInd w:w="520" w:type="dxa"/>
        <w:tblCellMar>
          <w:top w:w="0" w:type="dxa"/>
          <w:left w:w="0" w:type="dxa"/>
          <w:bottom w:w="0" w:type="dxa"/>
          <w:right w:w="0" w:type="dxa"/>
        </w:tblCellMar>
      </w:tblPr>
      <w:tr>
        <w:trPr>
          <w:trHeight w:val="205"/>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88"/>
              </w:rPr>
              <w:t>8.5.4.</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420" w:type="dxa"/>
            <w:vAlign w:val="bottom"/>
          </w:tcPr>
          <w:p>
            <w:pPr>
              <w:spacing w:after="0"/>
              <w:rPr>
                <w:sz w:val="17"/>
                <w:szCs w:val="17"/>
                <w:color w:val="auto"/>
              </w:rPr>
            </w:pPr>
          </w:p>
        </w:tc>
        <w:tc>
          <w:tcPr>
            <w:tcW w:w="9240" w:type="dxa"/>
            <w:vAlign w:val="bottom"/>
          </w:tcPr>
          <w:p>
            <w:pPr>
              <w:spacing w:after="0"/>
              <w:rPr>
                <w:sz w:val="17"/>
                <w:szCs w:val="17"/>
                <w:color w:val="auto"/>
              </w:rPr>
            </w:pPr>
          </w:p>
        </w:tc>
      </w:tr>
      <w:tr>
        <w:trPr>
          <w:trHeight w:val="318"/>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88"/>
              </w:rPr>
              <w:t>8.5.5.</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329"/>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88"/>
              </w:rPr>
              <w:t>8.5.6.</w:t>
            </w: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329"/>
        </w:trPr>
        <w:tc>
          <w:tcPr>
            <w:tcW w:w="5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88"/>
              </w:rPr>
              <w:t>8.5.7.</w:t>
            </w:r>
          </w:p>
        </w:tc>
        <w:tc>
          <w:tcPr>
            <w:tcW w:w="102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Minimum Floor; Carry Forward</w:t>
            </w:r>
            <w:r>
              <w:rPr>
                <w:rFonts w:ascii="Times New Roman" w:cs="Times New Roman" w:eastAsia="Times New Roman" w:hAnsi="Times New Roman"/>
                <w:sz w:val="16"/>
                <w:szCs w:val="16"/>
                <w:color w:val="auto"/>
              </w:rPr>
              <w:t>.</w:t>
            </w:r>
          </w:p>
        </w:tc>
      </w:tr>
      <w:tr>
        <w:trPr>
          <w:trHeight w:val="317"/>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w:t>
            </w:r>
          </w:p>
        </w:tc>
        <w:tc>
          <w:tcPr>
            <w:tcW w:w="9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CT Programs</w:t>
            </w:r>
            <w:r>
              <w:rPr>
                <w:rFonts w:ascii="Times New Roman" w:cs="Times New Roman" w:eastAsia="Times New Roman" w:hAnsi="Times New Roman"/>
                <w:sz w:val="16"/>
                <w:szCs w:val="16"/>
                <w:color w:val="auto"/>
              </w:rPr>
              <w:t>. Solely with respect to Royalties owed for a Licensed CT Product, in no event will such Royalties due and payable by Novartis to</w:t>
            </w: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Arrowhead under Section 8.4 (Royalties) in a given Calendar Quarter for a given Licensed CT Product in the Territory in aggregate be reduced to less</w:t>
            </w:r>
          </w:p>
        </w:tc>
      </w:tr>
      <w:tr>
        <w:trPr>
          <w:trHeight w:val="182"/>
        </w:trPr>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6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6"/>
                <w:szCs w:val="16"/>
                <w:color w:val="auto"/>
              </w:rPr>
              <w:t xml:space="preserve">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the amount that would otherwise be payable to Arrowhead in respect of such Royalties in such Calendar Quarter for such Licensed CT</w:t>
            </w:r>
          </w:p>
        </w:tc>
      </w:tr>
      <w:tr>
        <w:trPr>
          <w:trHeight w:val="189"/>
        </w:trPr>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Product in the Territory as a result of the reductions permitted pursuant to Section 8.5.1 (Reduction for No Valid Claim), Section 8.5.2 (Reduction for</w:t>
            </w:r>
          </w:p>
        </w:tc>
      </w:tr>
      <w:tr>
        <w:trPr>
          <w:trHeight w:val="205"/>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Generic Competition), Section 8.5.3 (Third Party Payments)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r>
      <w:tr>
        <w:trPr>
          <w:trHeight w:val="350"/>
        </w:trPr>
        <w:tc>
          <w:tcPr>
            <w:tcW w:w="50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w:t>
            </w:r>
          </w:p>
        </w:tc>
        <w:tc>
          <w:tcPr>
            <w:tcW w:w="9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SNCA Program</w:t>
            </w:r>
            <w:r>
              <w:rPr>
                <w:rFonts w:ascii="Times New Roman" w:cs="Times New Roman" w:eastAsia="Times New Roman" w:hAnsi="Times New Roman"/>
                <w:sz w:val="16"/>
                <w:szCs w:val="16"/>
                <w:color w:val="auto"/>
              </w:rPr>
              <w:t>. Solely with respect to Royalties owed for a Licensed SNCA Product, the following provisions shall apply.</w:t>
            </w:r>
          </w:p>
        </w:tc>
      </w:tr>
      <w:tr>
        <w:trPr>
          <w:trHeight w:val="347"/>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w:t>
            </w:r>
          </w:p>
        </w:tc>
        <w:tc>
          <w:tcPr>
            <w:tcW w:w="9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If one or more of the reductions permitted under Section 8.5.1 (Reduction for No Valid Claim), Section 8.5.2 (Reduction for Generic</w:t>
            </w:r>
          </w:p>
        </w:tc>
      </w:tr>
      <w:tr>
        <w:trPr>
          <w:trHeight w:val="205"/>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Competition), Section 8.5.3 (Third Party Payments)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r>
      <w:tr>
        <w:trPr>
          <w:trHeight w:val="350"/>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(ii)</w:t>
            </w:r>
          </w:p>
        </w:tc>
        <w:tc>
          <w:tcPr>
            <w:tcW w:w="92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tc>
      </w:tr>
    </w:tbl>
    <w:p>
      <w:pPr>
        <w:spacing w:after="0" w:line="146" w:lineRule="exact"/>
        <w:rPr>
          <w:sz w:val="20"/>
          <w:szCs w:val="20"/>
          <w:color w:val="auto"/>
        </w:rPr>
      </w:pPr>
    </w:p>
    <w:p>
      <w:pPr>
        <w:jc w:val="both"/>
        <w:ind w:left="520" w:hanging="508"/>
        <w:spacing w:after="0" w:line="244"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8.6.</w:t>
      </w:r>
      <w:r>
        <w:rPr>
          <w:sz w:val="20"/>
          <w:szCs w:val="20"/>
          <w:color w:val="auto"/>
        </w:rPr>
        <w:tab/>
      </w:r>
      <w:r>
        <w:rPr>
          <w:rFonts w:ascii="Times New Roman" w:cs="Times New Roman" w:eastAsia="Times New Roman" w:hAnsi="Times New Roman"/>
          <w:sz w:val="14"/>
          <w:szCs w:val="14"/>
          <w:b w:val="1"/>
          <w:bCs w:val="1"/>
          <w:color w:val="auto"/>
        </w:rPr>
        <w:t>Other Amounts Payable</w:t>
      </w:r>
      <w:r>
        <w:rPr>
          <w:rFonts w:ascii="Times New Roman" w:cs="Times New Roman" w:eastAsia="Times New Roman" w:hAnsi="Times New Roman"/>
          <w:sz w:val="14"/>
          <w:szCs w:val="14"/>
          <w:color w:val="auto"/>
        </w:rPr>
        <w:t>. With respect to any amounts owed under this Agreement by one Party to the other for which no other invoicing and payment procedure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specified in this Agreement,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end of each Calendar Quarter each Party will provide an invoice, together with reasonable supporting documentation, to</w:t>
      </w:r>
    </w:p>
    <w:p>
      <w:pPr>
        <w:ind w:left="520"/>
        <w:spacing w:after="0"/>
        <w:rPr>
          <w:sz w:val="20"/>
          <w:szCs w:val="20"/>
          <w:color w:val="auto"/>
        </w:rPr>
      </w:pPr>
      <w:r>
        <w:rPr>
          <w:rFonts w:ascii="Times New Roman" w:cs="Times New Roman" w:eastAsia="Times New Roman" w:hAnsi="Times New Roman"/>
          <w:sz w:val="16"/>
          <w:szCs w:val="16"/>
          <w:color w:val="auto"/>
        </w:rPr>
        <w:t xml:space="preserve">the other Party for such amounts owed in respect of such Calendar Quarter. The owing Party will pay any undisputed amounts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280"/>
          </w:cols>
          <w:pgMar w:left="300" w:top="123" w:right="319" w:bottom="1440" w:gutter="0" w:footer="0" w:header="0"/>
        </w:sectPr>
      </w:pPr>
    </w:p>
    <w:bookmarkStart w:id="173" w:name="page174"/>
    <w:bookmarkEnd w:id="173"/>
    <w:p>
      <w:pPr>
        <w:ind w:left="2720" w:right="360" w:hanging="2360"/>
        <w:spacing w:after="0" w:line="290" w:lineRule="auto"/>
        <w:tabs>
          <w:tab w:leader="none" w:pos="696"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receipt of the invoice and will pay any disputed amounts owed by such Party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resolution of the Dispute.</w:t>
      </w:r>
    </w:p>
    <w:p>
      <w:pPr>
        <w:spacing w:after="0" w:line="237"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8.7.</w:t>
      </w:r>
      <w:r>
        <w:rPr>
          <w:sz w:val="20"/>
          <w:szCs w:val="20"/>
          <w:color w:val="auto"/>
        </w:rPr>
        <w:tab/>
      </w:r>
      <w:r>
        <w:rPr>
          <w:rFonts w:ascii="Times New Roman" w:cs="Times New Roman" w:eastAsia="Times New Roman" w:hAnsi="Times New Roman"/>
          <w:sz w:val="14"/>
          <w:szCs w:val="14"/>
          <w:b w:val="1"/>
          <w:bCs w:val="1"/>
          <w:color w:val="auto"/>
        </w:rPr>
        <w:t>Payment Terms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8.7.1.    </w:t>
      </w:r>
      <w:r>
        <w:rPr>
          <w:rFonts w:ascii="Times New Roman" w:cs="Times New Roman" w:eastAsia="Times New Roman" w:hAnsi="Times New Roman"/>
          <w:sz w:val="16"/>
          <w:szCs w:val="16"/>
          <w:b w:val="1"/>
          <w:bCs w:val="1"/>
          <w:color w:val="auto"/>
        </w:rPr>
        <w:t>Manner of Payment</w:t>
      </w:r>
      <w:r>
        <w:rPr>
          <w:rFonts w:ascii="Times New Roman" w:cs="Times New Roman" w:eastAsia="Times New Roman" w:hAnsi="Times New Roman"/>
          <w:sz w:val="16"/>
          <w:szCs w:val="16"/>
          <w:color w:val="auto"/>
        </w:rPr>
        <w:t xml:space="preserve">. All payments to be made between the Parties under this Agreement will be made in Dollars and will be paid by wire transfer in immediately available funds to a bank account designated by the receiving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will Novartis be obligated to make payments under</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this Agreement to any Affiliate of Arrowhead that is organized in any jurisdiction outside of the U.S. without Novartis’ prior written consent.</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8.7.2.    </w:t>
      </w:r>
      <w:r>
        <w:rPr>
          <w:rFonts w:ascii="Times New Roman" w:cs="Times New Roman" w:eastAsia="Times New Roman" w:hAnsi="Times New Roman"/>
          <w:sz w:val="16"/>
          <w:szCs w:val="16"/>
          <w:b w:val="1"/>
          <w:bCs w:val="1"/>
          <w:color w:val="auto"/>
        </w:rPr>
        <w:t>Reports and Royalty Payments</w:t>
      </w:r>
      <w:r>
        <w:rPr>
          <w:rFonts w:ascii="Times New Roman" w:cs="Times New Roman" w:eastAsia="Times New Roman" w:hAnsi="Times New Roman"/>
          <w:sz w:val="16"/>
          <w:szCs w:val="16"/>
          <w:color w:val="auto"/>
        </w:rPr>
        <w:t xml:space="preserve">. With respect to each Calendar Quarter during which Royalties are due and payable by Novartis to Arrowhead,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end of such Calendar Quarter, Novartis will submit to Arrowhead a written report including the following information listed by Licensed Product and by</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country or other jurisdiction of sale in the Territory: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Novartis will make any such payments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receipt of the applicable invoice.</w:t>
      </w:r>
    </w:p>
    <w:p>
      <w:pPr>
        <w:spacing w:after="0" w:line="114"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8.7.3.    </w:t>
      </w:r>
      <w:r>
        <w:rPr>
          <w:rFonts w:ascii="Times New Roman" w:cs="Times New Roman" w:eastAsia="Times New Roman" w:hAnsi="Times New Roman"/>
          <w:sz w:val="16"/>
          <w:szCs w:val="16"/>
          <w:b w:val="1"/>
          <w:bCs w:val="1"/>
          <w:color w:val="auto"/>
        </w:rPr>
        <w:t>Records and Audits</w:t>
      </w:r>
      <w:r>
        <w:rPr>
          <w:rFonts w:ascii="Times New Roman" w:cs="Times New Roman" w:eastAsia="Times New Roman" w:hAnsi="Times New Roman"/>
          <w:sz w:val="16"/>
          <w:szCs w:val="16"/>
          <w:color w:val="auto"/>
        </w:rPr>
        <w:t>. Each Party will keep, and will cause its Affiliates and its Sublicensees to keep, complete, true, and accurate books and records in accordance with its Accounting Standards in relation to this Agreement, including in relation to (a) in the case of Novartis, all Net Sales, Royalties, and Sale</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Milestone Payments (the “</w:t>
      </w:r>
      <w:r>
        <w:rPr>
          <w:rFonts w:ascii="Times New Roman" w:cs="Times New Roman" w:eastAsia="Times New Roman" w:hAnsi="Times New Roman"/>
          <w:sz w:val="14"/>
          <w:szCs w:val="14"/>
          <w:b w:val="1"/>
          <w:bCs w:val="1"/>
          <w:color w:val="auto"/>
        </w:rPr>
        <w:t>Novartis Records</w:t>
      </w:r>
      <w:r>
        <w:rPr>
          <w:rFonts w:ascii="Times New Roman" w:cs="Times New Roman" w:eastAsia="Times New Roman" w:hAnsi="Times New Roman"/>
          <w:sz w:val="14"/>
          <w:szCs w:val="14"/>
          <w:color w:val="auto"/>
        </w:rPr>
        <w:t>”) and (b) in the case of Arrowhead, all costs and expenses incurred in connection with the performance of Manufacturing activities and any other amounts to be reimbursed by Novartis under this Agreement (the “</w:t>
      </w:r>
      <w:r>
        <w:rPr>
          <w:rFonts w:ascii="Times New Roman" w:cs="Times New Roman" w:eastAsia="Times New Roman" w:hAnsi="Times New Roman"/>
          <w:sz w:val="14"/>
          <w:szCs w:val="14"/>
          <w:b w:val="1"/>
          <w:bCs w:val="1"/>
          <w:color w:val="auto"/>
        </w:rPr>
        <w:t>Arrowhead Records</w:t>
      </w:r>
      <w:r>
        <w:rPr>
          <w:rFonts w:ascii="Times New Roman" w:cs="Times New Roman" w:eastAsia="Times New Roman" w:hAnsi="Times New Roman"/>
          <w:sz w:val="14"/>
          <w:szCs w:val="14"/>
          <w:color w:val="auto"/>
        </w:rPr>
        <w:t>”). Each Party will keep, and will</w:t>
      </w:r>
    </w:p>
    <w:p>
      <w:pPr>
        <w:ind w:left="1180"/>
        <w:spacing w:after="0" w:line="237" w:lineRule="auto"/>
        <w:rPr>
          <w:sz w:val="20"/>
          <w:szCs w:val="20"/>
          <w:color w:val="auto"/>
        </w:rPr>
      </w:pPr>
      <w:r>
        <w:rPr>
          <w:rFonts w:ascii="Times New Roman" w:cs="Times New Roman" w:eastAsia="Times New Roman" w:hAnsi="Times New Roman"/>
          <w:sz w:val="14"/>
          <w:szCs w:val="14"/>
          <w:color w:val="auto"/>
        </w:rPr>
        <w:t xml:space="preserve">cause its Affiliates and its Sublicensees to keep, such books and records until the later of (i)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(ii) [***]. Either Party (the “</w:t>
      </w:r>
      <w:r>
        <w:rPr>
          <w:rFonts w:ascii="Times New Roman" w:cs="Times New Roman" w:eastAsia="Times New Roman" w:hAnsi="Times New Roman"/>
          <w:sz w:val="14"/>
          <w:szCs w:val="14"/>
          <w:b w:val="1"/>
          <w:bCs w:val="1"/>
          <w:color w:val="auto"/>
        </w:rPr>
        <w:t>Auditing Party</w:t>
      </w:r>
      <w:r>
        <w:rPr>
          <w:rFonts w:ascii="Times New Roman" w:cs="Times New Roman" w:eastAsia="Times New Roman" w:hAnsi="Times New Roman"/>
          <w:sz w:val="14"/>
          <w:szCs w:val="14"/>
          <w:color w:val="auto"/>
        </w:rPr>
        <w:t>”) may, upon</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written request, cause an internationally-recognized independent accounting firm (the “</w:t>
      </w:r>
      <w:r>
        <w:rPr>
          <w:rFonts w:ascii="Times New Roman" w:cs="Times New Roman" w:eastAsia="Times New Roman" w:hAnsi="Times New Roman"/>
          <w:sz w:val="14"/>
          <w:szCs w:val="14"/>
          <w:b w:val="1"/>
          <w:bCs w:val="1"/>
          <w:color w:val="auto"/>
        </w:rPr>
        <w:t>Auditor</w:t>
      </w:r>
      <w:r>
        <w:rPr>
          <w:rFonts w:ascii="Times New Roman" w:cs="Times New Roman" w:eastAsia="Times New Roman" w:hAnsi="Times New Roman"/>
          <w:sz w:val="14"/>
          <w:szCs w:val="14"/>
          <w:color w:val="auto"/>
        </w:rPr>
        <w:t>”) that is reasonably acceptable to the other Party (the “</w:t>
      </w:r>
      <w:r>
        <w:rPr>
          <w:rFonts w:ascii="Times New Roman" w:cs="Times New Roman" w:eastAsia="Times New Roman" w:hAnsi="Times New Roman"/>
          <w:sz w:val="14"/>
          <w:szCs w:val="14"/>
          <w:b w:val="1"/>
          <w:bCs w:val="1"/>
          <w:color w:val="auto"/>
        </w:rPr>
        <w:t>Audited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to inspect the relevant records of the Audited Party and its Affiliates and Sublicensees to verify the payments made by the Audited Party and the related</w:t>
      </w:r>
    </w:p>
    <w:p>
      <w:pPr>
        <w:ind w:left="1180"/>
        <w:spacing w:after="0" w:line="237" w:lineRule="auto"/>
        <w:rPr>
          <w:sz w:val="20"/>
          <w:szCs w:val="20"/>
          <w:color w:val="auto"/>
        </w:rPr>
      </w:pPr>
      <w:r>
        <w:rPr>
          <w:rFonts w:ascii="Times New Roman" w:cs="Times New Roman" w:eastAsia="Times New Roman" w:hAnsi="Times New Roman"/>
          <w:sz w:val="14"/>
          <w:szCs w:val="14"/>
          <w:color w:val="auto"/>
        </w:rPr>
        <w:t>reports, statements and books of accounts, as applicable. Before beginning its audit, the Auditor will execute an undertaking reasonably acceptable to the Audited</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Party by which the Auditor agrees to keep confidential all information reviewed during the audit. The Auditor shall have the right to disclose to the Auditing Party only its conclusions regarding any payments under this Agreement. The Audited Party and its Affiliates and Sublicensees will make their records available</w:t>
      </w:r>
    </w:p>
    <w:p>
      <w:pPr>
        <w:ind w:left="1180"/>
        <w:spacing w:after="0" w:line="208" w:lineRule="auto"/>
        <w:rPr>
          <w:sz w:val="20"/>
          <w:szCs w:val="20"/>
          <w:color w:val="auto"/>
        </w:rPr>
      </w:pPr>
      <w:r>
        <w:rPr>
          <w:rFonts w:ascii="Times New Roman" w:cs="Times New Roman" w:eastAsia="Times New Roman" w:hAnsi="Times New Roman"/>
          <w:sz w:val="16"/>
          <w:szCs w:val="16"/>
          <w:color w:val="auto"/>
        </w:rPr>
        <w:t>for inspection by the Auditor during regular business hours upon receipt of reasonable advance notice from the Auditing Party. The Auditor will review such</w:t>
      </w:r>
    </w:p>
    <w:p>
      <w:pPr>
        <w:ind w:left="1180"/>
        <w:spacing w:after="0" w:line="229" w:lineRule="auto"/>
        <w:rPr>
          <w:sz w:val="20"/>
          <w:szCs w:val="20"/>
          <w:color w:val="auto"/>
        </w:rPr>
      </w:pPr>
      <w:r>
        <w:rPr>
          <w:rFonts w:ascii="Times New Roman" w:cs="Times New Roman" w:eastAsia="Times New Roman" w:hAnsi="Times New Roman"/>
          <w:sz w:val="14"/>
          <w:szCs w:val="14"/>
          <w:color w:val="auto"/>
        </w:rPr>
        <w:t>records solely to verify the accuracy of (A) in the case of Novartis as the Audited Party, the Novartis Records and the payments owed to Arrowhead under the financial terms of this Agreement and (B) in the case of Arrowhead as the Audited Party, the Arrowhead Records and all costs and expenses reported to have been</w:t>
      </w:r>
    </w:p>
    <w:p>
      <w:pPr>
        <w:ind w:left="1180"/>
        <w:spacing w:after="0" w:line="208" w:lineRule="auto"/>
        <w:rPr>
          <w:sz w:val="20"/>
          <w:szCs w:val="20"/>
          <w:color w:val="auto"/>
        </w:rPr>
      </w:pPr>
      <w:r>
        <w:rPr>
          <w:rFonts w:ascii="Times New Roman" w:cs="Times New Roman" w:eastAsia="Times New Roman" w:hAnsi="Times New Roman"/>
          <w:sz w:val="16"/>
          <w:szCs w:val="16"/>
          <w:color w:val="auto"/>
        </w:rPr>
        <w:t>incurred in connection with its performance of the Manufacturing activities under this Agreement. Each Party will not exercise such inspection right [***]. In</w:t>
      </w:r>
    </w:p>
    <w:p>
      <w:pPr>
        <w:jc w:val="both"/>
        <w:ind w:left="1180"/>
        <w:spacing w:after="0" w:line="229" w:lineRule="auto"/>
        <w:rPr>
          <w:sz w:val="20"/>
          <w:szCs w:val="20"/>
          <w:color w:val="auto"/>
        </w:rPr>
      </w:pPr>
      <w:r>
        <w:rPr>
          <w:rFonts w:ascii="Times New Roman" w:cs="Times New Roman" w:eastAsia="Times New Roman" w:hAnsi="Times New Roman"/>
          <w:sz w:val="14"/>
          <w:szCs w:val="14"/>
          <w:color w:val="auto"/>
        </w:rPr>
        <w:t xml:space="preserve">addition, the Auditing Party will only be entitled to audit the books and records of the Audited Party, its Affiliates and its Sublicensees from the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to the Calendar Year in which the Auditing Party notifies the Audited Party of such audit request. For clarity, with respect to Arrowhead’s rights and Novartis’</w:t>
      </w:r>
    </w:p>
    <w:p>
      <w:pPr>
        <w:ind w:left="1180"/>
        <w:spacing w:after="0" w:line="237" w:lineRule="auto"/>
        <w:rPr>
          <w:sz w:val="20"/>
          <w:szCs w:val="20"/>
          <w:color w:val="auto"/>
        </w:rPr>
      </w:pPr>
      <w:r>
        <w:rPr>
          <w:rFonts w:ascii="Times New Roman" w:cs="Times New Roman" w:eastAsia="Times New Roman" w:hAnsi="Times New Roman"/>
          <w:sz w:val="14"/>
          <w:szCs w:val="14"/>
          <w:color w:val="auto"/>
        </w:rPr>
        <w:t>obligations towards Novartis’ Sublicensees pursuant to this Section 8.7.3 (Records and Audits), Arrowhead will have the right solely to cause Novartis to audit its</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applicable Sublicensee and such right will further be subject to the terms and conditions of Novartis’ agreement with such Sublicensee. Notwithstanding any provision to the contrary in Article 9 (Confidentiality and Publication), the Auditing Party agrees to hold in strict confidence all information received and all</w:t>
      </w:r>
    </w:p>
    <w:p>
      <w:pPr>
        <w:spacing w:after="0" w:line="1" w:lineRule="exact"/>
        <w:rPr>
          <w:sz w:val="20"/>
          <w:szCs w:val="20"/>
          <w:color w:val="auto"/>
        </w:rPr>
      </w:pPr>
    </w:p>
    <w:p>
      <w:pPr>
        <w:ind w:left="1180"/>
        <w:spacing w:after="0" w:line="224" w:lineRule="auto"/>
        <w:rPr>
          <w:sz w:val="20"/>
          <w:szCs w:val="20"/>
          <w:color w:val="auto"/>
        </w:rPr>
      </w:pPr>
      <w:r>
        <w:rPr>
          <w:rFonts w:ascii="Times New Roman" w:cs="Times New Roman" w:eastAsia="Times New Roman" w:hAnsi="Times New Roman"/>
          <w:sz w:val="16"/>
          <w:szCs w:val="16"/>
          <w:color w:val="auto"/>
        </w:rPr>
        <w:t>information learned in the course of any audit or inspection, except to the extent necessary for the Auditing Party to enforce its rights under this Agreement or to the extent required to comply with any applicable Law, regulation, or judicial order. The Auditor will provide to the Audited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280"/>
          </w:cols>
          <w:pgMar w:left="300" w:top="123" w:right="319" w:bottom="1440" w:gutter="0" w:footer="0" w:header="0"/>
        </w:sectPr>
      </w:pPr>
    </w:p>
    <w:bookmarkStart w:id="174" w:name="page175"/>
    <w:bookmarkEnd w:id="174"/>
    <w:p>
      <w:pPr>
        <w:ind w:left="2360" w:right="360" w:hanging="2360"/>
        <w:spacing w:after="0" w:line="290" w:lineRule="auto"/>
        <w:tabs>
          <w:tab w:leader="none" w:pos="336"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spacing w:after="0" w:line="250" w:lineRule="auto"/>
        <w:rPr>
          <w:sz w:val="20"/>
          <w:szCs w:val="20"/>
          <w:color w:val="auto"/>
        </w:rPr>
      </w:pPr>
      <w:r>
        <w:rPr>
          <w:rFonts w:ascii="Times New Roman" w:cs="Times New Roman" w:eastAsia="Times New Roman" w:hAnsi="Times New Roman"/>
          <w:sz w:val="14"/>
          <w:szCs w:val="14"/>
          <w:color w:val="auto"/>
        </w:rPr>
        <w:t xml:space="preserve">Party its audit report and basis for determination of the accuracy of payments under this Agreement at the time such report is provided to the Auditing Party before it is considered final;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to the provision of such report, the Auditor shall provide its draft report and basis for any</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determination to the Audited Party to verify the exclusion of any Confidential Information not necessary to such determination and to allow for the reasonable review and provision of comments by the Audited Party.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If the final result of the inspection reveals an undisputed underpayment or overpayment by the</w:t>
      </w:r>
    </w:p>
    <w:p>
      <w:pPr>
        <w:ind w:left="820"/>
        <w:spacing w:after="0" w:line="237" w:lineRule="auto"/>
        <w:rPr>
          <w:sz w:val="20"/>
          <w:szCs w:val="20"/>
          <w:color w:val="auto"/>
        </w:rPr>
      </w:pPr>
      <w:r>
        <w:rPr>
          <w:rFonts w:ascii="Times New Roman" w:cs="Times New Roman" w:eastAsia="Times New Roman" w:hAnsi="Times New Roman"/>
          <w:sz w:val="14"/>
          <w:szCs w:val="14"/>
          <w:color w:val="auto"/>
        </w:rPr>
        <w:t xml:space="preserve">Audited Party, then the underpaid or overpaid amount will be settled promptly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 Auditing Party will pay for such inspections, as well as its expenses</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associated with enforcing its rights with respect to any payments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if the final results of such audit reveal an overpayment or underpayment of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of the total payments due hereunder for the audited period, then the fees and expenses charged by the Auditor will be paid by</w:t>
      </w:r>
    </w:p>
    <w:p>
      <w:pPr>
        <w:ind w:left="820"/>
        <w:spacing w:after="0"/>
        <w:rPr>
          <w:sz w:val="20"/>
          <w:szCs w:val="20"/>
          <w:color w:val="auto"/>
        </w:rPr>
      </w:pPr>
      <w:r>
        <w:rPr>
          <w:rFonts w:ascii="Times New Roman" w:cs="Times New Roman" w:eastAsia="Times New Roman" w:hAnsi="Times New Roman"/>
          <w:sz w:val="16"/>
          <w:szCs w:val="16"/>
          <w:color w:val="auto"/>
        </w:rPr>
        <w:t>the Audited Party.</w:t>
      </w:r>
    </w:p>
    <w:p>
      <w:pPr>
        <w:spacing w:after="0" w:line="107"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8.7.4.</w:t>
      </w:r>
      <w:r>
        <w:rPr>
          <w:sz w:val="20"/>
          <w:szCs w:val="20"/>
          <w:color w:val="auto"/>
        </w:rPr>
        <w:tab/>
      </w:r>
      <w:r>
        <w:rPr>
          <w:rFonts w:ascii="Times New Roman" w:cs="Times New Roman" w:eastAsia="Times New Roman" w:hAnsi="Times New Roman"/>
          <w:sz w:val="14"/>
          <w:szCs w:val="14"/>
          <w:b w:val="1"/>
          <w:bCs w:val="1"/>
          <w:color w:val="auto"/>
        </w:rPr>
        <w:t>Currency Exchange</w:t>
      </w:r>
      <w:r>
        <w:rPr>
          <w:rFonts w:ascii="Times New Roman" w:cs="Times New Roman" w:eastAsia="Times New Roman" w:hAnsi="Times New Roman"/>
          <w:sz w:val="14"/>
          <w:szCs w:val="14"/>
          <w:color w:val="auto"/>
        </w:rPr>
        <w:t>. The rate of exchange to be used in computing the amount of currency equivalent in Dollars owed to a Party under this Agreement will be</w:t>
      </w:r>
    </w:p>
    <w:p>
      <w:pPr>
        <w:spacing w:after="0" w:line="2" w:lineRule="exact"/>
        <w:rPr>
          <w:sz w:val="20"/>
          <w:szCs w:val="20"/>
          <w:color w:val="auto"/>
        </w:rPr>
      </w:pPr>
    </w:p>
    <w:p>
      <w:pPr>
        <w:jc w:val="both"/>
        <w:ind w:left="820" w:hanging="4"/>
        <w:spacing w:after="0" w:line="214" w:lineRule="auto"/>
        <w:tabs>
          <w:tab w:leader="none" w:pos="1034"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Arrowhead, the monthly average exchange rate between each currency of origin and Dollars as reported by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East Coast Edition</w:t>
      </w:r>
      <w:r>
        <w:rPr>
          <w:rFonts w:ascii="Times New Roman" w:cs="Times New Roman" w:eastAsia="Times New Roman" w:hAnsi="Times New Roman"/>
          <w:sz w:val="16"/>
          <w:szCs w:val="16"/>
          <w:color w:val="auto"/>
        </w:rPr>
        <w:t xml:space="preserve"> or an equivalent resource as agreed by the Parties, and (b) for Novartis, made by using Novartis’ then-current standard exchange rate methodology as applied in its external reporting for the conversion of foreign currency sales into Dollars.</w:t>
      </w:r>
    </w:p>
    <w:p>
      <w:pPr>
        <w:spacing w:after="0" w:line="124"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8.7.5.</w:t>
      </w:r>
      <w:r>
        <w:rPr>
          <w:sz w:val="20"/>
          <w:szCs w:val="20"/>
          <w:color w:val="auto"/>
        </w:rPr>
        <w:tab/>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1320" w:hanging="504"/>
        <w:spacing w:after="0" w:line="206" w:lineRule="auto"/>
        <w:tabs>
          <w:tab w:leader="none" w:pos="131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Withholding Taxes</w:t>
      </w:r>
      <w:r>
        <w:rPr>
          <w:rFonts w:ascii="Times New Roman" w:cs="Times New Roman" w:eastAsia="Times New Roman" w:hAnsi="Times New Roman"/>
          <w:sz w:val="16"/>
          <w:szCs w:val="16"/>
          <w:color w:val="auto"/>
        </w:rPr>
        <w:t>. The amounts payable pursuant to this Agreement (“</w:t>
      </w:r>
      <w:r>
        <w:rPr>
          <w:rFonts w:ascii="Times New Roman" w:cs="Times New Roman" w:eastAsia="Times New Roman" w:hAnsi="Times New Roman"/>
          <w:sz w:val="16"/>
          <w:szCs w:val="16"/>
          <w:b w:val="1"/>
          <w:bCs w:val="1"/>
          <w:color w:val="auto"/>
        </w:rPr>
        <w:t>Payments</w:t>
      </w:r>
      <w:r>
        <w:rPr>
          <w:rFonts w:ascii="Times New Roman" w:cs="Times New Roman" w:eastAsia="Times New Roman" w:hAnsi="Times New Roman"/>
          <w:sz w:val="16"/>
          <w:szCs w:val="16"/>
          <w:color w:val="auto"/>
        </w:rPr>
        <w:t>”) will not be reduced on account of any Taxes unless required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Law. The Parties acknowledge and agree that no Taxes are expected to be deducted or withheld from the Payments. If Novartis, as a result of a change in Law after the Effective Date is required to deduct or withhold from any Payment under any applicable Tax Law, including extra-territorial taxation (“</w:t>
      </w:r>
      <w:r>
        <w:rPr>
          <w:rFonts w:ascii="Times New Roman" w:cs="Times New Roman" w:eastAsia="Times New Roman" w:hAnsi="Times New Roman"/>
          <w:sz w:val="16"/>
          <w:szCs w:val="16"/>
          <w:b w:val="1"/>
          <w:bCs w:val="1"/>
          <w:color w:val="auto"/>
        </w:rPr>
        <w:t>Withholding Taxes</w:t>
      </w:r>
      <w:r>
        <w:rPr>
          <w:rFonts w:ascii="Times New Roman" w:cs="Times New Roman" w:eastAsia="Times New Roman" w:hAnsi="Times New Roman"/>
          <w:sz w:val="16"/>
          <w:szCs w:val="16"/>
          <w:color w:val="auto"/>
        </w:rPr>
        <w:t xml:space="preserve">”), Novartis will promptly (but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 notify Arrowhead in writing of the potential for Withholding Taxes and the basis therefor, and cooperate with Arrowhead in good faith so as to reduce or eliminate any potential obligation for such withholding of Taxes to the greatest extent possible, including with respect to obtaining the benefit of any present or future treaty against double Taxation or refund or reduction in such Taxes. Subject to Section 8.7.5(c) (Assignments and Transfers), Novartis will deduct and withhold from the Payments any Taxes that it is required by Law to deduct or withhold and will properly remit such Taxes to the appropriate Governmental Authority. Novartis will provide Arrowhead with reasonable evidence of the proper payment of any withholding Taxes applicable to the Payments, and any receipts or certifications provided by or to a Governmental Authority, when and if available. If Withholding Taxes are paid to a Governmental Authority, then Novartis will provide reasonable assistance to Arrowhead to obtain a refund of such Withholding Taxes, or obtain a credit with respect to Taxes paid, to the extent that such a refund or credit is available under applicable Law. If no Withholding Tax deduction has been made on the payments to Arrowhead or its Affiliates under this Agreement, but Governmental Authorities subsequently take the position that a Withholding Tax deduction should have been made, including extra-territorial taxation, Arrowhead shall provide, at Novartis’ expense, all reasonable support to Novartis to obtain relief or reduction of withholding under the applicable Tax Law, including but not limited to the submission or issuance of requisite forms and information. Any refunds of Withholding Taxes that are granted to Arrowhead by the competent tax authority and which would cause Arrowhead</w:t>
      </w:r>
    </w:p>
    <w:p>
      <w:pPr>
        <w:spacing w:after="0" w:line="3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920"/>
          </w:cols>
          <w:pgMar w:left="660" w:top="123" w:right="319" w:bottom="1440" w:gutter="0" w:footer="0" w:header="0"/>
        </w:sectPr>
      </w:pPr>
    </w:p>
    <w:bookmarkStart w:id="175" w:name="page176"/>
    <w:bookmarkEnd w:id="175"/>
    <w:p>
      <w:pPr>
        <w:ind w:left="2360" w:right="360" w:hanging="2360"/>
        <w:spacing w:after="0" w:line="290" w:lineRule="auto"/>
        <w:tabs>
          <w:tab w:leader="none" w:pos="336"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spacing w:after="0" w:line="235" w:lineRule="auto"/>
        <w:rPr>
          <w:sz w:val="20"/>
          <w:szCs w:val="20"/>
          <w:color w:val="auto"/>
        </w:rPr>
      </w:pPr>
      <w:r>
        <w:rPr>
          <w:rFonts w:ascii="Times New Roman" w:cs="Times New Roman" w:eastAsia="Times New Roman" w:hAnsi="Times New Roman"/>
          <w:sz w:val="16"/>
          <w:szCs w:val="16"/>
          <w:color w:val="auto"/>
        </w:rPr>
        <w:t>to receive payments in excess of that which Novartis would owe under this Agreement, including related interest, shall be paid (net of expenses) to Novartis by Arrowhead.</w:t>
      </w:r>
    </w:p>
    <w:p>
      <w:pPr>
        <w:spacing w:after="0" w:line="126" w:lineRule="exact"/>
        <w:rPr>
          <w:sz w:val="20"/>
          <w:szCs w:val="20"/>
          <w:color w:val="auto"/>
        </w:rPr>
      </w:pPr>
    </w:p>
    <w:p>
      <w:pPr>
        <w:ind w:left="1320" w:hanging="504"/>
        <w:spacing w:after="0" w:line="230" w:lineRule="auto"/>
        <w:tabs>
          <w:tab w:leader="none" w:pos="131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Cooperation</w:t>
      </w:r>
      <w:r>
        <w:rPr>
          <w:rFonts w:ascii="Times New Roman" w:cs="Times New Roman" w:eastAsia="Times New Roman" w:hAnsi="Times New Roman"/>
          <w:sz w:val="16"/>
          <w:szCs w:val="16"/>
          <w:color w:val="auto"/>
        </w:rPr>
        <w:t>. The Parties will use reasonable efforts to provide each other with information required by a Party for the purpose of filing applicable tax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returns or reducing or eliminating Withholding Taxes.</w:t>
      </w:r>
    </w:p>
    <w:p>
      <w:pPr>
        <w:spacing w:after="0" w:line="124" w:lineRule="exact"/>
        <w:rPr>
          <w:rFonts w:ascii="Times New Roman" w:cs="Times New Roman" w:eastAsia="Times New Roman" w:hAnsi="Times New Roman"/>
          <w:sz w:val="16"/>
          <w:szCs w:val="16"/>
          <w:color w:val="auto"/>
        </w:rPr>
      </w:pPr>
    </w:p>
    <w:p>
      <w:pPr>
        <w:jc w:val="both"/>
        <w:ind w:left="1320" w:hanging="504"/>
        <w:spacing w:after="0" w:line="209" w:lineRule="auto"/>
        <w:tabs>
          <w:tab w:leader="none" w:pos="131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Assignments and Transfers</w:t>
      </w:r>
      <w:r>
        <w:rPr>
          <w:rFonts w:ascii="Times New Roman" w:cs="Times New Roman" w:eastAsia="Times New Roman" w:hAnsi="Times New Roman"/>
          <w:sz w:val="16"/>
          <w:szCs w:val="16"/>
          <w:color w:val="auto"/>
        </w:rPr>
        <w:t>. If a Party that owes a Payment under this Agreement is required by Law to withhold taxes in respect of any Payment, and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withholding obligation arises as a result of any action taken by such Party or its Affiliate or successor or assignee, including an assignment of this Agreement as permitted under Section 16.1 (Assignment) of this Agreement, a change in tax residency of such Party, or payments arise or are deemed to arise through a branch of such Party then any applicable Payments for which the recipient Party is, in the good faith discretion of the recipient Party’s tax counsel or accountants (following reasonable discussions with the paying Party or its representatives), not able to recover or credit such withheld amount in the taxable year of such payment will be increased to take into account such Withholding Taxes as may be necessary so that, after making all required Tax withholdings and deductions (including Tax withholdings and deductions on amounts payable under this Section 8.7.5 (Taxes)), the payee receives an amount equal to the sum it would have received had no such increased withholding been made.</w:t>
      </w:r>
    </w:p>
    <w:p>
      <w:pPr>
        <w:spacing w:after="0" w:line="129" w:lineRule="exact"/>
        <w:rPr>
          <w:rFonts w:ascii="Times New Roman" w:cs="Times New Roman" w:eastAsia="Times New Roman" w:hAnsi="Times New Roman"/>
          <w:sz w:val="16"/>
          <w:szCs w:val="16"/>
          <w:color w:val="auto"/>
        </w:rPr>
      </w:pPr>
    </w:p>
    <w:p>
      <w:pPr>
        <w:jc w:val="both"/>
        <w:ind w:left="1320" w:hanging="504"/>
        <w:spacing w:after="0" w:line="222" w:lineRule="auto"/>
        <w:tabs>
          <w:tab w:leader="none" w:pos="131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 Tax</w:t>
      </w:r>
      <w:r>
        <w:rPr>
          <w:rFonts w:ascii="Times New Roman" w:cs="Times New Roman" w:eastAsia="Times New Roman" w:hAnsi="Times New Roman"/>
          <w:sz w:val="16"/>
          <w:szCs w:val="16"/>
          <w:color w:val="auto"/>
        </w:rPr>
        <w:t>. All transfer, documentary, sales, use, stamp, registration, and other such Taxes, and any conveyance fees, recording charges and other fees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charges (including any penalties and interest) incurred in connection with consummation of the transactions contemplated hereby, if any, will be borne and paid by Novartis. Novartis will prepare and timely file all tax returns required to be filed in respect of any such Taxes.</w:t>
      </w:r>
    </w:p>
    <w:p>
      <w:pPr>
        <w:spacing w:after="0" w:line="126" w:lineRule="exact"/>
        <w:rPr>
          <w:rFonts w:ascii="Times New Roman" w:cs="Times New Roman" w:eastAsia="Times New Roman" w:hAnsi="Times New Roman"/>
          <w:sz w:val="16"/>
          <w:szCs w:val="16"/>
          <w:color w:val="auto"/>
        </w:rPr>
      </w:pPr>
    </w:p>
    <w:p>
      <w:pPr>
        <w:jc w:val="both"/>
        <w:ind w:left="1320" w:hanging="504"/>
        <w:spacing w:after="0" w:line="212" w:lineRule="auto"/>
        <w:tabs>
          <w:tab w:leader="none" w:pos="131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Indirect Taxes</w:t>
      </w:r>
      <w:r>
        <w:rPr>
          <w:rFonts w:ascii="Times New Roman" w:cs="Times New Roman" w:eastAsia="Times New Roman" w:hAnsi="Times New Roman"/>
          <w:sz w:val="16"/>
          <w:szCs w:val="16"/>
          <w:color w:val="auto"/>
        </w:rPr>
        <w:t>. All amounts expressed to be payable pursuant to this Agreement by Novartis to Arrowhead which (in whole or in part) constitute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consideration for any supply for the purposes of any value-added, sales, use, excise or similar Tax (“</w:t>
      </w:r>
      <w:r>
        <w:rPr>
          <w:rFonts w:ascii="Times New Roman" w:cs="Times New Roman" w:eastAsia="Times New Roman" w:hAnsi="Times New Roman"/>
          <w:sz w:val="16"/>
          <w:szCs w:val="16"/>
          <w:b w:val="1"/>
          <w:bCs w:val="1"/>
          <w:color w:val="auto"/>
        </w:rPr>
        <w:t>Indirect Taxes</w:t>
      </w:r>
      <w:r>
        <w:rPr>
          <w:rFonts w:ascii="Times New Roman" w:cs="Times New Roman" w:eastAsia="Times New Roman" w:hAnsi="Times New Roman"/>
          <w:sz w:val="16"/>
          <w:szCs w:val="16"/>
          <w:color w:val="auto"/>
        </w:rPr>
        <w:t>”) will be exclusive of any Indirect Taxes. If Indirect Taxes are or become chargeable on any supply for Indirect Tax purposes made by Arrowhead to Novartis pursuant to this Agreement and Arrowhead is required to account to the relevant tax authority for the Indirect Tax, Novartis must pay to Arrowhead (in addition to and at the same time as paying any other consideration for such supply) an amount equal to the amount of the Indirect Taxes (and Arrowhead must promptly provide an appropriate Indirect Taxes invoice to Novartis).</w:t>
      </w:r>
    </w:p>
    <w:p>
      <w:pPr>
        <w:spacing w:after="0" w:line="121"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8.7.6.</w:t>
      </w:r>
      <w:r>
        <w:rPr>
          <w:sz w:val="20"/>
          <w:szCs w:val="20"/>
          <w:color w:val="auto"/>
        </w:rPr>
        <w:tab/>
      </w:r>
      <w:r>
        <w:rPr>
          <w:rFonts w:ascii="Times New Roman" w:cs="Times New Roman" w:eastAsia="Times New Roman" w:hAnsi="Times New Roman"/>
          <w:sz w:val="14"/>
          <w:szCs w:val="14"/>
          <w:b w:val="1"/>
          <w:bCs w:val="1"/>
          <w:color w:val="auto"/>
        </w:rPr>
        <w:t>Blocked Payments</w:t>
      </w:r>
      <w:r>
        <w:rPr>
          <w:rFonts w:ascii="Times New Roman" w:cs="Times New Roman" w:eastAsia="Times New Roman" w:hAnsi="Times New Roman"/>
          <w:sz w:val="14"/>
          <w:szCs w:val="14"/>
          <w:color w:val="auto"/>
        </w:rPr>
        <w:t>. If, by reason of Law in any country, it becomes impossible or illegal for a Party to transfer, or have transferred on its behalf, any payment</w:t>
      </w:r>
    </w:p>
    <w:p>
      <w:pPr>
        <w:spacing w:after="0" w:line="2"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owed to the other Party hereunder, then such Party will (a) promptly notify the other Party of the conditions preventing such transfer and (b) deposit such payment in local currency in the relevant country to the credit of the other Party in a recognized banking institution designated by the other Party or, if none is designated</w:t>
      </w:r>
    </w:p>
    <w:p>
      <w:pPr>
        <w:ind w:left="820"/>
        <w:spacing w:after="0" w:line="224" w:lineRule="auto"/>
        <w:rPr>
          <w:sz w:val="20"/>
          <w:szCs w:val="20"/>
          <w:color w:val="auto"/>
        </w:rPr>
      </w:pPr>
      <w:r>
        <w:rPr>
          <w:rFonts w:ascii="Times New Roman" w:cs="Times New Roman" w:eastAsia="Times New Roman" w:hAnsi="Times New Roman"/>
          <w:sz w:val="16"/>
          <w:szCs w:val="16"/>
          <w:color w:val="auto"/>
        </w:rPr>
        <w:t xml:space="preserve">by the other Party within a period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a recognized banking institution selected by the transferring Party, as the case may be, and identified in a written notice given to the other Party.</w:t>
      </w:r>
    </w:p>
    <w:p>
      <w:pPr>
        <w:spacing w:after="0" w:line="114" w:lineRule="exact"/>
        <w:rPr>
          <w:sz w:val="20"/>
          <w:szCs w:val="20"/>
          <w:color w:val="auto"/>
        </w:rPr>
      </w:pPr>
    </w:p>
    <w:p>
      <w:pPr>
        <w:ind w:left="820" w:hanging="661"/>
        <w:spacing w:after="0" w:line="237" w:lineRule="auto"/>
        <w:tabs>
          <w:tab w:leader="none" w:pos="800" w:val="left"/>
        </w:tabs>
        <w:rPr>
          <w:sz w:val="20"/>
          <w:szCs w:val="20"/>
          <w:color w:val="auto"/>
        </w:rPr>
      </w:pPr>
      <w:r>
        <w:rPr>
          <w:rFonts w:ascii="Times New Roman" w:cs="Times New Roman" w:eastAsia="Times New Roman" w:hAnsi="Times New Roman"/>
          <w:sz w:val="16"/>
          <w:szCs w:val="16"/>
          <w:color w:val="auto"/>
        </w:rPr>
        <w:t>8.7.7.</w:t>
      </w:r>
      <w:r>
        <w:rPr>
          <w:sz w:val="20"/>
          <w:szCs w:val="20"/>
          <w:color w:val="auto"/>
        </w:rPr>
        <w:tab/>
      </w:r>
      <w:r>
        <w:rPr>
          <w:rFonts w:ascii="Times New Roman" w:cs="Times New Roman" w:eastAsia="Times New Roman" w:hAnsi="Times New Roman"/>
          <w:sz w:val="16"/>
          <w:szCs w:val="16"/>
          <w:b w:val="1"/>
          <w:bCs w:val="1"/>
          <w:color w:val="auto"/>
        </w:rPr>
        <w:t>Interest Due</w:t>
      </w:r>
      <w:r>
        <w:rPr>
          <w:rFonts w:ascii="Times New Roman" w:cs="Times New Roman" w:eastAsia="Times New Roman" w:hAnsi="Times New Roman"/>
          <w:sz w:val="16"/>
          <w:szCs w:val="16"/>
          <w:color w:val="auto"/>
        </w:rPr>
        <w:t>. If a Party does not receive payment of any sum due to it on or before the due date, simple interest will thereafter accrue on the sum due to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Party until</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920"/>
          </w:cols>
          <w:pgMar w:left="660" w:top="123" w:right="319" w:bottom="1440" w:gutter="0" w:footer="0" w:header="0"/>
        </w:sectPr>
      </w:pPr>
    </w:p>
    <w:bookmarkStart w:id="176" w:name="page177"/>
    <w:bookmarkEnd w:id="176"/>
    <w:p>
      <w:pPr>
        <w:ind w:left="2720" w:right="360" w:hanging="2360"/>
        <w:spacing w:after="0" w:line="290" w:lineRule="auto"/>
        <w:tabs>
          <w:tab w:leader="none" w:pos="696"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80"/>
        <w:spacing w:after="0" w:line="237" w:lineRule="auto"/>
        <w:rPr>
          <w:sz w:val="20"/>
          <w:szCs w:val="20"/>
          <w:color w:val="auto"/>
        </w:rPr>
      </w:pPr>
      <w:r>
        <w:rPr>
          <w:rFonts w:ascii="Times New Roman" w:cs="Times New Roman" w:eastAsia="Times New Roman" w:hAnsi="Times New Roman"/>
          <w:sz w:val="16"/>
          <w:szCs w:val="16"/>
          <w:color w:val="auto"/>
        </w:rPr>
        <w:t xml:space="preserve">the date of payment at the per annum rate equal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In relation to payments disputed in good faith, interest under this Section 8.7.7 (Interest Due) is payable only after the dispute is resolved, on sums found or agreed to be due, from the due date.</w:t>
      </w:r>
    </w:p>
    <w:p>
      <w:pPr>
        <w:spacing w:after="0" w:line="125" w:lineRule="exact"/>
        <w:rPr>
          <w:sz w:val="20"/>
          <w:szCs w:val="20"/>
          <w:color w:val="auto"/>
        </w:rPr>
      </w:pPr>
    </w:p>
    <w:p>
      <w:pPr>
        <w:ind w:left="520" w:hanging="515"/>
        <w:spacing w:after="0"/>
        <w:tabs>
          <w:tab w:leader="none" w:pos="520" w:val="left"/>
        </w:tabs>
        <w:numPr>
          <w:ilvl w:val="0"/>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CONFIDENTIALITY AND PUBLICATION</w:t>
      </w:r>
    </w:p>
    <w:p>
      <w:pPr>
        <w:spacing w:after="0" w:line="13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9.1.   Confidential Information</w:t>
      </w:r>
      <w:r>
        <w:rPr>
          <w:rFonts w:ascii="Times New Roman" w:cs="Times New Roman" w:eastAsia="Times New Roman" w:hAnsi="Times New Roman"/>
          <w:sz w:val="16"/>
          <w:szCs w:val="16"/>
          <w:color w:val="auto"/>
        </w:rPr>
        <w:t>. The existence and terms of this Agreement are the Confidential Information of each Party, and each Party will be deemed a Receiving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respect thereto. (a) Unpublished patent applications within the Licensed Product-Specific Patent Rights and Arrowhead Know-How that is specific to the composition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of matter, form, formulation, or a method of treatment with, or use or manufacture of a Licensed Compound or a Licensed Product (“</w:t>
      </w:r>
      <w:r>
        <w:rPr>
          <w:rFonts w:ascii="Times New Roman" w:cs="Times New Roman" w:eastAsia="Times New Roman" w:hAnsi="Times New Roman"/>
          <w:sz w:val="14"/>
          <w:szCs w:val="14"/>
          <w:b w:val="1"/>
          <w:bCs w:val="1"/>
          <w:color w:val="auto"/>
        </w:rPr>
        <w:t>Product-Specific Know-How</w:t>
      </w:r>
      <w:r>
        <w:rPr>
          <w:rFonts w:ascii="Times New Roman" w:cs="Times New Roman" w:eastAsia="Times New Roman" w:hAnsi="Times New Roman"/>
          <w:sz w:val="14"/>
          <w:szCs w:val="14"/>
          <w:color w:val="auto"/>
        </w:rPr>
        <w:t>”), in each case, will be the Confidential Information of both Parties; (b) except as set forth in clause (a) or clause (e) of this Section 9.1 (Confidential Information), all Arrowhead</w:t>
      </w:r>
    </w:p>
    <w:p>
      <w:pPr>
        <w:ind w:left="520"/>
        <w:spacing w:after="0" w:line="229" w:lineRule="auto"/>
        <w:rPr>
          <w:sz w:val="20"/>
          <w:szCs w:val="20"/>
          <w:color w:val="auto"/>
        </w:rPr>
      </w:pPr>
      <w:r>
        <w:rPr>
          <w:rFonts w:ascii="Times New Roman" w:cs="Times New Roman" w:eastAsia="Times New Roman" w:hAnsi="Times New Roman"/>
          <w:sz w:val="14"/>
          <w:szCs w:val="14"/>
          <w:color w:val="auto"/>
        </w:rPr>
        <w:t>Know-How that is neither Product-Specific Know-How nor Joint Arising Know-How will be Confidential Information of Arrowhead; (c) except as set forth in clause (e) of this Section 9.1 (Confidential Information), all Novartis Arising Know-How and all reports delivered by Novartis to Arrowhead hereunder, in each case, will be Confidential</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Information of Novartis,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Novartis will maintain all Novartis Arising Know-How that (i) solely relates to the composition of matter, formulation, form, or a</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method of use or treatment, delivery, or Manufacture of a Licensed Compound or Licensed Product and (ii) is necessary or reasonably useful to Develop, Manufacture, Commercialize, and otherwise Exploit such Licensed Compound or Licensed Product, in confidence and not disclose such Know-How to any Third Party for so long as</w:t>
      </w:r>
    </w:p>
    <w:p>
      <w:pPr>
        <w:ind w:left="520"/>
        <w:spacing w:after="0"/>
        <w:rPr>
          <w:sz w:val="20"/>
          <w:szCs w:val="20"/>
          <w:color w:val="auto"/>
        </w:rPr>
      </w:pPr>
      <w:r>
        <w:rPr>
          <w:rFonts w:ascii="Times New Roman" w:cs="Times New Roman" w:eastAsia="Times New Roman" w:hAnsi="Times New Roman"/>
          <w:sz w:val="14"/>
          <w:szCs w:val="14"/>
          <w:color w:val="auto"/>
        </w:rPr>
        <w:t>such Know-How remains Confidential Information of Novartis, except as permitted under Section 9.2 (Non-Disclosure and Non-Use Obligation), Section 9.4 (Permitted</w:t>
      </w:r>
    </w:p>
    <w:p>
      <w:pPr>
        <w:ind w:left="520"/>
        <w:spacing w:after="0" w:line="229" w:lineRule="auto"/>
        <w:rPr>
          <w:sz w:val="20"/>
          <w:szCs w:val="20"/>
          <w:color w:val="auto"/>
        </w:rPr>
      </w:pPr>
      <w:r>
        <w:rPr>
          <w:rFonts w:ascii="Times New Roman" w:cs="Times New Roman" w:eastAsia="Times New Roman" w:hAnsi="Times New Roman"/>
          <w:sz w:val="14"/>
          <w:szCs w:val="14"/>
          <w:color w:val="auto"/>
        </w:rPr>
        <w:t>Disclosures), or Section 9.8 (Publication); (d) all Know-How within the Joint Arising Know-How will be Confidential Information of both Parties, regardless of which Party initially generated or disclosed the relevant Joint Arising Know-How to the other Party in connection with this Agreement; and (e) all information exchanged between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Parties regarding the Prosecution and Maintenance, defense, and enforcement of the Patent Rights under Article 12 (Intellectual Property) will be the Confidential</w:t>
      </w: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Information of both Parties. All information disclosed by a Party pursuant to the Confidentiality Agreement is deemed the Confidential Information of such Party pursuant to this Agreement.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9.2.</w:t>
      </w:r>
      <w:r>
        <w:rPr>
          <w:sz w:val="20"/>
          <w:szCs w:val="20"/>
          <w:color w:val="auto"/>
        </w:rPr>
        <w:tab/>
      </w:r>
      <w:r>
        <w:rPr>
          <w:rFonts w:ascii="Times New Roman" w:cs="Times New Roman" w:eastAsia="Times New Roman" w:hAnsi="Times New Roman"/>
          <w:sz w:val="14"/>
          <w:szCs w:val="14"/>
          <w:b w:val="1"/>
          <w:bCs w:val="1"/>
          <w:color w:val="auto"/>
        </w:rPr>
        <w:t>Non-Disclosure and Non-Use Obligation</w:t>
      </w:r>
      <w:r>
        <w:rPr>
          <w:rFonts w:ascii="Times New Roman" w:cs="Times New Roman" w:eastAsia="Times New Roman" w:hAnsi="Times New Roman"/>
          <w:sz w:val="14"/>
          <w:szCs w:val="14"/>
          <w:color w:val="auto"/>
        </w:rPr>
        <w:t>. Except as otherwise expressly set forth in this Article 9 (Confidentiality and Publication), the Receiving Party will, during the</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Term and for a period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thereafter, keep the Confidential Information of the Disclosing Party confidential using at least the same degree of care with which the Receiving Party holds its own Confidential Information (but in no event less than a reasonable degree of care) and will not (a) disclose such Confidential Information to any</w:t>
      </w:r>
    </w:p>
    <w:p>
      <w:pPr>
        <w:ind w:left="520"/>
        <w:spacing w:after="0" w:line="237" w:lineRule="auto"/>
        <w:rPr>
          <w:sz w:val="20"/>
          <w:szCs w:val="20"/>
          <w:color w:val="auto"/>
        </w:rPr>
      </w:pPr>
      <w:r>
        <w:rPr>
          <w:rFonts w:ascii="Times New Roman" w:cs="Times New Roman" w:eastAsia="Times New Roman" w:hAnsi="Times New Roman"/>
          <w:sz w:val="14"/>
          <w:szCs w:val="14"/>
          <w:color w:val="auto"/>
        </w:rPr>
        <w:t>Person without the prior written approval of the Disclosing Party, except, solely to the extent necessary to exercise its rights or perform its obligations under this Agreement,</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to its employees, Affiliates, Sublicensees, and Subcontractors, consultants, or agents who have a need to know such Confidential Information, all of whom will be similarly bound by confidentiality, non-disclosure, and non-use provisions at least as restrictive or protective of the Parties as those set forth in this Agreement and for whom the</w:t>
      </w:r>
    </w:p>
    <w:p>
      <w:pPr>
        <w:ind w:left="520"/>
        <w:spacing w:after="0" w:line="237" w:lineRule="auto"/>
        <w:rPr>
          <w:sz w:val="20"/>
          <w:szCs w:val="20"/>
          <w:color w:val="auto"/>
        </w:rPr>
      </w:pPr>
      <w:r>
        <w:rPr>
          <w:rFonts w:ascii="Times New Roman" w:cs="Times New Roman" w:eastAsia="Times New Roman" w:hAnsi="Times New Roman"/>
          <w:sz w:val="14"/>
          <w:szCs w:val="14"/>
          <w:color w:val="auto"/>
        </w:rPr>
        <w:t>Disclosing Party will be responsible, or (b) use such Confidential Information for any purpose other than for the purposes contemplated by this Agreement. The Receiving</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Party will cause the foregoing Persons to whom Confidential Information is disclosed pursuant to clause (a) of this Section 9.2 (Non-Disclosure and Non-Use Obligation) to comply with the restrictions on use and disclosure set forth in this Section 9.2 (Non-Disclosure and Non-Use Obligation) and will be responsible for ensuring that such</w:t>
      </w:r>
    </w:p>
    <w:p>
      <w:pPr>
        <w:ind w:left="520"/>
        <w:spacing w:after="0" w:line="237" w:lineRule="auto"/>
        <w:rPr>
          <w:sz w:val="20"/>
          <w:szCs w:val="20"/>
          <w:color w:val="auto"/>
        </w:rPr>
      </w:pPr>
      <w:r>
        <w:rPr>
          <w:rFonts w:ascii="Times New Roman" w:cs="Times New Roman" w:eastAsia="Times New Roman" w:hAnsi="Times New Roman"/>
          <w:sz w:val="14"/>
          <w:szCs w:val="14"/>
          <w:color w:val="auto"/>
        </w:rPr>
        <w:t>Persons maintain the Disclosing Party’s Confidential Information in accordance with this Article 9 (Confidentiality and Publication). Each Party will promptly notify the</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other Party of any misuse or unauthorized disclosure of the other Party’s Confidential Information by it or by those Persons to whom it disclosed Confidential Information pursuant to clause (a) of this Section 9.2 (Non-Disclosure and Non-Use Obligation).</w:t>
      </w:r>
    </w:p>
    <w:p>
      <w:pPr>
        <w:spacing w:after="0" w:line="1" w:lineRule="exact"/>
        <w:rPr>
          <w:sz w:val="20"/>
          <w:szCs w:val="20"/>
          <w:color w:val="auto"/>
        </w:rPr>
      </w:pPr>
    </w:p>
    <w:p>
      <w:pPr>
        <w:ind w:left="520" w:hanging="508"/>
        <w:spacing w:after="0" w:line="224"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9.3.</w:t>
      </w:r>
      <w:r>
        <w:rPr>
          <w:sz w:val="20"/>
          <w:szCs w:val="20"/>
          <w:color w:val="auto"/>
        </w:rPr>
        <w:tab/>
      </w:r>
      <w:r>
        <w:rPr>
          <w:rFonts w:ascii="Times New Roman" w:cs="Times New Roman" w:eastAsia="Times New Roman" w:hAnsi="Times New Roman"/>
          <w:sz w:val="16"/>
          <w:szCs w:val="16"/>
          <w:b w:val="1"/>
          <w:bCs w:val="1"/>
          <w:color w:val="auto"/>
        </w:rPr>
        <w:t>Exemptions</w:t>
      </w:r>
      <w:r>
        <w:rPr>
          <w:rFonts w:ascii="Times New Roman" w:cs="Times New Roman" w:eastAsia="Times New Roman" w:hAnsi="Times New Roman"/>
          <w:sz w:val="16"/>
          <w:szCs w:val="16"/>
          <w:color w:val="auto"/>
        </w:rPr>
        <w:t>. Information of a Disclosing Party will not be Confidential Information of such Disclosing Party to the extent that the Receiving Party can demonstrate 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competent evidence that such information: (a) is already in the possession of the Receiving Party at the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280"/>
          </w:cols>
          <w:pgMar w:left="300" w:top="123" w:right="319" w:bottom="1440" w:gutter="0" w:footer="0" w:header="0"/>
        </w:sectPr>
      </w:pPr>
    </w:p>
    <w:bookmarkStart w:id="177" w:name="page178"/>
    <w:bookmarkEnd w:id="177"/>
    <w:p>
      <w:pPr>
        <w:ind w:left="2720" w:right="360" w:hanging="2360"/>
        <w:spacing w:after="0" w:line="290" w:lineRule="auto"/>
        <w:tabs>
          <w:tab w:leader="none" w:pos="696"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20"/>
        <w:spacing w:after="0"/>
        <w:rPr>
          <w:sz w:val="20"/>
          <w:szCs w:val="20"/>
          <w:color w:val="auto"/>
        </w:rPr>
      </w:pPr>
      <w:r>
        <w:rPr>
          <w:rFonts w:ascii="Times New Roman" w:cs="Times New Roman" w:eastAsia="Times New Roman" w:hAnsi="Times New Roman"/>
          <w:sz w:val="14"/>
          <w:szCs w:val="14"/>
          <w:color w:val="auto"/>
        </w:rPr>
        <w:t>of its receipt from the Disclosing Party and not through a prior disclosure by or on behalf of the Disclosing Party; (b) is generally available to the public before its receipt from the Disclosing Party; (c) became generally available to the public or otherwise part of the public domain after its disclosure by the Disclosing Party and other than through any act or omission of the Receiving Party or any of its Affiliates or representatives in breach of this Agreement, including pursuant to Section 9.8 (Publications);</w:t>
      </w:r>
    </w:p>
    <w:p>
      <w:pPr>
        <w:spacing w:after="0" w:line="2" w:lineRule="exact"/>
        <w:rPr>
          <w:sz w:val="20"/>
          <w:szCs w:val="20"/>
          <w:color w:val="auto"/>
        </w:rPr>
      </w:pPr>
    </w:p>
    <w:p>
      <w:pPr>
        <w:jc w:val="both"/>
        <w:ind w:left="520" w:hanging="6"/>
        <w:spacing w:after="0" w:line="232" w:lineRule="auto"/>
        <w:tabs>
          <w:tab w:leader="none" w:pos="74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subsequently disclosed to the Receiving Party or any of its Affiliates without obligation of confidentiality by a Third Party who may rightfully do so and is not under a conflicting obligation of confidentiality to the Disclosing Party; or (e) other than any Arising Know-How, is developed independently by employees, Subcontractors, consultants, or agents of the Receiving Party or any of its Affiliates without use of or reliance upon the Disclosing Party’s Confidential Information. 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 Specific aspects or details of Confidential Information will not be deemed to be within the public domain or in the possession of the Receiving Party merely because the Confidential Information is encompassed by more general information in the public domain or in the possession of the Receiving Party.</w:t>
      </w:r>
    </w:p>
    <w:p>
      <w:pPr>
        <w:spacing w:after="0" w:line="3" w:lineRule="exact"/>
        <w:rPr>
          <w:sz w:val="20"/>
          <w:szCs w:val="20"/>
          <w:color w:val="auto"/>
        </w:rPr>
      </w:pPr>
    </w:p>
    <w:p>
      <w:pPr>
        <w:ind w:left="520" w:hanging="508"/>
        <w:spacing w:after="0" w:line="200"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9.4.</w:t>
      </w:r>
      <w:r>
        <w:rPr>
          <w:sz w:val="20"/>
          <w:szCs w:val="20"/>
          <w:color w:val="auto"/>
        </w:rPr>
        <w:tab/>
      </w:r>
      <w:r>
        <w:rPr>
          <w:rFonts w:ascii="Times New Roman" w:cs="Times New Roman" w:eastAsia="Times New Roman" w:hAnsi="Times New Roman"/>
          <w:sz w:val="16"/>
          <w:szCs w:val="16"/>
          <w:b w:val="1"/>
          <w:bCs w:val="1"/>
          <w:color w:val="auto"/>
        </w:rPr>
        <w:t>Permitted Disclosures</w:t>
      </w:r>
      <w:r>
        <w:rPr>
          <w:rFonts w:ascii="Times New Roman" w:cs="Times New Roman" w:eastAsia="Times New Roman" w:hAnsi="Times New Roman"/>
          <w:sz w:val="16"/>
          <w:szCs w:val="16"/>
          <w:color w:val="auto"/>
        </w:rPr>
        <w:t>. In addition to the exceptions contained in Section 9.2 (Non-Disclosure and Non-Use Obligation), the Receiving Party may disclose Confidential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of the Disclosing Party to the extent (and solely to the extent) that such disclosure is reasonably necessary in the following instances:</w:t>
      </w: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9.4.1.</w:t>
      </w:r>
      <w:r>
        <w:rPr>
          <w:sz w:val="20"/>
          <w:szCs w:val="20"/>
          <w:color w:val="auto"/>
        </w:rPr>
        <w:tab/>
      </w:r>
      <w:r>
        <w:rPr>
          <w:rFonts w:ascii="Times New Roman" w:cs="Times New Roman" w:eastAsia="Times New Roman" w:hAnsi="Times New Roman"/>
          <w:sz w:val="14"/>
          <w:szCs w:val="14"/>
          <w:color w:val="auto"/>
        </w:rPr>
        <w:t>(a) the Prosecution and Maintenance of Patent Rights as contemplated under Article 12 (Intellectual Property); or (b) Regulatory Submissions and other filings</w:t>
      </w: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with Governmental Authorities (including Regulatory Authorities), as necessary for the Exploitation of a Licensed Product;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Receiving Party will take all reasonable measures to ensure the confidential treatment of such Confidential Information to the extent permitted under applicable Law;</w:t>
      </w:r>
    </w:p>
    <w:p>
      <w:pPr>
        <w:spacing w:after="0" w:line="11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9.4.2.</w:t>
      </w:r>
      <w:r>
        <w:rPr>
          <w:sz w:val="20"/>
          <w:szCs w:val="20"/>
          <w:color w:val="auto"/>
        </w:rPr>
        <w:tab/>
      </w:r>
      <w:r>
        <w:rPr>
          <w:rFonts w:ascii="Times New Roman" w:cs="Times New Roman" w:eastAsia="Times New Roman" w:hAnsi="Times New Roman"/>
          <w:sz w:val="14"/>
          <w:szCs w:val="14"/>
          <w:color w:val="auto"/>
        </w:rPr>
        <w:t xml:space="preserve">to actual or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potential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solely for the purpose of evaluating or carrying out an actual or potential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such case, (a) such</w:t>
      </w:r>
    </w:p>
    <w:p>
      <w:pPr>
        <w:spacing w:after="0" w:line="2"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Persons are bound by obligations of confidentiality, non-disclosure, and non-use provisions at least as restrictive or protective of the Parties as those set forth in this Agreement or otherwise customary for such type and scope of disclosure, (b) any such disclosure is limited to the maximum extent practicable for the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particular context in which it is being disclosed, and (c) that the term of such confidentiality obligation must be consistent with industry standards;</w:t>
      </w:r>
    </w:p>
    <w:p>
      <w:pPr>
        <w:spacing w:after="0" w:line="127" w:lineRule="exact"/>
        <w:rPr>
          <w:sz w:val="20"/>
          <w:szCs w:val="20"/>
          <w:color w:val="auto"/>
        </w:rPr>
      </w:pPr>
    </w:p>
    <w:p>
      <w:pPr>
        <w:jc w:val="both"/>
        <w:ind w:left="1180" w:hanging="661"/>
        <w:spacing w:after="0" w:line="229" w:lineRule="auto"/>
        <w:tabs>
          <w:tab w:leader="none" w:pos="1160" w:val="left"/>
        </w:tabs>
        <w:rPr>
          <w:sz w:val="20"/>
          <w:szCs w:val="20"/>
          <w:color w:val="auto"/>
        </w:rPr>
      </w:pPr>
      <w:r>
        <w:rPr>
          <w:rFonts w:ascii="Times New Roman" w:cs="Times New Roman" w:eastAsia="Times New Roman" w:hAnsi="Times New Roman"/>
          <w:sz w:val="16"/>
          <w:szCs w:val="16"/>
          <w:color w:val="auto"/>
        </w:rPr>
        <w:t>9.4.3.</w:t>
      </w:r>
      <w:r>
        <w:rPr>
          <w:sz w:val="20"/>
          <w:szCs w:val="20"/>
          <w:color w:val="auto"/>
        </w:rPr>
        <w:tab/>
      </w:r>
      <w:r>
        <w:rPr>
          <w:rFonts w:ascii="Times New Roman" w:cs="Times New Roman" w:eastAsia="Times New Roman" w:hAnsi="Times New Roman"/>
          <w:sz w:val="16"/>
          <w:szCs w:val="16"/>
          <w:color w:val="auto"/>
        </w:rPr>
        <w:t>if required by Law, including as may be required in connection with any filings made with, or by the disclosure policies of a major stock exchange, in which case the terms of such disclosures will be governed by Section 9.5 (Confidential Treatment);</w:t>
      </w:r>
    </w:p>
    <w:p>
      <w:pPr>
        <w:spacing w:after="0" w:line="117"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9.4.4.</w:t>
      </w:r>
      <w:r>
        <w:rPr>
          <w:sz w:val="20"/>
          <w:szCs w:val="20"/>
          <w:color w:val="auto"/>
        </w:rPr>
        <w:tab/>
      </w:r>
      <w:r>
        <w:rPr>
          <w:rFonts w:ascii="Times New Roman" w:cs="Times New Roman" w:eastAsia="Times New Roman" w:hAnsi="Times New Roman"/>
          <w:sz w:val="16"/>
          <w:szCs w:val="16"/>
          <w:color w:val="auto"/>
        </w:rPr>
        <w:t xml:space="preserve">to prosecute or defend litigation so long as there 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written notice given by the Receiving Party before filing, and to enforce Patent Rights in</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connection with the Receiving Party’s rights and obligations pursuant to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Party seeking to disclose the Confidential Information of the other Party: (a) use reasonable efforts to inform the other Party prior to making any such disclosures and reasonably cooperate with the other Party in</w:t>
      </w:r>
    </w:p>
    <w:p>
      <w:pPr>
        <w:ind w:left="1180"/>
        <w:spacing w:after="0" w:line="224" w:lineRule="auto"/>
        <w:rPr>
          <w:sz w:val="20"/>
          <w:szCs w:val="20"/>
          <w:color w:val="auto"/>
        </w:rPr>
      </w:pPr>
      <w:r>
        <w:rPr>
          <w:rFonts w:ascii="Times New Roman" w:cs="Times New Roman" w:eastAsia="Times New Roman" w:hAnsi="Times New Roman"/>
          <w:sz w:val="16"/>
          <w:szCs w:val="16"/>
          <w:color w:val="auto"/>
        </w:rPr>
        <w:t>seeking a protective order or other appropriate remedy (including redaction), and (b) whenever possible, request confidential treatment of such information in accordance with Section 9.5 (Confidential Treatment); and</w:t>
      </w:r>
    </w:p>
    <w:p>
      <w:pPr>
        <w:spacing w:after="0" w:line="116" w:lineRule="exact"/>
        <w:rPr>
          <w:sz w:val="20"/>
          <w:szCs w:val="20"/>
          <w:color w:val="auto"/>
        </w:rPr>
      </w:pPr>
    </w:p>
    <w:p>
      <w:pPr>
        <w:jc w:val="both"/>
        <w:ind w:left="1180" w:hanging="661"/>
        <w:spacing w:after="0" w:line="226" w:lineRule="auto"/>
        <w:tabs>
          <w:tab w:leader="none" w:pos="1160" w:val="left"/>
        </w:tabs>
        <w:rPr>
          <w:sz w:val="20"/>
          <w:szCs w:val="20"/>
          <w:color w:val="auto"/>
        </w:rPr>
      </w:pPr>
      <w:r>
        <w:rPr>
          <w:rFonts w:ascii="Times New Roman" w:cs="Times New Roman" w:eastAsia="Times New Roman" w:hAnsi="Times New Roman"/>
          <w:sz w:val="16"/>
          <w:szCs w:val="16"/>
          <w:color w:val="auto"/>
        </w:rPr>
        <w:t>9.4.5.</w:t>
      </w:r>
      <w:r>
        <w:rPr>
          <w:sz w:val="20"/>
          <w:szCs w:val="20"/>
          <w:color w:val="auto"/>
        </w:rPr>
        <w:tab/>
      </w:r>
      <w:r>
        <w:rPr>
          <w:rFonts w:ascii="Times New Roman" w:cs="Times New Roman" w:eastAsia="Times New Roman" w:hAnsi="Times New Roman"/>
          <w:sz w:val="16"/>
          <w:szCs w:val="16"/>
          <w:color w:val="auto"/>
        </w:rPr>
        <w:t xml:space="preserve">to any Third Party to the extent a Party is required to do so pursuant to the terms and conditions of an in-license agreement with such Third Party relating to the intellectual property rights sublicensed to the other Party hereunder,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Third Party receiving Confidential Information are bound by obligations of confidentiality,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80"/>
          </w:cols>
          <w:pgMar w:left="300" w:top="123" w:right="319" w:bottom="1440" w:gutter="0" w:footer="0" w:header="0"/>
        </w:sectPr>
      </w:pPr>
    </w:p>
    <w:bookmarkStart w:id="178" w:name="page179"/>
    <w:bookmarkEnd w:id="178"/>
    <w:p>
      <w:pPr>
        <w:ind w:left="2720" w:right="360" w:hanging="2360"/>
        <w:spacing w:after="0" w:line="290" w:lineRule="auto"/>
        <w:tabs>
          <w:tab w:leader="none" w:pos="696" w:val="left"/>
        </w:tabs>
        <w:numPr>
          <w:ilvl w:val="0"/>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35" w:lineRule="auto"/>
        <w:rPr>
          <w:sz w:val="20"/>
          <w:szCs w:val="20"/>
          <w:color w:val="auto"/>
        </w:rPr>
      </w:pPr>
      <w:r>
        <w:rPr>
          <w:rFonts w:ascii="Times New Roman" w:cs="Times New Roman" w:eastAsia="Times New Roman" w:hAnsi="Times New Roman"/>
          <w:sz w:val="16"/>
          <w:szCs w:val="16"/>
          <w:color w:val="auto"/>
        </w:rPr>
        <w:t>non-disclosure, and non-use provisions at least as restrictive or protective of the Parties as those set forth in this Agreement or otherwise customary for such type and scope of disclosure.</w:t>
      </w:r>
    </w:p>
    <w:p>
      <w:pPr>
        <w:spacing w:after="0" w:line="138" w:lineRule="exact"/>
        <w:rPr>
          <w:sz w:val="20"/>
          <w:szCs w:val="20"/>
          <w:color w:val="auto"/>
        </w:rPr>
      </w:pPr>
    </w:p>
    <w:p>
      <w:pPr>
        <w:ind w:left="520"/>
        <w:spacing w:after="0" w:line="330" w:lineRule="auto"/>
        <w:rPr>
          <w:sz w:val="20"/>
          <w:szCs w:val="20"/>
          <w:color w:val="auto"/>
        </w:rPr>
      </w:pPr>
      <w:r>
        <w:rPr>
          <w:rFonts w:ascii="Times New Roman" w:cs="Times New Roman" w:eastAsia="Times New Roman" w:hAnsi="Times New Roman"/>
          <w:sz w:val="14"/>
          <w:szCs w:val="14"/>
          <w:color w:val="auto"/>
        </w:rPr>
        <w:t>If and whenever any Confidential Information is disclosed in accordance with this Section 9.4 (Permitted Disclosures), such disclosure will not cause any such information to cease to be Confidential Information except to the extent that such disclosure results in a public disclosure of such information (other than by breach of this Agreement).</w:t>
      </w:r>
    </w:p>
    <w:p>
      <w:pPr>
        <w:spacing w:after="0" w:line="86"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9.5.   Confidential Treatment</w:t>
      </w:r>
      <w:r>
        <w:rPr>
          <w:rFonts w:ascii="Times New Roman" w:cs="Times New Roman" w:eastAsia="Times New Roman" w:hAnsi="Times New Roman"/>
          <w:sz w:val="14"/>
          <w:szCs w:val="14"/>
          <w:color w:val="auto"/>
        </w:rPr>
        <w:t>. To the extent allowed by applicable Law, each Party will promptly inform the other Party of the disclosure that is being sought (and to the extent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possible, as early as possible and at least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notice) in order to provide the other Party an opportunity to challenge or limit the disclosure and will reasonably cooperate</w:t>
      </w:r>
    </w:p>
    <w:p>
      <w:pPr>
        <w:ind w:left="520"/>
        <w:spacing w:after="0" w:line="237" w:lineRule="auto"/>
        <w:rPr>
          <w:sz w:val="20"/>
          <w:szCs w:val="20"/>
          <w:color w:val="auto"/>
        </w:rPr>
      </w:pPr>
      <w:r>
        <w:rPr>
          <w:rFonts w:ascii="Times New Roman" w:cs="Times New Roman" w:eastAsia="Times New Roman" w:hAnsi="Times New Roman"/>
          <w:sz w:val="14"/>
          <w:szCs w:val="14"/>
          <w:color w:val="auto"/>
        </w:rPr>
        <w:t>with the other Party to do so. In the event that no such protective order or other remedy is obtained, or the Disclosing Party waives compliance with certain terms of this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Article 9 (Confidentiality and Publication), then the Receiving Party will furnish only that portion of Confidential Information that the Receiving Party is advised by counsel is legally required to be disclosed. Notwithstanding Section 9.2 (Non-Disclosure and Non-Use Obligation), Confidential Information that is permitted or required to be</w:t>
      </w:r>
    </w:p>
    <w:p>
      <w:pPr>
        <w:ind w:left="520"/>
        <w:spacing w:after="0" w:line="208" w:lineRule="auto"/>
        <w:rPr>
          <w:sz w:val="20"/>
          <w:szCs w:val="20"/>
          <w:color w:val="auto"/>
        </w:rPr>
      </w:pPr>
      <w:r>
        <w:rPr>
          <w:rFonts w:ascii="Times New Roman" w:cs="Times New Roman" w:eastAsia="Times New Roman" w:hAnsi="Times New Roman"/>
          <w:sz w:val="16"/>
          <w:szCs w:val="16"/>
          <w:color w:val="auto"/>
        </w:rPr>
        <w:t>disclosed will remain otherwise subject to the confidentiality and non-use provisions of Section 9.2 (Non-Disclosure and Non-Use Obligation). Notwithstanding the</w:t>
      </w:r>
    </w:p>
    <w:p>
      <w:pPr>
        <w:ind w:left="520"/>
        <w:spacing w:after="0" w:line="229" w:lineRule="auto"/>
        <w:rPr>
          <w:sz w:val="20"/>
          <w:szCs w:val="20"/>
          <w:color w:val="auto"/>
        </w:rPr>
      </w:pPr>
      <w:r>
        <w:rPr>
          <w:rFonts w:ascii="Times New Roman" w:cs="Times New Roman" w:eastAsia="Times New Roman" w:hAnsi="Times New Roman"/>
          <w:sz w:val="14"/>
          <w:szCs w:val="14"/>
          <w:color w:val="auto"/>
        </w:rPr>
        <w:t>foregoing, if either Party concludes based on the reasonable opinion of counsel that a copy of this Agreement must be filed with the United States Securities and Exchange Commission or similar regulatory agency in a country other than the United States, such Party will, within a reasonable time prior to any such filing (and to the extent</w:t>
      </w:r>
    </w:p>
    <w:p>
      <w:pPr>
        <w:ind w:left="520"/>
        <w:spacing w:after="0" w:line="208" w:lineRule="auto"/>
        <w:rPr>
          <w:sz w:val="20"/>
          <w:szCs w:val="20"/>
          <w:color w:val="auto"/>
        </w:rPr>
      </w:pPr>
      <w:r>
        <w:rPr>
          <w:rFonts w:ascii="Times New Roman" w:cs="Times New Roman" w:eastAsia="Times New Roman" w:hAnsi="Times New Roman"/>
          <w:sz w:val="16"/>
          <w:szCs w:val="16"/>
          <w:color w:val="auto"/>
        </w:rPr>
        <w:t xml:space="preserve">possible at least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to any such filing), provide the other Party with a copy of this Agreement showing any provisions hereof as to which such Party proposes to</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request confidential treatment, and the Parties will coordinate with each other and will use good faith efforts to mutually agree on the redaction of certain provisions of this Agreement (together with all exhibits and schedules) before filing such copy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the foregoing, the filing Party will retain final</w:t>
      </w:r>
    </w:p>
    <w:p>
      <w:pPr>
        <w:ind w:left="520"/>
        <w:spacing w:after="0" w:line="208" w:lineRule="auto"/>
        <w:rPr>
          <w:sz w:val="20"/>
          <w:szCs w:val="20"/>
          <w:color w:val="auto"/>
        </w:rPr>
      </w:pPr>
      <w:r>
        <w:rPr>
          <w:rFonts w:ascii="Times New Roman" w:cs="Times New Roman" w:eastAsia="Times New Roman" w:hAnsi="Times New Roman"/>
          <w:sz w:val="16"/>
          <w:szCs w:val="16"/>
          <w:color w:val="auto"/>
        </w:rPr>
        <w:t>decision-making authority over the redactions to be made in its filed copy of this Agreement.</w:t>
      </w:r>
    </w:p>
    <w:p>
      <w:pPr>
        <w:jc w:val="right"/>
        <w:spacing w:after="0" w:line="229" w:lineRule="auto"/>
        <w:rPr>
          <w:sz w:val="20"/>
          <w:szCs w:val="20"/>
          <w:color w:val="auto"/>
        </w:rPr>
      </w:pPr>
      <w:r>
        <w:rPr>
          <w:rFonts w:ascii="Times New Roman" w:cs="Times New Roman" w:eastAsia="Times New Roman" w:hAnsi="Times New Roman"/>
          <w:sz w:val="14"/>
          <w:szCs w:val="14"/>
          <w:b w:val="1"/>
          <w:bCs w:val="1"/>
          <w:color w:val="auto"/>
        </w:rPr>
        <w:t>9.6.   Relationship to Confidentiality Agreement</w:t>
      </w:r>
      <w:r>
        <w:rPr>
          <w:rFonts w:ascii="Times New Roman" w:cs="Times New Roman" w:eastAsia="Times New Roman" w:hAnsi="Times New Roman"/>
          <w:sz w:val="14"/>
          <w:szCs w:val="14"/>
          <w:color w:val="auto"/>
        </w:rPr>
        <w:t>. This Agreement supersedes the Confidentiality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all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disclosed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received by the Parties and their Affiliates thereunder will be deemed the Confidential Information of the originally Disclosing Party hereunder and will be subject to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terms and conditions of this Agreement.</w:t>
      </w:r>
    </w:p>
    <w:p>
      <w:pPr>
        <w:ind w:left="520" w:hanging="508"/>
        <w:spacing w:after="0" w:line="200" w:lineRule="auto"/>
        <w:tabs>
          <w:tab w:leader="none" w:pos="500" w:val="left"/>
        </w:tabs>
        <w:rPr>
          <w:sz w:val="20"/>
          <w:szCs w:val="20"/>
          <w:color w:val="auto"/>
        </w:rPr>
      </w:pPr>
      <w:r>
        <w:rPr>
          <w:rFonts w:ascii="Times New Roman" w:cs="Times New Roman" w:eastAsia="Times New Roman" w:hAnsi="Times New Roman"/>
          <w:sz w:val="16"/>
          <w:szCs w:val="16"/>
          <w:b w:val="1"/>
          <w:bCs w:val="1"/>
          <w:color w:val="auto"/>
        </w:rPr>
        <w:t>9.7.</w:t>
      </w:r>
      <w:r>
        <w:rPr>
          <w:sz w:val="20"/>
          <w:szCs w:val="20"/>
          <w:color w:val="auto"/>
        </w:rPr>
        <w:tab/>
      </w:r>
      <w:r>
        <w:rPr>
          <w:rFonts w:ascii="Times New Roman" w:cs="Times New Roman" w:eastAsia="Times New Roman" w:hAnsi="Times New Roman"/>
          <w:sz w:val="16"/>
          <w:szCs w:val="16"/>
          <w:b w:val="1"/>
          <w:bCs w:val="1"/>
          <w:color w:val="auto"/>
        </w:rPr>
        <w:t>Use of Name and Logo</w:t>
      </w:r>
      <w:r>
        <w:rPr>
          <w:rFonts w:ascii="Times New Roman" w:cs="Times New Roman" w:eastAsia="Times New Roman" w:hAnsi="Times New Roman"/>
          <w:sz w:val="16"/>
          <w:szCs w:val="16"/>
          <w:color w:val="auto"/>
        </w:rPr>
        <w:t>. Subject to Section 9.8.2 (Announcements), neither Arrowhead nor Novartis will use the other Party’s or its Affiliates’ name or logo in any label,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press release, or product advertising, or for any other promotional purpose, without first obtaining the other Party’s written consent.</w:t>
      </w:r>
    </w:p>
    <w:p>
      <w:pPr>
        <w:spacing w:after="0"/>
        <w:tabs>
          <w:tab w:leader="none" w:pos="500" w:val="left"/>
        </w:tabs>
        <w:rPr>
          <w:sz w:val="20"/>
          <w:szCs w:val="20"/>
          <w:color w:val="auto"/>
        </w:rPr>
      </w:pPr>
      <w:r>
        <w:rPr>
          <w:rFonts w:ascii="Times New Roman" w:cs="Times New Roman" w:eastAsia="Times New Roman" w:hAnsi="Times New Roman"/>
          <w:sz w:val="16"/>
          <w:szCs w:val="16"/>
          <w:b w:val="1"/>
          <w:bCs w:val="1"/>
          <w:color w:val="auto"/>
        </w:rPr>
        <w:t>9.8.</w:t>
      </w:r>
      <w:r>
        <w:rPr>
          <w:sz w:val="20"/>
          <w:szCs w:val="20"/>
          <w:color w:val="auto"/>
        </w:rPr>
        <w:tab/>
      </w:r>
      <w:r>
        <w:rPr>
          <w:rFonts w:ascii="Times New Roman" w:cs="Times New Roman" w:eastAsia="Times New Roman" w:hAnsi="Times New Roman"/>
          <w:sz w:val="14"/>
          <w:szCs w:val="14"/>
          <w:b w:val="1"/>
          <w:bCs w:val="1"/>
          <w:color w:val="auto"/>
        </w:rPr>
        <w:t>Publications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9.8.1.    </w:t>
      </w:r>
      <w:r>
        <w:rPr>
          <w:rFonts w:ascii="Times New Roman" w:cs="Times New Roman" w:eastAsia="Times New Roman" w:hAnsi="Times New Roman"/>
          <w:sz w:val="16"/>
          <w:szCs w:val="16"/>
          <w:b w:val="1"/>
          <w:bCs w:val="1"/>
          <w:color w:val="auto"/>
        </w:rPr>
        <w:t>Coordination</w:t>
      </w:r>
      <w:r>
        <w:rPr>
          <w:rFonts w:ascii="Times New Roman" w:cs="Times New Roman" w:eastAsia="Times New Roman" w:hAnsi="Times New Roman"/>
          <w:sz w:val="16"/>
          <w:szCs w:val="16"/>
          <w:color w:val="auto"/>
        </w:rPr>
        <w:t xml:space="preserve">. During the Term, Arrowhead and Novartis will, from time to time and at the request of the other Party, discuss the general information content relating to this Agreement that may be publicly disclosed;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without limitation of Arrowhead’s rights under Section 9.8.3 (Publications Rights),</w:t>
      </w:r>
    </w:p>
    <w:p>
      <w:pPr>
        <w:spacing w:after="0" w:line="1" w:lineRule="exact"/>
        <w:rPr>
          <w:sz w:val="20"/>
          <w:szCs w:val="20"/>
          <w:color w:val="auto"/>
        </w:rPr>
      </w:pPr>
    </w:p>
    <w:p>
      <w:pPr>
        <w:ind w:left="1180"/>
        <w:spacing w:after="0" w:line="224" w:lineRule="auto"/>
        <w:rPr>
          <w:sz w:val="20"/>
          <w:szCs w:val="20"/>
          <w:color w:val="auto"/>
        </w:rPr>
      </w:pPr>
      <w:r>
        <w:rPr>
          <w:rFonts w:ascii="Times New Roman" w:cs="Times New Roman" w:eastAsia="Times New Roman" w:hAnsi="Times New Roman"/>
          <w:sz w:val="16"/>
          <w:szCs w:val="16"/>
          <w:color w:val="auto"/>
        </w:rPr>
        <w:t>Novartis will have no obligation to consult with Arrowhead with respect to public announcement or publications concerning Novartis’ Exploitation of any Licensed Product that does not reference Arrowhead, or disclose any of Arrowhead’s Confidential Information or the Arrowhead Platform.</w:t>
      </w:r>
    </w:p>
    <w:p>
      <w:pPr>
        <w:spacing w:after="0" w:line="107"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9.8.2.</w:t>
      </w:r>
      <w:r>
        <w:rPr>
          <w:sz w:val="20"/>
          <w:szCs w:val="20"/>
          <w:color w:val="auto"/>
        </w:rPr>
        <w:tab/>
      </w:r>
      <w:r>
        <w:rPr>
          <w:rFonts w:ascii="Times New Roman" w:cs="Times New Roman" w:eastAsia="Times New Roman" w:hAnsi="Times New Roman"/>
          <w:sz w:val="16"/>
          <w:szCs w:val="16"/>
          <w:b w:val="1"/>
          <w:bCs w:val="1"/>
          <w:color w:val="auto"/>
        </w:rPr>
        <w:t>Announcements</w:t>
      </w:r>
      <w:r>
        <w:rPr>
          <w:rFonts w:ascii="Times New Roman" w:cs="Times New Roman" w:eastAsia="Times New Roman" w:hAnsi="Times New Roman"/>
          <w:sz w:val="16"/>
          <w:szCs w:val="16"/>
          <w:color w:val="auto"/>
        </w:rPr>
        <w:t>. Except as may be expressly permitted under Section 9.8.1 (Coordination), Section 9.8.3 (Publications Rights), Section 9.4 (Permitted</w:t>
      </w:r>
    </w:p>
    <w:p>
      <w:pPr>
        <w:ind w:left="1180"/>
        <w:spacing w:after="0" w:line="229" w:lineRule="auto"/>
        <w:rPr>
          <w:sz w:val="20"/>
          <w:szCs w:val="20"/>
          <w:color w:val="auto"/>
        </w:rPr>
      </w:pPr>
      <w:r>
        <w:rPr>
          <w:rFonts w:ascii="Times New Roman" w:cs="Times New Roman" w:eastAsia="Times New Roman" w:hAnsi="Times New Roman"/>
          <w:sz w:val="14"/>
          <w:szCs w:val="14"/>
          <w:color w:val="auto"/>
        </w:rPr>
        <w:t>Disclosures) or this Section 9.8.2 (Announcements), during the Term, neither Party will make any public announcement regarding this Agreement without the prior written approval of the other Party, except for either Party’s references to the other as the licensor or licensee (as applicable) or a collaboration partner under</w:t>
      </w:r>
    </w:p>
    <w:p>
      <w:pPr>
        <w:ind w:left="1180"/>
        <w:spacing w:after="0"/>
        <w:rPr>
          <w:sz w:val="20"/>
          <w:szCs w:val="20"/>
          <w:color w:val="auto"/>
        </w:rPr>
      </w:pPr>
      <w:r>
        <w:rPr>
          <w:rFonts w:ascii="Times New Roman" w:cs="Times New Roman" w:eastAsia="Times New Roman" w:hAnsi="Times New Roman"/>
          <w:sz w:val="16"/>
          <w:szCs w:val="16"/>
          <w:color w:val="auto"/>
        </w:rPr>
        <w:t>this Agreement. 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280"/>
          </w:cols>
          <w:pgMar w:left="300" w:top="123" w:right="319" w:bottom="1440" w:gutter="0" w:footer="0" w:header="0"/>
        </w:sectPr>
      </w:pPr>
    </w:p>
    <w:bookmarkStart w:id="179" w:name="page180"/>
    <w:bookmarkEnd w:id="179"/>
    <w:p>
      <w:pPr>
        <w:ind w:left="2360" w:right="360" w:hanging="2360"/>
        <w:spacing w:after="0" w:line="290" w:lineRule="auto"/>
        <w:tabs>
          <w:tab w:leader="none" w:pos="336"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4"/>
          <w:szCs w:val="14"/>
          <w:color w:val="auto"/>
        </w:rPr>
        <w:t xml:space="preserve">or following the Execution Date, Arrowhead will issue a press release in substantially the form set forth on </w:t>
      </w:r>
      <w:r>
        <w:rPr>
          <w:rFonts w:ascii="Times New Roman" w:cs="Times New Roman" w:eastAsia="Times New Roman" w:hAnsi="Times New Roman"/>
          <w:sz w:val="14"/>
          <w:szCs w:val="14"/>
          <w:b w:val="1"/>
          <w:bCs w:val="1"/>
          <w:color w:val="auto"/>
        </w:rPr>
        <w:t>Schedule 9.8.2</w:t>
      </w:r>
      <w:r>
        <w:rPr>
          <w:rFonts w:ascii="Times New Roman" w:cs="Times New Roman" w:eastAsia="Times New Roman" w:hAnsi="Times New Roman"/>
          <w:sz w:val="14"/>
          <w:szCs w:val="14"/>
          <w:color w:val="auto"/>
        </w:rPr>
        <w:t xml:space="preserve"> (Press Releases). After the issuance of such press release or other permitted public disclosure by a Party, either Party may make subsequent public disclosures reiterating such information without</w:t>
      </w:r>
    </w:p>
    <w:p>
      <w:pPr>
        <w:ind w:left="820"/>
        <w:spacing w:after="0" w:line="229" w:lineRule="auto"/>
        <w:rPr>
          <w:sz w:val="20"/>
          <w:szCs w:val="20"/>
          <w:color w:val="auto"/>
        </w:rPr>
      </w:pPr>
      <w:r>
        <w:rPr>
          <w:rFonts w:ascii="Times New Roman" w:cs="Times New Roman" w:eastAsia="Times New Roman" w:hAnsi="Times New Roman"/>
          <w:sz w:val="14"/>
          <w:szCs w:val="14"/>
          <w:color w:val="auto"/>
        </w:rPr>
        <w:t>having to obtain the other Party’s prior consent and approval so long as the information in such press release or other public announcement remains true, correct, and the most current information with respect to the subject matters set forth therein. Further, Arrowhead will be permitted to issue press releases indicating the</w:t>
      </w:r>
    </w:p>
    <w:p>
      <w:pPr>
        <w:ind w:left="820"/>
        <w:spacing w:after="0" w:line="224" w:lineRule="auto"/>
        <w:rPr>
          <w:sz w:val="20"/>
          <w:szCs w:val="20"/>
          <w:color w:val="auto"/>
        </w:rPr>
      </w:pPr>
      <w:r>
        <w:rPr>
          <w:rFonts w:ascii="Times New Roman" w:cs="Times New Roman" w:eastAsia="Times New Roman" w:hAnsi="Times New Roman"/>
          <w:sz w:val="16"/>
          <w:szCs w:val="16"/>
          <w:color w:val="auto"/>
        </w:rPr>
        <w:t>achievement of any Milestone Event and the amount of any Milestone Payment, with Novartis having the right to review and provide reasonable comment on (but not approve) any such press release being prior to issuance by or behalf of Arrowhead.</w:t>
      </w:r>
    </w:p>
    <w:p>
      <w:pPr>
        <w:spacing w:after="0" w:line="107"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9.8.3.</w:t>
      </w:r>
      <w:r>
        <w:rPr>
          <w:sz w:val="20"/>
          <w:szCs w:val="20"/>
          <w:color w:val="auto"/>
        </w:rPr>
        <w:tab/>
      </w:r>
      <w:r>
        <w:rPr>
          <w:rFonts w:ascii="Times New Roman" w:cs="Times New Roman" w:eastAsia="Times New Roman" w:hAnsi="Times New Roman"/>
          <w:sz w:val="14"/>
          <w:szCs w:val="14"/>
          <w:b w:val="1"/>
          <w:bCs w:val="1"/>
          <w:color w:val="auto"/>
        </w:rPr>
        <w:t>Publication Rights</w:t>
      </w:r>
      <w:r>
        <w:rPr>
          <w:rFonts w:ascii="Times New Roman" w:cs="Times New Roman" w:eastAsia="Times New Roman" w:hAnsi="Times New Roman"/>
          <w:sz w:val="14"/>
          <w:szCs w:val="14"/>
          <w:color w:val="auto"/>
        </w:rPr>
        <w:t>. During the Term, Novartis may, in its sole discretion, publish results of all Clinical Trials and other Development activities conducted with</w:t>
      </w:r>
    </w:p>
    <w:p>
      <w:pPr>
        <w:spacing w:after="0" w:line="2"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respect to any Licensed Compound or Licensed Product,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publication will include any Confidential Information of Arrowhead, other than the Product-Specific Know-How, without Arrowhead’s prior written consent, not to be unreasonably withheld, conditioned, or delayed. Arrowhead will have no such</w:t>
      </w:r>
    </w:p>
    <w:p>
      <w:pPr>
        <w:ind w:left="820"/>
        <w:spacing w:after="0" w:line="237" w:lineRule="auto"/>
        <w:rPr>
          <w:sz w:val="20"/>
          <w:szCs w:val="20"/>
          <w:color w:val="auto"/>
        </w:rPr>
      </w:pPr>
      <w:r>
        <w:rPr>
          <w:rFonts w:ascii="Times New Roman" w:cs="Times New Roman" w:eastAsia="Times New Roman" w:hAnsi="Times New Roman"/>
          <w:sz w:val="14"/>
          <w:szCs w:val="14"/>
          <w:color w:val="auto"/>
        </w:rPr>
        <w:t>right to publish the results of Clinical Trials or other Development activities conducted with respect to any Licensed Compound or Licensed Product. Regardless</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of and without limitation of its foregoing consent right, Arrowhead will have the right to review all proposed publications prior to Novartis’ submission of such publication, in accordance with the procedures set forth in this Section 9.8.3 (Publications Rights). If Novartis intends to make any publication or presentation</w:t>
      </w:r>
    </w:p>
    <w:p>
      <w:pPr>
        <w:ind w:left="820"/>
        <w:spacing w:after="0" w:line="208" w:lineRule="auto"/>
        <w:rPr>
          <w:sz w:val="20"/>
          <w:szCs w:val="20"/>
          <w:color w:val="auto"/>
        </w:rPr>
      </w:pPr>
      <w:r>
        <w:rPr>
          <w:rFonts w:ascii="Times New Roman" w:cs="Times New Roman" w:eastAsia="Times New Roman" w:hAnsi="Times New Roman"/>
          <w:sz w:val="16"/>
          <w:szCs w:val="16"/>
          <w:color w:val="auto"/>
        </w:rPr>
        <w:t>related to any Clinical Trials or other Development activities conducted with respect to any Licensed Compound or Licensed Product, then Novartis will first</w:t>
      </w: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provide Arrowhead with a copy of the applicable proposed abstract, manuscript, or presentation no less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the case of abstracts) prior to its intended submission for publication. Arrowhead will respond in writing promptly and in no event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the case of abstracts) after receipt of</w:t>
      </w:r>
    </w:p>
    <w:p>
      <w:pPr>
        <w:ind w:left="820"/>
        <w:spacing w:after="0" w:line="237" w:lineRule="auto"/>
        <w:rPr>
          <w:sz w:val="20"/>
          <w:szCs w:val="20"/>
          <w:color w:val="auto"/>
        </w:rPr>
      </w:pPr>
      <w:r>
        <w:rPr>
          <w:rFonts w:ascii="Times New Roman" w:cs="Times New Roman" w:eastAsia="Times New Roman" w:hAnsi="Times New Roman"/>
          <w:sz w:val="14"/>
          <w:szCs w:val="14"/>
          <w:color w:val="auto"/>
        </w:rPr>
        <w:t>the proposed material with any concerns regarding the disclosure of any information or subject matter that, in Arrowhead’s reasonable discretion would present</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issues as to patentability of the relevant subject matter or requesting the removal of any of Arrowhead’s Confidential Information (other than the Product-Specific Know-How). In the event of any concern raised regarding protection of intellectual property rights of Arrowhead, Novartis will not submit such publication or to</w:t>
      </w:r>
    </w:p>
    <w:p>
      <w:pPr>
        <w:ind w:left="820"/>
        <w:spacing w:after="0" w:line="208" w:lineRule="auto"/>
        <w:rPr>
          <w:sz w:val="20"/>
          <w:szCs w:val="20"/>
          <w:color w:val="auto"/>
        </w:rPr>
      </w:pPr>
      <w:r>
        <w:rPr>
          <w:rFonts w:ascii="Times New Roman" w:cs="Times New Roman" w:eastAsia="Times New Roman" w:hAnsi="Times New Roman"/>
          <w:sz w:val="16"/>
          <w:szCs w:val="16"/>
          <w:color w:val="auto"/>
        </w:rPr>
        <w:t xml:space="preserve">make such presentation that contains such information until Arrowhead is given a reasonable period of time, and in no event more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(or such other</w:t>
      </w:r>
    </w:p>
    <w:p>
      <w:pPr>
        <w:ind w:left="820"/>
        <w:spacing w:after="0" w:line="229" w:lineRule="auto"/>
        <w:rPr>
          <w:sz w:val="20"/>
          <w:szCs w:val="20"/>
          <w:color w:val="auto"/>
        </w:rPr>
      </w:pPr>
      <w:r>
        <w:rPr>
          <w:rFonts w:ascii="Times New Roman" w:cs="Times New Roman" w:eastAsia="Times New Roman" w:hAnsi="Times New Roman"/>
          <w:sz w:val="14"/>
          <w:szCs w:val="14"/>
          <w:color w:val="auto"/>
        </w:rPr>
        <w:t>period as may be mutually agreed by the Parties in writing), to seek patent or other intellectual property protections in accordance with the terms of this Agreement covering any material in such publication or presentation that it believes is protectable. Subject to Section 9.4 (Permitted Disclosures), Novartis will</w:t>
      </w:r>
    </w:p>
    <w:p>
      <w:pPr>
        <w:ind w:left="820"/>
        <w:spacing w:after="0" w:line="237" w:lineRule="auto"/>
        <w:rPr>
          <w:sz w:val="20"/>
          <w:szCs w:val="20"/>
          <w:color w:val="auto"/>
        </w:rPr>
      </w:pPr>
      <w:r>
        <w:rPr>
          <w:rFonts w:ascii="Times New Roman" w:cs="Times New Roman" w:eastAsia="Times New Roman" w:hAnsi="Times New Roman"/>
          <w:sz w:val="14"/>
          <w:szCs w:val="14"/>
          <w:color w:val="auto"/>
        </w:rPr>
        <w:t>remove any Confidential Information of Arrowhead (other than the Product-Specific Know-How) for which Arrowhead requests such removal from any such</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proposed publication or presentation. Novartis will use reasonable efforts to provide Arrowhead with a copy of each such publication or presentation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date of its submission, and in any event Novartis will provide Arrowhead with a copy of each such publication or presentation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w:t>
      </w:r>
    </w:p>
    <w:p>
      <w:pPr>
        <w:ind w:left="820"/>
        <w:spacing w:after="0" w:line="224" w:lineRule="auto"/>
        <w:rPr>
          <w:sz w:val="20"/>
          <w:szCs w:val="20"/>
          <w:color w:val="auto"/>
        </w:rPr>
      </w:pPr>
      <w:r>
        <w:rPr>
          <w:rFonts w:ascii="Times New Roman" w:cs="Times New Roman" w:eastAsia="Times New Roman" w:hAnsi="Times New Roman"/>
          <w:sz w:val="16"/>
          <w:szCs w:val="16"/>
          <w:color w:val="auto"/>
        </w:rPr>
        <w:t>Arrowhead’s written request for such copy (if not previously provided). Without limiting the foregoing, Novartis will acknowledge the contributions of Arrowhead and the employees of Arrowhead in any such publication or presentation, as scientifically appropriate.</w:t>
      </w:r>
    </w:p>
    <w:p>
      <w:pPr>
        <w:spacing w:after="0" w:line="114" w:lineRule="exact"/>
        <w:rPr>
          <w:sz w:val="20"/>
          <w:szCs w:val="20"/>
          <w:color w:val="auto"/>
        </w:rPr>
      </w:pPr>
    </w:p>
    <w:p>
      <w:pPr>
        <w:jc w:val="both"/>
        <w:ind w:left="820" w:hanging="661"/>
        <w:spacing w:after="0" w:line="227" w:lineRule="auto"/>
        <w:tabs>
          <w:tab w:leader="none" w:pos="800" w:val="left"/>
        </w:tabs>
        <w:rPr>
          <w:sz w:val="20"/>
          <w:szCs w:val="20"/>
          <w:color w:val="auto"/>
        </w:rPr>
      </w:pPr>
      <w:r>
        <w:rPr>
          <w:rFonts w:ascii="Times New Roman" w:cs="Times New Roman" w:eastAsia="Times New Roman" w:hAnsi="Times New Roman"/>
          <w:sz w:val="16"/>
          <w:szCs w:val="16"/>
          <w:color w:val="auto"/>
        </w:rPr>
        <w:t>9.8.4.</w:t>
      </w:r>
      <w:r>
        <w:rPr>
          <w:sz w:val="20"/>
          <w:szCs w:val="20"/>
          <w:color w:val="auto"/>
        </w:rPr>
        <w:tab/>
      </w:r>
      <w:r>
        <w:rPr>
          <w:rFonts w:ascii="Times New Roman" w:cs="Times New Roman" w:eastAsia="Times New Roman" w:hAnsi="Times New Roman"/>
          <w:sz w:val="16"/>
          <w:szCs w:val="16"/>
          <w:b w:val="1"/>
          <w:bCs w:val="1"/>
          <w:color w:val="auto"/>
        </w:rPr>
        <w:t>Clinical Trial Transparency</w:t>
      </w:r>
      <w:r>
        <w:rPr>
          <w:rFonts w:ascii="Times New Roman" w:cs="Times New Roman" w:eastAsia="Times New Roman" w:hAnsi="Times New Roman"/>
          <w:sz w:val="16"/>
          <w:szCs w:val="16"/>
          <w:color w:val="auto"/>
        </w:rPr>
        <w:t>. Both Parties agree to collaborate to maintain compliance with all Laws related to Clinical Trial transparency that may apply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either the sponsor of any Clinical Trial or the owner of any Regulatory Approval, all as related to any Licensed Product. The Parties will cooperate to maintain Clinical Trial transparency consistent with each sponsor’s Clinical Trial registration, summary result,</w:t>
      </w:r>
    </w:p>
    <w:p>
      <w:pPr>
        <w:spacing w:after="0" w:line="3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920"/>
          </w:cols>
          <w:pgMar w:left="660" w:top="123" w:right="319" w:bottom="1440" w:gutter="0" w:footer="0" w:header="0"/>
        </w:sectPr>
      </w:pPr>
    </w:p>
    <w:bookmarkStart w:id="180" w:name="page181"/>
    <w:bookmarkEnd w:id="180"/>
    <w:p>
      <w:pPr>
        <w:ind w:left="2720" w:right="360" w:hanging="2360"/>
        <w:spacing w:after="0" w:line="290" w:lineRule="auto"/>
        <w:tabs>
          <w:tab w:leader="none" w:pos="696"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35" w:lineRule="auto"/>
        <w:rPr>
          <w:sz w:val="20"/>
          <w:szCs w:val="20"/>
          <w:color w:val="auto"/>
        </w:rPr>
      </w:pPr>
      <w:r>
        <w:rPr>
          <w:rFonts w:ascii="Times New Roman" w:cs="Times New Roman" w:eastAsia="Times New Roman" w:hAnsi="Times New Roman"/>
          <w:sz w:val="16"/>
          <w:szCs w:val="16"/>
          <w:color w:val="auto"/>
        </w:rPr>
        <w:t>and data sharing transparency policies and will support disclosure of Confidential Information as needed based on the needs of the sponsors of the study or the Regulatory Approval holder with respect to any Licensed Product.</w:t>
      </w:r>
    </w:p>
    <w:p>
      <w:pPr>
        <w:spacing w:after="0" w:line="126" w:lineRule="exact"/>
        <w:rPr>
          <w:sz w:val="20"/>
          <w:szCs w:val="20"/>
          <w:color w:val="auto"/>
        </w:rPr>
      </w:pPr>
    </w:p>
    <w:p>
      <w:pPr>
        <w:ind w:left="500" w:hanging="495"/>
        <w:spacing w:after="0"/>
        <w:tabs>
          <w:tab w:leader="none" w:pos="500" w:val="left"/>
        </w:tabs>
        <w:numPr>
          <w:ilvl w:val="0"/>
          <w:numId w:val="1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WARRANTIES AND COVENANTS</w:t>
      </w:r>
    </w:p>
    <w:p>
      <w:pPr>
        <w:spacing w:after="0" w:line="134" w:lineRule="exact"/>
        <w:rPr>
          <w:sz w:val="20"/>
          <w:szCs w:val="20"/>
          <w:color w:val="auto"/>
        </w:rPr>
      </w:pPr>
    </w:p>
    <w:p>
      <w:pPr>
        <w:ind w:left="500" w:hanging="508"/>
        <w:spacing w:after="0" w:line="220"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10.1.</w:t>
        <w:tab/>
        <w:t>Mutual Representations and Warranties</w:t>
      </w:r>
      <w:r>
        <w:rPr>
          <w:rFonts w:ascii="Times New Roman" w:cs="Times New Roman" w:eastAsia="Times New Roman" w:hAnsi="Times New Roman"/>
          <w:sz w:val="16"/>
          <w:szCs w:val="16"/>
          <w:color w:val="auto"/>
        </w:rPr>
        <w:t>. Each Party represents and warrants to the other Party, as of the Execution Date, and as of the Effective Date (as though then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 that:</w:t>
      </w:r>
    </w:p>
    <w:p>
      <w:pPr>
        <w:spacing w:after="0" w:line="1"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10.1.1.</w:t>
      </w:r>
      <w:r>
        <w:rPr>
          <w:sz w:val="20"/>
          <w:szCs w:val="20"/>
          <w:color w:val="auto"/>
        </w:rPr>
        <w:tab/>
      </w:r>
      <w:r>
        <w:rPr>
          <w:rFonts w:ascii="Times New Roman" w:cs="Times New Roman" w:eastAsia="Times New Roman" w:hAnsi="Times New Roman"/>
          <w:sz w:val="14"/>
          <w:szCs w:val="14"/>
          <w:color w:val="auto"/>
        </w:rPr>
        <w:t>such Party is a corporation duly organized, validly existing, and in good standing under the Laws of its jurisdiction of incorporation or formation;</w:t>
      </w:r>
    </w:p>
    <w:p>
      <w:pPr>
        <w:spacing w:after="0" w:line="116"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10.1.2.</w:t>
      </w:r>
      <w:r>
        <w:rPr>
          <w:sz w:val="20"/>
          <w:szCs w:val="20"/>
          <w:color w:val="auto"/>
        </w:rPr>
        <w:tab/>
      </w:r>
      <w:r>
        <w:rPr>
          <w:rFonts w:ascii="Times New Roman" w:cs="Times New Roman" w:eastAsia="Times New Roman" w:hAnsi="Times New Roman"/>
          <w:sz w:val="14"/>
          <w:szCs w:val="14"/>
          <w:color w:val="auto"/>
        </w:rPr>
        <w:t>such Party has all requisite corporate power and corporate authority to enter into this Agreement and to carry out its obligations under this Agreement;</w:t>
      </w:r>
    </w:p>
    <w:p>
      <w:pPr>
        <w:spacing w:after="0" w:line="145" w:lineRule="exact"/>
        <w:rPr>
          <w:sz w:val="20"/>
          <w:szCs w:val="20"/>
          <w:color w:val="auto"/>
        </w:rPr>
      </w:pPr>
    </w:p>
    <w:p>
      <w:pPr>
        <w:ind w:left="1180" w:hanging="661"/>
        <w:spacing w:after="0" w:line="229" w:lineRule="auto"/>
        <w:tabs>
          <w:tab w:leader="none" w:pos="1160" w:val="left"/>
        </w:tabs>
        <w:rPr>
          <w:sz w:val="20"/>
          <w:szCs w:val="20"/>
          <w:color w:val="auto"/>
        </w:rPr>
      </w:pPr>
      <w:r>
        <w:rPr>
          <w:rFonts w:ascii="Times New Roman" w:cs="Times New Roman" w:eastAsia="Times New Roman" w:hAnsi="Times New Roman"/>
          <w:sz w:val="16"/>
          <w:szCs w:val="16"/>
          <w:color w:val="auto"/>
        </w:rPr>
        <w:t>10.1.3.</w:t>
      </w:r>
      <w:r>
        <w:rPr>
          <w:sz w:val="20"/>
          <w:szCs w:val="20"/>
          <w:color w:val="auto"/>
        </w:rPr>
        <w:tab/>
      </w:r>
      <w:r>
        <w:rPr>
          <w:rFonts w:ascii="Times New Roman" w:cs="Times New Roman" w:eastAsia="Times New Roman" w:hAnsi="Times New Roman"/>
          <w:sz w:val="16"/>
          <w:szCs w:val="16"/>
          <w:color w:val="auto"/>
        </w:rPr>
        <w:t>all requisite corporate action on the part of such Party and its directors and stockholders required by Law for the authorization, execution, and delivery by such Party of this Agreement, and the performance of all obligations of such Party under this Agreement, has been taken;</w:t>
      </w:r>
    </w:p>
    <w:p>
      <w:pPr>
        <w:spacing w:after="0" w:line="119"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10.1.4.</w:t>
      </w:r>
      <w:r>
        <w:rPr>
          <w:sz w:val="20"/>
          <w:szCs w:val="20"/>
          <w:color w:val="auto"/>
        </w:rPr>
        <w:tab/>
      </w:r>
      <w:r>
        <w:rPr>
          <w:rFonts w:ascii="Times New Roman" w:cs="Times New Roman" w:eastAsia="Times New Roman" w:hAnsi="Times New Roman"/>
          <w:sz w:val="14"/>
          <w:szCs w:val="14"/>
          <w:color w:val="auto"/>
        </w:rPr>
        <w:t>the execution, delivery, and performance of this Agreement, and compliance with the provisions of this Agreement, by such Party do not and will not: (a) violate</w:t>
      </w:r>
    </w:p>
    <w:p>
      <w:pPr>
        <w:ind w:left="1180"/>
        <w:spacing w:after="0" w:line="229" w:lineRule="auto"/>
        <w:rPr>
          <w:sz w:val="20"/>
          <w:szCs w:val="20"/>
          <w:color w:val="auto"/>
        </w:rPr>
      </w:pPr>
      <w:r>
        <w:rPr>
          <w:rFonts w:ascii="Times New Roman" w:cs="Times New Roman" w:eastAsia="Times New Roman" w:hAnsi="Times New Roman"/>
          <w:sz w:val="14"/>
          <w:szCs w:val="14"/>
          <w:color w:val="auto"/>
        </w:rPr>
        <w:t>any provision of Law or any ruling, writ, injunction, order, permit, judgment, or decree of any Governmental Authority; (b) constitute a breach of, or default under (or an event that, with notice or lapse of time or both, would become a default under) or conflict with, or give rise to any right of termination, cancellation</w:t>
      </w:r>
    </w:p>
    <w:p>
      <w:pPr>
        <w:ind w:left="1180"/>
        <w:spacing w:after="0" w:line="237" w:lineRule="auto"/>
        <w:rPr>
          <w:sz w:val="20"/>
          <w:szCs w:val="20"/>
          <w:color w:val="auto"/>
        </w:rPr>
      </w:pPr>
      <w:r>
        <w:rPr>
          <w:rFonts w:ascii="Times New Roman" w:cs="Times New Roman" w:eastAsia="Times New Roman" w:hAnsi="Times New Roman"/>
          <w:sz w:val="14"/>
          <w:szCs w:val="14"/>
          <w:color w:val="auto"/>
        </w:rPr>
        <w:t>or acceleration of, any agreement, arrangement or instrument, whether written or oral, by which such Party or any of its assets are bound; or (c) violate or conflict</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with any of the provisions of such Party’s organizational documents (including any articles or memoranda of organization or association, charter, bylaws, or similar documents);</w:t>
      </w:r>
    </w:p>
    <w:p>
      <w:pPr>
        <w:spacing w:after="0" w:line="12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10.1.5.</w:t>
      </w:r>
      <w:r>
        <w:rPr>
          <w:sz w:val="20"/>
          <w:szCs w:val="20"/>
          <w:color w:val="auto"/>
        </w:rPr>
        <w:tab/>
      </w:r>
      <w:r>
        <w:rPr>
          <w:rFonts w:ascii="Times New Roman" w:cs="Times New Roman" w:eastAsia="Times New Roman" w:hAnsi="Times New Roman"/>
          <w:sz w:val="14"/>
          <w:szCs w:val="14"/>
          <w:color w:val="auto"/>
        </w:rPr>
        <w:t>such Party has not entered into any agreement with any Third Party that is in conflict with the rights granted to the other Party under this Agreement, and has not</w:t>
      </w:r>
    </w:p>
    <w:p>
      <w:pPr>
        <w:ind w:left="1180"/>
        <w:spacing w:after="0" w:line="217" w:lineRule="auto"/>
        <w:rPr>
          <w:sz w:val="20"/>
          <w:szCs w:val="20"/>
          <w:color w:val="auto"/>
        </w:rPr>
      </w:pPr>
      <w:r>
        <w:rPr>
          <w:rFonts w:ascii="Times New Roman" w:cs="Times New Roman" w:eastAsia="Times New Roman" w:hAnsi="Times New Roman"/>
          <w:sz w:val="16"/>
          <w:szCs w:val="16"/>
          <w:color w:val="auto"/>
        </w:rPr>
        <w:t>taken any action that would prevent it from granting the rights granted to the other Party under this Agreement, or that would otherwise conflict with or adversely affect the other Party’s rights under this Agreement;</w:t>
      </w:r>
    </w:p>
    <w:p>
      <w:pPr>
        <w:spacing w:after="0" w:line="12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10.1.6.</w:t>
      </w:r>
      <w:r>
        <w:rPr>
          <w:sz w:val="20"/>
          <w:szCs w:val="20"/>
          <w:color w:val="auto"/>
        </w:rPr>
        <w:tab/>
      </w:r>
      <w:r>
        <w:rPr>
          <w:rFonts w:ascii="Times New Roman" w:cs="Times New Roman" w:eastAsia="Times New Roman" w:hAnsi="Times New Roman"/>
          <w:sz w:val="14"/>
          <w:szCs w:val="14"/>
          <w:color w:val="auto"/>
        </w:rPr>
        <w:t>no consent, approval, authorization, or other order of, or filing with, or notice to, any Governmental Authority or other Third Party is required to be obtained or</w:t>
      </w:r>
    </w:p>
    <w:p>
      <w:pPr>
        <w:ind w:left="1180"/>
        <w:spacing w:after="0" w:line="217" w:lineRule="auto"/>
        <w:rPr>
          <w:sz w:val="20"/>
          <w:szCs w:val="20"/>
          <w:color w:val="auto"/>
        </w:rPr>
      </w:pPr>
      <w:r>
        <w:rPr>
          <w:rFonts w:ascii="Times New Roman" w:cs="Times New Roman" w:eastAsia="Times New Roman" w:hAnsi="Times New Roman"/>
          <w:sz w:val="16"/>
          <w:szCs w:val="16"/>
          <w:color w:val="auto"/>
        </w:rPr>
        <w:t>made by such Party in connection with the authorization, execution, and delivery by such Party of this Agreement, except as required pursuant to the HSR Act and any other applicable Antitrust Laws; and</w:t>
      </w:r>
    </w:p>
    <w:p>
      <w:pPr>
        <w:spacing w:after="0" w:line="12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10.1.7.</w:t>
      </w:r>
      <w:r>
        <w:rPr>
          <w:sz w:val="20"/>
          <w:szCs w:val="20"/>
          <w:color w:val="auto"/>
        </w:rPr>
        <w:tab/>
      </w:r>
      <w:r>
        <w:rPr>
          <w:rFonts w:ascii="Times New Roman" w:cs="Times New Roman" w:eastAsia="Times New Roman" w:hAnsi="Times New Roman"/>
          <w:sz w:val="14"/>
          <w:szCs w:val="14"/>
          <w:color w:val="auto"/>
        </w:rPr>
        <w:t>this Agreement has been duly executed and delivered on behalf of such Party and is a legal and valid obligation binding upon it and is enforceable in accordance</w:t>
      </w:r>
    </w:p>
    <w:p>
      <w:pPr>
        <w:ind w:left="1180"/>
        <w:spacing w:after="0" w:line="217" w:lineRule="auto"/>
        <w:rPr>
          <w:sz w:val="20"/>
          <w:szCs w:val="20"/>
          <w:color w:val="auto"/>
        </w:rPr>
      </w:pPr>
      <w:r>
        <w:rPr>
          <w:rFonts w:ascii="Times New Roman" w:cs="Times New Roman" w:eastAsia="Times New Roman" w:hAnsi="Times New Roman"/>
          <w:sz w:val="16"/>
          <w:szCs w:val="16"/>
          <w:color w:val="auto"/>
        </w:rPr>
        <w:t>with its terms, subject to applicable bankruptcy, insolvency, moratorium, and other similar laws affecting creditors’ rights generally and by general principles of equity.</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10.2.</w:t>
        <w:tab/>
        <w:t>Additional Representations and Warranties by Arrowhead</w:t>
      </w:r>
      <w:r>
        <w:rPr>
          <w:rFonts w:ascii="Times New Roman" w:cs="Times New Roman" w:eastAsia="Times New Roman" w:hAnsi="Times New Roman"/>
          <w:sz w:val="16"/>
          <w:szCs w:val="16"/>
          <w:color w:val="auto"/>
        </w:rPr>
        <w:t>. Arrowhead represents and warrants to Novartis, except as set forth on</w:t>
      </w:r>
      <w:r>
        <w:rPr>
          <w:rFonts w:ascii="Times New Roman" w:cs="Times New Roman" w:eastAsia="Times New Roman" w:hAnsi="Times New Roman"/>
          <w:sz w:val="16"/>
          <w:szCs w:val="16"/>
          <w:b w:val="1"/>
          <w:bCs w:val="1"/>
          <w:color w:val="auto"/>
        </w:rPr>
        <w:t xml:space="preserve"> Schedule 10.2 </w:t>
      </w:r>
      <w:r>
        <w:rPr>
          <w:rFonts w:ascii="Times New Roman" w:cs="Times New Roman" w:eastAsia="Times New Roman" w:hAnsi="Times New Roman"/>
          <w:sz w:val="16"/>
          <w:szCs w:val="16"/>
          <w:color w:val="auto"/>
        </w:rPr>
        <w:t>(Exceptions to the</w:t>
      </w:r>
    </w:p>
    <w:p>
      <w:pPr>
        <w:ind w:left="520"/>
        <w:spacing w:after="0" w:line="200" w:lineRule="auto"/>
        <w:rPr>
          <w:sz w:val="20"/>
          <w:szCs w:val="20"/>
          <w:color w:val="auto"/>
        </w:rPr>
      </w:pPr>
      <w:r>
        <w:rPr>
          <w:rFonts w:ascii="Times New Roman" w:cs="Times New Roman" w:eastAsia="Times New Roman" w:hAnsi="Times New Roman"/>
          <w:sz w:val="16"/>
          <w:szCs w:val="16"/>
          <w:color w:val="auto"/>
        </w:rPr>
        <w:t>Representations and Warranties by Arrowhead), which schedule may be updated as of the Effective Date pursuant to Section 14.1 (Effective Date), as of the Execution Date and (following the Antitrust Clearance Date) as of the Effective Date (for clarity, subject to Section 14.3 (Outside Date)):</w:t>
      </w:r>
    </w:p>
    <w:p>
      <w:pPr>
        <w:spacing w:after="0" w:line="1" w:lineRule="exact"/>
        <w:rPr>
          <w:sz w:val="20"/>
          <w:szCs w:val="20"/>
          <w:color w:val="auto"/>
        </w:rPr>
      </w:pPr>
    </w:p>
    <w:p>
      <w:pPr>
        <w:ind w:left="1180" w:hanging="661"/>
        <w:spacing w:after="0" w:line="224" w:lineRule="auto"/>
        <w:tabs>
          <w:tab w:leader="none" w:pos="1160" w:val="left"/>
        </w:tabs>
        <w:rPr>
          <w:sz w:val="20"/>
          <w:szCs w:val="20"/>
          <w:color w:val="auto"/>
        </w:rPr>
      </w:pPr>
      <w:r>
        <w:rPr>
          <w:rFonts w:ascii="Times New Roman" w:cs="Times New Roman" w:eastAsia="Times New Roman" w:hAnsi="Times New Roman"/>
          <w:sz w:val="16"/>
          <w:szCs w:val="16"/>
          <w:color w:val="auto"/>
        </w:rPr>
        <w:t>10.2.1.</w:t>
      </w:r>
      <w:r>
        <w:rPr>
          <w:sz w:val="20"/>
          <w:szCs w:val="20"/>
          <w:color w:val="auto"/>
        </w:rPr>
        <w:tab/>
      </w:r>
      <w:r>
        <w:rPr>
          <w:rFonts w:ascii="Times New Roman" w:cs="Times New Roman" w:eastAsia="Times New Roman" w:hAnsi="Times New Roman"/>
          <w:sz w:val="16"/>
          <w:szCs w:val="16"/>
          <w:b w:val="1"/>
          <w:bCs w:val="1"/>
          <w:color w:val="auto"/>
        </w:rPr>
        <w:t>Arrowhead Patent Rights</w:t>
      </w:r>
      <w:r>
        <w:rPr>
          <w:rFonts w:ascii="Times New Roman" w:cs="Times New Roman" w:eastAsia="Times New Roman" w:hAnsi="Times New Roman"/>
          <w:sz w:val="16"/>
          <w:szCs w:val="16"/>
          <w:color w:val="auto"/>
        </w:rPr>
        <w:t>. (a)</w:t>
      </w:r>
      <w:r>
        <w:rPr>
          <w:rFonts w:ascii="Times New Roman" w:cs="Times New Roman" w:eastAsia="Times New Roman" w:hAnsi="Times New Roman"/>
          <w:sz w:val="16"/>
          <w:szCs w:val="16"/>
          <w:b w:val="1"/>
          <w:bCs w:val="1"/>
          <w:color w:val="auto"/>
        </w:rPr>
        <w:t xml:space="preserve"> Schedule 1.146 </w:t>
      </w:r>
      <w:r>
        <w:rPr>
          <w:rFonts w:ascii="Times New Roman" w:cs="Times New Roman" w:eastAsia="Times New Roman" w:hAnsi="Times New Roman"/>
          <w:sz w:val="16"/>
          <w:szCs w:val="16"/>
          <w:color w:val="auto"/>
        </w:rPr>
        <w:t>(Licensed Product-Specific Patent Rights) and</w:t>
      </w:r>
      <w:r>
        <w:rPr>
          <w:rFonts w:ascii="Times New Roman" w:cs="Times New Roman" w:eastAsia="Times New Roman" w:hAnsi="Times New Roman"/>
          <w:sz w:val="16"/>
          <w:szCs w:val="16"/>
          <w:b w:val="1"/>
          <w:bCs w:val="1"/>
          <w:color w:val="auto"/>
        </w:rPr>
        <w:t xml:space="preserve"> Schedule 1.34 </w:t>
      </w:r>
      <w:r>
        <w:rPr>
          <w:rFonts w:ascii="Times New Roman" w:cs="Times New Roman" w:eastAsia="Times New Roman" w:hAnsi="Times New Roman"/>
          <w:sz w:val="16"/>
          <w:szCs w:val="16"/>
          <w:color w:val="auto"/>
        </w:rPr>
        <w:t>(Arrowhead Platform Patent Rights) set forth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complete and accurate list of all Arrowhead Patent Rights issued or pending as of the Execution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280"/>
          </w:cols>
          <w:pgMar w:left="300" w:top="123" w:right="319" w:bottom="1440" w:gutter="0" w:footer="0" w:header="0"/>
        </w:sectPr>
      </w:pPr>
    </w:p>
    <w:bookmarkStart w:id="181" w:name="page182"/>
    <w:bookmarkEnd w:id="181"/>
    <w:p>
      <w:pPr>
        <w:ind w:left="2360" w:right="360" w:hanging="2360"/>
        <w:spacing w:after="0" w:line="290" w:lineRule="auto"/>
        <w:tabs>
          <w:tab w:leader="none" w:pos="336"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20"/>
        <w:spacing w:after="0" w:line="250" w:lineRule="auto"/>
        <w:rPr>
          <w:sz w:val="20"/>
          <w:szCs w:val="20"/>
          <w:color w:val="auto"/>
        </w:rPr>
      </w:pPr>
      <w:r>
        <w:rPr>
          <w:rFonts w:ascii="Times New Roman" w:cs="Times New Roman" w:eastAsia="Times New Roman" w:hAnsi="Times New Roman"/>
          <w:sz w:val="14"/>
          <w:szCs w:val="14"/>
          <w:color w:val="auto"/>
        </w:rPr>
        <w:t>Date or the Effective Date, as applicable, and (b) the Arrowhead Patent Rights existing as of the Execution Date or the Effective Date, as applicable, constitute all of the Patent Rights owned or in-licensed by Arrowhead or any of its Affiliates as of such respective date that are necessary or reasonably useful for the</w:t>
      </w:r>
    </w:p>
    <w:p>
      <w:pPr>
        <w:spacing w:after="0" w:line="1" w:lineRule="exact"/>
        <w:rPr>
          <w:sz w:val="20"/>
          <w:szCs w:val="20"/>
          <w:color w:val="auto"/>
        </w:rPr>
      </w:pPr>
    </w:p>
    <w:p>
      <w:pPr>
        <w:ind w:left="820"/>
        <w:spacing w:after="0" w:line="217" w:lineRule="auto"/>
        <w:rPr>
          <w:sz w:val="20"/>
          <w:szCs w:val="20"/>
          <w:color w:val="auto"/>
        </w:rPr>
      </w:pPr>
      <w:r>
        <w:rPr>
          <w:rFonts w:ascii="Times New Roman" w:cs="Times New Roman" w:eastAsia="Times New Roman" w:hAnsi="Times New Roman"/>
          <w:sz w:val="16"/>
          <w:szCs w:val="16"/>
          <w:color w:val="auto"/>
        </w:rPr>
        <w:t>Development, Manufacture, Commercialization, or other Exploitation, each as contemplated by Arrowhead or any of its Affiliates as of the Execution Date or the Effective Date, as applicable, of ARO-SNCA SC as it exists as of the Execution Date or the Effective Date, as applicable, in the Field in the Territory.</w:t>
      </w:r>
    </w:p>
    <w:p>
      <w:pPr>
        <w:spacing w:after="0" w:line="125" w:lineRule="exact"/>
        <w:rPr>
          <w:sz w:val="20"/>
          <w:szCs w:val="20"/>
          <w:color w:val="auto"/>
        </w:rPr>
      </w:pPr>
    </w:p>
    <w:p>
      <w:pPr>
        <w:ind w:left="820" w:hanging="661"/>
        <w:spacing w:after="0" w:line="302" w:lineRule="auto"/>
        <w:tabs>
          <w:tab w:leader="none" w:pos="800" w:val="left"/>
        </w:tabs>
        <w:rPr>
          <w:sz w:val="20"/>
          <w:szCs w:val="20"/>
          <w:color w:val="auto"/>
        </w:rPr>
      </w:pPr>
      <w:r>
        <w:rPr>
          <w:rFonts w:ascii="Times New Roman" w:cs="Times New Roman" w:eastAsia="Times New Roman" w:hAnsi="Times New Roman"/>
          <w:sz w:val="16"/>
          <w:szCs w:val="16"/>
          <w:color w:val="auto"/>
        </w:rPr>
        <w:t>10.2.2.</w:t>
      </w:r>
      <w:r>
        <w:rPr>
          <w:sz w:val="20"/>
          <w:szCs w:val="20"/>
          <w:color w:val="auto"/>
        </w:rPr>
        <w:tab/>
      </w:r>
      <w:r>
        <w:rPr>
          <w:rFonts w:ascii="Times New Roman" w:cs="Times New Roman" w:eastAsia="Times New Roman" w:hAnsi="Times New Roman"/>
          <w:sz w:val="14"/>
          <w:szCs w:val="14"/>
          <w:b w:val="1"/>
          <w:bCs w:val="1"/>
          <w:color w:val="auto"/>
        </w:rPr>
        <w:t>Licensed SNCA Compounds and Licensed SNCA Compounds</w:t>
      </w:r>
      <w:r>
        <w:rPr>
          <w:rFonts w:ascii="Times New Roman" w:cs="Times New Roman" w:eastAsia="Times New Roman" w:hAnsi="Times New Roman"/>
          <w:sz w:val="14"/>
          <w:szCs w:val="14"/>
          <w:color w:val="auto"/>
        </w:rPr>
        <w:t>. The Licensed SNCA Compounds and Licensed SNCA Products include all compounds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products owned or in-licensed by Arrowhead or any of its Affiliates as of the Execution Date or the Effective Date, as applicable, that are Directed To SNCA.</w:t>
      </w:r>
    </w:p>
    <w:p>
      <w:pPr>
        <w:spacing w:after="0" w:line="65"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10.2.3.</w:t>
      </w:r>
      <w:r>
        <w:rPr>
          <w:sz w:val="20"/>
          <w:szCs w:val="20"/>
          <w:color w:val="auto"/>
        </w:rPr>
        <w:tab/>
      </w:r>
      <w:r>
        <w:rPr>
          <w:rFonts w:ascii="Times New Roman" w:cs="Times New Roman" w:eastAsia="Times New Roman" w:hAnsi="Times New Roman"/>
          <w:sz w:val="16"/>
          <w:szCs w:val="16"/>
          <w:b w:val="1"/>
          <w:bCs w:val="1"/>
          <w:color w:val="auto"/>
        </w:rPr>
        <w:t>Arrowhead Technology</w:t>
      </w:r>
      <w:r>
        <w:rPr>
          <w:rFonts w:ascii="Times New Roman" w:cs="Times New Roman" w:eastAsia="Times New Roman" w:hAnsi="Times New Roman"/>
          <w:sz w:val="16"/>
          <w:szCs w:val="16"/>
          <w:color w:val="auto"/>
        </w:rPr>
        <w:t>. Arrowhead has (a) legal or beneficial title and sole ownership of, or a non-exclusive or exclusive right to use, all Arrowhead</w:t>
      </w: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Technology existing as of the Execution Date or the Effective Date, as applicable, except as set forth on </w:t>
      </w:r>
      <w:r>
        <w:rPr>
          <w:rFonts w:ascii="Times New Roman" w:cs="Times New Roman" w:eastAsia="Times New Roman" w:hAnsi="Times New Roman"/>
          <w:sz w:val="14"/>
          <w:szCs w:val="14"/>
          <w:b w:val="1"/>
          <w:bCs w:val="1"/>
          <w:color w:val="auto"/>
        </w:rPr>
        <w:t>Schedule 10.2</w:t>
      </w:r>
      <w:r>
        <w:rPr>
          <w:rFonts w:ascii="Times New Roman" w:cs="Times New Roman" w:eastAsia="Times New Roman" w:hAnsi="Times New Roman"/>
          <w:sz w:val="14"/>
          <w:szCs w:val="14"/>
          <w:color w:val="auto"/>
        </w:rPr>
        <w:t xml:space="preserve"> (Exceptions to the Representations and Warranties by Arrowhead), free and clear of all mortgages, pledges, liens, encumbrances, security interests, or claims of any kind, including claims by any</w:t>
      </w:r>
    </w:p>
    <w:p>
      <w:pPr>
        <w:ind w:left="820"/>
        <w:spacing w:after="0" w:line="237" w:lineRule="auto"/>
        <w:rPr>
          <w:sz w:val="20"/>
          <w:szCs w:val="20"/>
          <w:color w:val="auto"/>
        </w:rPr>
      </w:pPr>
      <w:r>
        <w:rPr>
          <w:rFonts w:ascii="Times New Roman" w:cs="Times New Roman" w:eastAsia="Times New Roman" w:hAnsi="Times New Roman"/>
          <w:sz w:val="14"/>
          <w:szCs w:val="14"/>
          <w:color w:val="auto"/>
        </w:rPr>
        <w:t>Governmental Authority or academic or non-profit institution; and (b) authority to grant to Novartis and its Affiliates the licenses set forth in Section 2.1 (License</w:t>
      </w:r>
    </w:p>
    <w:p>
      <w:pPr>
        <w:spacing w:after="0" w:line="1" w:lineRule="exact"/>
        <w:rPr>
          <w:sz w:val="20"/>
          <w:szCs w:val="20"/>
          <w:color w:val="auto"/>
        </w:rPr>
      </w:pPr>
    </w:p>
    <w:p>
      <w:pPr>
        <w:ind w:left="820"/>
        <w:spacing w:after="0" w:line="217" w:lineRule="auto"/>
        <w:rPr>
          <w:sz w:val="20"/>
          <w:szCs w:val="20"/>
          <w:color w:val="auto"/>
        </w:rPr>
      </w:pPr>
      <w:r>
        <w:rPr>
          <w:rFonts w:ascii="Times New Roman" w:cs="Times New Roman" w:eastAsia="Times New Roman" w:hAnsi="Times New Roman"/>
          <w:sz w:val="16"/>
          <w:szCs w:val="16"/>
          <w:color w:val="auto"/>
        </w:rPr>
        <w:t xml:space="preserve">Grants to Novartis) under the Arrowhead Technology. Arrowhead has not granted any license or other interest to any Third Party under the Arrowhead Technology that conflicts with the licenses granted to Novartis and its Affiliates hereunder.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10.2.4.</w:t>
      </w:r>
      <w:r>
        <w:rPr>
          <w:sz w:val="20"/>
          <w:szCs w:val="20"/>
          <w:color w:val="auto"/>
        </w:rPr>
        <w:tab/>
      </w:r>
      <w:r>
        <w:rPr>
          <w:rFonts w:ascii="Times New Roman" w:cs="Times New Roman" w:eastAsia="Times New Roman" w:hAnsi="Times New Roman"/>
          <w:sz w:val="14"/>
          <w:szCs w:val="14"/>
          <w:b w:val="1"/>
          <w:bCs w:val="1"/>
          <w:color w:val="auto"/>
        </w:rPr>
        <w:t>Ownership of Arrowhead Technology</w:t>
      </w:r>
      <w:r>
        <w:rPr>
          <w:rFonts w:ascii="Times New Roman" w:cs="Times New Roman" w:eastAsia="Times New Roman" w:hAnsi="Times New Roman"/>
          <w:sz w:val="14"/>
          <w:szCs w:val="14"/>
          <w:color w:val="auto"/>
        </w:rPr>
        <w:t>. With respect to all Arrowhead Technology existing as of the Execution Date or the Effective Date, as applicable, that is</w:t>
      </w:r>
    </w:p>
    <w:p>
      <w:pPr>
        <w:spacing w:after="0" w:line="2"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owned or purported to be owned by Arrowhead (a) Arrowhead and its Affiliates have obtained from all employees and independent contractors who participated in the invention or authorship thereof, assignments of all ownership rights of such employees and independent contractors in such Arrowhead Technology, either</w:t>
      </w:r>
    </w:p>
    <w:p>
      <w:pPr>
        <w:ind w:left="820"/>
        <w:spacing w:after="0" w:line="237" w:lineRule="auto"/>
        <w:rPr>
          <w:sz w:val="20"/>
          <w:szCs w:val="20"/>
          <w:color w:val="auto"/>
        </w:rPr>
      </w:pPr>
      <w:r>
        <w:rPr>
          <w:rFonts w:ascii="Times New Roman" w:cs="Times New Roman" w:eastAsia="Times New Roman" w:hAnsi="Times New Roman"/>
          <w:sz w:val="14"/>
          <w:szCs w:val="14"/>
          <w:color w:val="auto"/>
        </w:rPr>
        <w:t>pursuant to written agreement or by operation of Law; (b) all of Arrowhead’s and its Affiliates’ employees, officers, contractors, and consultants have executed</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agreements or have existing obligations under Law requiring assignment to Arrowhead or its Affiliate, as applicable, of all rights, title, and interests in and to their inventions made during the course of and as the result of this Agreement; and (c) no officer or employee of Arrowhead or any of its Affiliates is subject to any</w:t>
      </w:r>
    </w:p>
    <w:p>
      <w:pPr>
        <w:jc w:val="center"/>
        <w:ind w:right="20"/>
        <w:spacing w:after="0"/>
        <w:rPr>
          <w:sz w:val="20"/>
          <w:szCs w:val="20"/>
          <w:color w:val="auto"/>
        </w:rPr>
      </w:pPr>
      <w:r>
        <w:rPr>
          <w:rFonts w:ascii="Times New Roman" w:cs="Times New Roman" w:eastAsia="Times New Roman" w:hAnsi="Times New Roman"/>
          <w:sz w:val="16"/>
          <w:szCs w:val="16"/>
          <w:color w:val="auto"/>
        </w:rPr>
        <w:t>agreement with any other Third Party that requires such officer or employee to assign any interest in any Arrowhead Technology to such Third Party.</w:t>
      </w:r>
    </w:p>
    <w:p>
      <w:pPr>
        <w:spacing w:after="0" w:line="125" w:lineRule="exact"/>
        <w:rPr>
          <w:sz w:val="20"/>
          <w:szCs w:val="20"/>
          <w:color w:val="auto"/>
        </w:rPr>
      </w:pPr>
    </w:p>
    <w:p>
      <w:pPr>
        <w:jc w:val="right"/>
        <w:ind w:left="160"/>
        <w:spacing w:after="0" w:line="213" w:lineRule="auto"/>
        <w:rPr>
          <w:sz w:val="20"/>
          <w:szCs w:val="20"/>
          <w:color w:val="auto"/>
        </w:rPr>
      </w:pPr>
      <w:r>
        <w:rPr>
          <w:rFonts w:ascii="Times New Roman" w:cs="Times New Roman" w:eastAsia="Times New Roman" w:hAnsi="Times New Roman"/>
          <w:sz w:val="16"/>
          <w:szCs w:val="16"/>
          <w:color w:val="auto"/>
        </w:rPr>
        <w:t xml:space="preserve">10.2.5.   </w:t>
      </w:r>
      <w:r>
        <w:rPr>
          <w:rFonts w:ascii="Times New Roman" w:cs="Times New Roman" w:eastAsia="Times New Roman" w:hAnsi="Times New Roman"/>
          <w:sz w:val="16"/>
          <w:szCs w:val="16"/>
          <w:b w:val="1"/>
          <w:bCs w:val="1"/>
          <w:color w:val="auto"/>
        </w:rPr>
        <w:t>Prosecution of Arrowhead Patent Rights</w:t>
      </w:r>
      <w:r>
        <w:rPr>
          <w:rFonts w:ascii="Times New Roman" w:cs="Times New Roman" w:eastAsia="Times New Roman" w:hAnsi="Times New Roman"/>
          <w:sz w:val="16"/>
          <w:szCs w:val="16"/>
          <w:color w:val="auto"/>
        </w:rPr>
        <w:t>. The owned-Arrowhead Patent Rights, the in-licensed Arrowhead Patent Rights for which Arrowhead controls prosecution, and, to Arrowhead’s knowledge, the in-licensed Arrowhead Patent Rights for which a Third Party controls prosecution, in each case, existing as of</w:t>
      </w:r>
    </w:p>
    <w:p>
      <w:pPr>
        <w:ind w:left="820"/>
        <w:spacing w:after="0"/>
        <w:rPr>
          <w:sz w:val="20"/>
          <w:szCs w:val="20"/>
          <w:color w:val="auto"/>
        </w:rPr>
      </w:pPr>
      <w:r>
        <w:rPr>
          <w:rFonts w:ascii="Times New Roman" w:cs="Times New Roman" w:eastAsia="Times New Roman" w:hAnsi="Times New Roman"/>
          <w:sz w:val="14"/>
          <w:szCs w:val="14"/>
          <w:color w:val="auto"/>
        </w:rPr>
        <w:t>the Execution Date or the Effective Date, as applicable, are being diligently prosecuted in the respective patent offices in accordance with Law, and Arrowhead</w:t>
      </w:r>
    </w:p>
    <w:p>
      <w:pPr>
        <w:ind w:left="820"/>
        <w:spacing w:after="0" w:line="221" w:lineRule="auto"/>
        <w:rPr>
          <w:sz w:val="20"/>
          <w:szCs w:val="20"/>
          <w:color w:val="auto"/>
        </w:rPr>
      </w:pPr>
      <w:r>
        <w:rPr>
          <w:rFonts w:ascii="Times New Roman" w:cs="Times New Roman" w:eastAsia="Times New Roman" w:hAnsi="Times New Roman"/>
          <w:sz w:val="14"/>
          <w:szCs w:val="14"/>
          <w:color w:val="auto"/>
        </w:rPr>
        <w:t>and its Affiliates have presented all references, documents, or information for which it and the inventors had a duty to disclose under Law, including 37 C.F.R.</w:t>
      </w:r>
    </w:p>
    <w:p>
      <w:pPr>
        <w:ind w:left="820"/>
        <w:spacing w:after="0"/>
        <w:rPr>
          <w:sz w:val="20"/>
          <w:szCs w:val="20"/>
          <w:color w:val="auto"/>
        </w:rPr>
      </w:pPr>
      <w:r>
        <w:rPr>
          <w:rFonts w:ascii="Times New Roman" w:cs="Times New Roman" w:eastAsia="Times New Roman" w:hAnsi="Times New Roman"/>
          <w:sz w:val="16"/>
          <w:szCs w:val="16"/>
          <w:color w:val="auto"/>
        </w:rPr>
        <w:t>§1.56 or its foreign equivalent, to the relevant patent examiners at the relevant patent offices for each such Arrowhead Patent Right.</w:t>
      </w:r>
    </w:p>
    <w:p>
      <w:pPr>
        <w:spacing w:after="0" w:line="11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10.2.6.</w:t>
      </w:r>
      <w:r>
        <w:rPr>
          <w:sz w:val="20"/>
          <w:szCs w:val="20"/>
          <w:color w:val="auto"/>
        </w:rPr>
        <w:tab/>
      </w:r>
      <w:r>
        <w:rPr>
          <w:rFonts w:ascii="Times New Roman" w:cs="Times New Roman" w:eastAsia="Times New Roman" w:hAnsi="Times New Roman"/>
          <w:sz w:val="16"/>
          <w:szCs w:val="16"/>
          <w:b w:val="1"/>
          <w:bCs w:val="1"/>
          <w:color w:val="auto"/>
        </w:rPr>
        <w:t>Validity and Enforceability</w:t>
      </w:r>
      <w:r>
        <w:rPr>
          <w:rFonts w:ascii="Times New Roman" w:cs="Times New Roman" w:eastAsia="Times New Roman" w:hAnsi="Times New Roman"/>
          <w:sz w:val="16"/>
          <w:szCs w:val="16"/>
          <w:color w:val="auto"/>
        </w:rPr>
        <w:t>. With respect to owned-Arrowhead Patent Rights, the in-licensed Arrowhead Patent Rights for which Arrowhead controls</w:t>
      </w:r>
    </w:p>
    <w:p>
      <w:pPr>
        <w:ind w:left="820"/>
        <w:spacing w:after="0" w:line="217" w:lineRule="auto"/>
        <w:rPr>
          <w:sz w:val="20"/>
          <w:szCs w:val="20"/>
          <w:color w:val="auto"/>
        </w:rPr>
      </w:pPr>
      <w:r>
        <w:rPr>
          <w:rFonts w:ascii="Times New Roman" w:cs="Times New Roman" w:eastAsia="Times New Roman" w:hAnsi="Times New Roman"/>
          <w:sz w:val="16"/>
          <w:szCs w:val="16"/>
          <w:color w:val="auto"/>
        </w:rPr>
        <w:t xml:space="preserve">prosecution, and, to Arrowhead’s knowledge, the in-licensed Arrowhead Patent Rights for which a Third Party controls prosecution, in each case, existing as of the Execution Date or the Effective Date, as applicable, there is no opposition, nullity action, interference, </w:t>
      </w:r>
      <w:r>
        <w:rPr>
          <w:rFonts w:ascii="Times New Roman" w:cs="Times New Roman" w:eastAsia="Times New Roman" w:hAnsi="Times New Roman"/>
          <w:sz w:val="16"/>
          <w:szCs w:val="16"/>
          <w:i w:val="1"/>
          <w:iCs w:val="1"/>
          <w:color w:val="auto"/>
        </w:rPr>
        <w:t>inter</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920"/>
          </w:cols>
          <w:pgMar w:left="660" w:top="123" w:right="319" w:bottom="1440" w:gutter="0" w:footer="0" w:header="0"/>
        </w:sectPr>
      </w:pPr>
    </w:p>
    <w:bookmarkStart w:id="182" w:name="page183"/>
    <w:bookmarkEnd w:id="182"/>
    <w:p>
      <w:pPr>
        <w:ind w:left="2360" w:right="360" w:hanging="2360"/>
        <w:spacing w:after="0" w:line="290" w:lineRule="auto"/>
        <w:tabs>
          <w:tab w:leader="none" w:pos="336"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partes </w:t>
      </w:r>
      <w:r>
        <w:rPr>
          <w:rFonts w:ascii="Times New Roman" w:cs="Times New Roman" w:eastAsia="Times New Roman" w:hAnsi="Times New Roman"/>
          <w:sz w:val="14"/>
          <w:szCs w:val="14"/>
          <w:color w:val="auto"/>
        </w:rPr>
        <w:t>reexamination,</w:t>
      </w:r>
      <w:r>
        <w:rPr>
          <w:rFonts w:ascii="Times New Roman" w:cs="Times New Roman" w:eastAsia="Times New Roman" w:hAnsi="Times New Roman"/>
          <w:sz w:val="14"/>
          <w:szCs w:val="14"/>
          <w:i w:val="1"/>
          <w:iCs w:val="1"/>
          <w:color w:val="auto"/>
        </w:rPr>
        <w:t xml:space="preserve"> inter partes </w:t>
      </w:r>
      <w:r>
        <w:rPr>
          <w:rFonts w:ascii="Times New Roman" w:cs="Times New Roman" w:eastAsia="Times New Roman" w:hAnsi="Times New Roman"/>
          <w:sz w:val="14"/>
          <w:szCs w:val="14"/>
          <w:color w:val="auto"/>
        </w:rPr>
        <w:t>review, post-grant review, derivation proceeding, or other proceeding pending or, to Arrowhead’s knowledge, threatened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writing (but excluding office actions or similar communications issued by the United States Patent and Trademark Office or any analogous foreign Governmental</w:t>
      </w:r>
    </w:p>
    <w:p>
      <w:pPr>
        <w:ind w:left="820"/>
        <w:spacing w:after="0" w:line="229" w:lineRule="auto"/>
        <w:rPr>
          <w:sz w:val="20"/>
          <w:szCs w:val="20"/>
          <w:color w:val="auto"/>
        </w:rPr>
      </w:pPr>
      <w:r>
        <w:rPr>
          <w:rFonts w:ascii="Times New Roman" w:cs="Times New Roman" w:eastAsia="Times New Roman" w:hAnsi="Times New Roman"/>
          <w:sz w:val="14"/>
          <w:szCs w:val="14"/>
          <w:color w:val="auto"/>
        </w:rPr>
        <w:t>Authority (collectively, “</w:t>
      </w:r>
      <w:r>
        <w:rPr>
          <w:rFonts w:ascii="Times New Roman" w:cs="Times New Roman" w:eastAsia="Times New Roman" w:hAnsi="Times New Roman"/>
          <w:sz w:val="14"/>
          <w:szCs w:val="14"/>
          <w:b w:val="1"/>
          <w:bCs w:val="1"/>
          <w:color w:val="auto"/>
        </w:rPr>
        <w:t>Patent Offices</w:t>
      </w:r>
      <w:r>
        <w:rPr>
          <w:rFonts w:ascii="Times New Roman" w:cs="Times New Roman" w:eastAsia="Times New Roman" w:hAnsi="Times New Roman"/>
          <w:sz w:val="14"/>
          <w:szCs w:val="14"/>
          <w:color w:val="auto"/>
        </w:rPr>
        <w:t>”) in the ordinary course of Prosecution and Maintenance of any patent application) that challenge the ownership, scope, duration, validity, enforceability, or priority of any such Arrowhead Patent Right owned or purported to be owned by Arrowhead. To Arrowhead’s knowledge, the</w:t>
      </w:r>
    </w:p>
    <w:p>
      <w:pPr>
        <w:ind w:left="820"/>
        <w:spacing w:after="0" w:line="224" w:lineRule="auto"/>
        <w:rPr>
          <w:sz w:val="20"/>
          <w:szCs w:val="20"/>
          <w:color w:val="auto"/>
        </w:rPr>
      </w:pPr>
      <w:r>
        <w:rPr>
          <w:rFonts w:ascii="Times New Roman" w:cs="Times New Roman" w:eastAsia="Times New Roman" w:hAnsi="Times New Roman"/>
          <w:sz w:val="16"/>
          <w:szCs w:val="16"/>
          <w:color w:val="auto"/>
        </w:rPr>
        <w:t>Arrowhead Patent Rights that have issued are subsisting, valid, and enforceable, and Arrowhead does not have knowledge of any fact or circumstance that would cause Arrowhead to reasonably conclude that any issued Arrowhead Patent Right is, or will be upon issuance, invalid, or unenforceable.</w:t>
      </w:r>
    </w:p>
    <w:p>
      <w:pPr>
        <w:spacing w:after="0" w:line="107"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10.2.7.</w:t>
      </w:r>
      <w:r>
        <w:rPr>
          <w:sz w:val="20"/>
          <w:szCs w:val="20"/>
          <w:color w:val="auto"/>
        </w:rPr>
        <w:tab/>
      </w:r>
      <w:r>
        <w:rPr>
          <w:rFonts w:ascii="Times New Roman" w:cs="Times New Roman" w:eastAsia="Times New Roman" w:hAnsi="Times New Roman"/>
          <w:sz w:val="16"/>
          <w:szCs w:val="16"/>
          <w:b w:val="1"/>
          <w:bCs w:val="1"/>
          <w:color w:val="auto"/>
        </w:rPr>
        <w:t>Inventorship</w:t>
      </w:r>
      <w:r>
        <w:rPr>
          <w:rFonts w:ascii="Times New Roman" w:cs="Times New Roman" w:eastAsia="Times New Roman" w:hAnsi="Times New Roman"/>
          <w:sz w:val="16"/>
          <w:szCs w:val="16"/>
          <w:color w:val="auto"/>
        </w:rPr>
        <w:t>. Inventorship of each owned-Arrowhead Patent Right and, to Arrowhead’s knowledge, each in-licensed Arrowhead Patent Right, in each case,</w:t>
      </w:r>
    </w:p>
    <w:p>
      <w:pPr>
        <w:ind w:left="820"/>
        <w:spacing w:after="0" w:line="217" w:lineRule="auto"/>
        <w:rPr>
          <w:sz w:val="20"/>
          <w:szCs w:val="20"/>
          <w:color w:val="auto"/>
        </w:rPr>
      </w:pPr>
      <w:r>
        <w:rPr>
          <w:rFonts w:ascii="Times New Roman" w:cs="Times New Roman" w:eastAsia="Times New Roman" w:hAnsi="Times New Roman"/>
          <w:sz w:val="16"/>
          <w:szCs w:val="16"/>
          <w:color w:val="auto"/>
        </w:rPr>
        <w:t>existing as of the Execution Date or the Effective Date, as applicable, is properly identified on each patent and patent application. To Arrowhead’s knowledge, there is no dispute with respect to inventorship of any Arrowhead Patent Rights.</w:t>
      </w:r>
    </w:p>
    <w:p>
      <w:pPr>
        <w:spacing w:after="0" w:line="11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10.2.8.</w:t>
      </w:r>
      <w:r>
        <w:rPr>
          <w:sz w:val="20"/>
          <w:szCs w:val="20"/>
          <w:color w:val="auto"/>
        </w:rPr>
        <w:tab/>
      </w:r>
      <w:r>
        <w:rPr>
          <w:rFonts w:ascii="Times New Roman" w:cs="Times New Roman" w:eastAsia="Times New Roman" w:hAnsi="Times New Roman"/>
          <w:sz w:val="16"/>
          <w:szCs w:val="16"/>
          <w:b w:val="1"/>
          <w:bCs w:val="1"/>
          <w:color w:val="auto"/>
        </w:rPr>
        <w:t>Good Standing</w:t>
      </w:r>
      <w:r>
        <w:rPr>
          <w:rFonts w:ascii="Times New Roman" w:cs="Times New Roman" w:eastAsia="Times New Roman" w:hAnsi="Times New Roman"/>
          <w:sz w:val="16"/>
          <w:szCs w:val="16"/>
          <w:color w:val="auto"/>
        </w:rPr>
        <w:t>. All official fees, maintenance fees, and annuities for any pending or issued owned-Arrowhead Patent Rights, in-licensed Arrowhead Patent</w:t>
      </w:r>
    </w:p>
    <w:p>
      <w:pPr>
        <w:ind w:left="820"/>
        <w:spacing w:after="0" w:line="229" w:lineRule="auto"/>
        <w:rPr>
          <w:sz w:val="20"/>
          <w:szCs w:val="20"/>
          <w:color w:val="auto"/>
        </w:rPr>
      </w:pPr>
      <w:r>
        <w:rPr>
          <w:rFonts w:ascii="Times New Roman" w:cs="Times New Roman" w:eastAsia="Times New Roman" w:hAnsi="Times New Roman"/>
          <w:sz w:val="14"/>
          <w:szCs w:val="14"/>
          <w:color w:val="auto"/>
        </w:rPr>
        <w:t>Rights for which Arrowhead controls prosecution and maintenance, and, to Arrowhead’s knowledge, in-licensed Arrowhead Patent Rights for which a Third Party controls prosecution and maintenance, in each case, existing as of the Execution Date or the Effective Date, as applicable, have been paid when due, and all</w:t>
      </w:r>
    </w:p>
    <w:p>
      <w:pPr>
        <w:ind w:left="820"/>
        <w:spacing w:after="0" w:line="224" w:lineRule="auto"/>
        <w:rPr>
          <w:sz w:val="20"/>
          <w:szCs w:val="20"/>
          <w:color w:val="auto"/>
        </w:rPr>
      </w:pPr>
      <w:r>
        <w:rPr>
          <w:rFonts w:ascii="Times New Roman" w:cs="Times New Roman" w:eastAsia="Times New Roman" w:hAnsi="Times New Roman"/>
          <w:sz w:val="16"/>
          <w:szCs w:val="16"/>
          <w:color w:val="auto"/>
        </w:rPr>
        <w:t>administrative procedures with Governmental Authorities have been completed for such Arrowhead Patent Rights such that such Patent Rights are subsisting and in good standing.</w:t>
      </w:r>
    </w:p>
    <w:p>
      <w:pPr>
        <w:spacing w:after="0" w:line="114" w:lineRule="exact"/>
        <w:rPr>
          <w:sz w:val="20"/>
          <w:szCs w:val="20"/>
          <w:color w:val="auto"/>
        </w:rPr>
      </w:pPr>
    </w:p>
    <w:p>
      <w:pPr>
        <w:jc w:val="right"/>
        <w:ind w:left="160"/>
        <w:spacing w:after="0" w:line="252" w:lineRule="auto"/>
        <w:rPr>
          <w:sz w:val="20"/>
          <w:szCs w:val="20"/>
          <w:color w:val="auto"/>
        </w:rPr>
      </w:pPr>
      <w:r>
        <w:rPr>
          <w:rFonts w:ascii="Times New Roman" w:cs="Times New Roman" w:eastAsia="Times New Roman" w:hAnsi="Times New Roman"/>
          <w:sz w:val="14"/>
          <w:szCs w:val="14"/>
          <w:color w:val="auto"/>
        </w:rPr>
        <w:t xml:space="preserve">10.2.9.   </w:t>
      </w:r>
      <w:r>
        <w:rPr>
          <w:rFonts w:ascii="Times New Roman" w:cs="Times New Roman" w:eastAsia="Times New Roman" w:hAnsi="Times New Roman"/>
          <w:sz w:val="14"/>
          <w:szCs w:val="14"/>
          <w:b w:val="1"/>
          <w:bCs w:val="1"/>
          <w:color w:val="auto"/>
        </w:rPr>
        <w:t>Government Funding</w:t>
      </w:r>
      <w:r>
        <w:rPr>
          <w:rFonts w:ascii="Times New Roman" w:cs="Times New Roman" w:eastAsia="Times New Roman" w:hAnsi="Times New Roman"/>
          <w:sz w:val="14"/>
          <w:szCs w:val="14"/>
          <w:color w:val="auto"/>
        </w:rPr>
        <w:t>. No government funding, facilities of a university, college, or other educational institution or research center was used in the development of any owned-Arrowhead Patent Rights or, to Arrowhead’s knowledge, in-licensed Arrowhead Patent Rights. No Person who was involved in, or who contributed</w:t>
      </w:r>
    </w:p>
    <w:p>
      <w:pPr>
        <w:ind w:left="820"/>
        <w:spacing w:after="0" w:line="229" w:lineRule="auto"/>
        <w:rPr>
          <w:sz w:val="20"/>
          <w:szCs w:val="20"/>
          <w:color w:val="auto"/>
        </w:rPr>
      </w:pPr>
      <w:r>
        <w:rPr>
          <w:rFonts w:ascii="Times New Roman" w:cs="Times New Roman" w:eastAsia="Times New Roman" w:hAnsi="Times New Roman"/>
          <w:sz w:val="14"/>
          <w:szCs w:val="14"/>
          <w:color w:val="auto"/>
        </w:rPr>
        <w:t>to, the creation or development of any owned-Arrowhead Patent Rights or, to Arrowhead’s knowledge, any in-licensed Arrowhead Patent Rights, has performed services for the government or any university, college, or other educational institution or research center in a manner that would affect Arrowhead’s rights in the</w:t>
      </w:r>
    </w:p>
    <w:p>
      <w:pPr>
        <w:ind w:left="820"/>
        <w:spacing w:after="0"/>
        <w:rPr>
          <w:sz w:val="20"/>
          <w:szCs w:val="20"/>
          <w:color w:val="auto"/>
        </w:rPr>
      </w:pPr>
      <w:r>
        <w:rPr>
          <w:rFonts w:ascii="Times New Roman" w:cs="Times New Roman" w:eastAsia="Times New Roman" w:hAnsi="Times New Roman"/>
          <w:sz w:val="16"/>
          <w:szCs w:val="16"/>
          <w:color w:val="auto"/>
        </w:rPr>
        <w:t>Arrowhead Patent Rights.</w:t>
      </w:r>
    </w:p>
    <w:p>
      <w:pPr>
        <w:spacing w:after="0" w:line="125" w:lineRule="exact"/>
        <w:rPr>
          <w:sz w:val="20"/>
          <w:szCs w:val="20"/>
          <w:color w:val="auto"/>
        </w:rPr>
      </w:pPr>
    </w:p>
    <w:p>
      <w:pPr>
        <w:ind w:left="800" w:hanging="661"/>
        <w:spacing w:after="0" w:line="230" w:lineRule="auto"/>
        <w:tabs>
          <w:tab w:leader="none" w:pos="780" w:val="left"/>
        </w:tabs>
        <w:rPr>
          <w:sz w:val="20"/>
          <w:szCs w:val="20"/>
          <w:color w:val="auto"/>
        </w:rPr>
      </w:pPr>
      <w:r>
        <w:rPr>
          <w:rFonts w:ascii="Times New Roman" w:cs="Times New Roman" w:eastAsia="Times New Roman" w:hAnsi="Times New Roman"/>
          <w:sz w:val="16"/>
          <w:szCs w:val="16"/>
          <w:color w:val="auto"/>
        </w:rPr>
        <w:t>10.2.10.</w:t>
      </w:r>
      <w:r>
        <w:rPr>
          <w:sz w:val="20"/>
          <w:szCs w:val="20"/>
          <w:color w:val="auto"/>
        </w:rPr>
        <w:tab/>
      </w:r>
      <w:r>
        <w:rPr>
          <w:rFonts w:ascii="Times New Roman" w:cs="Times New Roman" w:eastAsia="Times New Roman" w:hAnsi="Times New Roman"/>
          <w:sz w:val="16"/>
          <w:szCs w:val="16"/>
          <w:b w:val="1"/>
          <w:bCs w:val="1"/>
          <w:color w:val="auto"/>
        </w:rPr>
        <w:t>No Claims</w:t>
      </w:r>
      <w:r>
        <w:rPr>
          <w:rFonts w:ascii="Times New Roman" w:cs="Times New Roman" w:eastAsia="Times New Roman" w:hAnsi="Times New Roman"/>
          <w:sz w:val="16"/>
          <w:szCs w:val="16"/>
          <w:color w:val="auto"/>
        </w:rPr>
        <w:t>. There is (a) no claim, judgment, or settlement against or owed by Arrowhead or any of its Affiliates and (b) no pending or, to Arrowhead’s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knowledge, threatened claim or litigation, in each case ((a) and (b)), related to the Arrowhead Technology or ARO-SNCA SC.</w:t>
      </w:r>
    </w:p>
    <w:p>
      <w:pPr>
        <w:spacing w:after="0" w:line="118"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6"/>
          <w:szCs w:val="16"/>
          <w:color w:val="auto"/>
        </w:rPr>
        <w:t>10.2.11.</w:t>
      </w:r>
      <w:r>
        <w:rPr>
          <w:sz w:val="20"/>
          <w:szCs w:val="20"/>
          <w:color w:val="auto"/>
        </w:rPr>
        <w:tab/>
      </w:r>
      <w:r>
        <w:rPr>
          <w:rFonts w:ascii="Times New Roman" w:cs="Times New Roman" w:eastAsia="Times New Roman" w:hAnsi="Times New Roman"/>
          <w:sz w:val="16"/>
          <w:szCs w:val="16"/>
          <w:b w:val="1"/>
          <w:bCs w:val="1"/>
          <w:color w:val="auto"/>
        </w:rPr>
        <w:t>Notice of Infringement or Misappropriation</w:t>
      </w:r>
      <w:r>
        <w:rPr>
          <w:rFonts w:ascii="Times New Roman" w:cs="Times New Roman" w:eastAsia="Times New Roman" w:hAnsi="Times New Roman"/>
          <w:sz w:val="16"/>
          <w:szCs w:val="16"/>
          <w:color w:val="auto"/>
        </w:rPr>
        <w:t>. Neither Arrowhead nor any of its Affiliates have received any written notice or written threat from any Third</w:t>
      </w:r>
    </w:p>
    <w:p>
      <w:pPr>
        <w:jc w:val="both"/>
        <w:ind w:left="820"/>
        <w:spacing w:after="0" w:line="229" w:lineRule="auto"/>
        <w:rPr>
          <w:sz w:val="20"/>
          <w:szCs w:val="20"/>
          <w:color w:val="auto"/>
        </w:rPr>
      </w:pPr>
      <w:r>
        <w:rPr>
          <w:rFonts w:ascii="Times New Roman" w:cs="Times New Roman" w:eastAsia="Times New Roman" w:hAnsi="Times New Roman"/>
          <w:sz w:val="14"/>
          <w:szCs w:val="14"/>
          <w:color w:val="auto"/>
        </w:rPr>
        <w:t>Party asserting or alleging that any Development, Manufacture, Commercialization, or other Exploitation, each as contemplated by Arrowhead or any of its Affiliates prior to the Execution Date or prior to the Effective Date, of ARO-SNCA SC as it exists as of the Execution Date or the Effective Date, as applicable,</w:t>
      </w:r>
    </w:p>
    <w:p>
      <w:pPr>
        <w:ind w:left="820"/>
        <w:spacing w:after="0"/>
        <w:rPr>
          <w:sz w:val="20"/>
          <w:szCs w:val="20"/>
          <w:color w:val="auto"/>
        </w:rPr>
      </w:pPr>
      <w:r>
        <w:rPr>
          <w:rFonts w:ascii="Times New Roman" w:cs="Times New Roman" w:eastAsia="Times New Roman" w:hAnsi="Times New Roman"/>
          <w:sz w:val="16"/>
          <w:szCs w:val="16"/>
          <w:color w:val="auto"/>
        </w:rPr>
        <w:t>infringed, misappropriated, or otherwise violated any valid and enforceable Patent Right or Know-How of a Third Party.</w:t>
      </w:r>
    </w:p>
    <w:p>
      <w:pPr>
        <w:spacing w:after="0" w:line="125" w:lineRule="exact"/>
        <w:rPr>
          <w:sz w:val="20"/>
          <w:szCs w:val="20"/>
          <w:color w:val="auto"/>
        </w:rPr>
      </w:pPr>
    </w:p>
    <w:p>
      <w:pPr>
        <w:jc w:val="right"/>
        <w:ind w:left="160"/>
        <w:spacing w:after="0" w:line="213" w:lineRule="auto"/>
        <w:rPr>
          <w:sz w:val="20"/>
          <w:szCs w:val="20"/>
          <w:color w:val="auto"/>
        </w:rPr>
      </w:pPr>
      <w:r>
        <w:rPr>
          <w:rFonts w:ascii="Times New Roman" w:cs="Times New Roman" w:eastAsia="Times New Roman" w:hAnsi="Times New Roman"/>
          <w:sz w:val="16"/>
          <w:szCs w:val="16"/>
          <w:color w:val="auto"/>
        </w:rPr>
        <w:t xml:space="preserve">10.2.12.  </w:t>
      </w:r>
      <w:r>
        <w:rPr>
          <w:rFonts w:ascii="Times New Roman" w:cs="Times New Roman" w:eastAsia="Times New Roman" w:hAnsi="Times New Roman"/>
          <w:sz w:val="16"/>
          <w:szCs w:val="16"/>
          <w:b w:val="1"/>
          <w:bCs w:val="1"/>
          <w:color w:val="auto"/>
        </w:rPr>
        <w:t>Third Party Technology</w:t>
      </w:r>
      <w:r>
        <w:rPr>
          <w:rFonts w:ascii="Times New Roman" w:cs="Times New Roman" w:eastAsia="Times New Roman" w:hAnsi="Times New Roman"/>
          <w:sz w:val="16"/>
          <w:szCs w:val="16"/>
          <w:color w:val="auto"/>
        </w:rPr>
        <w:t>. To Arrowhead’s knowledge, the Development, Manufacture, Commercialization, and other Exploitation, each as contemplated by Arrowhead or any of its Affiliates of ARO-SNCA SC as it exists as of the Execution Date or the Effective Date, as applicable, in the Field in the Territory does</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not infringe,</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920"/>
          </w:cols>
          <w:pgMar w:left="660" w:top="123" w:right="319" w:bottom="1440" w:gutter="0" w:footer="0" w:header="0"/>
        </w:sectPr>
      </w:pPr>
    </w:p>
    <w:bookmarkStart w:id="183" w:name="page184"/>
    <w:bookmarkEnd w:id="183"/>
    <w:p>
      <w:pPr>
        <w:ind w:left="2720" w:right="360" w:hanging="2360"/>
        <w:spacing w:after="0" w:line="290" w:lineRule="auto"/>
        <w:tabs>
          <w:tab w:leader="none" w:pos="696" w:val="left"/>
        </w:tabs>
        <w:numPr>
          <w:ilvl w:val="0"/>
          <w:numId w:val="1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misappropriate, or otherwise violate any valid and enforceable Patent Right or Know-How of any Third Party.</w:t>
      </w:r>
    </w:p>
    <w:p>
      <w:pPr>
        <w:spacing w:after="0" w:line="143" w:lineRule="exact"/>
        <w:rPr>
          <w:sz w:val="20"/>
          <w:szCs w:val="20"/>
          <w:color w:val="auto"/>
        </w:rPr>
      </w:pPr>
    </w:p>
    <w:p>
      <w:pPr>
        <w:ind w:left="1160" w:hanging="661"/>
        <w:spacing w:after="0" w:line="237" w:lineRule="auto"/>
        <w:tabs>
          <w:tab w:leader="none" w:pos="1140" w:val="left"/>
        </w:tabs>
        <w:rPr>
          <w:sz w:val="20"/>
          <w:szCs w:val="20"/>
          <w:color w:val="auto"/>
        </w:rPr>
      </w:pPr>
      <w:r>
        <w:rPr>
          <w:rFonts w:ascii="Times New Roman" w:cs="Times New Roman" w:eastAsia="Times New Roman" w:hAnsi="Times New Roman"/>
          <w:sz w:val="16"/>
          <w:szCs w:val="16"/>
          <w:color w:val="auto"/>
        </w:rPr>
        <w:t>10.2.13.</w:t>
      </w:r>
      <w:r>
        <w:rPr>
          <w:sz w:val="20"/>
          <w:szCs w:val="20"/>
          <w:color w:val="auto"/>
        </w:rPr>
        <w:tab/>
      </w:r>
      <w:r>
        <w:rPr>
          <w:rFonts w:ascii="Times New Roman" w:cs="Times New Roman" w:eastAsia="Times New Roman" w:hAnsi="Times New Roman"/>
          <w:sz w:val="16"/>
          <w:szCs w:val="16"/>
          <w:b w:val="1"/>
          <w:bCs w:val="1"/>
          <w:color w:val="auto"/>
        </w:rPr>
        <w:t>Third Party Infringement</w:t>
      </w:r>
      <w:r>
        <w:rPr>
          <w:rFonts w:ascii="Times New Roman" w:cs="Times New Roman" w:eastAsia="Times New Roman" w:hAnsi="Times New Roman"/>
          <w:sz w:val="16"/>
          <w:szCs w:val="16"/>
          <w:color w:val="auto"/>
        </w:rPr>
        <w:t>. To Arrowhead’s knowledge, no Third Party is infringing, misappropriating, or otherwise violating, or threatening to infringe,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misappropriate, or otherwise violate the Arrowhead Technology.</w:t>
      </w:r>
    </w:p>
    <w:p>
      <w:pPr>
        <w:spacing w:after="0" w:line="114"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10.2.14.  </w:t>
      </w:r>
      <w:r>
        <w:rPr>
          <w:rFonts w:ascii="Times New Roman" w:cs="Times New Roman" w:eastAsia="Times New Roman" w:hAnsi="Times New Roman"/>
          <w:sz w:val="16"/>
          <w:szCs w:val="16"/>
          <w:b w:val="1"/>
          <w:bCs w:val="1"/>
          <w:color w:val="auto"/>
        </w:rPr>
        <w:t>Confidentiality of Trade Secrets</w:t>
      </w:r>
      <w:r>
        <w:rPr>
          <w:rFonts w:ascii="Times New Roman" w:cs="Times New Roman" w:eastAsia="Times New Roman" w:hAnsi="Times New Roman"/>
          <w:sz w:val="16"/>
          <w:szCs w:val="16"/>
          <w:color w:val="auto"/>
        </w:rPr>
        <w:t>. Arrowhead and its Affiliates have taken commercially reasonable measures consistent with industry practices to protect the secrecy, confidentiality, and value of all Arrowhead Know-How that constitutes trade secrets under Law (including requiring all employees, consultants, and</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independent contractors to execute binding and enforceable agreements requiring all such employees, consultants, and independent contractors to maintain the confidentiality of such Arrowhead Know-How).</w:t>
      </w:r>
    </w:p>
    <w:p>
      <w:pPr>
        <w:spacing w:after="0" w:line="125" w:lineRule="exact"/>
        <w:rPr>
          <w:sz w:val="20"/>
          <w:szCs w:val="20"/>
          <w:color w:val="auto"/>
        </w:rPr>
      </w:pPr>
    </w:p>
    <w:p>
      <w:pPr>
        <w:ind w:left="1160" w:hanging="661"/>
        <w:spacing w:after="0" w:line="230" w:lineRule="auto"/>
        <w:tabs>
          <w:tab w:leader="none" w:pos="1140" w:val="left"/>
        </w:tabs>
        <w:rPr>
          <w:sz w:val="20"/>
          <w:szCs w:val="20"/>
          <w:color w:val="auto"/>
        </w:rPr>
      </w:pPr>
      <w:r>
        <w:rPr>
          <w:rFonts w:ascii="Times New Roman" w:cs="Times New Roman" w:eastAsia="Times New Roman" w:hAnsi="Times New Roman"/>
          <w:sz w:val="16"/>
          <w:szCs w:val="16"/>
          <w:color w:val="auto"/>
        </w:rPr>
        <w:t>10.2.15.</w:t>
      </w:r>
      <w:r>
        <w:rPr>
          <w:sz w:val="20"/>
          <w:szCs w:val="20"/>
          <w:color w:val="auto"/>
        </w:rPr>
        <w:tab/>
      </w:r>
      <w:r>
        <w:rPr>
          <w:rFonts w:ascii="Times New Roman" w:cs="Times New Roman" w:eastAsia="Times New Roman" w:hAnsi="Times New Roman"/>
          <w:sz w:val="16"/>
          <w:szCs w:val="16"/>
          <w:b w:val="1"/>
          <w:bCs w:val="1"/>
          <w:color w:val="auto"/>
        </w:rPr>
        <w:t>Third Party Agreements</w:t>
      </w:r>
      <w:r>
        <w:rPr>
          <w:rFonts w:ascii="Times New Roman" w:cs="Times New Roman" w:eastAsia="Times New Roman" w:hAnsi="Times New Roman"/>
          <w:sz w:val="16"/>
          <w:szCs w:val="16"/>
          <w:color w:val="auto"/>
        </w:rPr>
        <w:t>. Except for the Pre-Existing Third Party Agreements, there are no Third Party agreements pursuant to which Arrowhead Controls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Arrowhead Technology.</w:t>
      </w:r>
    </w:p>
    <w:p>
      <w:pPr>
        <w:spacing w:after="0" w:line="118"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10.2.16.</w:t>
      </w:r>
      <w:r>
        <w:rPr>
          <w:sz w:val="20"/>
          <w:szCs w:val="20"/>
          <w:color w:val="auto"/>
        </w:rPr>
        <w:tab/>
      </w:r>
      <w:r>
        <w:rPr>
          <w:rFonts w:ascii="Times New Roman" w:cs="Times New Roman" w:eastAsia="Times New Roman" w:hAnsi="Times New Roman"/>
          <w:sz w:val="14"/>
          <w:szCs w:val="14"/>
          <w:b w:val="1"/>
          <w:bCs w:val="1"/>
          <w:color w:val="auto"/>
        </w:rPr>
        <w:t>Pre-Existing Third Party Agreements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Schedule 1.200 </w:t>
      </w:r>
      <w:r>
        <w:rPr>
          <w:rFonts w:ascii="Times New Roman" w:cs="Times New Roman" w:eastAsia="Times New Roman" w:hAnsi="Times New Roman"/>
          <w:sz w:val="14"/>
          <w:szCs w:val="14"/>
          <w:color w:val="auto"/>
        </w:rPr>
        <w:t>(Pre-Existing Third Party Agreements) contains a true and complete list of all agreements constituting</w:t>
      </w:r>
    </w:p>
    <w:p>
      <w:pPr>
        <w:spacing w:after="0" w:line="2"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the Pre-Existing Third Party Agreements existing as of the Execution Date or the Effective Date, as applicable, and Arrowhead has provided Novartis with an accurate copy of each Pre-Existing Third Party Agreement. Each Pre-Existing Third Party Agreement is in full force and effect. No written notice of default or</w:t>
      </w:r>
    </w:p>
    <w:p>
      <w:pPr>
        <w:ind w:left="1180"/>
        <w:spacing w:after="0" w:line="224" w:lineRule="auto"/>
        <w:rPr>
          <w:sz w:val="20"/>
          <w:szCs w:val="20"/>
          <w:color w:val="auto"/>
        </w:rPr>
      </w:pPr>
      <w:r>
        <w:rPr>
          <w:rFonts w:ascii="Times New Roman" w:cs="Times New Roman" w:eastAsia="Times New Roman" w:hAnsi="Times New Roman"/>
          <w:sz w:val="16"/>
          <w:szCs w:val="16"/>
          <w:color w:val="auto"/>
        </w:rPr>
        <w:t>termination has been received or given under any Pre-Existing Third Party Agreement, and, to Arrowhead’s knowledge, there is no act or omission by Arrowhead or any of its Affiliates that would provide a right to terminate any Pre-Existing Third Party Agreement.</w:t>
      </w:r>
    </w:p>
    <w:p>
      <w:pPr>
        <w:spacing w:after="0" w:line="114"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10.2.17.</w:t>
      </w:r>
      <w:r>
        <w:rPr>
          <w:sz w:val="20"/>
          <w:szCs w:val="20"/>
          <w:color w:val="auto"/>
        </w:rPr>
        <w:tab/>
      </w:r>
      <w:r>
        <w:rPr>
          <w:rFonts w:ascii="Times New Roman" w:cs="Times New Roman" w:eastAsia="Times New Roman" w:hAnsi="Times New Roman"/>
          <w:sz w:val="14"/>
          <w:szCs w:val="14"/>
          <w:b w:val="1"/>
          <w:bCs w:val="1"/>
          <w:color w:val="auto"/>
        </w:rPr>
        <w:t>[***]</w:t>
      </w:r>
    </w:p>
    <w:p>
      <w:pPr>
        <w:spacing w:after="0" w:line="138"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10.2.18.</w:t>
      </w:r>
      <w:r>
        <w:rPr>
          <w:sz w:val="20"/>
          <w:szCs w:val="20"/>
          <w:color w:val="auto"/>
        </w:rPr>
        <w:tab/>
      </w:r>
      <w:r>
        <w:rPr>
          <w:rFonts w:ascii="Times New Roman" w:cs="Times New Roman" w:eastAsia="Times New Roman" w:hAnsi="Times New Roman"/>
          <w:sz w:val="16"/>
          <w:szCs w:val="16"/>
          <w:b w:val="1"/>
          <w:bCs w:val="1"/>
          <w:color w:val="auto"/>
        </w:rPr>
        <w:t>Compliance with Laws</w:t>
      </w:r>
      <w:r>
        <w:rPr>
          <w:rFonts w:ascii="Times New Roman" w:cs="Times New Roman" w:eastAsia="Times New Roman" w:hAnsi="Times New Roman"/>
          <w:sz w:val="16"/>
          <w:szCs w:val="16"/>
          <w:color w:val="auto"/>
        </w:rPr>
        <w:t>. Arrowhead and its Affiliates have conducted, and, to Arrowhead’s knowledge, their respective contractors and consultants have</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conducted, the Development and Manufacture of ARO-SNCA SC as it exists as of the Execution Date or the Effective Date, as applicable,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with all applicable Laws, including as applicable GLP, GCP, and GMP, labor and employment and any applicable anti-corruption or anti-bribery laws or regulations of</w:t>
      </w:r>
    </w:p>
    <w:p>
      <w:pPr>
        <w:ind w:left="1180"/>
        <w:spacing w:after="0" w:line="237" w:lineRule="auto"/>
        <w:rPr>
          <w:sz w:val="20"/>
          <w:szCs w:val="20"/>
          <w:color w:val="auto"/>
        </w:rPr>
      </w:pPr>
      <w:r>
        <w:rPr>
          <w:rFonts w:ascii="Times New Roman" w:cs="Times New Roman" w:eastAsia="Times New Roman" w:hAnsi="Times New Roman"/>
          <w:sz w:val="14"/>
          <w:szCs w:val="14"/>
          <w:color w:val="auto"/>
        </w:rPr>
        <w:t>any Governmental Authority with jurisdiction over such Development and Manufacture. Neither Arrowhead nor its Affiliates, nor, to Arrowhead’s knowledge,</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any of their employees, officers, subcontractors, or consultants who have rendered services relating to the Arrowhead Technology or ARO-SNCA SC as it exists as of the Execution Date or the Effective Date, as applicable, (a) has ever been Debarred or is subject to debarment or convicted of a crime for which an entity or</w:t>
      </w:r>
    </w:p>
    <w:p>
      <w:pPr>
        <w:jc w:val="center"/>
        <w:ind w:left="460"/>
        <w:spacing w:after="0"/>
        <w:rPr>
          <w:sz w:val="20"/>
          <w:szCs w:val="20"/>
          <w:color w:val="auto"/>
        </w:rPr>
      </w:pPr>
      <w:r>
        <w:rPr>
          <w:rFonts w:ascii="Times New Roman" w:cs="Times New Roman" w:eastAsia="Times New Roman" w:hAnsi="Times New Roman"/>
          <w:sz w:val="16"/>
          <w:szCs w:val="16"/>
          <w:color w:val="auto"/>
        </w:rPr>
        <w:t>person could be Debarred, (b) has ever been under indictment for a crime for which a person or entity could be Debarred, or (c) is a Sanctioned Person.</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10.2.19.  </w:t>
      </w:r>
      <w:r>
        <w:rPr>
          <w:rFonts w:ascii="Times New Roman" w:cs="Times New Roman" w:eastAsia="Times New Roman" w:hAnsi="Times New Roman"/>
          <w:sz w:val="16"/>
          <w:szCs w:val="16"/>
          <w:b w:val="1"/>
          <w:bCs w:val="1"/>
          <w:color w:val="auto"/>
        </w:rPr>
        <w:t>Disclosure</w:t>
      </w:r>
      <w:r>
        <w:rPr>
          <w:rFonts w:ascii="Times New Roman" w:cs="Times New Roman" w:eastAsia="Times New Roman" w:hAnsi="Times New Roman"/>
          <w:sz w:val="16"/>
          <w:szCs w:val="16"/>
          <w:color w:val="auto"/>
        </w:rPr>
        <w:t>. Arrowhead has made available to Novartis true, correct and complete copies or originals of all material information relating to the Development, Manufacture and Commercialization of ARO-SNCA SC in the Field in the Territory, each as conducted by or on behalf of Arrowhead or any of its Affiliates as of</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 xml:space="preserve">the Execution Date or the Effective Date, as applicable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10.3.</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10.4.</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280"/>
          </w:cols>
          <w:pgMar w:left="300" w:top="123" w:right="319" w:bottom="1440" w:gutter="0" w:footer="0" w:header="0"/>
        </w:sectPr>
      </w:pPr>
    </w:p>
    <w:bookmarkStart w:id="184" w:name="page185"/>
    <w:bookmarkEnd w:id="184"/>
    <w:p>
      <w:pPr>
        <w:ind w:left="2720" w:right="360" w:hanging="2360"/>
        <w:spacing w:after="0" w:line="290" w:lineRule="auto"/>
        <w:tabs>
          <w:tab w:leader="none" w:pos="696" w:val="left"/>
        </w:tabs>
        <w:numPr>
          <w:ilvl w:val="0"/>
          <w:numId w:val="1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10.5.  Warranty Disclaimer</w:t>
      </w:r>
      <w:r>
        <w:rPr>
          <w:rFonts w:ascii="Times New Roman" w:cs="Times New Roman" w:eastAsia="Times New Roman" w:hAnsi="Times New Roman"/>
          <w:sz w:val="16"/>
          <w:szCs w:val="16"/>
          <w:color w:val="auto"/>
        </w:rPr>
        <w:t>. EXCEPT AS OTHERWISE EXPRESSLY PROVIDED IN THIS AGREEMENT, NEITHER PARTY MAKES ANY REPRESENTATION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EXTENDS ANY WARRANTY OF ANY KIND, EITHER EXPRESS OR IMPLIED, TO THE OTHER PARTY WITH RESPECT TO ANY PATENT RIGHTS, KNOW-</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HOW, MATERIALS, COMPOUND, PRODUCT, GOODS, SERVICES, RIGHTS OR OTHER SUBJECT MATTER OF THIS AGREEMENT AND HEREBY DISCLAIMS ALL IMPLIED WARRANTIES OF MERCHANTABILITY, FITNESS FOR A PARTICULAR PURPOSE, TITLE, OR NONINFRINGEMENT WITH</w:t>
      </w:r>
    </w:p>
    <w:p>
      <w:pPr>
        <w:ind w:left="520"/>
        <w:spacing w:after="0" w:line="208" w:lineRule="auto"/>
        <w:rPr>
          <w:sz w:val="20"/>
          <w:szCs w:val="20"/>
          <w:color w:val="auto"/>
        </w:rPr>
      </w:pPr>
      <w:r>
        <w:rPr>
          <w:rFonts w:ascii="Times New Roman" w:cs="Times New Roman" w:eastAsia="Times New Roman" w:hAnsi="Times New Roman"/>
          <w:sz w:val="16"/>
          <w:szCs w:val="16"/>
          <w:color w:val="auto"/>
        </w:rPr>
        <w:t>RESPECT TO ANY AND ALL OF THE FOREGOING. EACH PARTY HEREBY DISCLAIMS ANY REPRESENTATION OR WARRANTY THAT THE</w:t>
      </w:r>
    </w:p>
    <w:p>
      <w:pPr>
        <w:ind w:left="520"/>
        <w:spacing w:after="0" w:line="194" w:lineRule="auto"/>
        <w:rPr>
          <w:sz w:val="20"/>
          <w:szCs w:val="20"/>
          <w:color w:val="auto"/>
        </w:rPr>
      </w:pPr>
      <w:r>
        <w:rPr>
          <w:rFonts w:ascii="Times New Roman" w:cs="Times New Roman" w:eastAsia="Times New Roman" w:hAnsi="Times New Roman"/>
          <w:sz w:val="16"/>
          <w:szCs w:val="16"/>
          <w:color w:val="auto"/>
        </w:rPr>
        <w:t>EXPLOITATION OF ANY LICENSED COMPOUND OR LICENSED PRODUCT PURSUANT TO THIS AGREEMENT WILL BE SUCCESSFUL.</w:t>
      </w:r>
    </w:p>
    <w:p>
      <w:pPr>
        <w:spacing w:after="0" w:line="238"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10.6.</w:t>
      </w:r>
      <w:r>
        <w:rPr>
          <w:sz w:val="20"/>
          <w:szCs w:val="20"/>
          <w:color w:val="auto"/>
        </w:rPr>
        <w:tab/>
      </w:r>
      <w:r>
        <w:rPr>
          <w:rFonts w:ascii="Times New Roman" w:cs="Times New Roman" w:eastAsia="Times New Roman" w:hAnsi="Times New Roman"/>
          <w:sz w:val="14"/>
          <w:szCs w:val="14"/>
          <w:b w:val="1"/>
          <w:bCs w:val="1"/>
          <w:color w:val="auto"/>
        </w:rPr>
        <w:t>Certain Covenants</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10.6.1.   </w:t>
      </w:r>
      <w:r>
        <w:rPr>
          <w:rFonts w:ascii="Times New Roman" w:cs="Times New Roman" w:eastAsia="Times New Roman" w:hAnsi="Times New Roman"/>
          <w:sz w:val="16"/>
          <w:szCs w:val="16"/>
          <w:b w:val="1"/>
          <w:bCs w:val="1"/>
          <w:color w:val="auto"/>
        </w:rPr>
        <w:t>Compliance</w:t>
      </w:r>
      <w:r>
        <w:rPr>
          <w:rFonts w:ascii="Times New Roman" w:cs="Times New Roman" w:eastAsia="Times New Roman" w:hAnsi="Times New Roman"/>
          <w:sz w:val="16"/>
          <w:szCs w:val="16"/>
          <w:color w:val="auto"/>
        </w:rPr>
        <w:t>. Each Party and its Affiliates, Sublicensees, and Subcontractors will conduct the Exploitation of the Licensed Compounds and the Licensed Products in a good scientific manner and materially in accordance with all applicable Laws, including, as applicable, GLP, GCP, and GMP or regulations of any</w:t>
      </w:r>
    </w:p>
    <w:p>
      <w:pPr>
        <w:ind w:left="1180"/>
        <w:spacing w:after="0" w:line="208" w:lineRule="auto"/>
        <w:rPr>
          <w:sz w:val="20"/>
          <w:szCs w:val="20"/>
          <w:color w:val="auto"/>
        </w:rPr>
      </w:pPr>
      <w:r>
        <w:rPr>
          <w:rFonts w:ascii="Times New Roman" w:cs="Times New Roman" w:eastAsia="Times New Roman" w:hAnsi="Times New Roman"/>
          <w:sz w:val="16"/>
          <w:szCs w:val="16"/>
          <w:color w:val="auto"/>
        </w:rPr>
        <w:t>Governmental Authority with jurisdiction over the activities performed by or on behalf of such Party or its Affiliates, Sublicensees or Subcontractors in</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furtherance of such obligations. In addition, if a Party is or becomes subject to a legal obligation to a Governmental Authority (such as a corporate integrity agreement or settlement agreement with a Governmental Authority), then the other Party will perform such activities as may be reasonably requested by the</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obligated Party to enable such Party to comply with its legal obligation to such Governmental Authority with respect to the Licensed Products.</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10.6.2.   </w:t>
      </w:r>
      <w:r>
        <w:rPr>
          <w:rFonts w:ascii="Times New Roman" w:cs="Times New Roman" w:eastAsia="Times New Roman" w:hAnsi="Times New Roman"/>
          <w:sz w:val="16"/>
          <w:szCs w:val="16"/>
          <w:b w:val="1"/>
          <w:bCs w:val="1"/>
          <w:color w:val="auto"/>
        </w:rPr>
        <w:t>No Debarment</w:t>
      </w:r>
      <w:r>
        <w:rPr>
          <w:rFonts w:ascii="Times New Roman" w:cs="Times New Roman" w:eastAsia="Times New Roman" w:hAnsi="Times New Roman"/>
          <w:sz w:val="16"/>
          <w:szCs w:val="16"/>
          <w:color w:val="auto"/>
        </w:rPr>
        <w:t>. Neither Party will use or permit its Affiliates, Sublicensees, or Subcontractors to use, in any capacity in connection with the performance of its obligations under this Agreement, any Person that has been Debarred pursuant to Section 306 of the FD&amp;C Act, as amended, or that is the subject of a conviction</w:t>
      </w:r>
    </w:p>
    <w:p>
      <w:pPr>
        <w:ind w:left="1180"/>
        <w:spacing w:after="0"/>
        <w:rPr>
          <w:sz w:val="20"/>
          <w:szCs w:val="20"/>
          <w:color w:val="auto"/>
        </w:rPr>
      </w:pPr>
      <w:r>
        <w:rPr>
          <w:rFonts w:ascii="Times New Roman" w:cs="Times New Roman" w:eastAsia="Times New Roman" w:hAnsi="Times New Roman"/>
          <w:sz w:val="14"/>
          <w:szCs w:val="14"/>
          <w:color w:val="auto"/>
        </w:rPr>
        <w:t>described in such section. Each Party agrees to inform the other Party in writing immediately if it or any Person that is performing activities under this Agreement</w:t>
      </w:r>
    </w:p>
    <w:p>
      <w:pPr>
        <w:ind w:left="1180"/>
        <w:spacing w:after="0" w:line="229" w:lineRule="auto"/>
        <w:rPr>
          <w:sz w:val="20"/>
          <w:szCs w:val="20"/>
          <w:color w:val="auto"/>
        </w:rPr>
      </w:pPr>
      <w:r>
        <w:rPr>
          <w:rFonts w:ascii="Times New Roman" w:cs="Times New Roman" w:eastAsia="Times New Roman" w:hAnsi="Times New Roman"/>
          <w:sz w:val="14"/>
          <w:szCs w:val="14"/>
          <w:color w:val="auto"/>
        </w:rPr>
        <w:t>is Debarred or is subject to debarment or is the subject of a conviction described in Section 306 of the FD&amp;C Act, or if any action, suit, claim, investigation, or legal or administrative proceeding (a) has been filed and is pending or (b) is threatened in writing relating to the debarment or conviction of such notifying Party</w:t>
      </w:r>
    </w:p>
    <w:p>
      <w:pPr>
        <w:ind w:left="1180"/>
        <w:spacing w:after="0" w:line="237" w:lineRule="auto"/>
        <w:rPr>
          <w:sz w:val="20"/>
          <w:szCs w:val="20"/>
          <w:color w:val="auto"/>
        </w:rPr>
      </w:pPr>
      <w:r>
        <w:rPr>
          <w:rFonts w:ascii="Times New Roman" w:cs="Times New Roman" w:eastAsia="Times New Roman" w:hAnsi="Times New Roman"/>
          <w:sz w:val="14"/>
          <w:szCs w:val="14"/>
          <w:color w:val="auto"/>
        </w:rPr>
        <w:t>or, to such Party’s knowledge, any Person or entity used in any capacity by such Party or any of its Affiliates with respect to this Agreement or the performance of</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its other obligations under this Agreement. Such notifying Party will use reasonable efforts to include in any agreement with any Person or entity used in any capacity by such Party or any of its Affiliates with respect to this Agreement or the performance of its other obligations under this Agreement an obligation to</w:t>
      </w:r>
    </w:p>
    <w:p>
      <w:pPr>
        <w:ind w:left="1180"/>
        <w:spacing w:after="0"/>
        <w:rPr>
          <w:sz w:val="20"/>
          <w:szCs w:val="20"/>
          <w:color w:val="auto"/>
        </w:rPr>
      </w:pPr>
      <w:r>
        <w:rPr>
          <w:rFonts w:ascii="Times New Roman" w:cs="Times New Roman" w:eastAsia="Times New Roman" w:hAnsi="Times New Roman"/>
          <w:sz w:val="16"/>
          <w:szCs w:val="16"/>
          <w:color w:val="auto"/>
        </w:rPr>
        <w:t>provide notice to such Party of the matters described in this Section 10.6.2 (No Debarment).</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10.6.3.   </w:t>
      </w:r>
      <w:r>
        <w:rPr>
          <w:rFonts w:ascii="Times New Roman" w:cs="Times New Roman" w:eastAsia="Times New Roman" w:hAnsi="Times New Roman"/>
          <w:sz w:val="16"/>
          <w:szCs w:val="16"/>
          <w:b w:val="1"/>
          <w:bCs w:val="1"/>
          <w:color w:val="auto"/>
        </w:rPr>
        <w:t>No Bribery</w:t>
      </w:r>
      <w:r>
        <w:rPr>
          <w:rFonts w:ascii="Times New Roman" w:cs="Times New Roman" w:eastAsia="Times New Roman" w:hAnsi="Times New Roman"/>
          <w:sz w:val="16"/>
          <w:szCs w:val="16"/>
          <w:color w:val="auto"/>
        </w:rPr>
        <w:t>. In exercising its rights and performing its obligations under this Agreement, each Party will (and will ensure that its Affiliates and its and their employees, directors, officers, sublicensees, subcontractors and agents will) (a) not promise, offer, pay, cause to pay, accept payment, induce payment or take any</w:t>
      </w:r>
    </w:p>
    <w:p>
      <w:pPr>
        <w:ind w:left="1180"/>
        <w:spacing w:after="0"/>
        <w:rPr>
          <w:sz w:val="20"/>
          <w:szCs w:val="20"/>
          <w:color w:val="auto"/>
        </w:rPr>
      </w:pPr>
      <w:r>
        <w:rPr>
          <w:rFonts w:ascii="Times New Roman" w:cs="Times New Roman" w:eastAsia="Times New Roman" w:hAnsi="Times New Roman"/>
          <w:sz w:val="14"/>
          <w:szCs w:val="14"/>
          <w:color w:val="auto"/>
        </w:rPr>
        <w:t>action that could be considered a bribe; (b) comply with all applicable Laws including those related to bribery and corruption (such as the U.S. Foreign Corrupt</w:t>
      </w:r>
    </w:p>
    <w:p>
      <w:pPr>
        <w:ind w:left="1180"/>
        <w:spacing w:after="0" w:line="229" w:lineRule="auto"/>
        <w:rPr>
          <w:sz w:val="20"/>
          <w:szCs w:val="20"/>
          <w:color w:val="auto"/>
        </w:rPr>
      </w:pPr>
      <w:r>
        <w:rPr>
          <w:rFonts w:ascii="Times New Roman" w:cs="Times New Roman" w:eastAsia="Times New Roman" w:hAnsi="Times New Roman"/>
          <w:sz w:val="14"/>
          <w:szCs w:val="14"/>
          <w:color w:val="auto"/>
        </w:rPr>
        <w:t>Practices Act and UK Bribery Act); (c) comply with industry standards; (d) comply with all policies and guidelines (and any updates to the same) referenced or included in this Agreement or otherwise provided in written form (including electronically) during the Term to such Party by the other Party; and (e) ensure it has</w:t>
      </w:r>
    </w:p>
    <w:p>
      <w:pPr>
        <w:ind w:left="1180"/>
        <w:spacing w:after="0" w:line="224" w:lineRule="auto"/>
        <w:rPr>
          <w:sz w:val="20"/>
          <w:szCs w:val="20"/>
          <w:color w:val="auto"/>
        </w:rPr>
      </w:pPr>
      <w:r>
        <w:rPr>
          <w:rFonts w:ascii="Times New Roman" w:cs="Times New Roman" w:eastAsia="Times New Roman" w:hAnsi="Times New Roman"/>
          <w:sz w:val="16"/>
          <w:szCs w:val="16"/>
          <w:color w:val="auto"/>
        </w:rPr>
        <w:t>an appropriate (with respect to its size, scope of operations and nature of business activities) and effective ethics, risk and compliance organization and systems/policies in place designed to promote ethical business practices.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280"/>
          </w:cols>
          <w:pgMar w:left="300" w:top="123" w:right="319" w:bottom="1440" w:gutter="0" w:footer="0" w:header="0"/>
        </w:sectPr>
      </w:pPr>
    </w:p>
    <w:bookmarkStart w:id="185" w:name="page186"/>
    <w:bookmarkEnd w:id="185"/>
    <w:p>
      <w:pPr>
        <w:ind w:left="2360" w:right="360" w:hanging="2360"/>
        <w:spacing w:after="0" w:line="290" w:lineRule="auto"/>
        <w:tabs>
          <w:tab w:leader="none" w:pos="336" w:val="left"/>
        </w:tabs>
        <w:numPr>
          <w:ilvl w:val="0"/>
          <w:numId w:val="1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820" w:hanging="661"/>
        <w:spacing w:after="0" w:line="227" w:lineRule="auto"/>
        <w:tabs>
          <w:tab w:leader="none" w:pos="800" w:val="left"/>
        </w:tabs>
        <w:rPr>
          <w:sz w:val="20"/>
          <w:szCs w:val="20"/>
          <w:color w:val="auto"/>
        </w:rPr>
      </w:pPr>
      <w:r>
        <w:rPr>
          <w:rFonts w:ascii="Times New Roman" w:cs="Times New Roman" w:eastAsia="Times New Roman" w:hAnsi="Times New Roman"/>
          <w:sz w:val="16"/>
          <w:szCs w:val="16"/>
          <w:color w:val="auto"/>
        </w:rPr>
        <w:t>10.6.4.</w:t>
      </w:r>
      <w:r>
        <w:rPr>
          <w:sz w:val="20"/>
          <w:szCs w:val="20"/>
          <w:color w:val="auto"/>
        </w:rPr>
        <w:tab/>
      </w:r>
      <w:r>
        <w:rPr>
          <w:rFonts w:ascii="Times New Roman" w:cs="Times New Roman" w:eastAsia="Times New Roman" w:hAnsi="Times New Roman"/>
          <w:sz w:val="16"/>
          <w:szCs w:val="16"/>
          <w:b w:val="1"/>
          <w:bCs w:val="1"/>
          <w:color w:val="auto"/>
        </w:rPr>
        <w:t>[***]; Encumbrances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Neither Arrowhead nor any of its Affiliates will permit, nor allow to be levied, any lien, encumbrance, charge, mortgage, liability,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security interest on any Arrowhead Technology in a manner that would reasonably be expected to adversely affect the rights granted to Novartis under this Agreement.</w:t>
      </w:r>
    </w:p>
    <w:p>
      <w:pPr>
        <w:spacing w:after="0" w:line="115" w:lineRule="exact"/>
        <w:rPr>
          <w:sz w:val="20"/>
          <w:szCs w:val="20"/>
          <w:color w:val="auto"/>
        </w:rPr>
      </w:pPr>
    </w:p>
    <w:p>
      <w:pPr>
        <w:jc w:val="both"/>
        <w:ind w:left="820" w:hanging="661"/>
        <w:spacing w:after="0" w:line="227" w:lineRule="auto"/>
        <w:tabs>
          <w:tab w:leader="none" w:pos="800" w:val="left"/>
        </w:tabs>
        <w:rPr>
          <w:sz w:val="20"/>
          <w:szCs w:val="20"/>
          <w:color w:val="auto"/>
        </w:rPr>
      </w:pPr>
      <w:r>
        <w:rPr>
          <w:rFonts w:ascii="Times New Roman" w:cs="Times New Roman" w:eastAsia="Times New Roman" w:hAnsi="Times New Roman"/>
          <w:sz w:val="16"/>
          <w:szCs w:val="16"/>
          <w:color w:val="auto"/>
        </w:rPr>
        <w:t>10.6.5.</w:t>
      </w:r>
      <w:r>
        <w:rPr>
          <w:sz w:val="20"/>
          <w:szCs w:val="20"/>
          <w:color w:val="auto"/>
        </w:rPr>
        <w:tab/>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Each Party will make any and all payments owing by such Party or any of its Affiliates to any inventor of, in the case of Arrowhead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and its Affiliates, any Arrowhead Technology and, in the case of Novartis and its Affiliates, any Novartis Licensed Technology, in each case, that is required in connection with the creation or exploitation of or transfer of rights thereto;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10.6.6.</w:t>
      </w:r>
      <w:r>
        <w:rPr>
          <w:sz w:val="20"/>
          <w:szCs w:val="20"/>
          <w:color w:val="auto"/>
        </w:rPr>
        <w:tab/>
      </w:r>
      <w:r>
        <w:rPr>
          <w:rFonts w:ascii="Times New Roman" w:cs="Times New Roman" w:eastAsia="Times New Roman" w:hAnsi="Times New Roman"/>
          <w:sz w:val="14"/>
          <w:szCs w:val="14"/>
          <w:b w:val="1"/>
          <w:bCs w:val="1"/>
          <w:color w:val="auto"/>
        </w:rPr>
        <w:t>No Conflicts</w:t>
      </w:r>
      <w:r>
        <w:rPr>
          <w:rFonts w:ascii="Times New Roman" w:cs="Times New Roman" w:eastAsia="Times New Roman" w:hAnsi="Times New Roman"/>
          <w:sz w:val="14"/>
          <w:szCs w:val="14"/>
          <w:color w:val="auto"/>
        </w:rPr>
        <w:t>. During the Term, Arrowhead will not enter into any agreement with any Third Party that is in conflict with or could otherwise adversely affect the</w:t>
      </w:r>
    </w:p>
    <w:p>
      <w:pPr>
        <w:spacing w:after="0" w:line="2"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 xml:space="preserve">rights granted to Novartis under this Agreement and will not take any action that would prevent it from granting the rights granted to Novartis under this Agreement or that would otherwise materially conflict with or adversely affect the rights granted to Novartis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w:t>
      </w:r>
    </w:p>
    <w:p>
      <w:pPr>
        <w:ind w:left="820"/>
        <w:spacing w:after="0" w:line="237" w:lineRule="auto"/>
        <w:rPr>
          <w:sz w:val="20"/>
          <w:szCs w:val="20"/>
          <w:color w:val="auto"/>
        </w:rPr>
      </w:pPr>
      <w:r>
        <w:rPr>
          <w:rFonts w:ascii="Times New Roman" w:cs="Times New Roman" w:eastAsia="Times New Roman" w:hAnsi="Times New Roman"/>
          <w:sz w:val="14"/>
          <w:szCs w:val="14"/>
          <w:color w:val="auto"/>
        </w:rPr>
        <w:t>foregoing will not prevent Arrowhead from entering into any collaboration, license, or other arrangement with a Third Party that includes Arrowhead using its</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platforms and other proprietary technology to Research, Develop, Manufacture, Commercialize, or otherwise Exploit compounds and products Directed To any CNS Target or any Cardiomyocyte Target, in each case, that is not a Collaboration Target under a CT Program. During the Term, each Party will not, and will</w:t>
      </w:r>
    </w:p>
    <w:p>
      <w:pPr>
        <w:ind w:left="820"/>
        <w:spacing w:after="0" w:line="237" w:lineRule="auto"/>
        <w:rPr>
          <w:sz w:val="20"/>
          <w:szCs w:val="20"/>
          <w:color w:val="auto"/>
        </w:rPr>
      </w:pPr>
      <w:r>
        <w:rPr>
          <w:rFonts w:ascii="Times New Roman" w:cs="Times New Roman" w:eastAsia="Times New Roman" w:hAnsi="Times New Roman"/>
          <w:sz w:val="14"/>
          <w:szCs w:val="14"/>
          <w:color w:val="auto"/>
        </w:rPr>
        <w:t>cause its Affiliates not to, enter into any agreement (or amend any agreement that such Party or its Affiliate is a party to as of the Effective Date) granting any</w:t>
      </w:r>
    </w:p>
    <w:p>
      <w:pPr>
        <w:spacing w:after="0" w:line="1" w:lineRule="exact"/>
        <w:rPr>
          <w:sz w:val="20"/>
          <w:szCs w:val="20"/>
          <w:color w:val="auto"/>
        </w:rPr>
      </w:pPr>
    </w:p>
    <w:p>
      <w:pPr>
        <w:ind w:left="820"/>
        <w:spacing w:after="0" w:line="229" w:lineRule="auto"/>
        <w:rPr>
          <w:sz w:val="20"/>
          <w:szCs w:val="20"/>
          <w:color w:val="auto"/>
        </w:rPr>
      </w:pPr>
      <w:r>
        <w:rPr>
          <w:rFonts w:ascii="Times New Roman" w:cs="Times New Roman" w:eastAsia="Times New Roman" w:hAnsi="Times New Roman"/>
          <w:sz w:val="14"/>
          <w:szCs w:val="14"/>
          <w:color w:val="auto"/>
        </w:rPr>
        <w:t>license or other right in, to or under (a) such Party’s interest in the Joint Arising Technology and (b) if such Party is Novartis, the Novartis Arising Technology, in each case ((a) and (b)), that would prevent it from granting the rights granted to the other Party under this Agreement or that would otherwise conflict with or</w:t>
      </w:r>
    </w:p>
    <w:p>
      <w:pPr>
        <w:ind w:left="820"/>
        <w:spacing w:after="0" w:line="224" w:lineRule="auto"/>
        <w:rPr>
          <w:sz w:val="20"/>
          <w:szCs w:val="20"/>
          <w:color w:val="auto"/>
        </w:rPr>
      </w:pPr>
      <w:r>
        <w:rPr>
          <w:rFonts w:ascii="Times New Roman" w:cs="Times New Roman" w:eastAsia="Times New Roman" w:hAnsi="Times New Roman"/>
          <w:sz w:val="16"/>
          <w:szCs w:val="16"/>
          <w:color w:val="auto"/>
        </w:rPr>
        <w:t>adversely affect the rights granted to the other Party under this Agreement. Arrowhead will not, and will cause its Affiliates not to, enter into any agreement that would impose additional obligations or liabilities on Novartis without Novartis’ prior written consent.</w:t>
      </w:r>
    </w:p>
    <w:p>
      <w:pPr>
        <w:spacing w:after="0" w:line="114" w:lineRule="exact"/>
        <w:rPr>
          <w:sz w:val="20"/>
          <w:szCs w:val="20"/>
          <w:color w:val="auto"/>
        </w:rPr>
      </w:pPr>
    </w:p>
    <w:p>
      <w:pPr>
        <w:jc w:val="both"/>
        <w:ind w:left="820" w:hanging="661"/>
        <w:spacing w:after="0" w:line="227" w:lineRule="auto"/>
        <w:tabs>
          <w:tab w:leader="none" w:pos="800" w:val="left"/>
        </w:tabs>
        <w:rPr>
          <w:sz w:val="20"/>
          <w:szCs w:val="20"/>
          <w:color w:val="auto"/>
        </w:rPr>
      </w:pPr>
      <w:r>
        <w:rPr>
          <w:rFonts w:ascii="Times New Roman" w:cs="Times New Roman" w:eastAsia="Times New Roman" w:hAnsi="Times New Roman"/>
          <w:sz w:val="16"/>
          <w:szCs w:val="16"/>
          <w:color w:val="auto"/>
        </w:rPr>
        <w:t>10.6.7.</w:t>
      </w:r>
      <w:r>
        <w:rPr>
          <w:sz w:val="20"/>
          <w:szCs w:val="20"/>
          <w:color w:val="auto"/>
        </w:rPr>
        <w:tab/>
      </w:r>
      <w:r>
        <w:rPr>
          <w:rFonts w:ascii="Times New Roman" w:cs="Times New Roman" w:eastAsia="Times New Roman" w:hAnsi="Times New Roman"/>
          <w:sz w:val="16"/>
          <w:szCs w:val="16"/>
          <w:b w:val="1"/>
          <w:bCs w:val="1"/>
          <w:color w:val="auto"/>
        </w:rPr>
        <w:t>Export Controls</w:t>
      </w:r>
      <w:r>
        <w:rPr>
          <w:rFonts w:ascii="Times New Roman" w:cs="Times New Roman" w:eastAsia="Times New Roman" w:hAnsi="Times New Roman"/>
          <w:sz w:val="16"/>
          <w:szCs w:val="16"/>
          <w:color w:val="auto"/>
        </w:rPr>
        <w:t>. Novartis will not, and will ensure that its Affiliates and Sublicensees will not, export, transfer, or sell any Licensed Product (a) to any country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territory that is subject to comprehensive economic sanctions administered by OFAC, (b) to any other country or territory in which such activity would violate applicable Laws in the U.S., (c) to any Restricted Party, or (d) in such a manner that would violate the Global Trade Control Laws.</w:t>
      </w:r>
    </w:p>
    <w:p>
      <w:pPr>
        <w:spacing w:after="0" w:line="115"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10.6.8.</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820" w:hanging="661"/>
        <w:spacing w:after="0" w:line="237" w:lineRule="auto"/>
        <w:tabs>
          <w:tab w:leader="none" w:pos="800" w:val="left"/>
        </w:tabs>
        <w:rPr>
          <w:sz w:val="20"/>
          <w:szCs w:val="20"/>
          <w:color w:val="auto"/>
        </w:rPr>
      </w:pPr>
      <w:r>
        <w:rPr>
          <w:rFonts w:ascii="Times New Roman" w:cs="Times New Roman" w:eastAsia="Times New Roman" w:hAnsi="Times New Roman"/>
          <w:sz w:val="16"/>
          <w:szCs w:val="16"/>
          <w:color w:val="auto"/>
        </w:rPr>
        <w:t>10.6.9.</w:t>
      </w:r>
      <w:r>
        <w:rPr>
          <w:sz w:val="20"/>
          <w:szCs w:val="20"/>
          <w:color w:val="auto"/>
        </w:rPr>
        <w:tab/>
      </w:r>
      <w:r>
        <w:rPr>
          <w:rFonts w:ascii="Times New Roman" w:cs="Times New Roman" w:eastAsia="Times New Roman" w:hAnsi="Times New Roman"/>
          <w:sz w:val="16"/>
          <w:szCs w:val="16"/>
          <w:b w:val="1"/>
          <w:bCs w:val="1"/>
          <w:color w:val="auto"/>
        </w:rPr>
        <w:t>No Reverse Engineering</w:t>
      </w:r>
      <w:r>
        <w:rPr>
          <w:rFonts w:ascii="Times New Roman" w:cs="Times New Roman" w:eastAsia="Times New Roman" w:hAnsi="Times New Roman"/>
          <w:sz w:val="16"/>
          <w:szCs w:val="16"/>
          <w:color w:val="auto"/>
        </w:rPr>
        <w:t>. Novartis will not, and will ensure that its Affiliates and Novartis’ and any of its Affiliates’ Subcontractors and Sublicensees will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reverse engineer, sequence, analyze, disassemble, modify or create derivative works of the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6"/>
          <w:szCs w:val="16"/>
          <w:color w:val="auto"/>
        </w:rPr>
        <w:t>10.6.10.</w:t>
      </w:r>
      <w:r>
        <w:rPr>
          <w:sz w:val="20"/>
          <w:szCs w:val="20"/>
          <w:color w:val="auto"/>
        </w:rPr>
        <w:tab/>
      </w:r>
      <w:r>
        <w:rPr>
          <w:rFonts w:ascii="Times New Roman" w:cs="Times New Roman" w:eastAsia="Times New Roman" w:hAnsi="Times New Roman"/>
          <w:sz w:val="14"/>
          <w:szCs w:val="14"/>
          <w:b w:val="1"/>
          <w:bCs w:val="1"/>
          <w:color w:val="auto"/>
        </w:rPr>
        <w:t>SCA</w:t>
      </w:r>
      <w:r>
        <w:rPr>
          <w:rFonts w:ascii="Times New Roman" w:cs="Times New Roman" w:eastAsia="Times New Roman" w:hAnsi="Times New Roman"/>
          <w:sz w:val="14"/>
          <w:szCs w:val="14"/>
          <w:color w:val="auto"/>
        </w:rPr>
        <w:t>. During the 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Novartis will not, and will ensure that its Affiliates and Novartis’ and any of its Affiliates’ Sublicensees will not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16"/>
          <w:szCs w:val="16"/>
          <w:color w:val="auto"/>
        </w:rPr>
        <w:t>10.6.11.</w:t>
      </w:r>
      <w:r>
        <w:rPr>
          <w:sz w:val="20"/>
          <w:szCs w:val="20"/>
          <w:color w:val="auto"/>
        </w:rPr>
        <w:tab/>
      </w:r>
      <w:r>
        <w:rPr>
          <w:rFonts w:ascii="Times New Roman" w:cs="Times New Roman" w:eastAsia="Times New Roman" w:hAnsi="Times New Roman"/>
          <w:sz w:val="14"/>
          <w:szCs w:val="14"/>
          <w:b w:val="1"/>
          <w:bCs w:val="1"/>
          <w:color w:val="auto"/>
        </w:rPr>
        <w:t>Pre-Existing Third Party Agreements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ind w:left="1320" w:hanging="504"/>
        <w:spacing w:after="0" w:line="229" w:lineRule="auto"/>
        <w:tabs>
          <w:tab w:leader="none" w:pos="131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Arrowhead and its Affiliates will (i) not breach or be in default under any of its obligations under any Pre-Existing Third Party Agreement, in either case, in a manner that would reasonably be expected to give the applicable counterparty</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920"/>
          </w:cols>
          <w:pgMar w:left="660" w:top="123" w:right="319" w:bottom="1440" w:gutter="0" w:footer="0" w:header="0"/>
        </w:sectPr>
      </w:pPr>
    </w:p>
    <w:bookmarkStart w:id="186" w:name="page187"/>
    <w:bookmarkEnd w:id="186"/>
    <w:p>
      <w:pPr>
        <w:ind w:left="2720" w:right="360" w:hanging="2360"/>
        <w:spacing w:after="0" w:line="290" w:lineRule="auto"/>
        <w:tabs>
          <w:tab w:leader="none" w:pos="696" w:val="left"/>
        </w:tabs>
        <w:numPr>
          <w:ilvl w:val="0"/>
          <w:numId w:val="1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spacing w:after="0" w:line="250" w:lineRule="auto"/>
        <w:rPr>
          <w:sz w:val="20"/>
          <w:szCs w:val="20"/>
          <w:color w:val="auto"/>
        </w:rPr>
      </w:pPr>
      <w:r>
        <w:rPr>
          <w:rFonts w:ascii="Times New Roman" w:cs="Times New Roman" w:eastAsia="Times New Roman" w:hAnsi="Times New Roman"/>
          <w:sz w:val="14"/>
          <w:szCs w:val="14"/>
          <w:color w:val="auto"/>
        </w:rPr>
        <w:t>thereto a right to terminate or otherwise alter (in a manner materially adverse to Novartis or any of its Affiliates or their respective Sublicensees) such Pre-Existing Third Party Agreement or otherwise diminish the scope or exclusivity of the sublicenses granted to Novartis under applicable Arrowhead</w:t>
      </w:r>
    </w:p>
    <w:p>
      <w:pPr>
        <w:spacing w:after="0" w:line="1" w:lineRule="exact"/>
        <w:rPr>
          <w:sz w:val="20"/>
          <w:szCs w:val="20"/>
          <w:color w:val="auto"/>
        </w:rPr>
      </w:pPr>
    </w:p>
    <w:p>
      <w:pPr>
        <w:ind w:left="1680"/>
        <w:spacing w:after="0" w:line="229" w:lineRule="auto"/>
        <w:rPr>
          <w:sz w:val="20"/>
          <w:szCs w:val="20"/>
          <w:color w:val="auto"/>
        </w:rPr>
      </w:pPr>
      <w:r>
        <w:rPr>
          <w:rFonts w:ascii="Times New Roman" w:cs="Times New Roman" w:eastAsia="Times New Roman" w:hAnsi="Times New Roman"/>
          <w:sz w:val="14"/>
          <w:szCs w:val="14"/>
          <w:color w:val="auto"/>
        </w:rPr>
        <w:t>Technology, (ii) satisfy all of its obligations under each Pre-Existing Third Party Agreements, including any obligations arising due to the execution of, or activities under, this Agreement, the breach of which would give the applicable counterparty thereto a right to terminate such Pre-Existing Third Party</w:t>
      </w:r>
    </w:p>
    <w:p>
      <w:pPr>
        <w:ind w:left="1680"/>
        <w:spacing w:after="0" w:line="237" w:lineRule="auto"/>
        <w:rPr>
          <w:sz w:val="20"/>
          <w:szCs w:val="20"/>
          <w:color w:val="auto"/>
        </w:rPr>
      </w:pPr>
      <w:r>
        <w:rPr>
          <w:rFonts w:ascii="Times New Roman" w:cs="Times New Roman" w:eastAsia="Times New Roman" w:hAnsi="Times New Roman"/>
          <w:sz w:val="14"/>
          <w:szCs w:val="14"/>
          <w:color w:val="auto"/>
        </w:rPr>
        <w:t>Agreement, (iii) not do any other act or make any other omission that could give rise to a termination right of any other party to any Pre-Existing Third</w:t>
      </w:r>
    </w:p>
    <w:p>
      <w:pPr>
        <w:spacing w:after="0" w:line="1" w:lineRule="exact"/>
        <w:rPr>
          <w:sz w:val="20"/>
          <w:szCs w:val="20"/>
          <w:color w:val="auto"/>
        </w:rPr>
      </w:pPr>
    </w:p>
    <w:p>
      <w:pPr>
        <w:ind w:left="1680"/>
        <w:spacing w:after="0" w:line="217" w:lineRule="auto"/>
        <w:rPr>
          <w:sz w:val="20"/>
          <w:szCs w:val="20"/>
          <w:color w:val="auto"/>
        </w:rPr>
      </w:pPr>
      <w:r>
        <w:rPr>
          <w:rFonts w:ascii="Times New Roman" w:cs="Times New Roman" w:eastAsia="Times New Roman" w:hAnsi="Times New Roman"/>
          <w:sz w:val="16"/>
          <w:szCs w:val="16"/>
          <w:color w:val="auto"/>
        </w:rPr>
        <w:t>Party Agreement, and (iv) not terminate any Pre-Existing Third Party Agreement, or amend or waive any provision thereof without Novartis’ prior written consent, which consent will not be unreasonably withheld, conditioned or delayed.</w:t>
      </w:r>
    </w:p>
    <w:p>
      <w:pPr>
        <w:spacing w:after="0" w:line="127" w:lineRule="exact"/>
        <w:rPr>
          <w:sz w:val="20"/>
          <w:szCs w:val="20"/>
          <w:color w:val="auto"/>
        </w:rPr>
      </w:pPr>
    </w:p>
    <w:p>
      <w:pPr>
        <w:jc w:val="both"/>
        <w:ind w:left="1680" w:hanging="504"/>
        <w:spacing w:after="0" w:line="218" w:lineRule="auto"/>
        <w:tabs>
          <w:tab w:leader="none" w:pos="167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the licensor in any Pre-Existing Third Party Agreement has retained any right to enforce, defend, prosecute, or maintain any Arrowhead Technology or otherwise be involved in such activities pursuant to the Pre-Existing Third Party Agreement, Arrowhead and its Affiliates will use commercially reasonable efforts to cause such licensor to take actions (or refrain from taking action, as applicable) consistent with Article 12 (Intellectual Property).</w:t>
      </w:r>
    </w:p>
    <w:p>
      <w:pPr>
        <w:spacing w:after="0" w:line="116" w:lineRule="exact"/>
        <w:rPr>
          <w:rFonts w:ascii="Times New Roman" w:cs="Times New Roman" w:eastAsia="Times New Roman" w:hAnsi="Times New Roman"/>
          <w:sz w:val="16"/>
          <w:szCs w:val="16"/>
          <w:color w:val="auto"/>
        </w:rPr>
      </w:pPr>
    </w:p>
    <w:p>
      <w:pPr>
        <w:jc w:val="both"/>
        <w:ind w:left="1680" w:hanging="504"/>
        <w:spacing w:after="0" w:line="226" w:lineRule="auto"/>
        <w:tabs>
          <w:tab w:leader="none" w:pos="1672"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Arrowhead and its Affiliates will furnish Novartis with copies of all notices and correspondences that Arrowhead or any of its Affiliates receives in connection with any Pre-Existing Third Party Agreement the subject matter of which would materially and adversely affect Novartis’ rights or obligations under this Agreement within a reasonable period following Arrowhead’s or its Affiliates’ receipt of the same.</w:t>
      </w:r>
    </w:p>
    <w:p>
      <w:pPr>
        <w:spacing w:after="0" w:line="114" w:lineRule="exact"/>
        <w:rPr>
          <w:rFonts w:ascii="Times New Roman" w:cs="Times New Roman" w:eastAsia="Times New Roman" w:hAnsi="Times New Roman"/>
          <w:sz w:val="16"/>
          <w:szCs w:val="16"/>
          <w:color w:val="auto"/>
        </w:rPr>
      </w:pPr>
    </w:p>
    <w:p>
      <w:pPr>
        <w:ind w:left="500" w:hanging="495"/>
        <w:spacing w:after="0"/>
        <w:tabs>
          <w:tab w:leader="none" w:pos="500" w:val="left"/>
        </w:tabs>
        <w:numPr>
          <w:ilvl w:val="0"/>
          <w:numId w:val="1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INDEMNIFICATION; LIMITATION OF LIABILITY; INSURANCE</w:t>
      </w:r>
    </w:p>
    <w:p>
      <w:pPr>
        <w:spacing w:after="0" w:line="1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11.1.</w:t>
        <w:tab/>
        <w:t>Indemnification by Arrowhead</w:t>
      </w:r>
      <w:r>
        <w:rPr>
          <w:rFonts w:ascii="Times New Roman" w:cs="Times New Roman" w:eastAsia="Times New Roman" w:hAnsi="Times New Roman"/>
          <w:sz w:val="16"/>
          <w:szCs w:val="16"/>
          <w:color w:val="auto"/>
        </w:rPr>
        <w:t>. Arrowhead will indemnify, hold harmless, and defend Novartis, its Affiliates, and their respective directors, officers, employees, and</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agents (“</w:t>
      </w:r>
      <w:r>
        <w:rPr>
          <w:rFonts w:ascii="Times New Roman" w:cs="Times New Roman" w:eastAsia="Times New Roman" w:hAnsi="Times New Roman"/>
          <w:sz w:val="14"/>
          <w:szCs w:val="14"/>
          <w:b w:val="1"/>
          <w:bCs w:val="1"/>
          <w:color w:val="auto"/>
        </w:rPr>
        <w:t>Novartis Indemnitees</w:t>
      </w:r>
      <w:r>
        <w:rPr>
          <w:rFonts w:ascii="Times New Roman" w:cs="Times New Roman" w:eastAsia="Times New Roman" w:hAnsi="Times New Roman"/>
          <w:sz w:val="14"/>
          <w:szCs w:val="14"/>
          <w:color w:val="auto"/>
        </w:rPr>
        <w:t>”) from and against any and all losses, liabilities, damages, costs, fees, and expenses (including reasonable attorneys’ fees and litigation expenses) (collectively, “</w:t>
      </w:r>
      <w:r>
        <w:rPr>
          <w:rFonts w:ascii="Times New Roman" w:cs="Times New Roman" w:eastAsia="Times New Roman" w:hAnsi="Times New Roman"/>
          <w:sz w:val="14"/>
          <w:szCs w:val="14"/>
          <w:b w:val="1"/>
          <w:bCs w:val="1"/>
          <w:color w:val="auto"/>
        </w:rPr>
        <w:t>Losses</w:t>
      </w:r>
      <w:r>
        <w:rPr>
          <w:rFonts w:ascii="Times New Roman" w:cs="Times New Roman" w:eastAsia="Times New Roman" w:hAnsi="Times New Roman"/>
          <w:sz w:val="14"/>
          <w:szCs w:val="14"/>
          <w:color w:val="auto"/>
        </w:rPr>
        <w:t>”) incurred from any claims, suits, proceedings, or causes of action brought by a Third Party (collectively,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against such Novartis</w:t>
      </w:r>
    </w:p>
    <w:p>
      <w:pPr>
        <w:ind w:left="520"/>
        <w:spacing w:after="0" w:line="208" w:lineRule="auto"/>
        <w:rPr>
          <w:sz w:val="20"/>
          <w:szCs w:val="20"/>
          <w:color w:val="auto"/>
        </w:rPr>
      </w:pPr>
      <w:r>
        <w:rPr>
          <w:rFonts w:ascii="Times New Roman" w:cs="Times New Roman" w:eastAsia="Times New Roman" w:hAnsi="Times New Roman"/>
          <w:sz w:val="16"/>
          <w:szCs w:val="16"/>
          <w:color w:val="auto"/>
        </w:rPr>
        <w:t>Indemnitees to the extent arising out of or resulting from:</w:t>
      </w:r>
    </w:p>
    <w:p>
      <w:pPr>
        <w:jc w:val="both"/>
        <w:ind w:left="1160" w:hanging="661"/>
        <w:spacing w:after="0" w:line="217" w:lineRule="auto"/>
        <w:tabs>
          <w:tab w:leader="none" w:pos="1140" w:val="left"/>
        </w:tabs>
        <w:rPr>
          <w:sz w:val="20"/>
          <w:szCs w:val="20"/>
          <w:color w:val="auto"/>
        </w:rPr>
      </w:pPr>
      <w:r>
        <w:rPr>
          <w:rFonts w:ascii="Times New Roman" w:cs="Times New Roman" w:eastAsia="Times New Roman" w:hAnsi="Times New Roman"/>
          <w:sz w:val="16"/>
          <w:szCs w:val="16"/>
          <w:color w:val="auto"/>
        </w:rPr>
        <w:t>11.1.1.</w:t>
        <w:tab/>
        <w:t>any breach of any representation or warranty made by Arrowhead in this Agreement, or any breach or violation of any covenant or agreement of Arrowhead in this Agreement;</w:t>
      </w:r>
    </w:p>
    <w:p>
      <w:pPr>
        <w:spacing w:after="0" w:line="127" w:lineRule="exact"/>
        <w:rPr>
          <w:sz w:val="20"/>
          <w:szCs w:val="20"/>
          <w:color w:val="auto"/>
        </w:rPr>
      </w:pPr>
    </w:p>
    <w:p>
      <w:pPr>
        <w:jc w:val="both"/>
        <w:ind w:left="1160" w:hanging="661"/>
        <w:spacing w:after="0" w:line="235" w:lineRule="auto"/>
        <w:tabs>
          <w:tab w:leader="none" w:pos="1140" w:val="left"/>
        </w:tabs>
        <w:rPr>
          <w:sz w:val="20"/>
          <w:szCs w:val="20"/>
          <w:color w:val="auto"/>
        </w:rPr>
      </w:pPr>
      <w:r>
        <w:rPr>
          <w:rFonts w:ascii="Times New Roman" w:cs="Times New Roman" w:eastAsia="Times New Roman" w:hAnsi="Times New Roman"/>
          <w:sz w:val="16"/>
          <w:szCs w:val="16"/>
          <w:color w:val="auto"/>
        </w:rPr>
        <w:t>11.1.2.</w:t>
        <w:tab/>
        <w:t>the gross negligence or willful misconduct by or of Arrowhead or any of its Affiliates, or any of their respective directors, officers, employees, or agents in the performance of Arrowhead’s obligations or exercise of its rights under this Agreement; or</w:t>
      </w:r>
    </w:p>
    <w:p>
      <w:pPr>
        <w:spacing w:after="0" w:line="117" w:lineRule="exact"/>
        <w:rPr>
          <w:sz w:val="20"/>
          <w:szCs w:val="20"/>
          <w:color w:val="auto"/>
        </w:rPr>
      </w:pPr>
    </w:p>
    <w:p>
      <w:pPr>
        <w:jc w:val="both"/>
        <w:ind w:left="1160" w:hanging="661"/>
        <w:spacing w:after="0" w:line="226" w:lineRule="auto"/>
        <w:tabs>
          <w:tab w:leader="none" w:pos="1140" w:val="left"/>
        </w:tabs>
        <w:rPr>
          <w:sz w:val="20"/>
          <w:szCs w:val="20"/>
          <w:color w:val="auto"/>
        </w:rPr>
      </w:pPr>
      <w:r>
        <w:rPr>
          <w:rFonts w:ascii="Times New Roman" w:cs="Times New Roman" w:eastAsia="Times New Roman" w:hAnsi="Times New Roman"/>
          <w:sz w:val="16"/>
          <w:szCs w:val="16"/>
          <w:color w:val="auto"/>
        </w:rPr>
        <w:t>11.1.3.</w:t>
        <w:tab/>
        <w:t>the Exploitation of any Licensed Compound or Licensed Product, in each case, by or on behalf of Arrowhead or any of its Affiliates (excluding such conduct by or on behalf of Novartis or its Affiliates and its Sublicensees as licensees or sublicensees of Arrowhead hereunder), including the conduct of the SNCA Program Research Activities and the CT Program Research Activities.</w:t>
      </w:r>
    </w:p>
    <w:p>
      <w:pPr>
        <w:spacing w:after="0" w:line="127" w:lineRule="exact"/>
        <w:rPr>
          <w:sz w:val="20"/>
          <w:szCs w:val="20"/>
          <w:color w:val="auto"/>
        </w:rPr>
      </w:pPr>
    </w:p>
    <w:p>
      <w:pPr>
        <w:jc w:val="both"/>
        <w:ind w:left="520"/>
        <w:spacing w:after="0" w:line="273" w:lineRule="auto"/>
        <w:rPr>
          <w:sz w:val="20"/>
          <w:szCs w:val="20"/>
          <w:color w:val="auto"/>
        </w:rPr>
      </w:pPr>
      <w:r>
        <w:rPr>
          <w:rFonts w:ascii="Times New Roman" w:cs="Times New Roman" w:eastAsia="Times New Roman" w:hAnsi="Times New Roman"/>
          <w:sz w:val="16"/>
          <w:szCs w:val="16"/>
          <w:color w:val="auto"/>
        </w:rPr>
        <w:t>Notwithstanding the foregoing, Arrowhead will have no obligation to indemnify the Novartis Indemnitees to the extent that the Losses arise out of or result from matters described under Section 11.2 (Indemnification by Novartis).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280"/>
          </w:cols>
          <w:pgMar w:left="300" w:top="123" w:right="319" w:bottom="1440" w:gutter="0" w:footer="0" w:header="0"/>
        </w:sectPr>
      </w:pPr>
    </w:p>
    <w:bookmarkStart w:id="187" w:name="page188"/>
    <w:bookmarkEnd w:id="187"/>
    <w:p>
      <w:pPr>
        <w:ind w:left="2720" w:right="360" w:hanging="2360"/>
        <w:spacing w:after="0" w:line="290" w:lineRule="auto"/>
        <w:tabs>
          <w:tab w:leader="none" w:pos="696"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52" w:lineRule="auto"/>
        <w:rPr>
          <w:sz w:val="20"/>
          <w:szCs w:val="20"/>
          <w:color w:val="auto"/>
        </w:rPr>
      </w:pPr>
      <w:r>
        <w:rPr>
          <w:rFonts w:ascii="Times New Roman" w:cs="Times New Roman" w:eastAsia="Times New Roman" w:hAnsi="Times New Roman"/>
          <w:sz w:val="14"/>
          <w:szCs w:val="14"/>
          <w:b w:val="1"/>
          <w:bCs w:val="1"/>
          <w:color w:val="auto"/>
        </w:rPr>
        <w:t>11.2.  Indemnification by Novartis</w:t>
      </w:r>
      <w:r>
        <w:rPr>
          <w:rFonts w:ascii="Times New Roman" w:cs="Times New Roman" w:eastAsia="Times New Roman" w:hAnsi="Times New Roman"/>
          <w:sz w:val="14"/>
          <w:szCs w:val="14"/>
          <w:color w:val="auto"/>
        </w:rPr>
        <w:t>. Novartis will indemnify, hold harmless, and defend Arrowhead, its Affiliates, and their respective directors, officers, employees, and agents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Arrowhead Indemnitees</w:t>
      </w:r>
      <w:r>
        <w:rPr>
          <w:rFonts w:ascii="Times New Roman" w:cs="Times New Roman" w:eastAsia="Times New Roman" w:hAnsi="Times New Roman"/>
          <w:sz w:val="14"/>
          <w:szCs w:val="14"/>
          <w:color w:val="auto"/>
        </w:rPr>
        <w:t>”) from and against any and all Losses incurred from any Claims against such Arrowhead Indemnitees to the extent arising out of or resulting</w:t>
      </w:r>
    </w:p>
    <w:p>
      <w:pPr>
        <w:ind w:left="520"/>
        <w:spacing w:after="0" w:line="194" w:lineRule="auto"/>
        <w:rPr>
          <w:sz w:val="20"/>
          <w:szCs w:val="20"/>
          <w:color w:val="auto"/>
        </w:rPr>
      </w:pPr>
      <w:r>
        <w:rPr>
          <w:rFonts w:ascii="Times New Roman" w:cs="Times New Roman" w:eastAsia="Times New Roman" w:hAnsi="Times New Roman"/>
          <w:sz w:val="16"/>
          <w:szCs w:val="16"/>
          <w:color w:val="auto"/>
        </w:rPr>
        <w:t>from:</w:t>
      </w:r>
    </w:p>
    <w:p>
      <w:pPr>
        <w:ind w:left="1160" w:hanging="661"/>
        <w:spacing w:after="0" w:line="224" w:lineRule="auto"/>
        <w:tabs>
          <w:tab w:leader="none" w:pos="1140" w:val="left"/>
        </w:tabs>
        <w:rPr>
          <w:sz w:val="20"/>
          <w:szCs w:val="20"/>
          <w:color w:val="auto"/>
        </w:rPr>
      </w:pPr>
      <w:r>
        <w:rPr>
          <w:rFonts w:ascii="Times New Roman" w:cs="Times New Roman" w:eastAsia="Times New Roman" w:hAnsi="Times New Roman"/>
          <w:sz w:val="16"/>
          <w:szCs w:val="16"/>
          <w:color w:val="auto"/>
        </w:rPr>
        <w:t>11.2.1.</w:t>
        <w:tab/>
        <w:t>any breach of any representation or warranty made by Novartis in this Agreement, or any breach or violation of any covenant or agreement of Novartis in this Agreement;</w:t>
      </w:r>
    </w:p>
    <w:p>
      <w:pPr>
        <w:spacing w:after="0" w:line="127" w:lineRule="exact"/>
        <w:rPr>
          <w:sz w:val="20"/>
          <w:szCs w:val="20"/>
          <w:color w:val="auto"/>
        </w:rPr>
      </w:pPr>
    </w:p>
    <w:p>
      <w:pPr>
        <w:ind w:left="1160" w:hanging="661"/>
        <w:spacing w:after="0" w:line="229" w:lineRule="auto"/>
        <w:tabs>
          <w:tab w:leader="none" w:pos="1140" w:val="left"/>
        </w:tabs>
        <w:rPr>
          <w:sz w:val="20"/>
          <w:szCs w:val="20"/>
          <w:color w:val="auto"/>
        </w:rPr>
      </w:pPr>
      <w:r>
        <w:rPr>
          <w:rFonts w:ascii="Times New Roman" w:cs="Times New Roman" w:eastAsia="Times New Roman" w:hAnsi="Times New Roman"/>
          <w:sz w:val="16"/>
          <w:szCs w:val="16"/>
          <w:color w:val="auto"/>
        </w:rPr>
        <w:t>11.2.2.</w:t>
        <w:tab/>
        <w:t>the gross negligence or willful misconduct by or of Novartis or any of its Affiliates or Sublicensees, or any of their respective directors, officers, employees, or agents in the performance of Novartis’ obligations or exercise of its rights under this Agreement; or</w:t>
      </w:r>
    </w:p>
    <w:p>
      <w:pPr>
        <w:spacing w:after="0" w:line="126"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11.2.3.</w:t>
      </w:r>
      <w:r>
        <w:rPr>
          <w:sz w:val="20"/>
          <w:szCs w:val="20"/>
          <w:color w:val="auto"/>
        </w:rPr>
        <w:tab/>
      </w:r>
      <w:r>
        <w:rPr>
          <w:rFonts w:ascii="Times New Roman" w:cs="Times New Roman" w:eastAsia="Times New Roman" w:hAnsi="Times New Roman"/>
          <w:sz w:val="14"/>
          <w:szCs w:val="14"/>
          <w:color w:val="auto"/>
        </w:rPr>
        <w:t>the Exploitation of any Licensed Compound or Licensed Product, in each case, by or on behalf of Novartis or any of its Affiliates or Sublicensees.</w:t>
      </w:r>
    </w:p>
    <w:p>
      <w:pPr>
        <w:spacing w:after="0" w:line="145" w:lineRule="exact"/>
        <w:rPr>
          <w:sz w:val="20"/>
          <w:szCs w:val="20"/>
          <w:color w:val="auto"/>
        </w:rPr>
      </w:pPr>
    </w:p>
    <w:p>
      <w:pPr>
        <w:ind w:left="520"/>
        <w:spacing w:after="0" w:line="273" w:lineRule="auto"/>
        <w:rPr>
          <w:sz w:val="20"/>
          <w:szCs w:val="20"/>
          <w:color w:val="auto"/>
        </w:rPr>
      </w:pPr>
      <w:r>
        <w:rPr>
          <w:rFonts w:ascii="Times New Roman" w:cs="Times New Roman" w:eastAsia="Times New Roman" w:hAnsi="Times New Roman"/>
          <w:sz w:val="16"/>
          <w:szCs w:val="16"/>
          <w:color w:val="auto"/>
        </w:rPr>
        <w:t>Notwithstanding the foregoing, Novartis will have no obligation to indemnify the Arrowhead Indemnitees to the extent that the Losses arise out of or result from matters described under Section 11.1 (Indemnification by Arrowhead).</w:t>
      </w:r>
    </w:p>
    <w:p>
      <w:pPr>
        <w:spacing w:after="0" w:line="10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11.3.</w:t>
      </w:r>
      <w:r>
        <w:rPr>
          <w:sz w:val="20"/>
          <w:szCs w:val="20"/>
          <w:color w:val="auto"/>
        </w:rPr>
        <w:tab/>
      </w:r>
      <w:r>
        <w:rPr>
          <w:rFonts w:ascii="Times New Roman" w:cs="Times New Roman" w:eastAsia="Times New Roman" w:hAnsi="Times New Roman"/>
          <w:sz w:val="14"/>
          <w:szCs w:val="14"/>
          <w:b w:val="1"/>
          <w:bCs w:val="1"/>
          <w:color w:val="auto"/>
        </w:rPr>
        <w:t>Indemnification Procedure</w:t>
      </w:r>
      <w:r>
        <w:rPr>
          <w:rFonts w:ascii="Times New Roman" w:cs="Times New Roman" w:eastAsia="Times New Roman" w:hAnsi="Times New Roman"/>
          <w:sz w:val="14"/>
          <w:szCs w:val="14"/>
          <w:color w:val="auto"/>
        </w:rPr>
        <w:t>.</w:t>
      </w:r>
    </w:p>
    <w:p>
      <w:pPr>
        <w:jc w:val="right"/>
        <w:ind w:left="520"/>
        <w:spacing w:after="0" w:line="207" w:lineRule="auto"/>
        <w:rPr>
          <w:sz w:val="20"/>
          <w:szCs w:val="20"/>
          <w:color w:val="auto"/>
        </w:rPr>
      </w:pPr>
      <w:r>
        <w:rPr>
          <w:rFonts w:ascii="Times New Roman" w:cs="Times New Roman" w:eastAsia="Times New Roman" w:hAnsi="Times New Roman"/>
          <w:sz w:val="16"/>
          <w:szCs w:val="16"/>
          <w:color w:val="auto"/>
        </w:rPr>
        <w:t xml:space="preserve">11.3.1.   </w:t>
      </w: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The Party entitled to indemnification under this Article 11 (Indemnification; Limitation of Liability; Insurance) (an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will notify the Party responsible for such indemnification (the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xml:space="preserve">”) in writing promptly (and in any event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upon being notified of or</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having knowledge of any claim or claims asserted or threatened against the Indemnified Party that could give rise to a right of indemnification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failure to give such notice will not relieve the Indemnifying Party of its indemnity obligation hereunder except to the extent that</w:t>
      </w:r>
    </w:p>
    <w:p>
      <w:pPr>
        <w:ind w:left="1180"/>
        <w:spacing w:after="0"/>
        <w:rPr>
          <w:sz w:val="20"/>
          <w:szCs w:val="20"/>
          <w:color w:val="auto"/>
        </w:rPr>
      </w:pPr>
      <w:r>
        <w:rPr>
          <w:rFonts w:ascii="Times New Roman" w:cs="Times New Roman" w:eastAsia="Times New Roman" w:hAnsi="Times New Roman"/>
          <w:sz w:val="16"/>
          <w:szCs w:val="16"/>
          <w:color w:val="auto"/>
        </w:rPr>
        <w:t>such failure materially prejudices the Indemnifying Party.</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11.3.2.   </w:t>
      </w:r>
      <w:r>
        <w:rPr>
          <w:rFonts w:ascii="Times New Roman" w:cs="Times New Roman" w:eastAsia="Times New Roman" w:hAnsi="Times New Roman"/>
          <w:sz w:val="16"/>
          <w:szCs w:val="16"/>
          <w:b w:val="1"/>
          <w:bCs w:val="1"/>
          <w:color w:val="auto"/>
        </w:rPr>
        <w:t>Indemnifying Party’s Right to Defend</w:t>
      </w:r>
      <w:r>
        <w:rPr>
          <w:rFonts w:ascii="Times New Roman" w:cs="Times New Roman" w:eastAsia="Times New Roman" w:hAnsi="Times New Roman"/>
          <w:sz w:val="16"/>
          <w:szCs w:val="16"/>
          <w:color w:val="auto"/>
        </w:rPr>
        <w:t xml:space="preserve">.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receipt of notice from the Indemnified Party of the claim, the Indemnifying Party will have the right to defend, at its sole cost and expense and with counsel reasonably selected by the Indemnifying Party, any such claim by all appropriate proceedings and, if it</w:t>
      </w:r>
    </w:p>
    <w:p>
      <w:pPr>
        <w:ind w:left="1180"/>
        <w:spacing w:after="0"/>
        <w:rPr>
          <w:sz w:val="20"/>
          <w:szCs w:val="20"/>
          <w:color w:val="auto"/>
        </w:rPr>
      </w:pPr>
      <w:r>
        <w:rPr>
          <w:rFonts w:ascii="Times New Roman" w:cs="Times New Roman" w:eastAsia="Times New Roman" w:hAnsi="Times New Roman"/>
          <w:sz w:val="14"/>
          <w:szCs w:val="14"/>
          <w:color w:val="auto"/>
        </w:rPr>
        <w:t xml:space="preserve">elects to do so, will provide written notice of such election to the Indemnified Party within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period;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Indemnifying Party may not enter</w:t>
      </w:r>
    </w:p>
    <w:p>
      <w:pPr>
        <w:ind w:left="1180"/>
        <w:spacing w:after="0" w:line="229" w:lineRule="auto"/>
        <w:rPr>
          <w:sz w:val="20"/>
          <w:szCs w:val="20"/>
          <w:color w:val="auto"/>
        </w:rPr>
      </w:pPr>
      <w:r>
        <w:rPr>
          <w:rFonts w:ascii="Times New Roman" w:cs="Times New Roman" w:eastAsia="Times New Roman" w:hAnsi="Times New Roman"/>
          <w:sz w:val="14"/>
          <w:szCs w:val="14"/>
          <w:color w:val="auto"/>
        </w:rPr>
        <w:t>into any compromise or settlement, unless (a) such compromise or settlement (i) imposes only a monetary obligation on the Indemnifying Party and includes as an unconditional term thereof the giving by each claimant or plaintiff of the Indemnified Party a release from all liability in respect of such claim, (ii) admits no</w:t>
      </w:r>
    </w:p>
    <w:p>
      <w:pPr>
        <w:ind w:left="1180"/>
        <w:spacing w:after="0" w:line="208" w:lineRule="auto"/>
        <w:rPr>
          <w:sz w:val="20"/>
          <w:szCs w:val="20"/>
          <w:color w:val="auto"/>
        </w:rPr>
      </w:pPr>
      <w:r>
        <w:rPr>
          <w:rFonts w:ascii="Times New Roman" w:cs="Times New Roman" w:eastAsia="Times New Roman" w:hAnsi="Times New Roman"/>
          <w:sz w:val="16"/>
          <w:szCs w:val="16"/>
          <w:color w:val="auto"/>
        </w:rPr>
        <w:t>liability, wrongdoing, or other admission against interest on the part of the Indemnified Party, and (iii) would not have an adverse effect on the Indemnified</w:t>
      </w:r>
    </w:p>
    <w:p>
      <w:pPr>
        <w:ind w:left="1180"/>
        <w:spacing w:after="0" w:line="229" w:lineRule="auto"/>
        <w:rPr>
          <w:sz w:val="20"/>
          <w:szCs w:val="20"/>
          <w:color w:val="auto"/>
        </w:rPr>
      </w:pPr>
      <w:r>
        <w:rPr>
          <w:rFonts w:ascii="Times New Roman" w:cs="Times New Roman" w:eastAsia="Times New Roman" w:hAnsi="Times New Roman"/>
          <w:sz w:val="14"/>
          <w:szCs w:val="14"/>
          <w:color w:val="auto"/>
        </w:rPr>
        <w:t>Party’s interests (including any rights under this Agreement or the scope or enforceability of the Patent Rights, Know-How and other intellectual property licensed hereunder); or (b) the Indemnified Party consents to such compromise or settlement, which consent will not be unreasonably withheld, conditioned or</w:t>
      </w:r>
    </w:p>
    <w:p>
      <w:pPr>
        <w:ind w:left="1180"/>
        <w:spacing w:after="0" w:line="208" w:lineRule="auto"/>
        <w:rPr>
          <w:sz w:val="20"/>
          <w:szCs w:val="20"/>
          <w:color w:val="auto"/>
        </w:rPr>
      </w:pPr>
      <w:r>
        <w:rPr>
          <w:rFonts w:ascii="Times New Roman" w:cs="Times New Roman" w:eastAsia="Times New Roman" w:hAnsi="Times New Roman"/>
          <w:sz w:val="16"/>
          <w:szCs w:val="16"/>
          <w:color w:val="auto"/>
        </w:rPr>
        <w:t>delayed unless such compromise or settlement involves (i) any admission of legal wrongdoing by the Indemnified Party, (ii) any payment by the Indemnified</w:t>
      </w:r>
    </w:p>
    <w:p>
      <w:pPr>
        <w:ind w:left="1180"/>
        <w:spacing w:after="0" w:line="217" w:lineRule="auto"/>
        <w:rPr>
          <w:sz w:val="20"/>
          <w:szCs w:val="20"/>
          <w:color w:val="auto"/>
        </w:rPr>
      </w:pPr>
      <w:r>
        <w:rPr>
          <w:rFonts w:ascii="Times New Roman" w:cs="Times New Roman" w:eastAsia="Times New Roman" w:hAnsi="Times New Roman"/>
          <w:sz w:val="16"/>
          <w:szCs w:val="16"/>
          <w:color w:val="auto"/>
        </w:rPr>
        <w:t>Party that is not indemnified under this Agreement, or (iii) the imposition of any equitable relief against the Indemnified Party (in which case, (i) through (iii), the Indemnified Party may withhold its consent to such settlement in its sole discretion).</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11.3.3.   </w:t>
      </w:r>
      <w:r>
        <w:rPr>
          <w:rFonts w:ascii="Times New Roman" w:cs="Times New Roman" w:eastAsia="Times New Roman" w:hAnsi="Times New Roman"/>
          <w:sz w:val="16"/>
          <w:szCs w:val="16"/>
          <w:b w:val="1"/>
          <w:bCs w:val="1"/>
          <w:color w:val="auto"/>
        </w:rPr>
        <w:t>Indemnified Party’s Right to Defend</w:t>
      </w:r>
      <w:r>
        <w:rPr>
          <w:rFonts w:ascii="Times New Roman" w:cs="Times New Roman" w:eastAsia="Times New Roman" w:hAnsi="Times New Roman"/>
          <w:sz w:val="16"/>
          <w:szCs w:val="16"/>
          <w:color w:val="auto"/>
        </w:rPr>
        <w:t>. If the Indemnifying Party does not elect to assume control of the defense of a claim by written notice to the Indemnified Party in accordance with Section 11.3.2 (Indemnifying Party’s Right to Defend), then the Indemnified Party will have the right, at the expense of the</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Indemnifying Party, with</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280"/>
          </w:cols>
          <w:pgMar w:left="300" w:top="123" w:right="319" w:bottom="1440" w:gutter="0" w:footer="0" w:header="0"/>
        </w:sectPr>
      </w:pPr>
    </w:p>
    <w:bookmarkStart w:id="188" w:name="page189"/>
    <w:bookmarkEnd w:id="188"/>
    <w:p>
      <w:pPr>
        <w:ind w:left="2720" w:right="360" w:hanging="2360"/>
        <w:spacing w:after="0" w:line="290" w:lineRule="auto"/>
        <w:tabs>
          <w:tab w:leader="none" w:pos="696"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50" w:lineRule="auto"/>
        <w:rPr>
          <w:sz w:val="20"/>
          <w:szCs w:val="20"/>
          <w:color w:val="auto"/>
        </w:rPr>
      </w:pPr>
      <w:r>
        <w:rPr>
          <w:rFonts w:ascii="Times New Roman" w:cs="Times New Roman" w:eastAsia="Times New Roman" w:hAnsi="Times New Roman"/>
          <w:sz w:val="14"/>
          <w:szCs w:val="14"/>
          <w:color w:val="auto"/>
        </w:rPr>
        <w:t xml:space="preserve">written notice to the Indemnifying Party of its intent to do so, to undertake the defense of such claim for the account of the Indemnifying Party (with counsel reasonably selected by the Indemnified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Indemnified Party will keep the Indemnifying Party apprised of all material developments with</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respect to such claim. The Indemnified Party may not enter into any compromise or settlement without the prior written consent of the Indemnifying Party, such consent not to be unreasonably withheld, conditioned, or delayed.</w:t>
      </w:r>
    </w:p>
    <w:p>
      <w:pPr>
        <w:spacing w:after="0" w:line="118" w:lineRule="exact"/>
        <w:rPr>
          <w:sz w:val="20"/>
          <w:szCs w:val="20"/>
          <w:color w:val="auto"/>
        </w:rPr>
      </w:pPr>
    </w:p>
    <w:p>
      <w:pPr>
        <w:ind w:left="520"/>
        <w:spacing w:after="0"/>
        <w:tabs>
          <w:tab w:leader="none" w:pos="1140" w:val="left"/>
        </w:tabs>
        <w:rPr>
          <w:sz w:val="20"/>
          <w:szCs w:val="20"/>
          <w:color w:val="auto"/>
        </w:rPr>
      </w:pPr>
      <w:r>
        <w:rPr>
          <w:rFonts w:ascii="Times New Roman" w:cs="Times New Roman" w:eastAsia="Times New Roman" w:hAnsi="Times New Roman"/>
          <w:sz w:val="16"/>
          <w:szCs w:val="16"/>
          <w:color w:val="auto"/>
        </w:rPr>
        <w:t>11.3.4.</w:t>
      </w:r>
      <w:r>
        <w:rPr>
          <w:sz w:val="20"/>
          <w:szCs w:val="20"/>
          <w:color w:val="auto"/>
        </w:rPr>
        <w:tab/>
      </w:r>
      <w:r>
        <w:rPr>
          <w:rFonts w:ascii="Times New Roman" w:cs="Times New Roman" w:eastAsia="Times New Roman" w:hAnsi="Times New Roman"/>
          <w:sz w:val="14"/>
          <w:szCs w:val="14"/>
          <w:b w:val="1"/>
          <w:bCs w:val="1"/>
          <w:color w:val="auto"/>
        </w:rPr>
        <w:t>Cooperation</w:t>
      </w:r>
      <w:r>
        <w:rPr>
          <w:rFonts w:ascii="Times New Roman" w:cs="Times New Roman" w:eastAsia="Times New Roman" w:hAnsi="Times New Roman"/>
          <w:sz w:val="14"/>
          <w:szCs w:val="14"/>
          <w:color w:val="auto"/>
        </w:rPr>
        <w:t>. The Indemnified Party will cooperate with the Indemnifying Party and may participate in, but not control, any defense or settlement of any claim</w:t>
      </w:r>
    </w:p>
    <w:p>
      <w:pPr>
        <w:spacing w:after="0" w:line="2"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 xml:space="preserve">controlled by the Indemnifying Party pursuant to this Section 11.3 (Indemnification Procedure) and will bear its own costs and expenses with respect to such participation;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Indemnifying Party will bear such costs and expenses if counsel for the Indemnifying Party reasonably determines that such</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counsel may not properly represent both the Indemnifying Party and the Indemnified Party.</w:t>
      </w:r>
    </w:p>
    <w:p>
      <w:pPr>
        <w:spacing w:after="0" w:line="11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11.4.  Limitation of Liability</w:t>
      </w:r>
      <w:r>
        <w:rPr>
          <w:rFonts w:ascii="Times New Roman" w:cs="Times New Roman" w:eastAsia="Times New Roman" w:hAnsi="Times New Roman"/>
          <w:sz w:val="16"/>
          <w:szCs w:val="16"/>
          <w:color w:val="auto"/>
        </w:rPr>
        <w:t>. NEITHER PARTY WILL BE LIABLE FOR SPECIAL, INCIDENTAL, CONSEQUENTIAL, OR PUNITIVE DAMAGES ARISING OUT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OR THE EXERCISE OF ITS RIGHTS OR THE PERFORMANCE OF ITS OBLIGATIONS HEREUNDER, OR ARISING FROM OR RELATING</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TO ANY BREACH OF THIS AGREEMENT, OR LOST PROFITS, REGARDLESS OF ANY NOTICE OF THE POSSIBILITY OF SUCH DAMAGES, EXCEPT FOR DAMAGES THAT ARISE AS A RESULT OF (A) THE INDEMNIFICATION RIGHTS OR OBLIGATIONS OF A PARTY UNDER SECTION 11.1</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(INDEMNIFICATION BY ARROWHEAD) OR SECTION 11.2 (INDEMNIFICATION BY NOVARTIS); (B) A PARTY’S GROSS NEGLIGENCE, WILLFUL MISCONDUCT OR FRAUD, OR (C) A BREACH OF ARTICLE 9 (CONFIDENTIALITY AND PUBLICATION).</w:t>
      </w:r>
    </w:p>
    <w:p>
      <w:pPr>
        <w:spacing w:after="0" w:line="1"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11.5.  Insurance</w:t>
      </w:r>
      <w:r>
        <w:rPr>
          <w:rFonts w:ascii="Times New Roman" w:cs="Times New Roman" w:eastAsia="Times New Roman" w:hAnsi="Times New Roman"/>
          <w:sz w:val="16"/>
          <w:szCs w:val="16"/>
          <w:color w:val="auto"/>
        </w:rPr>
        <w:t>. Each Party will, at its own expense, procure and maintain during the Term and for a period of</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thereafter, insurance policies, including product liability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insurance when applicable, adequate to cover its obligations hereunder and that are consistent with normal business practices of prudent companies similarly situated. Such</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insurance will not be construed to create a limit of a Party’s liability with respect to its indemnification obligations under this Article 11 (Indemnification; Limitation of Liability; Insurance). Each Party will provide the other Party with written evidence of such insurance upon request. Each Party will provide the other Party with prompt</w:t>
      </w:r>
    </w:p>
    <w:p>
      <w:pPr>
        <w:ind w:left="520"/>
        <w:spacing w:after="0" w:line="208" w:lineRule="auto"/>
        <w:rPr>
          <w:sz w:val="20"/>
          <w:szCs w:val="20"/>
          <w:color w:val="auto"/>
        </w:rPr>
      </w:pPr>
      <w:r>
        <w:rPr>
          <w:rFonts w:ascii="Times New Roman" w:cs="Times New Roman" w:eastAsia="Times New Roman" w:hAnsi="Times New Roman"/>
          <w:sz w:val="16"/>
          <w:szCs w:val="16"/>
          <w:color w:val="auto"/>
        </w:rPr>
        <w:t>written notice of cancellation, non-renewal, or material change in such insurance that could materially adversely affect the rights of such other Party hereunder and will</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provide such notice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any such cancellation, non-renewal, or material change. Notwithstanding any provision to the contrary in this Agreement, Novartis may self-insure, in whole or in part, the foregoing described insurance requirements.</w:t>
      </w:r>
    </w:p>
    <w:p>
      <w:pPr>
        <w:spacing w:after="0" w:line="1" w:lineRule="exact"/>
        <w:rPr>
          <w:sz w:val="20"/>
          <w:szCs w:val="20"/>
          <w:color w:val="auto"/>
        </w:rPr>
      </w:pPr>
    </w:p>
    <w:p>
      <w:pPr>
        <w:ind w:left="500" w:hanging="495"/>
        <w:spacing w:after="0"/>
        <w:tabs>
          <w:tab w:leader="none" w:pos="500" w:val="left"/>
        </w:tabs>
        <w:numPr>
          <w:ilvl w:val="0"/>
          <w:numId w:val="1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INTELLECTUAL PROPERTY</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12.1.  Background Technology</w:t>
      </w:r>
      <w:r>
        <w:rPr>
          <w:rFonts w:ascii="Times New Roman" w:cs="Times New Roman" w:eastAsia="Times New Roman" w:hAnsi="Times New Roman"/>
          <w:sz w:val="16"/>
          <w:szCs w:val="16"/>
          <w:color w:val="auto"/>
        </w:rPr>
        <w:t>. Notwithstanding any other provision of this Agreement to the contrary, neither Arrowhead nor any of its Affiliates is or shall be at any time,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prior to, on or after expiration or termination of this Agreement, granted any license, interest, access to, disclosure of, or other right with respect to Novartis</w:t>
      </w:r>
    </w:p>
    <w:p>
      <w:pPr>
        <w:ind w:left="520"/>
        <w:spacing w:after="0" w:line="209" w:lineRule="auto"/>
        <w:rPr>
          <w:sz w:val="20"/>
          <w:szCs w:val="20"/>
          <w:color w:val="auto"/>
        </w:rPr>
      </w:pPr>
      <w:r>
        <w:rPr>
          <w:rFonts w:ascii="Times New Roman" w:cs="Times New Roman" w:eastAsia="Times New Roman" w:hAnsi="Times New Roman"/>
          <w:sz w:val="16"/>
          <w:szCs w:val="16"/>
          <w:color w:val="auto"/>
        </w:rPr>
        <w:t>Background Technology.</w:t>
      </w:r>
    </w:p>
    <w:p>
      <w:pPr>
        <w:spacing w:after="0" w:line="221"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12.2.</w:t>
      </w:r>
      <w:r>
        <w:rPr>
          <w:sz w:val="20"/>
          <w:szCs w:val="20"/>
          <w:color w:val="auto"/>
        </w:rPr>
        <w:tab/>
      </w:r>
      <w:r>
        <w:rPr>
          <w:rFonts w:ascii="Times New Roman" w:cs="Times New Roman" w:eastAsia="Times New Roman" w:hAnsi="Times New Roman"/>
          <w:sz w:val="14"/>
          <w:szCs w:val="14"/>
          <w:b w:val="1"/>
          <w:bCs w:val="1"/>
          <w:color w:val="auto"/>
        </w:rPr>
        <w:t>Inventions</w:t>
      </w:r>
      <w:r>
        <w:rPr>
          <w:rFonts w:ascii="Times New Roman" w:cs="Times New Roman" w:eastAsia="Times New Roman" w:hAnsi="Times New Roman"/>
          <w:sz w:val="14"/>
          <w:szCs w:val="14"/>
          <w:color w:val="auto"/>
        </w:rPr>
        <w:t>.</w:t>
      </w: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12.2.1.</w:t>
      </w:r>
      <w:r>
        <w:rPr>
          <w:sz w:val="20"/>
          <w:szCs w:val="20"/>
          <w:color w:val="auto"/>
        </w:rPr>
        <w:tab/>
      </w:r>
      <w:r>
        <w:rPr>
          <w:rFonts w:ascii="Times New Roman" w:cs="Times New Roman" w:eastAsia="Times New Roman" w:hAnsi="Times New Roman"/>
          <w:sz w:val="14"/>
          <w:szCs w:val="14"/>
          <w:b w:val="1"/>
          <w:bCs w:val="1"/>
          <w:color w:val="auto"/>
        </w:rPr>
        <w:t>Inventorship</w:t>
      </w:r>
      <w:r>
        <w:rPr>
          <w:rFonts w:ascii="Times New Roman" w:cs="Times New Roman" w:eastAsia="Times New Roman" w:hAnsi="Times New Roman"/>
          <w:sz w:val="14"/>
          <w:szCs w:val="14"/>
          <w:color w:val="auto"/>
        </w:rPr>
        <w:t>. Inventorship of Arising Know-How and Arising Patent Rights will be determined in accordance with United States patent Laws.</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12.2.2.</w:t>
      </w:r>
      <w:r>
        <w:rPr>
          <w:sz w:val="20"/>
          <w:szCs w:val="20"/>
          <w:color w:val="auto"/>
        </w:rPr>
        <w:tab/>
      </w:r>
      <w:r>
        <w:rPr>
          <w:rFonts w:ascii="Times New Roman" w:cs="Times New Roman" w:eastAsia="Times New Roman" w:hAnsi="Times New Roman"/>
          <w:sz w:val="14"/>
          <w:szCs w:val="14"/>
          <w:b w:val="1"/>
          <w:bCs w:val="1"/>
          <w:color w:val="auto"/>
        </w:rPr>
        <w:t>Ownership of Arising Know-How and Arising Patent Rights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1680" w:hanging="504"/>
        <w:spacing w:after="0" w:line="222" w:lineRule="auto"/>
        <w:tabs>
          <w:tab w:leader="none" w:pos="167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Arrowhead</w:t>
      </w:r>
      <w:r>
        <w:rPr>
          <w:rFonts w:ascii="Times New Roman" w:cs="Times New Roman" w:eastAsia="Times New Roman" w:hAnsi="Times New Roman"/>
          <w:sz w:val="16"/>
          <w:szCs w:val="16"/>
          <w:color w:val="auto"/>
        </w:rPr>
        <w:t>. Subject to the rights or licenses granted by Arrowhead to Novartis under this Agreement, as between the Parties, Arrowhead will own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retain all rights, title, and interest in and to any and all: (i) (A) Arising Know-How, regardless of inventorship, that is solely related to the Delivery Ligand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Arising Delivery Ligand Know-How</w:t>
      </w:r>
      <w:r>
        <w:rPr>
          <w:rFonts w:ascii="Times New Roman" w:cs="Times New Roman" w:eastAsia="Times New Roman" w:hAnsi="Times New Roman"/>
          <w:sz w:val="16"/>
          <w:szCs w:val="16"/>
          <w:color w:val="auto"/>
        </w:rPr>
        <w:t>”) and (B) Arising</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280"/>
          </w:cols>
          <w:pgMar w:left="300" w:top="123" w:right="319" w:bottom="1440" w:gutter="0" w:footer="0" w:header="0"/>
        </w:sectPr>
      </w:pPr>
    </w:p>
    <w:bookmarkStart w:id="189" w:name="page190"/>
    <w:bookmarkEnd w:id="189"/>
    <w:p>
      <w:pPr>
        <w:ind w:left="2360" w:right="360" w:hanging="2360"/>
        <w:spacing w:after="0" w:line="290" w:lineRule="auto"/>
        <w:tabs>
          <w:tab w:leader="none" w:pos="336"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spacing w:after="0" w:line="250" w:lineRule="auto"/>
        <w:rPr>
          <w:sz w:val="20"/>
          <w:szCs w:val="20"/>
          <w:color w:val="auto"/>
        </w:rPr>
      </w:pPr>
      <w:r>
        <w:rPr>
          <w:rFonts w:ascii="Times New Roman" w:cs="Times New Roman" w:eastAsia="Times New Roman" w:hAnsi="Times New Roman"/>
          <w:sz w:val="14"/>
          <w:szCs w:val="14"/>
          <w:color w:val="auto"/>
        </w:rPr>
        <w:t>Know-How that is conceived, discovered, developed or otherwise made solely by or on behalf of one or more Personnel of Arrowhead (or any of its Affiliates, (sub)licensees or Subcontractors), but excluding any Arising Delivery Ligand Know-How and Joint Arising Know-How (the Arising Delivery</w:t>
      </w:r>
    </w:p>
    <w:p>
      <w:pPr>
        <w:spacing w:after="0" w:line="1" w:lineRule="exact"/>
        <w:rPr>
          <w:sz w:val="20"/>
          <w:szCs w:val="20"/>
          <w:color w:val="auto"/>
        </w:rPr>
      </w:pPr>
    </w:p>
    <w:p>
      <w:pPr>
        <w:ind w:left="1320"/>
        <w:spacing w:after="0" w:line="229" w:lineRule="auto"/>
        <w:rPr>
          <w:sz w:val="20"/>
          <w:szCs w:val="20"/>
          <w:color w:val="auto"/>
        </w:rPr>
      </w:pPr>
      <w:r>
        <w:rPr>
          <w:rFonts w:ascii="Times New Roman" w:cs="Times New Roman" w:eastAsia="Times New Roman" w:hAnsi="Times New Roman"/>
          <w:sz w:val="14"/>
          <w:szCs w:val="14"/>
          <w:color w:val="auto"/>
        </w:rPr>
        <w:t>Ligand Know-How and (i)(B), together, the “</w:t>
      </w:r>
      <w:r>
        <w:rPr>
          <w:rFonts w:ascii="Times New Roman" w:cs="Times New Roman" w:eastAsia="Times New Roman" w:hAnsi="Times New Roman"/>
          <w:sz w:val="14"/>
          <w:szCs w:val="14"/>
          <w:b w:val="1"/>
          <w:bCs w:val="1"/>
          <w:color w:val="auto"/>
        </w:rPr>
        <w:t>Arrowhead Arising Know-How</w:t>
      </w:r>
      <w:r>
        <w:rPr>
          <w:rFonts w:ascii="Times New Roman" w:cs="Times New Roman" w:eastAsia="Times New Roman" w:hAnsi="Times New Roman"/>
          <w:sz w:val="14"/>
          <w:szCs w:val="14"/>
          <w:color w:val="auto"/>
        </w:rPr>
        <w:t>”), and (ii) (A) Arising Patent Rights, regardless of inventorship, that Cover solely any Arising Delivery Ligand Know-How (the “</w:t>
      </w:r>
      <w:r>
        <w:rPr>
          <w:rFonts w:ascii="Times New Roman" w:cs="Times New Roman" w:eastAsia="Times New Roman" w:hAnsi="Times New Roman"/>
          <w:sz w:val="14"/>
          <w:szCs w:val="14"/>
          <w:b w:val="1"/>
          <w:bCs w:val="1"/>
          <w:color w:val="auto"/>
        </w:rPr>
        <w:t>Arising Delivery Ligand Patent Rights</w:t>
      </w:r>
      <w:r>
        <w:rPr>
          <w:rFonts w:ascii="Times New Roman" w:cs="Times New Roman" w:eastAsia="Times New Roman" w:hAnsi="Times New Roman"/>
          <w:sz w:val="14"/>
          <w:szCs w:val="14"/>
          <w:color w:val="auto"/>
        </w:rPr>
        <w:t>”) and (B) Arising Patent Rights that Cover solely</w:t>
      </w:r>
    </w:p>
    <w:p>
      <w:pPr>
        <w:ind w:left="1320"/>
        <w:spacing w:after="0" w:line="208" w:lineRule="auto"/>
        <w:rPr>
          <w:sz w:val="20"/>
          <w:szCs w:val="20"/>
          <w:color w:val="auto"/>
        </w:rPr>
      </w:pPr>
      <w:r>
        <w:rPr>
          <w:rFonts w:ascii="Times New Roman" w:cs="Times New Roman" w:eastAsia="Times New Roman" w:hAnsi="Times New Roman"/>
          <w:sz w:val="16"/>
          <w:szCs w:val="16"/>
          <w:color w:val="auto"/>
        </w:rPr>
        <w:t>any Arrowhead Arising Know-How set forth in the foregoing clause (i)(B) (together (ii)(A) and (ii)(B), the “</w:t>
      </w:r>
      <w:r>
        <w:rPr>
          <w:rFonts w:ascii="Times New Roman" w:cs="Times New Roman" w:eastAsia="Times New Roman" w:hAnsi="Times New Roman"/>
          <w:sz w:val="16"/>
          <w:szCs w:val="16"/>
          <w:b w:val="1"/>
          <w:bCs w:val="1"/>
          <w:color w:val="auto"/>
        </w:rPr>
        <w:t>Arrowhead Arising Patent Rights</w:t>
      </w:r>
      <w:r>
        <w:rPr>
          <w:rFonts w:ascii="Times New Roman" w:cs="Times New Roman" w:eastAsia="Times New Roman" w:hAnsi="Times New Roman"/>
          <w:sz w:val="16"/>
          <w:szCs w:val="16"/>
          <w:color w:val="auto"/>
        </w:rPr>
        <w:t>”).</w:t>
      </w:r>
    </w:p>
    <w:p>
      <w:pPr>
        <w:ind w:left="1320"/>
        <w:spacing w:after="0" w:line="229" w:lineRule="auto"/>
        <w:rPr>
          <w:sz w:val="20"/>
          <w:szCs w:val="20"/>
          <w:color w:val="auto"/>
        </w:rPr>
      </w:pPr>
      <w:r>
        <w:rPr>
          <w:rFonts w:ascii="Times New Roman" w:cs="Times New Roman" w:eastAsia="Times New Roman" w:hAnsi="Times New Roman"/>
          <w:sz w:val="14"/>
          <w:szCs w:val="14"/>
          <w:color w:val="auto"/>
        </w:rPr>
        <w:t>Novartis hereby assigns and agrees to assign to Arrowhead all rights, title, and interest in and to any Arising Delivery Ligand Know-How that is conceived, discovered, developed, or otherwise made under any of the Transaction Agreements by or on behalf of: (1) one or more Personnel of Novartis</w:t>
      </w:r>
    </w:p>
    <w:p>
      <w:pPr>
        <w:jc w:val="both"/>
        <w:ind w:left="1320"/>
        <w:spacing w:after="0" w:line="256" w:lineRule="auto"/>
        <w:rPr>
          <w:sz w:val="20"/>
          <w:szCs w:val="20"/>
          <w:color w:val="auto"/>
        </w:rPr>
      </w:pPr>
      <w:r>
        <w:rPr>
          <w:rFonts w:ascii="Times New Roman" w:cs="Times New Roman" w:eastAsia="Times New Roman" w:hAnsi="Times New Roman"/>
          <w:sz w:val="14"/>
          <w:szCs w:val="14"/>
          <w:color w:val="auto"/>
        </w:rPr>
        <w:t>(or any of its Affiliates, Sublicensees, or Subcontractors), or (2) one or more Personnel of Novartis (or any of its Affiliates, Sublicensees, or Subcontractors), on the one hand, and one or more Personnel of Arrowhead (or any of its Affiliates, (sub)licensees, or Subcontractors), on the other hand.</w:t>
      </w:r>
    </w:p>
    <w:p>
      <w:pPr>
        <w:spacing w:after="0" w:line="114" w:lineRule="exact"/>
        <w:rPr>
          <w:sz w:val="20"/>
          <w:szCs w:val="20"/>
          <w:color w:val="auto"/>
        </w:rPr>
      </w:pPr>
    </w:p>
    <w:p>
      <w:pPr>
        <w:jc w:val="both"/>
        <w:ind w:left="1320" w:hanging="504"/>
        <w:spacing w:after="0" w:line="212" w:lineRule="auto"/>
        <w:tabs>
          <w:tab w:leader="none" w:pos="131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Novartis</w:t>
      </w:r>
      <w:r>
        <w:rPr>
          <w:rFonts w:ascii="Times New Roman" w:cs="Times New Roman" w:eastAsia="Times New Roman" w:hAnsi="Times New Roman"/>
          <w:sz w:val="16"/>
          <w:szCs w:val="16"/>
          <w:color w:val="auto"/>
        </w:rPr>
        <w:t>. Subject to the rights or licenses granted by Novartis to Arrowhead under this Agreement, as between the Parties, Novartis will own and retain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 rights, title, and interest in and to any and all (i) Arising Know-How that is conceived, discovered, developed, or otherwise made solely by or on behalf of one or more Personnel of Novartis (or any of its Affiliates, Sublicensees or Subcontractors) but excluding any Arising Delivery Ligand Know-How and Joint Arising Know-How (the “</w:t>
      </w:r>
      <w:r>
        <w:rPr>
          <w:rFonts w:ascii="Times New Roman" w:cs="Times New Roman" w:eastAsia="Times New Roman" w:hAnsi="Times New Roman"/>
          <w:sz w:val="16"/>
          <w:szCs w:val="16"/>
          <w:b w:val="1"/>
          <w:bCs w:val="1"/>
          <w:color w:val="auto"/>
        </w:rPr>
        <w:t>Novartis Arising Know-How</w:t>
      </w:r>
      <w:r>
        <w:rPr>
          <w:rFonts w:ascii="Times New Roman" w:cs="Times New Roman" w:eastAsia="Times New Roman" w:hAnsi="Times New Roman"/>
          <w:sz w:val="16"/>
          <w:szCs w:val="16"/>
          <w:color w:val="auto"/>
        </w:rPr>
        <w:t>”), and (ii) Arising Patent Rights that Cover solely any Novartis Arising Know-How set forth in the foregoing clause (i) (the “</w:t>
      </w:r>
      <w:r>
        <w:rPr>
          <w:rFonts w:ascii="Times New Roman" w:cs="Times New Roman" w:eastAsia="Times New Roman" w:hAnsi="Times New Roman"/>
          <w:sz w:val="16"/>
          <w:szCs w:val="16"/>
          <w:b w:val="1"/>
          <w:bCs w:val="1"/>
          <w:color w:val="auto"/>
        </w:rPr>
        <w:t>Novartis Arising Patent Rights</w:t>
      </w:r>
      <w:r>
        <w:rPr>
          <w:rFonts w:ascii="Times New Roman" w:cs="Times New Roman" w:eastAsia="Times New Roman" w:hAnsi="Times New Roman"/>
          <w:sz w:val="16"/>
          <w:szCs w:val="16"/>
          <w:color w:val="auto"/>
        </w:rPr>
        <w:t>”, and together with the Novartis Arising Know-How, the “</w:t>
      </w:r>
      <w:r>
        <w:rPr>
          <w:rFonts w:ascii="Times New Roman" w:cs="Times New Roman" w:eastAsia="Times New Roman" w:hAnsi="Times New Roman"/>
          <w:sz w:val="16"/>
          <w:szCs w:val="16"/>
          <w:b w:val="1"/>
          <w:bCs w:val="1"/>
          <w:color w:val="auto"/>
        </w:rPr>
        <w:t>Novartis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Arising Technology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jc w:val="both"/>
        <w:ind w:left="1320" w:hanging="504"/>
        <w:spacing w:after="0" w:line="239" w:lineRule="auto"/>
        <w:tabs>
          <w:tab w:leader="none" w:pos="131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Joint</w:t>
      </w:r>
      <w:r>
        <w:rPr>
          <w:rFonts w:ascii="Times New Roman" w:cs="Times New Roman" w:eastAsia="Times New Roman" w:hAnsi="Times New Roman"/>
          <w:sz w:val="14"/>
          <w:szCs w:val="14"/>
          <w:color w:val="auto"/>
        </w:rPr>
        <w:t>. Subject to any rights or licenses expressly granted by one Party to the other Party under this Agreement, as between the Parties, the Parties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jointly own, on an equal and undivided basis, all rights, title, and interest in and to any and all: (i) Arising Know-How that is conceived, discovered, developed, or otherwise made by or on behalf of one or more Personnel of Arrowhead (or any of its Affiliates, (sub)licensees, or Subcontractors), on the one hand, and one or more Personnel of Novartis (or any of its Affiliates, Sublicensees, or Subcontractors), on the other hand, but excluding any Arising Delivery Ligand Know-How (the “</w:t>
      </w:r>
      <w:r>
        <w:rPr>
          <w:rFonts w:ascii="Times New Roman" w:cs="Times New Roman" w:eastAsia="Times New Roman" w:hAnsi="Times New Roman"/>
          <w:sz w:val="14"/>
          <w:szCs w:val="14"/>
          <w:b w:val="1"/>
          <w:bCs w:val="1"/>
          <w:color w:val="auto"/>
        </w:rPr>
        <w:t>Joint Arising Know-How</w:t>
      </w:r>
      <w:r>
        <w:rPr>
          <w:rFonts w:ascii="Times New Roman" w:cs="Times New Roman" w:eastAsia="Times New Roman" w:hAnsi="Times New Roman"/>
          <w:sz w:val="14"/>
          <w:szCs w:val="14"/>
          <w:color w:val="auto"/>
        </w:rPr>
        <w:t>”), and (ii) Arising Patent Rights that Cover solely any Joint Arising Know-How set forth in the foregoing clause (i) (the “</w:t>
      </w:r>
      <w:r>
        <w:rPr>
          <w:rFonts w:ascii="Times New Roman" w:cs="Times New Roman" w:eastAsia="Times New Roman" w:hAnsi="Times New Roman"/>
          <w:sz w:val="14"/>
          <w:szCs w:val="14"/>
          <w:b w:val="1"/>
          <w:bCs w:val="1"/>
          <w:color w:val="auto"/>
        </w:rPr>
        <w:t>Joint Arising Patent Rights</w:t>
      </w:r>
      <w:r>
        <w:rPr>
          <w:rFonts w:ascii="Times New Roman" w:cs="Times New Roman" w:eastAsia="Times New Roman" w:hAnsi="Times New Roman"/>
          <w:sz w:val="14"/>
          <w:szCs w:val="14"/>
          <w:color w:val="auto"/>
        </w:rPr>
        <w:t>”) (collectively the Joint Arising Know-How and the Joint Arising Patent Rights, the “</w:t>
      </w:r>
      <w:r>
        <w:rPr>
          <w:rFonts w:ascii="Times New Roman" w:cs="Times New Roman" w:eastAsia="Times New Roman" w:hAnsi="Times New Roman"/>
          <w:sz w:val="14"/>
          <w:szCs w:val="14"/>
          <w:b w:val="1"/>
          <w:bCs w:val="1"/>
          <w:color w:val="auto"/>
        </w:rPr>
        <w:t>Joint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Arising Technology</w:t>
      </w:r>
      <w:r>
        <w:rPr>
          <w:rFonts w:ascii="Times New Roman" w:cs="Times New Roman" w:eastAsia="Times New Roman" w:hAnsi="Times New Roman"/>
          <w:sz w:val="14"/>
          <w:szCs w:val="14"/>
          <w:color w:val="auto"/>
        </w:rPr>
        <w:t>”). Subject to the rights or licenses granted to the other Party under this Agreement, each Party will be entitled to practice, license,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assign, and otherwise practice under the Joint Arising Technology without the duty of accounting or seeking consent from the other Party, and where consent is required, such consent is hereby given. Each Party, for itself and on behalf of its Affiliates, hereby assigns and agrees to assign, to the other Party an equal and undivided joint ownership interest in and to all Joint Arising Technology, to be held in accordance with this Section 12.2.2(c) (Joint).</w:t>
      </w:r>
    </w:p>
    <w:p>
      <w:pPr>
        <w:spacing w:after="0" w:line="126" w:lineRule="exact"/>
        <w:rPr>
          <w:sz w:val="20"/>
          <w:szCs w:val="20"/>
          <w:color w:val="auto"/>
        </w:rPr>
      </w:pPr>
    </w:p>
    <w:p>
      <w:pPr>
        <w:jc w:val="right"/>
        <w:ind w:left="160"/>
        <w:spacing w:after="0" w:line="213" w:lineRule="auto"/>
        <w:rPr>
          <w:sz w:val="20"/>
          <w:szCs w:val="20"/>
          <w:color w:val="auto"/>
        </w:rPr>
      </w:pPr>
      <w:r>
        <w:rPr>
          <w:rFonts w:ascii="Times New Roman" w:cs="Times New Roman" w:eastAsia="Times New Roman" w:hAnsi="Times New Roman"/>
          <w:sz w:val="16"/>
          <w:szCs w:val="16"/>
          <w:color w:val="auto"/>
        </w:rPr>
        <w:t xml:space="preserve">12.2.3.   </w:t>
      </w:r>
      <w:r>
        <w:rPr>
          <w:rFonts w:ascii="Times New Roman" w:cs="Times New Roman" w:eastAsia="Times New Roman" w:hAnsi="Times New Roman"/>
          <w:sz w:val="16"/>
          <w:szCs w:val="16"/>
          <w:b w:val="1"/>
          <w:bCs w:val="1"/>
          <w:color w:val="auto"/>
        </w:rPr>
        <w:t>Disclosure</w:t>
      </w:r>
      <w:r>
        <w:rPr>
          <w:rFonts w:ascii="Times New Roman" w:cs="Times New Roman" w:eastAsia="Times New Roman" w:hAnsi="Times New Roman"/>
          <w:sz w:val="16"/>
          <w:szCs w:val="16"/>
          <w:color w:val="auto"/>
        </w:rPr>
        <w:t>. Each Party will promptly disclose to the other Party all invention disclosures or other similar documents relating to Arising Know-How conceived, invented, developed, or otherwise made by or on behalf of such Party (or its Affiliates, Sublicensees (or in the case of Arrowhead (sub)licensees), or</w:t>
      </w:r>
    </w:p>
    <w:p>
      <w:pPr>
        <w:spacing w:after="0" w:line="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Subcontractors)</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920"/>
          </w:cols>
          <w:pgMar w:left="660" w:top="123" w:right="319" w:bottom="1440" w:gutter="0" w:footer="0" w:header="0"/>
        </w:sectPr>
      </w:pPr>
    </w:p>
    <w:bookmarkStart w:id="190" w:name="page191"/>
    <w:bookmarkEnd w:id="190"/>
    <w:p>
      <w:pPr>
        <w:ind w:left="2720" w:right="360" w:hanging="2360"/>
        <w:spacing w:after="0" w:line="290" w:lineRule="auto"/>
        <w:tabs>
          <w:tab w:leader="none" w:pos="696" w:val="left"/>
        </w:tabs>
        <w:numPr>
          <w:ilvl w:val="0"/>
          <w:numId w:val="1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50" w:lineRule="auto"/>
        <w:rPr>
          <w:sz w:val="20"/>
          <w:szCs w:val="20"/>
          <w:color w:val="auto"/>
        </w:rPr>
      </w:pPr>
      <w:r>
        <w:rPr>
          <w:rFonts w:ascii="Times New Roman" w:cs="Times New Roman" w:eastAsia="Times New Roman" w:hAnsi="Times New Roman"/>
          <w:sz w:val="14"/>
          <w:szCs w:val="14"/>
          <w:color w:val="auto"/>
        </w:rPr>
        <w:t>hereunder during the Term that is necessary or reasonably useful to Research, Develop, Manufacture, Commercialize, or otherwise Exploit one or more Licensed Compounds or Licensed Products in the Field in the Territory, and all invention disclosures or other similar documents submitted to such Party by its or its</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Affiliates’ employees, agents, or independent contractors relating to such Arising Know-How, and will also respond promptly to reasonable requests from the other Party for additional information relating to such disclosures, documents, or applications.</w:t>
      </w:r>
    </w:p>
    <w:p>
      <w:pPr>
        <w:spacing w:after="0" w:line="11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12.2.4.</w:t>
      </w:r>
      <w:r>
        <w:rPr>
          <w:sz w:val="20"/>
          <w:szCs w:val="20"/>
          <w:color w:val="auto"/>
        </w:rPr>
        <w:tab/>
      </w:r>
      <w:r>
        <w:rPr>
          <w:rFonts w:ascii="Times New Roman" w:cs="Times New Roman" w:eastAsia="Times New Roman" w:hAnsi="Times New Roman"/>
          <w:sz w:val="14"/>
          <w:szCs w:val="14"/>
          <w:b w:val="1"/>
          <w:bCs w:val="1"/>
          <w:color w:val="auto"/>
        </w:rPr>
        <w:t>Personnel Obligations</w:t>
      </w:r>
      <w:r>
        <w:rPr>
          <w:rFonts w:ascii="Times New Roman" w:cs="Times New Roman" w:eastAsia="Times New Roman" w:hAnsi="Times New Roman"/>
          <w:sz w:val="14"/>
          <w:szCs w:val="14"/>
          <w:color w:val="auto"/>
        </w:rPr>
        <w:t>. Each employee, agent, or independent contractor of a Party or its respective Affiliates performing work under this Agreement will, prior</w:t>
      </w:r>
    </w:p>
    <w:p>
      <w:pPr>
        <w:spacing w:after="0" w:line="2"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to commencing such work, be bound by written invention assignment obligations, including: (a) promptly reporting any invention, discovery, or other intellectual property right; (b) presently assigning to the applicable Party or Affiliate all of his or her rights, title, and interests in and to any invention, discovery, or other</w:t>
      </w:r>
    </w:p>
    <w:p>
      <w:pPr>
        <w:ind w:left="1180"/>
        <w:spacing w:after="0" w:line="200" w:lineRule="auto"/>
        <w:rPr>
          <w:sz w:val="20"/>
          <w:szCs w:val="20"/>
          <w:color w:val="auto"/>
        </w:rPr>
      </w:pPr>
      <w:r>
        <w:rPr>
          <w:rFonts w:ascii="Times New Roman" w:cs="Times New Roman" w:eastAsia="Times New Roman" w:hAnsi="Times New Roman"/>
          <w:sz w:val="16"/>
          <w:szCs w:val="16"/>
          <w:color w:val="auto"/>
        </w:rPr>
        <w:t>intellectual property; (c) cooperating in the preparation, filing, prosecution, maintenance, and enforcement of any patent and patent application; and (d) performing all acts and signing, executing, acknowledging, and delivering any and all documents required for effecting the obligations and purposes of this</w:t>
      </w:r>
    </w:p>
    <w:p>
      <w:pPr>
        <w:ind w:left="1180"/>
        <w:spacing w:after="0"/>
        <w:rPr>
          <w:sz w:val="20"/>
          <w:szCs w:val="20"/>
          <w:color w:val="auto"/>
        </w:rPr>
      </w:pPr>
      <w:r>
        <w:rPr>
          <w:rFonts w:ascii="Times New Roman" w:cs="Times New Roman" w:eastAsia="Times New Roman" w:hAnsi="Times New Roman"/>
          <w:sz w:val="14"/>
          <w:szCs w:val="14"/>
          <w:color w:val="auto"/>
        </w:rPr>
        <w:t>Agreement. It is understood and agreed that such invention assignment agreement need not reference or be specific to this Agreement. Each Party will be solely</w:t>
      </w:r>
    </w:p>
    <w:p>
      <w:pPr>
        <w:ind w:left="1180"/>
        <w:spacing w:after="0" w:line="217" w:lineRule="auto"/>
        <w:rPr>
          <w:sz w:val="20"/>
          <w:szCs w:val="20"/>
          <w:color w:val="auto"/>
        </w:rPr>
      </w:pPr>
      <w:r>
        <w:rPr>
          <w:rFonts w:ascii="Times New Roman" w:cs="Times New Roman" w:eastAsia="Times New Roman" w:hAnsi="Times New Roman"/>
          <w:sz w:val="16"/>
          <w:szCs w:val="16"/>
          <w:color w:val="auto"/>
        </w:rPr>
        <w:t>responsible for any payments to inventors with an obligation to assign, or who do assign, their rights, title, and interests in and to any Arising Know-How and Arising Patent Rights to such Party. Arrowhead will be solely responsible for payments to inventors of any other Arrowhead Patent Rights.</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12.3.</w:t>
      </w:r>
      <w:r>
        <w:rPr>
          <w:sz w:val="20"/>
          <w:szCs w:val="20"/>
          <w:color w:val="auto"/>
        </w:rPr>
        <w:tab/>
      </w:r>
      <w:r>
        <w:rPr>
          <w:rFonts w:ascii="Times New Roman" w:cs="Times New Roman" w:eastAsia="Times New Roman" w:hAnsi="Times New Roman"/>
          <w:sz w:val="14"/>
          <w:szCs w:val="14"/>
          <w:b w:val="1"/>
          <w:bCs w:val="1"/>
          <w:color w:val="auto"/>
        </w:rPr>
        <w:t>Prosecution and Maintenance of Patent Rights</w:t>
      </w:r>
      <w:r>
        <w:rPr>
          <w:rFonts w:ascii="Times New Roman" w:cs="Times New Roman" w:eastAsia="Times New Roman" w:hAnsi="Times New Roman"/>
          <w:sz w:val="14"/>
          <w:szCs w:val="14"/>
          <w:color w:val="auto"/>
        </w:rPr>
        <w:t>. The Parties will conduct the Prosecution and Maintenance of the applicable Patent Rights in accordance with this Section</w:t>
      </w:r>
    </w:p>
    <w:p>
      <w:pPr>
        <w:ind w:left="520"/>
        <w:spacing w:after="0" w:line="193" w:lineRule="auto"/>
        <w:rPr>
          <w:sz w:val="20"/>
          <w:szCs w:val="20"/>
          <w:color w:val="auto"/>
        </w:rPr>
      </w:pPr>
      <w:r>
        <w:rPr>
          <w:rFonts w:ascii="Times New Roman" w:cs="Times New Roman" w:eastAsia="Times New Roman" w:hAnsi="Times New Roman"/>
          <w:sz w:val="16"/>
          <w:szCs w:val="16"/>
          <w:color w:val="auto"/>
        </w:rPr>
        <w:t>12.3 (Prosecution and Maintenance of Patent Rights).</w:t>
      </w:r>
    </w:p>
    <w:p>
      <w:pPr>
        <w:spacing w:after="0" w:line="1"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12.3.1.</w:t>
      </w:r>
      <w:r>
        <w:rPr>
          <w:sz w:val="20"/>
          <w:szCs w:val="20"/>
          <w:color w:val="auto"/>
        </w:rPr>
        <w:tab/>
      </w:r>
      <w:r>
        <w:rPr>
          <w:rFonts w:ascii="Times New Roman" w:cs="Times New Roman" w:eastAsia="Times New Roman" w:hAnsi="Times New Roman"/>
          <w:sz w:val="14"/>
          <w:szCs w:val="14"/>
          <w:b w:val="1"/>
          <w:bCs w:val="1"/>
          <w:color w:val="auto"/>
        </w:rPr>
        <w:t>Novartis Right to Prosecute Patent Rights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jc w:val="both"/>
        <w:ind w:left="1680" w:hanging="504"/>
        <w:spacing w:after="0" w:line="207" w:lineRule="auto"/>
        <w:tabs>
          <w:tab w:leader="none" w:pos="167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Program-by-Program basis, with respect to the SNCA Program and each CT Program, beginning on the earlier of (i) the applicable Technology Transfer Date for such Program, and (ii) the date a non-provisional patent application (including an international patent application under the PCT) for a Licensed Product-Specific Patent Right, Novartis Arising LC/LP Patent Right, or Joint Arising Patent Right related to such Program is first filed, as between the Parties, Novartis will have the first right (but not the obligation) to Prosecute and Maintain all Licensed Product-Specific Patent Rights, Novartis Arising LC/LP Patent Rights, and Joint Arising Patent Rights in the Territory of such Program (such Patent Rights, collectively, the “</w:t>
      </w:r>
      <w:r>
        <w:rPr>
          <w:rFonts w:ascii="Times New Roman" w:cs="Times New Roman" w:eastAsia="Times New Roman" w:hAnsi="Times New Roman"/>
          <w:sz w:val="16"/>
          <w:szCs w:val="16"/>
          <w:b w:val="1"/>
          <w:bCs w:val="1"/>
          <w:color w:val="auto"/>
        </w:rPr>
        <w:t>Novartis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Prosecuted Patent Rights</w:t>
      </w:r>
      <w:r>
        <w:rPr>
          <w:rFonts w:ascii="Times New Roman" w:cs="Times New Roman" w:eastAsia="Times New Roman" w:hAnsi="Times New Roman"/>
          <w:sz w:val="16"/>
          <w:szCs w:val="16"/>
          <w:color w:val="auto"/>
        </w:rPr>
        <w:t>”), using patent counsel of its choice and, with respect to the Licensed Product-Specific Patent Rights and the Joint Arising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Patent Rights, reasonably acceptable to Arrowhead. Novartis will bear all Patent Costs incurred by Novartis for the Prosecution and Maintenance of the Novartis Prosecuted Patent Rights. Novartis will provide Arrowhead with material communications from any Patent Office in the Territory regarding the Novartis Prosecuted Patent Rights, as well as a reasonable opportunity to review and comment on (A) drafts of any material filings, (B) drafts of any patent applications related to such Program, and (C) responses to be made to such Patent Offices in advance of submitting such filings, applications, or responses. Novartis will consider Arrowhead’s comments regarding such communications and drafts in good faith. In addition, Novartis will provide Arrowhead with copies of all such final filings, applications and responses made to any Patent Office with respect to the Novartis Prosecuted Patent Rights in a timely manner following submission thereof. Arrowhead will provide, at Novartis’ cost and expense, all assistance reasonably requested by Novartis in Novartis’ Prosecution and Maintenance of the Licensed Product-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280"/>
          </w:cols>
          <w:pgMar w:left="300" w:top="123" w:right="319" w:bottom="1440" w:gutter="0" w:footer="0" w:header="0"/>
        </w:sectPr>
      </w:pPr>
    </w:p>
    <w:bookmarkStart w:id="191" w:name="page192"/>
    <w:bookmarkEnd w:id="191"/>
    <w:p>
      <w:pPr>
        <w:ind w:left="2360" w:right="360" w:hanging="2360"/>
        <w:spacing w:after="0" w:line="290" w:lineRule="auto"/>
        <w:tabs>
          <w:tab w:leader="none" w:pos="336" w:val="left"/>
        </w:tabs>
        <w:numPr>
          <w:ilvl w:val="0"/>
          <w:numId w:val="1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20"/>
        <w:spacing w:after="0" w:line="226" w:lineRule="auto"/>
        <w:rPr>
          <w:sz w:val="20"/>
          <w:szCs w:val="20"/>
          <w:color w:val="auto"/>
        </w:rPr>
      </w:pPr>
      <w:r>
        <w:rPr>
          <w:rFonts w:ascii="Times New Roman" w:cs="Times New Roman" w:eastAsia="Times New Roman" w:hAnsi="Times New Roman"/>
          <w:sz w:val="16"/>
          <w:szCs w:val="16"/>
          <w:color w:val="auto"/>
        </w:rPr>
        <w:t>Specific Patent Rights and the Joint Arising Patent Rights related to a specific Program (including by executing all requested documents and providing additional information with respect to the applicable Patent Rights). At its sole cost and expense, Novartis will have the sole right to Prosecute and Maintain all Novartis Arising Patent Rights that are not Novartis Arising LC/LP Patent Rights.</w:t>
      </w:r>
    </w:p>
    <w:p>
      <w:pPr>
        <w:spacing w:after="0" w:line="117" w:lineRule="exact"/>
        <w:rPr>
          <w:sz w:val="20"/>
          <w:szCs w:val="20"/>
          <w:color w:val="auto"/>
        </w:rPr>
      </w:pPr>
    </w:p>
    <w:p>
      <w:pPr>
        <w:jc w:val="both"/>
        <w:ind w:left="1320" w:hanging="504"/>
        <w:spacing w:after="0" w:line="208" w:lineRule="auto"/>
        <w:tabs>
          <w:tab w:leader="none" w:pos="131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Novartis determines in its sole discretion to abandon or not to Prosecute and Maintain any Novartis Prosecuted Patent Right, then Novartis will provide Arrowhead with written notice promptly after such determination to allow Arrowhead a reasonable period of time to determine, on a country-by-country basis, in its sole discretion, its interest in assuming Prosecuting and Maintaining such Patent Right in the Territory (which notice by Novartis will be given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to the final deadline for any pending action or response that may be due with respect to such Patent Right with the applicable Patent Office). If Arrowhead provides written notice to Novartis expressing its interest in assuming Prosecuting and Maintaining such Patent Right, then, with respect to such Patent Right in such country in the Territory, (i) Arrowhead may, in its sole discretion and at Arrowhead’s cost and expense, Prosecute and Maintain or abandon such Patent Right, and (ii) Novartis will promptly: (A) provide to Arrowhead or counsel designated by Arrowhead the file histories for, and correspondence with existing patent counsels related to, such Patent Right; (B) provide to Arrowhead a report detailing the status of such Patent Right as of the applicable date of such notice by Novartis; and (C) at Arrowhead’s cost and expense, provide all assistance reasonably requested by Arrowhead in Arrowhead’s Prosecution and Maintenance of the applicable Patent Rights (including by executing all requested documents and providing additional information with respect to the applicable Patent Rights).</w:t>
      </w:r>
    </w:p>
    <w:p>
      <w:pPr>
        <w:spacing w:after="0" w:line="122"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12.3.2.</w:t>
      </w:r>
      <w:r>
        <w:rPr>
          <w:sz w:val="20"/>
          <w:szCs w:val="20"/>
          <w:color w:val="auto"/>
        </w:rPr>
        <w:tab/>
      </w:r>
      <w:r>
        <w:rPr>
          <w:rFonts w:ascii="Times New Roman" w:cs="Times New Roman" w:eastAsia="Times New Roman" w:hAnsi="Times New Roman"/>
          <w:sz w:val="14"/>
          <w:szCs w:val="14"/>
          <w:b w:val="1"/>
          <w:bCs w:val="1"/>
          <w:color w:val="auto"/>
        </w:rPr>
        <w:t>Arrowhead Right to Prosecute Patent Rights</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left="1320" w:hanging="504"/>
        <w:spacing w:after="0" w:line="207" w:lineRule="auto"/>
        <w:tabs>
          <w:tab w:leader="none" w:pos="131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on the Effective Date, as between the Parties, Arrowhead will (i) have the first right (but not the obligation) to Prosecute and Maintain all Arrowhead Platform Patent Rights, (ii) on a Program-by-Program basis, until the earlier of (A) the applicable Technology Transfer Date for such Program, or (B) the date a non-provisional patent application (including an international patent application under the PCT) for a Licensed Product-Specific Patent Right or Joint Arising Patent Right of such Program is first filed, have the first right (but not the obligation) to Prosecute and Maintain all Licensed Product-Specific Patent Rights and Joint Arising Patent Rights in the Territory related to such Program (such Patent Rights in clauses (i) and (ii), collectively, the “</w:t>
      </w:r>
      <w:r>
        <w:rPr>
          <w:rFonts w:ascii="Times New Roman" w:cs="Times New Roman" w:eastAsia="Times New Roman" w:hAnsi="Times New Roman"/>
          <w:sz w:val="16"/>
          <w:szCs w:val="16"/>
          <w:b w:val="1"/>
          <w:bCs w:val="1"/>
          <w:color w:val="auto"/>
        </w:rPr>
        <w:t>Arrowhead Prosecuted Patent Rights</w:t>
      </w:r>
      <w:r>
        <w:rPr>
          <w:rFonts w:ascii="Times New Roman" w:cs="Times New Roman" w:eastAsia="Times New Roman" w:hAnsi="Times New Roman"/>
          <w:sz w:val="16"/>
          <w:szCs w:val="16"/>
          <w:color w:val="auto"/>
        </w:rPr>
        <w:t>”), and (iii) have the sole right (but not the obligation) to Prosecute and Maintain all Arising Delivery Ligand Patent Rights, in each case ((i) – (iii)) in the Territory using outside patent counsel of its choice. Arrowhead will bear all Patent Costs incurred for the Prosecution and Maintenance of such Patent Rights. Arrowhead will keep Novartis reasonably informed of all material matters relating to the Prosecution and Maintenance of the Arrowhead Prosecuted Patent Rights, including providing Novartis with all material communications from any Patent Office in the Territory regarding the Arrowhead Prosecuted Patent Rights, as well as a reasonable opportunity to review and comment on (1) drafts of any material filings, (2) drafts of any patent applications related to such Program, and (3) responses to be made to such Patent Offices in advance of submitting such filings, applications, or responses. Arrowhead will consider in good faith Novartis’ comments with respect to strategies for Prosecution and Maintenance of the Arrowhead Prosecuted Patent Rights. In addition,</w:t>
      </w:r>
    </w:p>
    <w:p>
      <w:pPr>
        <w:spacing w:after="0" w:line="3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920"/>
          </w:cols>
          <w:pgMar w:left="660" w:top="123" w:right="319" w:bottom="1440" w:gutter="0" w:footer="0" w:header="0"/>
        </w:sectPr>
      </w:pPr>
    </w:p>
    <w:bookmarkStart w:id="192" w:name="page193"/>
    <w:bookmarkEnd w:id="192"/>
    <w:p>
      <w:pPr>
        <w:ind w:left="2720" w:right="360" w:hanging="2360"/>
        <w:spacing w:after="0" w:line="290" w:lineRule="auto"/>
        <w:tabs>
          <w:tab w:leader="none" w:pos="696" w:val="left"/>
        </w:tabs>
        <w:numPr>
          <w:ilvl w:val="0"/>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680"/>
        <w:spacing w:after="0" w:line="226" w:lineRule="auto"/>
        <w:rPr>
          <w:sz w:val="20"/>
          <w:szCs w:val="20"/>
          <w:color w:val="auto"/>
        </w:rPr>
      </w:pPr>
      <w:r>
        <w:rPr>
          <w:rFonts w:ascii="Times New Roman" w:cs="Times New Roman" w:eastAsia="Times New Roman" w:hAnsi="Times New Roman"/>
          <w:sz w:val="16"/>
          <w:szCs w:val="16"/>
          <w:color w:val="auto"/>
        </w:rPr>
        <w:t>Arrowhead will provide Novartis with copies of all such final filings, applications, and responses made to any Patent Office with respect to the Arrowhead Prosecuted Patent Rights in a timely manner following submission thereof. Arrowhead will provide to Novartis promptly after the Effective Date a report detailing the status of the Arrowhead Prosecuted Patent Rights.</w:t>
      </w:r>
    </w:p>
    <w:p>
      <w:pPr>
        <w:spacing w:after="0" w:line="117" w:lineRule="exact"/>
        <w:rPr>
          <w:sz w:val="20"/>
          <w:szCs w:val="20"/>
          <w:color w:val="auto"/>
        </w:rPr>
      </w:pPr>
    </w:p>
    <w:p>
      <w:pPr>
        <w:jc w:val="both"/>
        <w:ind w:left="1680" w:hanging="504"/>
        <w:spacing w:after="0" w:line="208" w:lineRule="auto"/>
        <w:tabs>
          <w:tab w:leader="none" w:pos="167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Arrowhead determines in its sole discretion to abandon or not to Prosecute and Maintain any Arrowhead Prosecuted Patent Right, then Arrowhead will provide Novartis with written notice promptly after such determination with respect to the Arrowhead Prosecuted Patent Rights, Novartis will determine, on a country-by-country basis, in its sole discretion, its interest in Prosecuting and Maintaining such Patent Right in the Territory (which notice by Arrowhead will be given 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to the final deadline for any pending action or response that may be due with respect to such Patent Right with the applicable Patent Office). If Novartis provides written notice to Arrowhead expressing its interest in Prosecuting and Maintaining such Patent Right, then, with respect to such Patent Right in such country in the Territory, (i) Novartis may, in its sole discretion and at Novartis’ cost and expense, Prosecute and Maintain or abandon such Patent Right, and (ii) Arrowhead will promptly: (A) provide to Novartis or counsel designated by Novartis the file histories for, and correspondence with existing patent counsel related to, such Patent Right; (B) provide to Novartis a report detailing the status of such Patent Right as of the applicable date of such notice by Arrowhead; and (C) at Novartis’ cost and expense, provide all assistance reasonably requested by Novartis in Novartis’ Prosecution and Maintenance of the applicable Patent Rights (including by executing all requested documents and providing additional information with respect to the applicable Patent Rights).</w:t>
      </w:r>
    </w:p>
    <w:p>
      <w:pPr>
        <w:spacing w:after="0" w:line="122" w:lineRule="exact"/>
        <w:rPr>
          <w:sz w:val="20"/>
          <w:szCs w:val="20"/>
          <w:color w:val="auto"/>
        </w:rPr>
      </w:pPr>
    </w:p>
    <w:p>
      <w:pPr>
        <w:jc w:val="right"/>
        <w:ind w:left="520"/>
        <w:spacing w:after="0" w:line="252" w:lineRule="auto"/>
        <w:rPr>
          <w:sz w:val="20"/>
          <w:szCs w:val="20"/>
          <w:color w:val="auto"/>
        </w:rPr>
      </w:pPr>
      <w:r>
        <w:rPr>
          <w:rFonts w:ascii="Times New Roman" w:cs="Times New Roman" w:eastAsia="Times New Roman" w:hAnsi="Times New Roman"/>
          <w:sz w:val="14"/>
          <w:szCs w:val="14"/>
          <w:color w:val="auto"/>
        </w:rPr>
        <w:t xml:space="preserve">12.3.3.   </w:t>
      </w:r>
      <w:r>
        <w:rPr>
          <w:rFonts w:ascii="Times New Roman" w:cs="Times New Roman" w:eastAsia="Times New Roman" w:hAnsi="Times New Roman"/>
          <w:sz w:val="14"/>
          <w:szCs w:val="14"/>
          <w:b w:val="1"/>
          <w:bCs w:val="1"/>
          <w:color w:val="auto"/>
        </w:rPr>
        <w:t>Cooperation</w:t>
      </w:r>
      <w:r>
        <w:rPr>
          <w:rFonts w:ascii="Times New Roman" w:cs="Times New Roman" w:eastAsia="Times New Roman" w:hAnsi="Times New Roman"/>
          <w:sz w:val="14"/>
          <w:szCs w:val="14"/>
          <w:color w:val="auto"/>
        </w:rPr>
        <w:t>. The Parties will, and will cause their Affiliates to, cooperate and implement reasonable patent drafting, filing and prosecution strategies (including filing divisionals, continuations, or otherwise). To the extent reasonable and feasible, (a) Licensed Product-Specific Patent Rights and Arrowhead Platform Patent</w:t>
      </w:r>
    </w:p>
    <w:p>
      <w:pPr>
        <w:ind w:left="1180"/>
        <w:spacing w:after="0" w:line="229" w:lineRule="auto"/>
        <w:rPr>
          <w:sz w:val="20"/>
          <w:szCs w:val="20"/>
          <w:color w:val="auto"/>
        </w:rPr>
      </w:pPr>
      <w:r>
        <w:rPr>
          <w:rFonts w:ascii="Times New Roman" w:cs="Times New Roman" w:eastAsia="Times New Roman" w:hAnsi="Times New Roman"/>
          <w:sz w:val="14"/>
          <w:szCs w:val="14"/>
          <w:color w:val="auto"/>
        </w:rPr>
        <w:t>Rights will be pursued in mutually exclusive patent applications (which may be simultaneously filed) and in separate and distinct patent families, and (b) Novartis Arising LC/LP Patent Rights and other Novartis Arising Patent Rights will be pursued in mutually exclusive patent applications (which may be simultaneously</w:t>
      </w:r>
    </w:p>
    <w:p>
      <w:pPr>
        <w:ind w:left="1180"/>
        <w:spacing w:after="0" w:line="237" w:lineRule="auto"/>
        <w:rPr>
          <w:sz w:val="20"/>
          <w:szCs w:val="20"/>
          <w:color w:val="auto"/>
        </w:rPr>
      </w:pPr>
      <w:r>
        <w:rPr>
          <w:rFonts w:ascii="Times New Roman" w:cs="Times New Roman" w:eastAsia="Times New Roman" w:hAnsi="Times New Roman"/>
          <w:sz w:val="14"/>
          <w:szCs w:val="14"/>
          <w:color w:val="auto"/>
        </w:rPr>
        <w:t>filed) and in separate and distinct patent families. Further, to the extent possible, the Parties will coordinate and determine (i) the division of Arrowhead Patent</w:t>
      </w:r>
    </w:p>
    <w:p>
      <w:pPr>
        <w:spacing w:after="0" w:line="1" w:lineRule="exact"/>
        <w:rPr>
          <w:sz w:val="20"/>
          <w:szCs w:val="20"/>
          <w:color w:val="auto"/>
        </w:rPr>
      </w:pPr>
    </w:p>
    <w:p>
      <w:pPr>
        <w:ind w:left="1180"/>
        <w:spacing w:after="0" w:line="217" w:lineRule="auto"/>
        <w:rPr>
          <w:sz w:val="20"/>
          <w:szCs w:val="20"/>
          <w:color w:val="auto"/>
        </w:rPr>
      </w:pPr>
      <w:r>
        <w:rPr>
          <w:rFonts w:ascii="Times New Roman" w:cs="Times New Roman" w:eastAsia="Times New Roman" w:hAnsi="Times New Roman"/>
          <w:sz w:val="16"/>
          <w:szCs w:val="16"/>
          <w:color w:val="auto"/>
        </w:rPr>
        <w:t>Rights as either Licensed Product-Specific Patent Right or Arrowhead Platform Patent Rights, and (ii) the division of Novartis Arising Patent Rights as either Novartis Arising LC/LP Patent Rights or other Novartis Arising Patent Rights.</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12.4.</w:t>
      </w:r>
      <w:r>
        <w:rPr>
          <w:sz w:val="20"/>
          <w:szCs w:val="20"/>
          <w:color w:val="auto"/>
        </w:rPr>
        <w:tab/>
      </w:r>
      <w:r>
        <w:rPr>
          <w:rFonts w:ascii="Times New Roman" w:cs="Times New Roman" w:eastAsia="Times New Roman" w:hAnsi="Times New Roman"/>
          <w:sz w:val="14"/>
          <w:szCs w:val="14"/>
          <w:b w:val="1"/>
          <w:bCs w:val="1"/>
          <w:color w:val="auto"/>
        </w:rPr>
        <w:t>Third Party Infringement and Defense</w:t>
      </w:r>
      <w:r>
        <w:rPr>
          <w:rFonts w:ascii="Times New Roman" w:cs="Times New Roman" w:eastAsia="Times New Roman" w:hAnsi="Times New Roman"/>
          <w:sz w:val="14"/>
          <w:szCs w:val="14"/>
          <w:color w:val="auto"/>
        </w:rPr>
        <w:t>. The Parties will conduct the enforcement and defense of the applicable Patent Rights in accordance with this Section 12.4 (Third</w:t>
      </w:r>
    </w:p>
    <w:p>
      <w:pPr>
        <w:ind w:left="520"/>
        <w:spacing w:after="0" w:line="193" w:lineRule="auto"/>
        <w:rPr>
          <w:sz w:val="20"/>
          <w:szCs w:val="20"/>
          <w:color w:val="auto"/>
        </w:rPr>
      </w:pPr>
      <w:r>
        <w:rPr>
          <w:rFonts w:ascii="Times New Roman" w:cs="Times New Roman" w:eastAsia="Times New Roman" w:hAnsi="Times New Roman"/>
          <w:sz w:val="16"/>
          <w:szCs w:val="16"/>
          <w:color w:val="auto"/>
        </w:rPr>
        <w:t>Party Infringement and Defense).</w:t>
      </w:r>
    </w:p>
    <w:p>
      <w:pPr>
        <w:spacing w:after="0" w:line="1" w:lineRule="exact"/>
        <w:rPr>
          <w:sz w:val="20"/>
          <w:szCs w:val="20"/>
          <w:color w:val="auto"/>
        </w:rPr>
      </w:pPr>
    </w:p>
    <w:p>
      <w:pPr>
        <w:ind w:left="1180" w:hanging="661"/>
        <w:spacing w:after="0" w:line="224" w:lineRule="auto"/>
        <w:tabs>
          <w:tab w:leader="none" w:pos="1160" w:val="left"/>
        </w:tabs>
        <w:rPr>
          <w:sz w:val="20"/>
          <w:szCs w:val="20"/>
          <w:color w:val="auto"/>
        </w:rPr>
      </w:pPr>
      <w:r>
        <w:rPr>
          <w:rFonts w:ascii="Times New Roman" w:cs="Times New Roman" w:eastAsia="Times New Roman" w:hAnsi="Times New Roman"/>
          <w:sz w:val="16"/>
          <w:szCs w:val="16"/>
          <w:color w:val="auto"/>
        </w:rPr>
        <w:t>12.4.1.</w:t>
      </w:r>
      <w:r>
        <w:rPr>
          <w:sz w:val="20"/>
          <w:szCs w:val="20"/>
          <w:color w:val="auto"/>
        </w:rPr>
        <w:tab/>
      </w:r>
      <w:r>
        <w:rPr>
          <w:rFonts w:ascii="Times New Roman" w:cs="Times New Roman" w:eastAsia="Times New Roman" w:hAnsi="Times New Roman"/>
          <w:sz w:val="16"/>
          <w:szCs w:val="16"/>
          <w:b w:val="1"/>
          <w:bCs w:val="1"/>
          <w:color w:val="auto"/>
        </w:rPr>
        <w:t>Notices</w:t>
      </w:r>
      <w:r>
        <w:rPr>
          <w:rFonts w:ascii="Times New Roman" w:cs="Times New Roman" w:eastAsia="Times New Roman" w:hAnsi="Times New Roman"/>
          <w:sz w:val="16"/>
          <w:szCs w:val="16"/>
          <w:color w:val="auto"/>
        </w:rPr>
        <w:t>. Each Party will promptly report in writing to the other Party any Competitive Infringement of which such Party (or any of its Affiliates or Sublicensees)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becomes aware and will provide the other Party with all available evidence of such Competitive Infringement in such Party’s control.</w:t>
      </w:r>
    </w:p>
    <w:p>
      <w:pPr>
        <w:spacing w:after="0" w:line="125"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12.4.2.</w:t>
      </w:r>
      <w:r>
        <w:rPr>
          <w:sz w:val="20"/>
          <w:szCs w:val="20"/>
          <w:color w:val="auto"/>
        </w:rPr>
        <w:tab/>
      </w:r>
      <w:r>
        <w:rPr>
          <w:rFonts w:ascii="Times New Roman" w:cs="Times New Roman" w:eastAsia="Times New Roman" w:hAnsi="Times New Roman"/>
          <w:sz w:val="14"/>
          <w:szCs w:val="14"/>
          <w:b w:val="1"/>
          <w:bCs w:val="1"/>
          <w:color w:val="auto"/>
        </w:rPr>
        <w:t>Novartis Right to Enforce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680" w:hanging="504"/>
        <w:spacing w:after="0" w:line="299" w:lineRule="auto"/>
        <w:tabs>
          <w:tab w:leader="none" w:pos="167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between the Parties, Novartis, at its own cost and expense, will have (i) the first right, but not the obligation, to bring a suit or other action to abate any existing, alleged, or threatened Competitive Infringement involving one or more Licensed Product-Specific Patent Rights, Novartis Arising LC/LP Patent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1280"/>
          </w:cols>
          <w:pgMar w:left="300" w:top="123" w:right="319" w:bottom="1440" w:gutter="0" w:footer="0" w:header="0"/>
        </w:sectPr>
      </w:pPr>
    </w:p>
    <w:bookmarkStart w:id="193" w:name="page194"/>
    <w:bookmarkEnd w:id="193"/>
    <w:p>
      <w:pPr>
        <w:ind w:left="2360" w:right="360" w:hanging="2360"/>
        <w:spacing w:after="0" w:line="290" w:lineRule="auto"/>
        <w:tabs>
          <w:tab w:leader="none" w:pos="336"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20"/>
        <w:spacing w:after="0" w:line="226" w:lineRule="auto"/>
        <w:rPr>
          <w:sz w:val="20"/>
          <w:szCs w:val="20"/>
          <w:color w:val="auto"/>
        </w:rPr>
      </w:pPr>
      <w:r>
        <w:rPr>
          <w:rFonts w:ascii="Times New Roman" w:cs="Times New Roman" w:eastAsia="Times New Roman" w:hAnsi="Times New Roman"/>
          <w:sz w:val="16"/>
          <w:szCs w:val="16"/>
          <w:color w:val="auto"/>
        </w:rPr>
        <w:t xml:space="preserve">Rights, or Joint Arising Patent Rights, and (ii) the sole right, but not the obligation, to bring a suit or other action to abate any existing, alleged, or threatened infringement action (A) involving one or more Novartis Arising Patent Rights that are not Novartis Arising LC/LP Patent Rights or (B) that is </w:t>
      </w:r>
      <w:r>
        <w:rPr>
          <w:rFonts w:ascii="Times New Roman" w:cs="Times New Roman" w:eastAsia="Times New Roman" w:hAnsi="Times New Roman"/>
          <w:sz w:val="16"/>
          <w:szCs w:val="16"/>
          <w:i w:val="1"/>
          <w:iCs w:val="1"/>
          <w:color w:val="auto"/>
        </w:rPr>
        <w:t xml:space="preserve">not </w:t>
      </w:r>
      <w:r>
        <w:rPr>
          <w:rFonts w:ascii="Times New Roman" w:cs="Times New Roman" w:eastAsia="Times New Roman" w:hAnsi="Times New Roman"/>
          <w:sz w:val="16"/>
          <w:szCs w:val="16"/>
          <w:color w:val="auto"/>
        </w:rPr>
        <w:t>a Competitive Infringement involving the Joint Arising Patent Rights.</w:t>
      </w:r>
    </w:p>
    <w:p>
      <w:pPr>
        <w:spacing w:after="0" w:line="117" w:lineRule="exact"/>
        <w:rPr>
          <w:sz w:val="20"/>
          <w:szCs w:val="20"/>
          <w:color w:val="auto"/>
        </w:rPr>
      </w:pPr>
    </w:p>
    <w:p>
      <w:pPr>
        <w:jc w:val="both"/>
        <w:ind w:left="1320" w:hanging="504"/>
        <w:spacing w:after="0" w:line="209" w:lineRule="auto"/>
        <w:tabs>
          <w:tab w:leader="none" w:pos="131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Novartis will notify Arrowhead of its decision as to whether to take any action in accordance with Section 12.4.2(a)(i) (Novartis Right to Enforce) at least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before any time limit set forth in any Law or regulation, or within</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after being notified of such Competitive Infringement, whichever is shorter.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Novartis decides not to take such action with respect to a Competitive Infringement involving one or more Licensed Product-Specific Patent Rights, Novartis Arising LC/LP Patent Rights, or Joint Arising Patent Rights, then Novartis will so notify Arrowhead in writing, and following discussion with Novartis and consideration in good faith of any rationale provided by Novartis as to why Novartis elected not to take such action, and with Novartis’ written consent (not to be unreasonably withheld, conditioned or delayed) following consideration in good faith of any rationale provided by Arrowhead, Arrowhead will have the right, but not the obligation, to commence a suit or take action to enforce the applicable Licensed Product-Specific Patent Right, Novartis Arising LC/LP Patent Right, or Joint Arising Patent Right to abate such Competitive Infringement in the Territory, by counsel of its own choice and at its own cost and expense.</w:t>
      </w:r>
    </w:p>
    <w:p>
      <w:pPr>
        <w:spacing w:after="0" w:line="126" w:lineRule="exact"/>
        <w:rPr>
          <w:sz w:val="20"/>
          <w:szCs w:val="20"/>
          <w:color w:val="auto"/>
        </w:rPr>
      </w:pPr>
    </w:p>
    <w:p>
      <w:pPr>
        <w:ind w:left="160"/>
        <w:spacing w:after="0"/>
        <w:tabs>
          <w:tab w:leader="none" w:pos="800" w:val="left"/>
        </w:tabs>
        <w:rPr>
          <w:sz w:val="20"/>
          <w:szCs w:val="20"/>
          <w:color w:val="auto"/>
        </w:rPr>
      </w:pPr>
      <w:r>
        <w:rPr>
          <w:rFonts w:ascii="Times New Roman" w:cs="Times New Roman" w:eastAsia="Times New Roman" w:hAnsi="Times New Roman"/>
          <w:sz w:val="16"/>
          <w:szCs w:val="16"/>
          <w:color w:val="auto"/>
        </w:rPr>
        <w:t>12.4.3.</w:t>
      </w:r>
      <w:r>
        <w:rPr>
          <w:sz w:val="20"/>
          <w:szCs w:val="20"/>
          <w:color w:val="auto"/>
        </w:rPr>
        <w:tab/>
      </w:r>
      <w:r>
        <w:rPr>
          <w:rFonts w:ascii="Times New Roman" w:cs="Times New Roman" w:eastAsia="Times New Roman" w:hAnsi="Times New Roman"/>
          <w:sz w:val="14"/>
          <w:szCs w:val="14"/>
          <w:b w:val="1"/>
          <w:bCs w:val="1"/>
          <w:color w:val="auto"/>
        </w:rPr>
        <w:t>Arrowhead Right to Enforce</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left="1320" w:hanging="504"/>
        <w:spacing w:after="0" w:line="212" w:lineRule="auto"/>
        <w:tabs>
          <w:tab w:leader="none" w:pos="1312"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between the Parties, Arrowhead, at its own cost and expense, will have (i) the first right, but not the obligation, to bring a suit or other action to abate any existing, alleged, or threatened Competitive Infringement involving the Arrowhead Platform Patent Rights or Arising Delivery Ligand Patent Rights;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Arrowhead will seek and reasonably consider Novartis’ comments before determining the strategy for enforcing any Arrowhead Platform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Patent Right or Arising Delivery Ligand Patent Rights, and (ii) the sole right, but not the obligation, to bring a suit or other action to abate any existing, alleged, or threatened infringement action that is </w:t>
      </w:r>
      <w:r>
        <w:rPr>
          <w:rFonts w:ascii="Times New Roman" w:cs="Times New Roman" w:eastAsia="Times New Roman" w:hAnsi="Times New Roman"/>
          <w:sz w:val="16"/>
          <w:szCs w:val="16"/>
          <w:i w:val="1"/>
          <w:iCs w:val="1"/>
          <w:color w:val="auto"/>
        </w:rPr>
        <w:t>not</w:t>
      </w:r>
      <w:r>
        <w:rPr>
          <w:rFonts w:ascii="Times New Roman" w:cs="Times New Roman" w:eastAsia="Times New Roman" w:hAnsi="Times New Roman"/>
          <w:sz w:val="16"/>
          <w:szCs w:val="16"/>
          <w:color w:val="auto"/>
        </w:rPr>
        <w:t xml:space="preserve"> a Competitive Infringement involving the Arrowhead Platform Patent Rights or the Arising Delivery Ligand Patent Rights.</w:t>
      </w:r>
    </w:p>
    <w:p>
      <w:pPr>
        <w:spacing w:after="0" w:line="128" w:lineRule="exact"/>
        <w:rPr>
          <w:rFonts w:ascii="Times New Roman" w:cs="Times New Roman" w:eastAsia="Times New Roman" w:hAnsi="Times New Roman"/>
          <w:sz w:val="16"/>
          <w:szCs w:val="16"/>
          <w:color w:val="auto"/>
        </w:rPr>
      </w:pPr>
    </w:p>
    <w:p>
      <w:pPr>
        <w:jc w:val="both"/>
        <w:ind w:left="1320" w:hanging="504"/>
        <w:spacing w:after="0" w:line="209" w:lineRule="auto"/>
        <w:tabs>
          <w:tab w:leader="none" w:pos="131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Arrowhead will notify Novartis of its decision as to whether to take any action in accordance with Section 12.4.3(a)(i) (Arrowhead Right to Enforce) at least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before any time limit set forth in any Law or regulation, or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being notified of such Competitive Infringement, whichever is shorter. If Arrowhead decides not to take such action with respect to any Arrowhead Platform Patent Right or Arising Delivery Ligand Patent Right, then Arrowhead will so notify Novartis in writing, and following discussion with Arrowhead and consideration in good faith of any rationale provided by Arrowhead as to why Arrowhead elected not to take such action, and with Arrowhead’s written consent (not to be unreasonably withheld, conditioned or delayed) following consideration in good faith of any rationale provided by Novartis, Novartis will have the right, but not the obligation, to commence a suit or take action to enforce the applicable Arrowhead Platform Patent Right or Arising Delivery Ligand Patent Right to abate such Competitive Infringement in the Territory, by counsel of its own choice and at its own cost and expense.</w:t>
      </w:r>
    </w:p>
    <w:p>
      <w:pPr>
        <w:spacing w:after="0" w:line="3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920"/>
          </w:cols>
          <w:pgMar w:left="660" w:top="123" w:right="319" w:bottom="1440" w:gutter="0" w:footer="0" w:header="0"/>
        </w:sectPr>
      </w:pPr>
    </w:p>
    <w:bookmarkStart w:id="194" w:name="page195"/>
    <w:bookmarkEnd w:id="194"/>
    <w:p>
      <w:pPr>
        <w:ind w:left="2720" w:right="360" w:hanging="2360"/>
        <w:spacing w:after="0" w:line="290" w:lineRule="auto"/>
        <w:tabs>
          <w:tab w:leader="none" w:pos="696" w:val="left"/>
        </w:tabs>
        <w:numPr>
          <w:ilvl w:val="0"/>
          <w:numId w:val="1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80" w:hanging="661"/>
        <w:spacing w:after="0" w:line="252" w:lineRule="auto"/>
        <w:tabs>
          <w:tab w:leader="none" w:pos="1160" w:val="left"/>
        </w:tabs>
        <w:rPr>
          <w:sz w:val="20"/>
          <w:szCs w:val="20"/>
          <w:color w:val="auto"/>
        </w:rPr>
      </w:pPr>
      <w:r>
        <w:rPr>
          <w:rFonts w:ascii="Times New Roman" w:cs="Times New Roman" w:eastAsia="Times New Roman" w:hAnsi="Times New Roman"/>
          <w:sz w:val="16"/>
          <w:szCs w:val="16"/>
          <w:color w:val="auto"/>
        </w:rPr>
        <w:t>12.4.4.</w:t>
      </w:r>
      <w:r>
        <w:rPr>
          <w:sz w:val="20"/>
          <w:szCs w:val="20"/>
          <w:color w:val="auto"/>
        </w:rPr>
        <w:tab/>
      </w:r>
      <w:r>
        <w:rPr>
          <w:rFonts w:ascii="Times New Roman" w:cs="Times New Roman" w:eastAsia="Times New Roman" w:hAnsi="Times New Roman"/>
          <w:sz w:val="14"/>
          <w:szCs w:val="14"/>
          <w:b w:val="1"/>
          <w:bCs w:val="1"/>
          <w:color w:val="auto"/>
        </w:rPr>
        <w:t>Hatch-Waxman</w:t>
      </w:r>
      <w:r>
        <w:rPr>
          <w:rFonts w:ascii="Times New Roman" w:cs="Times New Roman" w:eastAsia="Times New Roman" w:hAnsi="Times New Roman"/>
          <w:sz w:val="14"/>
          <w:szCs w:val="14"/>
          <w:color w:val="auto"/>
        </w:rPr>
        <w:t>. Notwithstanding any provision to the contrary set forth in this Agreement, should a Party receive a certification for a Licensed Product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Hatch-Waxman Act, or its equivalent in a country other than the U.S., with respect to any activities under this Agreement in the Field, then such Party will</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promptly provide the other Party with a copy of such certification. For each Licensed Product, Novartis will have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from the date on which it receives or provides a copy of such certification to provide written notice to Arrowhead (“</w:t>
      </w:r>
      <w:r>
        <w:rPr>
          <w:rFonts w:ascii="Times New Roman" w:cs="Times New Roman" w:eastAsia="Times New Roman" w:hAnsi="Times New Roman"/>
          <w:sz w:val="14"/>
          <w:szCs w:val="14"/>
          <w:b w:val="1"/>
          <w:bCs w:val="1"/>
          <w:color w:val="auto"/>
        </w:rPr>
        <w:t>H-W Suit Notice</w:t>
      </w:r>
      <w:r>
        <w:rPr>
          <w:rFonts w:ascii="Times New Roman" w:cs="Times New Roman" w:eastAsia="Times New Roman" w:hAnsi="Times New Roman"/>
          <w:sz w:val="14"/>
          <w:szCs w:val="14"/>
          <w:color w:val="auto"/>
        </w:rPr>
        <w:t xml:space="preserve">”) whether Novartis will bring suit, at its expense, within a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ind w:left="1180"/>
        <w:spacing w:after="0" w:line="224" w:lineRule="auto"/>
        <w:rPr>
          <w:sz w:val="20"/>
          <w:szCs w:val="20"/>
          <w:color w:val="auto"/>
        </w:rPr>
      </w:pPr>
      <w:r>
        <w:rPr>
          <w:rFonts w:ascii="Times New Roman" w:cs="Times New Roman" w:eastAsia="Times New Roman" w:hAnsi="Times New Roman"/>
          <w:sz w:val="16"/>
          <w:szCs w:val="16"/>
          <w:color w:val="auto"/>
        </w:rPr>
        <w:t xml:space="preserve">period from the date of such certification. Should such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period expire without Novartis bringing suit or providing such H-W Suit Notice, then Arrowhead will be free to bring suit in its name.</w:t>
      </w:r>
    </w:p>
    <w:p>
      <w:pPr>
        <w:spacing w:after="0" w:line="107"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12.4.5.</w:t>
      </w:r>
      <w:r>
        <w:rPr>
          <w:sz w:val="20"/>
          <w:szCs w:val="20"/>
          <w:color w:val="auto"/>
        </w:rPr>
        <w:tab/>
      </w:r>
      <w:r>
        <w:rPr>
          <w:rFonts w:ascii="Times New Roman" w:cs="Times New Roman" w:eastAsia="Times New Roman" w:hAnsi="Times New Roman"/>
          <w:sz w:val="16"/>
          <w:szCs w:val="16"/>
          <w:b w:val="1"/>
          <w:bCs w:val="1"/>
          <w:color w:val="auto"/>
        </w:rPr>
        <w:t>Cooperation</w:t>
      </w:r>
      <w:r>
        <w:rPr>
          <w:rFonts w:ascii="Times New Roman" w:cs="Times New Roman" w:eastAsia="Times New Roman" w:hAnsi="Times New Roman"/>
          <w:sz w:val="16"/>
          <w:szCs w:val="16"/>
          <w:color w:val="auto"/>
        </w:rPr>
        <w:t>. Each Party will provide to the Party enforcing any Patent Rights under this Section 12.4 (Third Party Infringement and Defense) reasonable</w:t>
      </w:r>
    </w:p>
    <w:p>
      <w:pPr>
        <w:ind w:left="1180"/>
        <w:spacing w:after="0" w:line="229" w:lineRule="auto"/>
        <w:rPr>
          <w:sz w:val="20"/>
          <w:szCs w:val="20"/>
          <w:color w:val="auto"/>
        </w:rPr>
      </w:pPr>
      <w:r>
        <w:rPr>
          <w:rFonts w:ascii="Times New Roman" w:cs="Times New Roman" w:eastAsia="Times New Roman" w:hAnsi="Times New Roman"/>
          <w:sz w:val="14"/>
          <w:szCs w:val="14"/>
          <w:color w:val="auto"/>
        </w:rPr>
        <w:t>assistance in such enforcement, at such enforcing Party’s request and expense, including joining such action as a party plaintiff if required by Law to pursue such action or providing the enforcing Party any reasonably requested documentation or other materials. The enforcing Party will keep the other Party regularly</w:t>
      </w:r>
    </w:p>
    <w:p>
      <w:pPr>
        <w:ind w:left="1180"/>
        <w:spacing w:after="0" w:line="272" w:lineRule="auto"/>
        <w:rPr>
          <w:sz w:val="20"/>
          <w:szCs w:val="20"/>
          <w:color w:val="auto"/>
        </w:rPr>
      </w:pPr>
      <w:r>
        <w:rPr>
          <w:rFonts w:ascii="Times New Roman" w:cs="Times New Roman" w:eastAsia="Times New Roman" w:hAnsi="Times New Roman"/>
          <w:sz w:val="14"/>
          <w:szCs w:val="14"/>
          <w:color w:val="auto"/>
        </w:rPr>
        <w:t>informed of the status and progress of such enforcement efforts, including providing the other Party a reasonable opportunity to comment on the enforcing Party’s determination of litigation strategy and the filing of important papers to the competent court and the enforcing Party will consider such comments in good faith.</w:t>
      </w:r>
    </w:p>
    <w:p>
      <w:pPr>
        <w:spacing w:after="0" w:line="93" w:lineRule="exact"/>
        <w:rPr>
          <w:sz w:val="20"/>
          <w:szCs w:val="20"/>
          <w:color w:val="auto"/>
        </w:rPr>
      </w:pPr>
    </w:p>
    <w:p>
      <w:pPr>
        <w:jc w:val="both"/>
        <w:ind w:left="1180" w:hanging="661"/>
        <w:spacing w:after="0" w:line="227" w:lineRule="auto"/>
        <w:tabs>
          <w:tab w:leader="none" w:pos="1160" w:val="left"/>
        </w:tabs>
        <w:rPr>
          <w:sz w:val="20"/>
          <w:szCs w:val="20"/>
          <w:color w:val="auto"/>
        </w:rPr>
      </w:pPr>
      <w:r>
        <w:rPr>
          <w:rFonts w:ascii="Times New Roman" w:cs="Times New Roman" w:eastAsia="Times New Roman" w:hAnsi="Times New Roman"/>
          <w:sz w:val="16"/>
          <w:szCs w:val="16"/>
          <w:color w:val="auto"/>
        </w:rPr>
        <w:t>12.4.6.</w:t>
      </w:r>
      <w:r>
        <w:rPr>
          <w:sz w:val="20"/>
          <w:szCs w:val="20"/>
          <w:color w:val="auto"/>
        </w:rPr>
        <w:tab/>
      </w:r>
      <w:r>
        <w:rPr>
          <w:rFonts w:ascii="Times New Roman" w:cs="Times New Roman" w:eastAsia="Times New Roman" w:hAnsi="Times New Roman"/>
          <w:sz w:val="16"/>
          <w:szCs w:val="16"/>
          <w:b w:val="1"/>
          <w:bCs w:val="1"/>
          <w:color w:val="auto"/>
        </w:rPr>
        <w:t>Settlement</w:t>
      </w:r>
      <w:r>
        <w:rPr>
          <w:rFonts w:ascii="Times New Roman" w:cs="Times New Roman" w:eastAsia="Times New Roman" w:hAnsi="Times New Roman"/>
          <w:sz w:val="16"/>
          <w:szCs w:val="16"/>
          <w:color w:val="auto"/>
        </w:rPr>
        <w:t>. Neither Party will settle any claim, suit, or action that it brought under this Section 12.4 (Third Party Infringement and Defense) in a manner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would reasonably be expected to affect the other Party’s rights or interests, admit fault of the other Party, or impose any monetary or other obligation on the other Party, without the prior written consent of the other Party, which consent will not be unreasonably withheld, conditioned or delayed.</w:t>
      </w:r>
    </w:p>
    <w:p>
      <w:pPr>
        <w:spacing w:after="0" w:line="115" w:lineRule="exact"/>
        <w:rPr>
          <w:sz w:val="20"/>
          <w:szCs w:val="20"/>
          <w:color w:val="auto"/>
        </w:rPr>
      </w:pPr>
    </w:p>
    <w:p>
      <w:pPr>
        <w:jc w:val="both"/>
        <w:ind w:left="1180" w:hanging="661"/>
        <w:spacing w:after="0" w:line="269" w:lineRule="auto"/>
        <w:tabs>
          <w:tab w:leader="none" w:pos="1160" w:val="left"/>
        </w:tabs>
        <w:rPr>
          <w:sz w:val="20"/>
          <w:szCs w:val="20"/>
          <w:color w:val="auto"/>
        </w:rPr>
      </w:pPr>
      <w:r>
        <w:rPr>
          <w:rFonts w:ascii="Times New Roman" w:cs="Times New Roman" w:eastAsia="Times New Roman" w:hAnsi="Times New Roman"/>
          <w:sz w:val="16"/>
          <w:szCs w:val="16"/>
          <w:color w:val="auto"/>
        </w:rPr>
        <w:t>12.4.7.</w:t>
      </w:r>
      <w:r>
        <w:rPr>
          <w:sz w:val="20"/>
          <w:szCs w:val="20"/>
          <w:color w:val="auto"/>
        </w:rPr>
        <w:tab/>
      </w:r>
      <w:r>
        <w:rPr>
          <w:rFonts w:ascii="Times New Roman" w:cs="Times New Roman" w:eastAsia="Times New Roman" w:hAnsi="Times New Roman"/>
          <w:sz w:val="14"/>
          <w:szCs w:val="14"/>
          <w:b w:val="1"/>
          <w:bCs w:val="1"/>
          <w:color w:val="auto"/>
        </w:rPr>
        <w:t>Allocation of Proceeds</w:t>
      </w:r>
      <w:r>
        <w:rPr>
          <w:rFonts w:ascii="Times New Roman" w:cs="Times New Roman" w:eastAsia="Times New Roman" w:hAnsi="Times New Roman"/>
          <w:sz w:val="14"/>
          <w:szCs w:val="14"/>
          <w:color w:val="auto"/>
        </w:rPr>
        <w:t>. Any amount recovered in any suit or other action under this Section 12.4 (Third Party Infringement and Defense), including any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recovered in any settlement of such suit or other action, will first be used to reimburse each Party’s costs and expenses with respect to such suit or other action (which reimbursement will be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to the extent such costs and expenses exceed such recovered amount) and will thereafter be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12.5.  Defense</w:t>
      </w:r>
      <w:r>
        <w:rPr>
          <w:rFonts w:ascii="Times New Roman" w:cs="Times New Roman" w:eastAsia="Times New Roman" w:hAnsi="Times New Roman"/>
          <w:sz w:val="16"/>
          <w:szCs w:val="16"/>
          <w:color w:val="auto"/>
        </w:rPr>
        <w:t>. As between the Parties, the Party controlling the Prosecution and Maintenance of any Patent Right under Section 12.3 (Prosecution and Maintenance of Patent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will have the right (but not the obligation), at its sole discretion and its own cost and expense, to defend against a declaratory judgment action, post-grant review</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 xml:space="preserve">proceeding,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opposition proceeding, interference, or any other legal or administrative action challenging any such Patent Right. If the Party controlling such Prosecution and Maintenance of Arrowhead Platform Patent Rights, Licensed Product-Specific Patent Rights, or Novartis Arising Patent Rights, as the case may be,</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under Section 12.3 (Prosecution and Maintenance of Patent Rights) does not defend such Patent Right under this Section 12.5 (Defense)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initiation by a</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Third Party of any of the foregoing actions or proceedings or such shorter period of time as is mandated by the rules of the applicable action or proceeding to commence the defense thereof, or elects not to continue any such defense (in which case it will promptly provide written notice thereof to the other Party), then the other Party will have</w:t>
      </w:r>
    </w:p>
    <w:p>
      <w:pPr>
        <w:ind w:left="520"/>
        <w:spacing w:after="0" w:line="208" w:lineRule="auto"/>
        <w:rPr>
          <w:sz w:val="20"/>
          <w:szCs w:val="20"/>
          <w:color w:val="auto"/>
        </w:rPr>
      </w:pPr>
      <w:r>
        <w:rPr>
          <w:rFonts w:ascii="Times New Roman" w:cs="Times New Roman" w:eastAsia="Times New Roman" w:hAnsi="Times New Roman"/>
          <w:sz w:val="16"/>
          <w:szCs w:val="16"/>
          <w:color w:val="auto"/>
        </w:rPr>
        <w:t>the right (but not the obligation), at its sole discretion, to defend any such Patent Right. The defending Party will keep the other Party reasonably advised of all material</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developments in the conduct of any such defense. The defending Party will use reasonable efforts to provide the other Party with drafts of all material documents to be filed with the court or the applicable Patent Office and will consider in good faith all reasonable and timely comments thereto by such other Party before filing such documents.</w:t>
      </w:r>
    </w:p>
    <w:p>
      <w:pPr>
        <w:ind w:left="520"/>
        <w:spacing w:after="0" w:line="224" w:lineRule="auto"/>
        <w:rPr>
          <w:sz w:val="20"/>
          <w:szCs w:val="20"/>
          <w:color w:val="auto"/>
        </w:rPr>
      </w:pPr>
      <w:r>
        <w:rPr>
          <w:rFonts w:ascii="Times New Roman" w:cs="Times New Roman" w:eastAsia="Times New Roman" w:hAnsi="Times New Roman"/>
          <w:sz w:val="16"/>
          <w:szCs w:val="16"/>
          <w:color w:val="auto"/>
        </w:rPr>
        <w:t>The non-defending Party will reasonably cooperate with the Party conducting the defense of such Third Party action, at such defending Party’s cost and expense, including if required to conduct such defense,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1280"/>
          </w:cols>
          <w:pgMar w:left="300" w:top="123" w:right="319" w:bottom="1440" w:gutter="0" w:footer="0" w:header="0"/>
        </w:sectPr>
      </w:pPr>
    </w:p>
    <w:bookmarkStart w:id="195" w:name="page196"/>
    <w:bookmarkEnd w:id="195"/>
    <w:p>
      <w:pPr>
        <w:ind w:left="2720" w:right="360" w:hanging="2360"/>
        <w:spacing w:after="0" w:line="290" w:lineRule="auto"/>
        <w:tabs>
          <w:tab w:leader="none" w:pos="696"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spacing w:after="0" w:line="219" w:lineRule="auto"/>
        <w:rPr>
          <w:sz w:val="20"/>
          <w:szCs w:val="20"/>
          <w:color w:val="auto"/>
        </w:rPr>
      </w:pPr>
      <w:r>
        <w:rPr>
          <w:rFonts w:ascii="Times New Roman" w:cs="Times New Roman" w:eastAsia="Times New Roman" w:hAnsi="Times New Roman"/>
          <w:sz w:val="16"/>
          <w:szCs w:val="16"/>
          <w:color w:val="auto"/>
        </w:rPr>
        <w:t xml:space="preserve">furnishing a power of attorney. Any awards or amounts received in defending any such action will be allocated between the Parties as provided in Section 12.4.7 (Allocation of Proceeds) applying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222"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12.6.</w:t>
      </w:r>
      <w:r>
        <w:rPr>
          <w:sz w:val="20"/>
          <w:szCs w:val="20"/>
          <w:color w:val="auto"/>
        </w:rPr>
        <w:tab/>
      </w:r>
      <w:r>
        <w:rPr>
          <w:rFonts w:ascii="Times New Roman" w:cs="Times New Roman" w:eastAsia="Times New Roman" w:hAnsi="Times New Roman"/>
          <w:sz w:val="14"/>
          <w:szCs w:val="14"/>
          <w:b w:val="1"/>
          <w:bCs w:val="1"/>
          <w:color w:val="auto"/>
        </w:rPr>
        <w:t>Infringement of Third Party Rights</w:t>
      </w:r>
      <w:r>
        <w:rPr>
          <w:rFonts w:ascii="Times New Roman" w:cs="Times New Roman" w:eastAsia="Times New Roman" w:hAnsi="Times New Roman"/>
          <w:sz w:val="14"/>
          <w:szCs w:val="14"/>
          <w:color w:val="auto"/>
        </w:rPr>
        <w:t>.</w:t>
      </w:r>
    </w:p>
    <w:p>
      <w:pPr>
        <w:ind w:left="1180" w:hanging="661"/>
        <w:spacing w:after="0" w:line="224" w:lineRule="auto"/>
        <w:tabs>
          <w:tab w:leader="none" w:pos="1160" w:val="left"/>
        </w:tabs>
        <w:rPr>
          <w:sz w:val="20"/>
          <w:szCs w:val="20"/>
          <w:color w:val="auto"/>
        </w:rPr>
      </w:pPr>
      <w:r>
        <w:rPr>
          <w:rFonts w:ascii="Times New Roman" w:cs="Times New Roman" w:eastAsia="Times New Roman" w:hAnsi="Times New Roman"/>
          <w:sz w:val="16"/>
          <w:szCs w:val="16"/>
          <w:color w:val="auto"/>
        </w:rPr>
        <w:t>12.6.1.</w:t>
      </w:r>
      <w:r>
        <w:rPr>
          <w:sz w:val="20"/>
          <w:szCs w:val="20"/>
          <w:color w:val="auto"/>
        </w:rPr>
        <w:tab/>
      </w:r>
      <w:r>
        <w:rPr>
          <w:rFonts w:ascii="Times New Roman" w:cs="Times New Roman" w:eastAsia="Times New Roman" w:hAnsi="Times New Roman"/>
          <w:sz w:val="16"/>
          <w:szCs w:val="16"/>
          <w:b w:val="1"/>
          <w:bCs w:val="1"/>
          <w:color w:val="auto"/>
        </w:rPr>
        <w:t>Notice</w:t>
      </w:r>
      <w:r>
        <w:rPr>
          <w:rFonts w:ascii="Times New Roman" w:cs="Times New Roman" w:eastAsia="Times New Roman" w:hAnsi="Times New Roman"/>
          <w:sz w:val="16"/>
          <w:szCs w:val="16"/>
          <w:color w:val="auto"/>
        </w:rPr>
        <w:t>. If any Licensed Product becomes the subject of a Third Party’s claim or assertion of infringement of a Patent Right of such Third Party within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Territory, then the Party first having notice of the claim or assertion will promptly notify the other Party.</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12.6.2.   </w:t>
      </w:r>
      <w:r>
        <w:rPr>
          <w:rFonts w:ascii="Times New Roman" w:cs="Times New Roman" w:eastAsia="Times New Roman" w:hAnsi="Times New Roman"/>
          <w:sz w:val="16"/>
          <w:szCs w:val="16"/>
          <w:b w:val="1"/>
          <w:bCs w:val="1"/>
          <w:color w:val="auto"/>
        </w:rPr>
        <w:t>Defense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will have the first right, but not the obligation, to defend or settle any such Third Party claim or assertion of infringement of such Third Party’s Patent Right, at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cost and expense. If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does not defend such Third Party claim or assertion of infringement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initiation by such</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 xml:space="preserve">Third Party of such claim or such shorter period of time as is mandated by the rules of such claim to commence the defense thereof, or elects not to continue any such defense (in which case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will promptly provide written notice thereof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will have the right (but not the obligation), at its sole</w:t>
      </w:r>
    </w:p>
    <w:p>
      <w:pPr>
        <w:ind w:left="1180"/>
        <w:spacing w:after="0"/>
        <w:rPr>
          <w:sz w:val="20"/>
          <w:szCs w:val="20"/>
          <w:color w:val="auto"/>
        </w:rPr>
      </w:pPr>
      <w:r>
        <w:rPr>
          <w:rFonts w:ascii="Times New Roman" w:cs="Times New Roman" w:eastAsia="Times New Roman" w:hAnsi="Times New Roman"/>
          <w:sz w:val="14"/>
          <w:szCs w:val="14"/>
          <w:color w:val="auto"/>
        </w:rPr>
        <w:t>discretion, to defend any such Third Party claim or assertion of infringement. The non-defending Party will reasonably cooperate with the Party conducting the</w:t>
      </w:r>
    </w:p>
    <w:p>
      <w:pPr>
        <w:ind w:left="1180"/>
        <w:spacing w:after="0" w:line="229" w:lineRule="auto"/>
        <w:rPr>
          <w:sz w:val="20"/>
          <w:szCs w:val="20"/>
          <w:color w:val="auto"/>
        </w:rPr>
      </w:pPr>
      <w:r>
        <w:rPr>
          <w:rFonts w:ascii="Times New Roman" w:cs="Times New Roman" w:eastAsia="Times New Roman" w:hAnsi="Times New Roman"/>
          <w:sz w:val="14"/>
          <w:szCs w:val="14"/>
          <w:color w:val="auto"/>
        </w:rPr>
        <w:t>defense of the claim or assertion, at such defending Party’s cost and expense, including if required to conduct such defense, furnishing a power of attorney. The defending Party will keep the non-defending Party reasonably advised of all material developments in the conduct of any proceedings in defending such Third</w:t>
      </w:r>
    </w:p>
    <w:p>
      <w:pPr>
        <w:ind w:left="1180"/>
        <w:spacing w:after="0" w:line="224" w:lineRule="auto"/>
        <w:rPr>
          <w:sz w:val="20"/>
          <w:szCs w:val="20"/>
          <w:color w:val="auto"/>
        </w:rPr>
      </w:pPr>
      <w:r>
        <w:rPr>
          <w:rFonts w:ascii="Times New Roman" w:cs="Times New Roman" w:eastAsia="Times New Roman" w:hAnsi="Times New Roman"/>
          <w:sz w:val="16"/>
          <w:szCs w:val="16"/>
          <w:color w:val="auto"/>
        </w:rPr>
        <w:t>Party claim or assertion. The defending Party will provide the non-defending Party with drafts of all material papers to be filed with the court and will consider in good faith all reasonable comments thereto by the non-defending Party before filing such papers.</w:t>
      </w:r>
    </w:p>
    <w:p>
      <w:pPr>
        <w:spacing w:after="0" w:line="114"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12.6.3.   </w:t>
      </w:r>
      <w:r>
        <w:rPr>
          <w:rFonts w:ascii="Times New Roman" w:cs="Times New Roman" w:eastAsia="Times New Roman" w:hAnsi="Times New Roman"/>
          <w:sz w:val="16"/>
          <w:szCs w:val="16"/>
          <w:b w:val="1"/>
          <w:bCs w:val="1"/>
          <w:color w:val="auto"/>
        </w:rPr>
        <w:t>Settlement; Licenses</w:t>
      </w:r>
      <w:r>
        <w:rPr>
          <w:rFonts w:ascii="Times New Roman" w:cs="Times New Roman" w:eastAsia="Times New Roman" w:hAnsi="Times New Roman"/>
          <w:sz w:val="16"/>
          <w:szCs w:val="16"/>
          <w:color w:val="auto"/>
        </w:rPr>
        <w:t>. Except as otherwise provided in Article 11 (Indemnification; Limitation of Liability; Insurance), neither Party will enter into any settlement of any claim described in this Section 12.6 (Infringement of Third Party Rights) that affects the other Party’s rights or interests, admits faults of the</w:t>
      </w:r>
    </w:p>
    <w:p>
      <w:pPr>
        <w:spacing w:after="0" w:line="1" w:lineRule="exact"/>
        <w:rPr>
          <w:sz w:val="20"/>
          <w:szCs w:val="20"/>
          <w:color w:val="auto"/>
        </w:rPr>
      </w:pPr>
    </w:p>
    <w:p>
      <w:pPr>
        <w:ind w:left="1180"/>
        <w:spacing w:after="0" w:line="200" w:lineRule="auto"/>
        <w:rPr>
          <w:sz w:val="20"/>
          <w:szCs w:val="20"/>
          <w:color w:val="auto"/>
        </w:rPr>
      </w:pPr>
      <w:r>
        <w:rPr>
          <w:rFonts w:ascii="Times New Roman" w:cs="Times New Roman" w:eastAsia="Times New Roman" w:hAnsi="Times New Roman"/>
          <w:sz w:val="16"/>
          <w:szCs w:val="16"/>
          <w:color w:val="auto"/>
        </w:rPr>
        <w:t>other Party, or imposes any monetary or other obligations on the other Party, without such other Party’s written consent, such consent not to be unreasonably withheld, conditioned, or delayed. Each Party will have the right to decline to defend or to tender the defense of any claim described in this Section 12.6</w:t>
      </w:r>
    </w:p>
    <w:p>
      <w:pPr>
        <w:ind w:left="1180"/>
        <w:spacing w:after="0"/>
        <w:rPr>
          <w:sz w:val="20"/>
          <w:szCs w:val="20"/>
          <w:color w:val="auto"/>
        </w:rPr>
      </w:pPr>
      <w:r>
        <w:rPr>
          <w:rFonts w:ascii="Times New Roman" w:cs="Times New Roman" w:eastAsia="Times New Roman" w:hAnsi="Times New Roman"/>
          <w:sz w:val="14"/>
          <w:szCs w:val="14"/>
          <w:color w:val="auto"/>
        </w:rPr>
        <w:t>(Infringement of Third Party Rights) upon reasonable written notice to the other Party, including if the other Party fails to agree to a settlement that the declining</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Party proposes. Except as otherwise provided in Article 11 (Indemnification; Limitation of Liability; Insurance), any settlement or license fees incurred by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under this Section 12.6.3 (Settlement; Licenses) will be allocated in accordance with the principle set forth in Section 8.5.3 (Third Party Payments) to the extent</w:t>
      </w:r>
    </w:p>
    <w:p>
      <w:pPr>
        <w:ind w:left="1180"/>
        <w:spacing w:after="0" w:line="224" w:lineRule="auto"/>
        <w:rPr>
          <w:sz w:val="20"/>
          <w:szCs w:val="20"/>
          <w:color w:val="auto"/>
        </w:rPr>
      </w:pPr>
      <w:r>
        <w:rPr>
          <w:rFonts w:ascii="Times New Roman" w:cs="Times New Roman" w:eastAsia="Times New Roman" w:hAnsi="Times New Roman"/>
          <w:sz w:val="16"/>
          <w:szCs w:val="16"/>
          <w:color w:val="auto"/>
        </w:rPr>
        <w:t>that the Patent Right that is the subject of such settlement license Covers the making, using, selling, offering for sale, or importing of a Licensed Product in the relevant country for which such rights are licensed thereunder.</w:t>
      </w:r>
    </w:p>
    <w:p>
      <w:pPr>
        <w:spacing w:after="0" w:line="114" w:lineRule="exact"/>
        <w:rPr>
          <w:sz w:val="20"/>
          <w:szCs w:val="20"/>
          <w:color w:val="auto"/>
        </w:rPr>
      </w:pPr>
    </w:p>
    <w:p>
      <w:pPr>
        <w:jc w:val="right"/>
        <w:spacing w:after="0" w:line="252" w:lineRule="auto"/>
        <w:rPr>
          <w:sz w:val="20"/>
          <w:szCs w:val="20"/>
          <w:color w:val="auto"/>
        </w:rPr>
      </w:pPr>
      <w:r>
        <w:rPr>
          <w:rFonts w:ascii="Times New Roman" w:cs="Times New Roman" w:eastAsia="Times New Roman" w:hAnsi="Times New Roman"/>
          <w:sz w:val="14"/>
          <w:szCs w:val="14"/>
          <w:b w:val="1"/>
          <w:bCs w:val="1"/>
          <w:color w:val="auto"/>
        </w:rPr>
        <w:t>12.7.  Other Invalidity or Unenforceability Proceedings</w:t>
      </w:r>
      <w:r>
        <w:rPr>
          <w:rFonts w:ascii="Times New Roman" w:cs="Times New Roman" w:eastAsia="Times New Roman" w:hAnsi="Times New Roman"/>
          <w:sz w:val="14"/>
          <w:szCs w:val="14"/>
          <w:color w:val="auto"/>
        </w:rPr>
        <w:t>. If either Party desires to bring an opposition, action for declaratory judgment, nullity action, interference, declaration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non-infringement, reexamination, post-grant proceedings, or other attack upon the validity, title, or enforceability of a Patent Right owned or controlled by a Third Party</w:t>
      </w:r>
    </w:p>
    <w:p>
      <w:pPr>
        <w:ind w:left="520"/>
        <w:spacing w:after="0" w:line="229" w:lineRule="auto"/>
        <w:rPr>
          <w:sz w:val="20"/>
          <w:szCs w:val="20"/>
          <w:color w:val="auto"/>
        </w:rPr>
      </w:pPr>
      <w:r>
        <w:rPr>
          <w:rFonts w:ascii="Times New Roman" w:cs="Times New Roman" w:eastAsia="Times New Roman" w:hAnsi="Times New Roman"/>
          <w:sz w:val="14"/>
          <w:szCs w:val="14"/>
          <w:color w:val="auto"/>
        </w:rPr>
        <w:t>and having one or more claims that Cover a Licensed Product, or the use, sale, offer for sale, or importation of a Licensed Product (</w:t>
      </w:r>
      <w:r>
        <w:rPr>
          <w:rFonts w:ascii="Times New Roman" w:cs="Times New Roman" w:eastAsia="Times New Roman" w:hAnsi="Times New Roman"/>
          <w:sz w:val="14"/>
          <w:szCs w:val="14"/>
          <w:i w:val="1"/>
          <w:iCs w:val="1"/>
          <w:color w:val="auto"/>
        </w:rPr>
        <w:t>except</w:t>
      </w:r>
      <w:r>
        <w:rPr>
          <w:rFonts w:ascii="Times New Roman" w:cs="Times New Roman" w:eastAsia="Times New Roman" w:hAnsi="Times New Roman"/>
          <w:sz w:val="14"/>
          <w:szCs w:val="14"/>
          <w:color w:val="auto"/>
        </w:rPr>
        <w:t xml:space="preserve"> insofar as such action is a counterclaim to or defense of, or accompanies a defense of, a Third Party’s claim or assertion of infringement under Section 12.6 (Infringement of Third Party Rights), in</w:t>
      </w:r>
    </w:p>
    <w:p>
      <w:pPr>
        <w:ind w:left="520"/>
        <w:spacing w:after="0" w:line="237" w:lineRule="auto"/>
        <w:rPr>
          <w:sz w:val="20"/>
          <w:szCs w:val="20"/>
          <w:color w:val="auto"/>
        </w:rPr>
      </w:pPr>
      <w:r>
        <w:rPr>
          <w:rFonts w:ascii="Times New Roman" w:cs="Times New Roman" w:eastAsia="Times New Roman" w:hAnsi="Times New Roman"/>
          <w:sz w:val="14"/>
          <w:szCs w:val="14"/>
          <w:color w:val="auto"/>
        </w:rPr>
        <w:t>which case the provisions of Section 12.6 (Infringement of Third Party Rights) will govern), such Party will so notify the other Party and the Parties will promptly confer to</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determine whether to bring such action or the manner in which to settle such action, and if any such action is brought by a Party, each Party will provide such assistance as may be reasonably requested by the other Party (at such other Party’s cost) in connection with such action.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1280"/>
          </w:cols>
          <w:pgMar w:left="300" w:top="123" w:right="319" w:bottom="1440" w:gutter="0" w:footer="0" w:header="0"/>
        </w:sectPr>
      </w:pPr>
    </w:p>
    <w:bookmarkStart w:id="196" w:name="page197"/>
    <w:bookmarkEnd w:id="196"/>
    <w:p>
      <w:pPr>
        <w:ind w:left="2720" w:right="360" w:hanging="2360"/>
        <w:spacing w:after="0" w:line="290" w:lineRule="auto"/>
        <w:tabs>
          <w:tab w:leader="none" w:pos="696" w:val="left"/>
        </w:tabs>
        <w:numPr>
          <w:ilvl w:val="0"/>
          <w:numId w:val="1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12.8.  Patent Right Extensions</w:t>
      </w:r>
      <w:r>
        <w:rPr>
          <w:rFonts w:ascii="Times New Roman" w:cs="Times New Roman" w:eastAsia="Times New Roman" w:hAnsi="Times New Roman"/>
          <w:sz w:val="16"/>
          <w:szCs w:val="16"/>
          <w:color w:val="auto"/>
        </w:rPr>
        <w:t>. Subject to the remainder of this Section 12.8 (Patent Right Extensions), Novartis will have the sole right to elect and file for patent term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restoration or extension, supplemental protection certificate, or any of their equivalents (hereinafter, “</w:t>
      </w:r>
      <w:r>
        <w:rPr>
          <w:rFonts w:ascii="Times New Roman" w:cs="Times New Roman" w:eastAsia="Times New Roman" w:hAnsi="Times New Roman"/>
          <w:sz w:val="16"/>
          <w:szCs w:val="16"/>
          <w:b w:val="1"/>
          <w:bCs w:val="1"/>
          <w:color w:val="auto"/>
        </w:rPr>
        <w:t>Patent Term Extensions</w:t>
      </w:r>
      <w:r>
        <w:rPr>
          <w:rFonts w:ascii="Times New Roman" w:cs="Times New Roman" w:eastAsia="Times New Roman" w:hAnsi="Times New Roman"/>
          <w:sz w:val="16"/>
          <w:szCs w:val="16"/>
          <w:color w:val="auto"/>
        </w:rPr>
        <w:t>”) with respect to Novartis Prosecuted Patent</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 xml:space="preserve">Rights or other Novartis Arising Patent Rights for any Licensed Product in the Territory,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avoidance of doubt, Novartis may not file a request for a Patent Term Extension for any Arrowhead Platform Patent Rights without Arrowhead’s prior written consent, which consent will not be unreasonably withheld, conditioned,</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or delayed.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Upon Novartis’ request and at its cost and expense, Arrowhead will reasonably cooperate with Novartis in any fillings made by Novartis pursuant to this</w:t>
      </w:r>
    </w:p>
    <w:p>
      <w:pPr>
        <w:spacing w:after="0" w:line="1"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4"/>
          <w:szCs w:val="14"/>
          <w:color w:val="auto"/>
        </w:rPr>
        <w:t xml:space="preserve">Section 12.8 (Patent Right Extensions). Novartis will bear all Patent Costs incurred by Novartis in making any such filing in the Territory for such Licensed Product.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12.9. Orange/Purple Book Listing</w:t>
      </w:r>
      <w:r>
        <w:rPr>
          <w:rFonts w:ascii="Times New Roman" w:cs="Times New Roman" w:eastAsia="Times New Roman" w:hAnsi="Times New Roman"/>
          <w:sz w:val="14"/>
          <w:szCs w:val="14"/>
          <w:color w:val="auto"/>
        </w:rPr>
        <w:t>. Novartis and Arrowhead will discuss in good faith the Arrowhead Patent Rights or Joint Arising Patent Rights that will be included in the</w:t>
      </w:r>
    </w:p>
    <w:p>
      <w:pPr>
        <w:ind w:left="520"/>
        <w:spacing w:after="0" w:line="229" w:lineRule="auto"/>
        <w:rPr>
          <w:sz w:val="20"/>
          <w:szCs w:val="20"/>
          <w:color w:val="auto"/>
        </w:rPr>
      </w:pPr>
      <w:r>
        <w:rPr>
          <w:rFonts w:ascii="Times New Roman" w:cs="Times New Roman" w:eastAsia="Times New Roman" w:hAnsi="Times New Roman"/>
          <w:sz w:val="14"/>
          <w:szCs w:val="14"/>
          <w:color w:val="auto"/>
        </w:rPr>
        <w:t>Orange/Purple Book in connection with the Regulatory Approval of Licensed Products in the Territory, and, after considering Arrowhead’s comments in good faith, Novartis will have the sole right to determine which Patent Rights will be included. Arrowhead will provide such assistance as may be reasonably requested by Novartis in</w:t>
      </w:r>
    </w:p>
    <w:p>
      <w:pPr>
        <w:ind w:left="520"/>
        <w:spacing w:after="0" w:line="208" w:lineRule="auto"/>
        <w:rPr>
          <w:sz w:val="20"/>
          <w:szCs w:val="20"/>
          <w:color w:val="auto"/>
        </w:rPr>
      </w:pPr>
      <w:r>
        <w:rPr>
          <w:rFonts w:ascii="Times New Roman" w:cs="Times New Roman" w:eastAsia="Times New Roman" w:hAnsi="Times New Roman"/>
          <w:sz w:val="16"/>
          <w:szCs w:val="16"/>
          <w:color w:val="auto"/>
        </w:rPr>
        <w:t>connection with such listing, at Novartis’ cost and expense.</w:t>
      </w: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12.10.  Trademarks</w:t>
      </w:r>
      <w:r>
        <w:rPr>
          <w:rFonts w:ascii="Times New Roman" w:cs="Times New Roman" w:eastAsia="Times New Roman" w:hAnsi="Times New Roman"/>
          <w:sz w:val="16"/>
          <w:szCs w:val="16"/>
          <w:color w:val="auto"/>
        </w:rPr>
        <w:t>. Novartis will have the right to brand Licensed Products in the Territory using Novartis-related Trademarks and any other Trademarks it determines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which may vary by country or within a country of the Territory. Novartis will own all rights, title, and interests in and to such Trademarks, including all</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goodwill associated therewith, and will have the sole right to register and maintain such Trademarks in the countries and regions of the Territory that it determines, at Novartis’ cost and expense.</w:t>
      </w:r>
    </w:p>
    <w:p>
      <w:pPr>
        <w:spacing w:after="0" w:line="1"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12.11.  Common Interest</w:t>
      </w:r>
      <w:r>
        <w:rPr>
          <w:rFonts w:ascii="Times New Roman" w:cs="Times New Roman" w:eastAsia="Times New Roman" w:hAnsi="Times New Roman"/>
          <w:sz w:val="16"/>
          <w:szCs w:val="16"/>
          <w:color w:val="auto"/>
        </w:rPr>
        <w:t>. All non-public information exchanged between the Parties or between a Party’s outside patent counsel and the other Party regarding the preparation,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filing, prosecution, maintenance, defense and enforcement of the Arrowhead Patent Rights, Arising Patent Rights, or otherwise related to any Licensed Compound or any</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Licensed Product, and all shared information regarding analyses or opinions of Patent Rights or Know-How of a Third Party, will be deemed Confidential Information hereunder. The Parties agree and acknowledge that they have not waived, and nothing in this Agreement constitutes a waiver of, any legal privilege concerning any such</w:t>
      </w:r>
    </w:p>
    <w:p>
      <w:pPr>
        <w:ind w:left="520"/>
        <w:spacing w:after="0" w:line="208" w:lineRule="auto"/>
        <w:rPr>
          <w:sz w:val="20"/>
          <w:szCs w:val="20"/>
          <w:color w:val="auto"/>
        </w:rPr>
      </w:pPr>
      <w:r>
        <w:rPr>
          <w:rFonts w:ascii="Times New Roman" w:cs="Times New Roman" w:eastAsia="Times New Roman" w:hAnsi="Times New Roman"/>
          <w:sz w:val="16"/>
          <w:szCs w:val="16"/>
          <w:color w:val="auto"/>
        </w:rPr>
        <w:t>Patent Rights, Know-How, or Confidential Information, including privilege under the common interest doctrine and similar or related doctrines. In furtherance of the</w:t>
      </w:r>
    </w:p>
    <w:p>
      <w:pPr>
        <w:ind w:left="520"/>
        <w:spacing w:after="0" w:line="229" w:lineRule="auto"/>
        <w:rPr>
          <w:sz w:val="20"/>
          <w:szCs w:val="20"/>
          <w:color w:val="auto"/>
        </w:rPr>
      </w:pPr>
      <w:r>
        <w:rPr>
          <w:rFonts w:ascii="Times New Roman" w:cs="Times New Roman" w:eastAsia="Times New Roman" w:hAnsi="Times New Roman"/>
          <w:sz w:val="14"/>
          <w:szCs w:val="14"/>
          <w:color w:val="auto"/>
        </w:rPr>
        <w:t>foregoing, if the Parties agree that a separate agreement memorializing this understanding would be advantageous, then the Parties will negotiate and enter into a common interest agreement reflecting this understanding or any other common interest agreement as the Parties may mutually agree, including with respect to any product liability</w:t>
      </w:r>
    </w:p>
    <w:p>
      <w:pPr>
        <w:ind w:left="520"/>
        <w:spacing w:after="0" w:line="208" w:lineRule="auto"/>
        <w:rPr>
          <w:sz w:val="20"/>
          <w:szCs w:val="20"/>
          <w:color w:val="auto"/>
        </w:rPr>
      </w:pPr>
      <w:r>
        <w:rPr>
          <w:rFonts w:ascii="Times New Roman" w:cs="Times New Roman" w:eastAsia="Times New Roman" w:hAnsi="Times New Roman"/>
          <w:sz w:val="16"/>
          <w:szCs w:val="16"/>
          <w:color w:val="auto"/>
        </w:rPr>
        <w:t>for a Licensed Product.</w:t>
      </w:r>
    </w:p>
    <w:p>
      <w:pPr>
        <w:ind w:left="500" w:hanging="495"/>
        <w:spacing w:after="0"/>
        <w:tabs>
          <w:tab w:leader="none" w:pos="500" w:val="left"/>
        </w:tabs>
        <w:numPr>
          <w:ilvl w:val="0"/>
          <w:numId w:val="1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 AND TERMINATION</w:t>
      </w:r>
    </w:p>
    <w:p>
      <w:pPr>
        <w:spacing w:after="0" w:line="11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13.1.  Term</w:t>
      </w:r>
      <w:r>
        <w:rPr>
          <w:rFonts w:ascii="Times New Roman" w:cs="Times New Roman" w:eastAsia="Times New Roman" w:hAnsi="Times New Roman"/>
          <w:sz w:val="16"/>
          <w:szCs w:val="16"/>
          <w:color w:val="auto"/>
        </w:rPr>
        <w:t>. This Agreement will commence upon the Effective Date and, if not otherwise terminated earlier pursuant to this Article 13 (Term and Termination), will continue,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Licensed Product-by-Licensed Product and country-by-country basis, in full force and effect until the expiration of the Royalty Term applicable to such Licensed Product</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and such country and will expire in its entirety upon the expiration of the last Royalty Term (the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Upon expiration of the Royalty Term for a Licensed Product in a country in the Territory, the licenses granted by Arrowhead to Novartis in Section 2.1 (Exclusive License Grants to Novartis) with respect to such Licensed Product in such</w:t>
      </w:r>
    </w:p>
    <w:p>
      <w:pPr>
        <w:ind w:left="520"/>
        <w:spacing w:after="0" w:line="208" w:lineRule="auto"/>
        <w:rPr>
          <w:sz w:val="20"/>
          <w:szCs w:val="20"/>
          <w:color w:val="auto"/>
        </w:rPr>
      </w:pPr>
      <w:r>
        <w:rPr>
          <w:rFonts w:ascii="Times New Roman" w:cs="Times New Roman" w:eastAsia="Times New Roman" w:hAnsi="Times New Roman"/>
          <w:sz w:val="16"/>
          <w:szCs w:val="16"/>
          <w:color w:val="auto"/>
        </w:rPr>
        <w:t>country will become fully paid, irrevocable, and perpetual.</w:t>
      </w:r>
    </w:p>
    <w:p>
      <w:pPr>
        <w:spacing w:after="0" w:line="221"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13.2.</w:t>
      </w:r>
      <w:r>
        <w:rPr>
          <w:sz w:val="20"/>
          <w:szCs w:val="20"/>
          <w:color w:val="auto"/>
        </w:rPr>
        <w:tab/>
      </w:r>
      <w:r>
        <w:rPr>
          <w:rFonts w:ascii="Times New Roman" w:cs="Times New Roman" w:eastAsia="Times New Roman" w:hAnsi="Times New Roman"/>
          <w:sz w:val="14"/>
          <w:szCs w:val="14"/>
          <w:b w:val="1"/>
          <w:bCs w:val="1"/>
          <w:color w:val="auto"/>
        </w:rPr>
        <w:t>Termination for Convenience</w:t>
      </w:r>
      <w:r>
        <w:rPr>
          <w:rFonts w:ascii="Times New Roman" w:cs="Times New Roman" w:eastAsia="Times New Roman" w:hAnsi="Times New Roman"/>
          <w:sz w:val="14"/>
          <w:szCs w:val="14"/>
          <w:color w:val="auto"/>
        </w:rPr>
        <w:t>.</w:t>
      </w:r>
    </w:p>
    <w:p>
      <w:pPr>
        <w:jc w:val="right"/>
        <w:ind w:left="520"/>
        <w:spacing w:after="0" w:line="207" w:lineRule="auto"/>
        <w:rPr>
          <w:sz w:val="20"/>
          <w:szCs w:val="20"/>
          <w:color w:val="auto"/>
        </w:rPr>
      </w:pPr>
      <w:r>
        <w:rPr>
          <w:rFonts w:ascii="Times New Roman" w:cs="Times New Roman" w:eastAsia="Times New Roman" w:hAnsi="Times New Roman"/>
          <w:sz w:val="16"/>
          <w:szCs w:val="16"/>
          <w:color w:val="auto"/>
        </w:rPr>
        <w:t xml:space="preserve">13.2.1.   </w:t>
      </w:r>
      <w:r>
        <w:rPr>
          <w:rFonts w:ascii="Times New Roman" w:cs="Times New Roman" w:eastAsia="Times New Roman" w:hAnsi="Times New Roman"/>
          <w:sz w:val="16"/>
          <w:szCs w:val="16"/>
          <w:b w:val="1"/>
          <w:bCs w:val="1"/>
          <w:color w:val="auto"/>
        </w:rPr>
        <w:t>Prior to First Regulatory Approval</w:t>
      </w:r>
      <w:r>
        <w:rPr>
          <w:rFonts w:ascii="Times New Roman" w:cs="Times New Roman" w:eastAsia="Times New Roman" w:hAnsi="Times New Roman"/>
          <w:sz w:val="16"/>
          <w:szCs w:val="16"/>
          <w:color w:val="auto"/>
        </w:rPr>
        <w:t xml:space="preserve">. Novartis will be entitled to terminate this Agreement (a) in its entirety (for all Programs and all Licensed Compounds and all Licensed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throughout the Territory, prior to receipt of Regulatory Approval in a Major Region of the first Licensed Product that is the subject of</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any Program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or (b) on a Program-by-Program basis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throughout the Territory, for all Licensed Compounds and all Licensed Products that are the subject of such Program, prior to receipt of Regulatory Approval in a Major Region of the first Licensed Product that is the subject of such Program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in each</w:t>
      </w:r>
    </w:p>
    <w:p>
      <w:pPr>
        <w:ind w:left="1180"/>
        <w:spacing w:after="0"/>
        <w:rPr>
          <w:sz w:val="20"/>
          <w:szCs w:val="20"/>
          <w:color w:val="auto"/>
        </w:rPr>
      </w:pPr>
      <w:r>
        <w:rPr>
          <w:rFonts w:ascii="Times New Roman" w:cs="Times New Roman" w:eastAsia="Times New Roman" w:hAnsi="Times New Roman"/>
          <w:sz w:val="16"/>
          <w:szCs w:val="16"/>
          <w:color w:val="auto"/>
        </w:rPr>
        <w:t xml:space="preserve">case ((a) and (b)), at its sole discretion upon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written notice to Arrowhead thereof.</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1280"/>
          </w:cols>
          <w:pgMar w:left="300" w:top="123" w:right="319" w:bottom="1440" w:gutter="0" w:footer="0" w:header="0"/>
        </w:sectPr>
      </w:pPr>
    </w:p>
    <w:bookmarkStart w:id="197" w:name="page198"/>
    <w:bookmarkEnd w:id="197"/>
    <w:p>
      <w:pPr>
        <w:ind w:left="2720" w:right="360" w:hanging="2360"/>
        <w:spacing w:after="0" w:line="290" w:lineRule="auto"/>
        <w:tabs>
          <w:tab w:leader="none" w:pos="696" w:val="left"/>
        </w:tabs>
        <w:numPr>
          <w:ilvl w:val="0"/>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left="520"/>
        <w:spacing w:after="0" w:line="220" w:lineRule="auto"/>
        <w:rPr>
          <w:sz w:val="20"/>
          <w:szCs w:val="20"/>
          <w:color w:val="auto"/>
        </w:rPr>
      </w:pPr>
      <w:r>
        <w:rPr>
          <w:rFonts w:ascii="Times New Roman" w:cs="Times New Roman" w:eastAsia="Times New Roman" w:hAnsi="Times New Roman"/>
          <w:sz w:val="16"/>
          <w:szCs w:val="16"/>
          <w:color w:val="auto"/>
        </w:rPr>
        <w:t xml:space="preserve">13.2.2.   </w:t>
      </w:r>
      <w:r>
        <w:rPr>
          <w:rFonts w:ascii="Times New Roman" w:cs="Times New Roman" w:eastAsia="Times New Roman" w:hAnsi="Times New Roman"/>
          <w:sz w:val="16"/>
          <w:szCs w:val="16"/>
          <w:b w:val="1"/>
          <w:bCs w:val="1"/>
          <w:color w:val="auto"/>
        </w:rPr>
        <w:t>After First Regulatory Approval</w:t>
      </w:r>
      <w:r>
        <w:rPr>
          <w:rFonts w:ascii="Times New Roman" w:cs="Times New Roman" w:eastAsia="Times New Roman" w:hAnsi="Times New Roman"/>
          <w:sz w:val="16"/>
          <w:szCs w:val="16"/>
          <w:color w:val="auto"/>
        </w:rPr>
        <w:t xml:space="preserve">. Novartis will be entitled to terminate this Agreement (a) in its entirety (for all Programs and all Licensed Compounds and all Licensed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throughout the Territory, after receipt of Regulatory Approval in a Major Region of the first Licensed Product that is the subject of any</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Program has been obtained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or (b) on a Program-by-Program basis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throughout the Territory, for all Licensed Compounds and all Licensed Products that are the subject of such Program throughout the entire Territory, after receipt of Regulatory Approval in a Major Region of the first Licensed Product that is</w:t>
      </w:r>
    </w:p>
    <w:p>
      <w:pPr>
        <w:ind w:left="1180"/>
        <w:spacing w:after="0"/>
        <w:rPr>
          <w:sz w:val="20"/>
          <w:szCs w:val="20"/>
          <w:color w:val="auto"/>
        </w:rPr>
      </w:pPr>
      <w:r>
        <w:rPr>
          <w:rFonts w:ascii="Times New Roman" w:cs="Times New Roman" w:eastAsia="Times New Roman" w:hAnsi="Times New Roman"/>
          <w:sz w:val="16"/>
          <w:szCs w:val="16"/>
          <w:color w:val="auto"/>
        </w:rPr>
        <w:t xml:space="preserve">the subject of such Program has been obtained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in each case ((a) and (b) ), at its sole discretion upon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prior written notice to Arrowhead thereof.</w:t>
      </w:r>
    </w:p>
    <w:p>
      <w:pPr>
        <w:spacing w:after="0" w:line="125" w:lineRule="exact"/>
        <w:rPr>
          <w:sz w:val="20"/>
          <w:szCs w:val="20"/>
          <w:color w:val="auto"/>
        </w:rPr>
      </w:pPr>
    </w:p>
    <w:p>
      <w:pPr>
        <w:jc w:val="right"/>
        <w:spacing w:after="0" w:line="213" w:lineRule="auto"/>
        <w:rPr>
          <w:sz w:val="20"/>
          <w:szCs w:val="20"/>
          <w:color w:val="auto"/>
        </w:rPr>
      </w:pPr>
      <w:r>
        <w:rPr>
          <w:rFonts w:ascii="Times New Roman" w:cs="Times New Roman" w:eastAsia="Times New Roman" w:hAnsi="Times New Roman"/>
          <w:sz w:val="16"/>
          <w:szCs w:val="16"/>
          <w:b w:val="1"/>
          <w:bCs w:val="1"/>
          <w:color w:val="auto"/>
        </w:rPr>
        <w:t>13.3.  Termination for Bankruptcy</w:t>
      </w:r>
      <w:r>
        <w:rPr>
          <w:rFonts w:ascii="Times New Roman" w:cs="Times New Roman" w:eastAsia="Times New Roman" w:hAnsi="Times New Roman"/>
          <w:sz w:val="16"/>
          <w:szCs w:val="16"/>
          <w:color w:val="auto"/>
        </w:rPr>
        <w:t>. This Agreement may be terminated in its entirety, to the extent permitted by Law, by a Party upon the filing or institution of bankruptcy,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reorganization, liquidation or receivership proceedings, or upon an assignment of a substantial portion of the assets for the benefit of creditors, in each case, of the other</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Party (the “</w:t>
      </w:r>
      <w:r>
        <w:rPr>
          <w:rFonts w:ascii="Times New Roman" w:cs="Times New Roman" w:eastAsia="Times New Roman" w:hAnsi="Times New Roman"/>
          <w:sz w:val="16"/>
          <w:szCs w:val="16"/>
          <w:b w:val="1"/>
          <w:bCs w:val="1"/>
          <w:color w:val="auto"/>
        </w:rPr>
        <w:t>Bankrupt Party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involuntary bankruptcy, reorganization, liquidation, or receivership proceeding, such right to terminate will only become effective if the Bankrupt Party consents to the involuntary bankruptcy or such proceeding is not dismissed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filing thereof.</w:t>
      </w: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13.4.</w:t>
      </w:r>
      <w:r>
        <w:rPr>
          <w:sz w:val="20"/>
          <w:szCs w:val="20"/>
          <w:color w:val="auto"/>
        </w:rPr>
        <w:tab/>
      </w:r>
      <w:r>
        <w:rPr>
          <w:rFonts w:ascii="Times New Roman" w:cs="Times New Roman" w:eastAsia="Times New Roman" w:hAnsi="Times New Roman"/>
          <w:sz w:val="14"/>
          <w:szCs w:val="14"/>
          <w:b w:val="1"/>
          <w:bCs w:val="1"/>
          <w:color w:val="auto"/>
        </w:rPr>
        <w:t>Termination for Material Breach</w:t>
      </w:r>
      <w:r>
        <w:rPr>
          <w:rFonts w:ascii="Times New Roman" w:cs="Times New Roman" w:eastAsia="Times New Roman" w:hAnsi="Times New Roman"/>
          <w:sz w:val="14"/>
          <w:szCs w:val="14"/>
          <w:color w:val="auto"/>
        </w:rPr>
        <w:t>.</w:t>
      </w:r>
    </w:p>
    <w:p>
      <w:pPr>
        <w:jc w:val="right"/>
        <w:ind w:left="520"/>
        <w:spacing w:after="0" w:line="229" w:lineRule="auto"/>
        <w:rPr>
          <w:sz w:val="20"/>
          <w:szCs w:val="20"/>
          <w:color w:val="auto"/>
        </w:rPr>
      </w:pPr>
      <w:r>
        <w:rPr>
          <w:rFonts w:ascii="Times New Roman" w:cs="Times New Roman" w:eastAsia="Times New Roman" w:hAnsi="Times New Roman"/>
          <w:sz w:val="14"/>
          <w:szCs w:val="14"/>
          <w:color w:val="auto"/>
        </w:rPr>
        <w:t xml:space="preserve">13.4.1.   </w:t>
      </w:r>
      <w:r>
        <w:rPr>
          <w:rFonts w:ascii="Times New Roman" w:cs="Times New Roman" w:eastAsia="Times New Roman" w:hAnsi="Times New Roman"/>
          <w:sz w:val="14"/>
          <w:szCs w:val="14"/>
          <w:b w:val="1"/>
          <w:bCs w:val="1"/>
          <w:color w:val="auto"/>
        </w:rPr>
        <w:t>Material Breach and Cure Period</w:t>
      </w:r>
      <w:r>
        <w:rPr>
          <w:rFonts w:ascii="Times New Roman" w:cs="Times New Roman" w:eastAsia="Times New Roman" w:hAnsi="Times New Roman"/>
          <w:sz w:val="14"/>
          <w:szCs w:val="14"/>
          <w:color w:val="auto"/>
        </w:rPr>
        <w:t>. Subject to Section 13.4.2 (Disputes Regarding Material Breach), either Party (the “</w:t>
      </w:r>
      <w:r>
        <w:rPr>
          <w:rFonts w:ascii="Times New Roman" w:cs="Times New Roman" w:eastAsia="Times New Roman" w:hAnsi="Times New Roman"/>
          <w:sz w:val="14"/>
          <w:szCs w:val="14"/>
          <w:b w:val="1"/>
          <w:bCs w:val="1"/>
          <w:color w:val="auto"/>
        </w:rPr>
        <w:t>Non-Breaching Party</w:t>
      </w:r>
      <w:r>
        <w:rPr>
          <w:rFonts w:ascii="Times New Roman" w:cs="Times New Roman" w:eastAsia="Times New Roman" w:hAnsi="Times New Roman"/>
          <w:sz w:val="14"/>
          <w:szCs w:val="14"/>
          <w:color w:val="auto"/>
        </w:rPr>
        <w:t>”) may terminate this Agreement (a) with respect to one or more Programs (for all Licensed Compounds and Licensed Products that are the subject of such Program) if the other</w:t>
      </w:r>
    </w:p>
    <w:p>
      <w:pPr>
        <w:ind w:left="1180"/>
        <w:spacing w:after="0" w:line="208" w:lineRule="auto"/>
        <w:rPr>
          <w:sz w:val="20"/>
          <w:szCs w:val="20"/>
          <w:color w:val="auto"/>
        </w:rPr>
      </w:pPr>
      <w:r>
        <w:rPr>
          <w:rFonts w:ascii="Times New Roman" w:cs="Times New Roman" w:eastAsia="Times New Roman" w:hAnsi="Times New Roman"/>
          <w:sz w:val="16"/>
          <w:szCs w:val="16"/>
          <w:color w:val="auto"/>
        </w:rPr>
        <w:t>Party (the “</w:t>
      </w:r>
      <w:r>
        <w:rPr>
          <w:rFonts w:ascii="Times New Roman" w:cs="Times New Roman" w:eastAsia="Times New Roman" w:hAnsi="Times New Roman"/>
          <w:sz w:val="16"/>
          <w:szCs w:val="16"/>
          <w:b w:val="1"/>
          <w:bCs w:val="1"/>
          <w:color w:val="auto"/>
        </w:rPr>
        <w:t>Breaching Party</w:t>
      </w:r>
      <w:r>
        <w:rPr>
          <w:rFonts w:ascii="Times New Roman" w:cs="Times New Roman" w:eastAsia="Times New Roman" w:hAnsi="Times New Roman"/>
          <w:sz w:val="16"/>
          <w:szCs w:val="16"/>
          <w:color w:val="auto"/>
        </w:rPr>
        <w:t>”) has materially breached this Agreement with respect to such Program, or (b) in its entirety throughout the Territory if the</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Breaching Party has materially breached this Agreement in a manner that is not specific to a Program, in each case ((a) and (b)), and such material breach has not been cured within (i)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Breaching Party’s receipt of written notice from the Non-Breaching Party of such material breach if such material breach</w:t>
      </w:r>
    </w:p>
    <w:p>
      <w:pPr>
        <w:ind w:left="1180"/>
        <w:spacing w:after="0" w:line="237" w:lineRule="auto"/>
        <w:rPr>
          <w:sz w:val="20"/>
          <w:szCs w:val="20"/>
          <w:color w:val="auto"/>
        </w:rPr>
      </w:pPr>
      <w:r>
        <w:rPr>
          <w:rFonts w:ascii="Times New Roman" w:cs="Times New Roman" w:eastAsia="Times New Roman" w:hAnsi="Times New Roman"/>
          <w:sz w:val="14"/>
          <w:szCs w:val="14"/>
          <w:color w:val="auto"/>
        </w:rPr>
        <w:t xml:space="preserve">involves a failure to make a payment when due or (ii)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receipt of written notice of such breach for any other material breach by the Breaching Party</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from the Non-Breaching Party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-day period 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-day period, as applicable, the “</w:t>
      </w:r>
      <w:r>
        <w:rPr>
          <w:rFonts w:ascii="Times New Roman" w:cs="Times New Roman" w:eastAsia="Times New Roman" w:hAnsi="Times New Roman"/>
          <w:sz w:val="14"/>
          <w:szCs w:val="14"/>
          <w:b w:val="1"/>
          <w:bCs w:val="1"/>
          <w:color w:val="auto"/>
        </w:rPr>
        <w:t>Cure Period</w:t>
      </w:r>
      <w:r>
        <w:rPr>
          <w:rFonts w:ascii="Times New Roman" w:cs="Times New Roman" w:eastAsia="Times New Roman" w:hAnsi="Times New Roman"/>
          <w:sz w:val="14"/>
          <w:szCs w:val="14"/>
          <w:color w:val="auto"/>
        </w:rPr>
        <w:t>”). The written notice describing the alleged material breach will provide reasonably sufficient detail to put the Breaching Party on notice of such material breach. Any termination of this Agreement in its entirety or</w:t>
      </w:r>
    </w:p>
    <w:p>
      <w:pPr>
        <w:ind w:left="1180"/>
        <w:spacing w:after="0" w:line="208" w:lineRule="auto"/>
        <w:rPr>
          <w:sz w:val="20"/>
          <w:szCs w:val="20"/>
          <w:color w:val="auto"/>
        </w:rPr>
      </w:pPr>
      <w:r>
        <w:rPr>
          <w:rFonts w:ascii="Times New Roman" w:cs="Times New Roman" w:eastAsia="Times New Roman" w:hAnsi="Times New Roman"/>
          <w:sz w:val="16"/>
          <w:szCs w:val="16"/>
          <w:color w:val="auto"/>
        </w:rPr>
        <w:t>with respect to a Program pursuant to this Section 13.4.1 (Material Breach and Cure Period) will become effective at the end of the Cure Period, unless the</w:t>
      </w:r>
    </w:p>
    <w:p>
      <w:pPr>
        <w:ind w:left="1180"/>
        <w:spacing w:after="0" w:line="229" w:lineRule="auto"/>
        <w:rPr>
          <w:sz w:val="20"/>
          <w:szCs w:val="20"/>
          <w:color w:val="auto"/>
        </w:rPr>
      </w:pPr>
      <w:r>
        <w:rPr>
          <w:rFonts w:ascii="Times New Roman" w:cs="Times New Roman" w:eastAsia="Times New Roman" w:hAnsi="Times New Roman"/>
          <w:sz w:val="14"/>
          <w:szCs w:val="14"/>
          <w:color w:val="auto"/>
        </w:rPr>
        <w:t>Breaching Party has cured any such material breach prior to the expiration of such Cure Period, or, if such material breach (other than any breach involving the failure to make a payment when due) is not curable prior to the expiration of the applicable Cure Period, then such Cure Period will be extended so long as the</w:t>
      </w:r>
    </w:p>
    <w:p>
      <w:pPr>
        <w:ind w:left="1180"/>
        <w:spacing w:after="0" w:line="208" w:lineRule="auto"/>
        <w:rPr>
          <w:sz w:val="20"/>
          <w:szCs w:val="20"/>
          <w:color w:val="auto"/>
        </w:rPr>
      </w:pPr>
      <w:r>
        <w:rPr>
          <w:rFonts w:ascii="Times New Roman" w:cs="Times New Roman" w:eastAsia="Times New Roman" w:hAnsi="Times New Roman"/>
          <w:sz w:val="16"/>
          <w:szCs w:val="16"/>
          <w:color w:val="auto"/>
        </w:rPr>
        <w:t>Breaching Party has (A) provided to the Non-Breaching Party a written plan that is reasonably calculated to effect a cure of such material breach, and (B) the</w:t>
      </w: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Breaching Party has commenced actions to cure such material breach during the Cure Period and commits to diligently carry out such plan as provided to the Non-Breaching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will the Cure Period be extended to more than a total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13.4.2.</w:t>
      </w:r>
      <w:r>
        <w:rPr>
          <w:sz w:val="20"/>
          <w:szCs w:val="20"/>
          <w:color w:val="auto"/>
        </w:rPr>
        <w:tab/>
      </w:r>
      <w:r>
        <w:rPr>
          <w:rFonts w:ascii="Times New Roman" w:cs="Times New Roman" w:eastAsia="Times New Roman" w:hAnsi="Times New Roman"/>
          <w:sz w:val="14"/>
          <w:szCs w:val="14"/>
          <w:b w:val="1"/>
          <w:bCs w:val="1"/>
          <w:color w:val="auto"/>
        </w:rPr>
        <w:t>Disputes Regarding Material Breach</w:t>
      </w:r>
      <w:r>
        <w:rPr>
          <w:rFonts w:ascii="Times New Roman" w:cs="Times New Roman" w:eastAsia="Times New Roman" w:hAnsi="Times New Roman"/>
          <w:sz w:val="14"/>
          <w:szCs w:val="14"/>
          <w:color w:val="auto"/>
        </w:rPr>
        <w:t>. If the Parties reasonably and in good faith disagree as to whether there has been a material breach or whether a material</w:t>
      </w:r>
    </w:p>
    <w:p>
      <w:pPr>
        <w:spacing w:after="0" w:line="2"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breach has been cured within the applicable Cure Period, then the Breaching Party that disputes whether there has been a material breach or cure thereof may contest the allegation in accordance with Article 15 (Dispute Resolution) and the applicable Cure Period will toll upon the initiation of such dispute resolution</w:t>
      </w:r>
    </w:p>
    <w:p>
      <w:pPr>
        <w:ind w:left="1180"/>
        <w:spacing w:after="0" w:line="224" w:lineRule="auto"/>
        <w:rPr>
          <w:sz w:val="20"/>
          <w:szCs w:val="20"/>
          <w:color w:val="auto"/>
        </w:rPr>
      </w:pPr>
      <w:r>
        <w:rPr>
          <w:rFonts w:ascii="Times New Roman" w:cs="Times New Roman" w:eastAsia="Times New Roman" w:hAnsi="Times New Roman"/>
          <w:sz w:val="16"/>
          <w:szCs w:val="16"/>
          <w:color w:val="auto"/>
        </w:rPr>
        <w:t>procedures. If, as a result of such dispute resolution process, it is finally determined pursuant to Article 15 (Dispute Resolution) that the Breaching Party committed a material breach of this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1280"/>
          </w:cols>
          <w:pgMar w:left="300" w:top="123" w:right="319" w:bottom="1440" w:gutter="0" w:footer="0" w:header="0"/>
        </w:sectPr>
      </w:pPr>
    </w:p>
    <w:bookmarkStart w:id="198" w:name="page199"/>
    <w:bookmarkEnd w:id="198"/>
    <w:p>
      <w:pPr>
        <w:ind w:left="2720" w:right="360" w:hanging="2360"/>
        <w:spacing w:after="0" w:line="290" w:lineRule="auto"/>
        <w:tabs>
          <w:tab w:leader="none" w:pos="696" w:val="left"/>
        </w:tabs>
        <w:numPr>
          <w:ilvl w:val="0"/>
          <w:numId w:val="1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80"/>
        <w:spacing w:after="0" w:line="250" w:lineRule="auto"/>
        <w:rPr>
          <w:sz w:val="20"/>
          <w:szCs w:val="20"/>
          <w:color w:val="auto"/>
        </w:rPr>
      </w:pPr>
      <w:r>
        <w:rPr>
          <w:rFonts w:ascii="Times New Roman" w:cs="Times New Roman" w:eastAsia="Times New Roman" w:hAnsi="Times New Roman"/>
          <w:sz w:val="14"/>
          <w:szCs w:val="14"/>
          <w:color w:val="auto"/>
        </w:rPr>
        <w:t>Agreement, then the applicable Cure Period will resume and unless such alleged breach was cured during the pendency of such Cure Period (once resumed), this Agreement will terminate effective as of the expiration of such Cure Period. This Agreement will remain in full force and effect during the pendency of any such</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dispute resolution proceeding and all Cure Periods. Any such dispute resolution proceeding will not suspend any obligations of either Party hereunder, and each Party will use reasonable efforts to mitigate any damages. Any payments that are made by one Party to the other Party pursuant to this Agreement pending</w:t>
      </w:r>
    </w:p>
    <w:p>
      <w:pPr>
        <w:ind w:left="1180"/>
        <w:spacing w:after="0" w:line="237" w:lineRule="auto"/>
        <w:rPr>
          <w:sz w:val="20"/>
          <w:szCs w:val="20"/>
          <w:color w:val="auto"/>
        </w:rPr>
      </w:pPr>
      <w:r>
        <w:rPr>
          <w:rFonts w:ascii="Times New Roman" w:cs="Times New Roman" w:eastAsia="Times New Roman" w:hAnsi="Times New Roman"/>
          <w:sz w:val="14"/>
          <w:szCs w:val="14"/>
          <w:color w:val="auto"/>
        </w:rPr>
        <w:t>resolution of the Dispute will be promptly refunded if it is determined pursuant to Article 15 (Dispute Resolution) that such payments are to be refunded by one</w:t>
      </w:r>
    </w:p>
    <w:p>
      <w:pPr>
        <w:spacing w:after="0" w:line="1" w:lineRule="exact"/>
        <w:rPr>
          <w:sz w:val="20"/>
          <w:szCs w:val="20"/>
          <w:color w:val="auto"/>
        </w:rPr>
      </w:pPr>
    </w:p>
    <w:p>
      <w:pPr>
        <w:jc w:val="both"/>
        <w:ind w:left="1180"/>
        <w:spacing w:after="0" w:line="229" w:lineRule="auto"/>
        <w:rPr>
          <w:sz w:val="20"/>
          <w:szCs w:val="20"/>
          <w:color w:val="auto"/>
        </w:rPr>
      </w:pPr>
      <w:r>
        <w:rPr>
          <w:rFonts w:ascii="Times New Roman" w:cs="Times New Roman" w:eastAsia="Times New Roman" w:hAnsi="Times New Roman"/>
          <w:sz w:val="14"/>
          <w:szCs w:val="14"/>
          <w:color w:val="auto"/>
        </w:rPr>
        <w:t>Party to the other Party. If, as a result of such dispute resolution proceeding, it is determined that the Breaching Party did not commit such material breach (or such material breach was cured in accordance with this Section 13.4 (Termination for Material Breach)), then no termination of this Agreement will be effective,</w:t>
      </w:r>
    </w:p>
    <w:p>
      <w:pPr>
        <w:ind w:left="1180"/>
        <w:spacing w:after="0"/>
        <w:rPr>
          <w:sz w:val="20"/>
          <w:szCs w:val="20"/>
          <w:color w:val="auto"/>
        </w:rPr>
      </w:pPr>
      <w:r>
        <w:rPr>
          <w:rFonts w:ascii="Times New Roman" w:cs="Times New Roman" w:eastAsia="Times New Roman" w:hAnsi="Times New Roman"/>
          <w:sz w:val="16"/>
          <w:szCs w:val="16"/>
          <w:color w:val="auto"/>
        </w:rPr>
        <w:t>and this Agreement will continue in full force and effect.</w:t>
      </w:r>
    </w:p>
    <w:p>
      <w:pPr>
        <w:spacing w:after="0" w:line="114"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13.5.  Termination for Patent Challenge</w:t>
      </w:r>
      <w:r>
        <w:rPr>
          <w:rFonts w:ascii="Times New Roman" w:cs="Times New Roman" w:eastAsia="Times New Roman" w:hAnsi="Times New Roman"/>
          <w:sz w:val="16"/>
          <w:szCs w:val="16"/>
          <w:color w:val="auto"/>
        </w:rPr>
        <w:t>. If, during the Term, Novartis or its Sublicensee (or any Affiliate of Novartis or any Affiliate of a Sublicensee) commences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participates in, or actively assists any other Person in bringing, any action or legal or administrative proceeding (including any patent opposition or re-examination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proceeding), or otherwise asserts any claim, challenging or denying the patentability, validity, or enforceability of any claim of any Arrowhead Platform Patent Right listed in the Orange/Purple Book for a Licensed Product or any Licensed Product-Specific Patent Right, in each case, in one or more countries (each a “</w:t>
      </w:r>
      <w:r>
        <w:rPr>
          <w:rFonts w:ascii="Times New Roman" w:cs="Times New Roman" w:eastAsia="Times New Roman" w:hAnsi="Times New Roman"/>
          <w:sz w:val="14"/>
          <w:szCs w:val="14"/>
          <w:b w:val="1"/>
          <w:bCs w:val="1"/>
          <w:color w:val="auto"/>
        </w:rPr>
        <w:t>Patent Challenge</w:t>
      </w:r>
      <w:r>
        <w:rPr>
          <w:rFonts w:ascii="Times New Roman" w:cs="Times New Roman" w:eastAsia="Times New Roman" w:hAnsi="Times New Roman"/>
          <w:sz w:val="14"/>
          <w:szCs w:val="14"/>
          <w:color w:val="auto"/>
        </w:rPr>
        <w:t>”), then</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Arrowhead will have the right to terminate this Agreement in its entirety upon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prior written notice to Novartis unless Novartis or its Sublicensee (or the applicable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Affiliate of Novartis or of such Sublicensee) causes such Patent Challenge(s) to be withdrawn within the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period following receipt of written notice from Arrowhead (or in the case of </w:t>
      </w:r>
      <w:r>
        <w:rPr>
          <w:rFonts w:ascii="Times New Roman" w:cs="Times New Roman" w:eastAsia="Times New Roman" w:hAnsi="Times New Roman"/>
          <w:sz w:val="14"/>
          <w:szCs w:val="14"/>
          <w:i w:val="1"/>
          <w:iCs w:val="1"/>
          <w:color w:val="auto"/>
        </w:rPr>
        <w:t>ex-parte</w:t>
      </w:r>
      <w:r>
        <w:rPr>
          <w:rFonts w:ascii="Times New Roman" w:cs="Times New Roman" w:eastAsia="Times New Roman" w:hAnsi="Times New Roman"/>
          <w:sz w:val="14"/>
          <w:szCs w:val="14"/>
          <w:color w:val="auto"/>
        </w:rPr>
        <w:t xml:space="preserve"> proceedings, multi-party proceedings, or other Patent Challenges in which Novartis or its Sublicensee (or the applicable Affiliate of Novartis or of</w:t>
      </w:r>
    </w:p>
    <w:p>
      <w:pPr>
        <w:ind w:left="520"/>
        <w:spacing w:after="0" w:line="237" w:lineRule="auto"/>
        <w:rPr>
          <w:sz w:val="20"/>
          <w:szCs w:val="20"/>
          <w:color w:val="auto"/>
        </w:rPr>
      </w:pPr>
      <w:r>
        <w:rPr>
          <w:rFonts w:ascii="Times New Roman" w:cs="Times New Roman" w:eastAsia="Times New Roman" w:hAnsi="Times New Roman"/>
          <w:sz w:val="14"/>
          <w:szCs w:val="14"/>
          <w:color w:val="auto"/>
        </w:rPr>
        <w:t>such Sublicensee) does not have the power to unilaterally cause the Patent Challenge(s) to be withdrawn, Novartis or its Sublicensee (or the applicable Affiliate of Novartis</w:t>
      </w:r>
    </w:p>
    <w:p>
      <w:pPr>
        <w:spacing w:after="0" w:line="1" w:lineRule="exact"/>
        <w:rPr>
          <w:sz w:val="20"/>
          <w:szCs w:val="20"/>
          <w:color w:val="auto"/>
        </w:rPr>
      </w:pP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or of such Sublicensee) withdraws as a party from such Patent Challenge(s) and ceases actively assisting any other party to such Patent Challenge(s) within such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-day period). The foregoing sentence will not apply with respect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13.6.</w:t>
      </w:r>
      <w:r>
        <w:rPr>
          <w:sz w:val="20"/>
          <w:szCs w:val="20"/>
          <w:color w:val="auto"/>
        </w:rPr>
        <w:tab/>
      </w:r>
      <w:r>
        <w:rPr>
          <w:rFonts w:ascii="Times New Roman" w:cs="Times New Roman" w:eastAsia="Times New Roman" w:hAnsi="Times New Roman"/>
          <w:sz w:val="14"/>
          <w:szCs w:val="14"/>
          <w:b w:val="1"/>
          <w:bCs w:val="1"/>
          <w:color w:val="auto"/>
        </w:rPr>
        <w:t>Effects of Termination</w:t>
      </w:r>
      <w:r>
        <w:rPr>
          <w:rFonts w:ascii="Times New Roman" w:cs="Times New Roman" w:eastAsia="Times New Roman" w:hAnsi="Times New Roman"/>
          <w:sz w:val="14"/>
          <w:szCs w:val="14"/>
          <w:color w:val="auto"/>
        </w:rPr>
        <w:t>.</w:t>
      </w:r>
    </w:p>
    <w:p>
      <w:pPr>
        <w:ind w:left="1180" w:hanging="661"/>
        <w:spacing w:after="0" w:line="217" w:lineRule="auto"/>
        <w:tabs>
          <w:tab w:leader="none" w:pos="1160" w:val="left"/>
        </w:tabs>
        <w:rPr>
          <w:sz w:val="20"/>
          <w:szCs w:val="20"/>
          <w:color w:val="auto"/>
        </w:rPr>
      </w:pPr>
      <w:r>
        <w:rPr>
          <w:rFonts w:ascii="Times New Roman" w:cs="Times New Roman" w:eastAsia="Times New Roman" w:hAnsi="Times New Roman"/>
          <w:sz w:val="16"/>
          <w:szCs w:val="16"/>
          <w:color w:val="auto"/>
        </w:rPr>
        <w:t>13.6.1.</w:t>
      </w:r>
      <w:r>
        <w:rPr>
          <w:sz w:val="20"/>
          <w:szCs w:val="20"/>
          <w:color w:val="auto"/>
        </w:rPr>
        <w:tab/>
      </w:r>
      <w:r>
        <w:rPr>
          <w:rFonts w:ascii="Times New Roman" w:cs="Times New Roman" w:eastAsia="Times New Roman" w:hAnsi="Times New Roman"/>
          <w:sz w:val="16"/>
          <w:szCs w:val="16"/>
          <w:b w:val="1"/>
          <w:bCs w:val="1"/>
          <w:color w:val="auto"/>
        </w:rPr>
        <w:t>Termination Generally</w:t>
      </w:r>
      <w:r>
        <w:rPr>
          <w:rFonts w:ascii="Times New Roman" w:cs="Times New Roman" w:eastAsia="Times New Roman" w:hAnsi="Times New Roman"/>
          <w:sz w:val="16"/>
          <w:szCs w:val="16"/>
          <w:color w:val="auto"/>
        </w:rPr>
        <w:t>. Upon any termination of this Agreement in its entirety or in part by either Party as permitted pursuant to this Article 13 (Term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Termination), the following terms will apply with respect to this Agreement and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25" w:lineRule="exact"/>
        <w:rPr>
          <w:sz w:val="20"/>
          <w:szCs w:val="20"/>
          <w:color w:val="auto"/>
        </w:rPr>
      </w:pPr>
    </w:p>
    <w:p>
      <w:pPr>
        <w:jc w:val="both"/>
        <w:ind w:left="1680" w:hanging="504"/>
        <w:spacing w:after="0" w:line="211" w:lineRule="auto"/>
        <w:tabs>
          <w:tab w:leader="none" w:pos="16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Licenses</w:t>
      </w:r>
      <w:r>
        <w:rPr>
          <w:rFonts w:ascii="Times New Roman" w:cs="Times New Roman" w:eastAsia="Times New Roman" w:hAnsi="Times New Roman"/>
          <w:sz w:val="16"/>
          <w:szCs w:val="16"/>
          <w:color w:val="auto"/>
        </w:rPr>
        <w:t>. As of the effective date of termination, all licenses granted to Novartis under Section 2.1 (License Grants to Novartis)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respect to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(other than any license(s) that have become fully paid-up, royalty-free, transferable (in accordance with Section 16.1 (Assignment)), perpetual and irrevocable pursuant to Section 8.4 (Royalties)) will terminate, except that such licenses may continue solely to the extent necessary, and solely for the time periods specified in such Sections, for the prompt and diligent orderly transition or wind-down of ongoing Clinical Trials of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under Section 13.6.1(c) (Ongoing Clinical Trials) or sale or other disposition of any inventory of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as permitted under Section 13.6.1(j) (Sell-Off Right). Further, (a) if this Agreement is terminated in part with respect to a Program for the entire Territory, then the terms “</w:t>
      </w:r>
      <w:r>
        <w:rPr>
          <w:rFonts w:ascii="Times New Roman" w:cs="Times New Roman" w:eastAsia="Times New Roman" w:hAnsi="Times New Roman"/>
          <w:sz w:val="16"/>
          <w:szCs w:val="16"/>
          <w:b w:val="1"/>
          <w:bCs w:val="1"/>
          <w:color w:val="auto"/>
        </w:rPr>
        <w:t>Licensed Products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Licensed Compounds</w:t>
      </w:r>
      <w:r>
        <w:rPr>
          <w:rFonts w:ascii="Times New Roman" w:cs="Times New Roman" w:eastAsia="Times New Roman" w:hAnsi="Times New Roman"/>
          <w:sz w:val="16"/>
          <w:szCs w:val="16"/>
          <w:color w:val="auto"/>
        </w:rPr>
        <w:t xml:space="preserve">” will automatically be deemed to be amended to exclude, respectively, all Licensed Products and all Licensed Compounds that are the subject of such terminated Program,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1280"/>
          </w:cols>
          <w:pgMar w:left="300" w:top="123" w:right="319" w:bottom="1440" w:gutter="0" w:footer="0" w:header="0"/>
        </w:sectPr>
      </w:pPr>
    </w:p>
    <w:bookmarkStart w:id="199" w:name="page200"/>
    <w:bookmarkEnd w:id="199"/>
    <w:p>
      <w:pPr>
        <w:ind w:left="2360" w:right="360" w:hanging="2360"/>
        <w:spacing w:after="0" w:line="290" w:lineRule="auto"/>
        <w:tabs>
          <w:tab w:leader="none" w:pos="336"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375" w:lineRule="exact"/>
        <w:rPr>
          <w:rFonts w:ascii="Times New Roman" w:cs="Times New Roman" w:eastAsia="Times New Roman" w:hAnsi="Times New Roman"/>
          <w:sz w:val="14"/>
          <w:szCs w:val="14"/>
          <w:b w:val="1"/>
          <w:bCs w:val="1"/>
          <w:color w:val="auto"/>
        </w:rPr>
      </w:pPr>
    </w:p>
    <w:p>
      <w:pPr>
        <w:jc w:val="both"/>
        <w:ind w:left="1320" w:hanging="504"/>
        <w:spacing w:after="0" w:line="218" w:lineRule="auto"/>
        <w:tabs>
          <w:tab w:leader="none" w:pos="131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Exclusivity</w:t>
      </w:r>
      <w:r>
        <w:rPr>
          <w:rFonts w:ascii="Times New Roman" w:cs="Times New Roman" w:eastAsia="Times New Roman" w:hAnsi="Times New Roman"/>
          <w:sz w:val="16"/>
          <w:szCs w:val="16"/>
          <w:color w:val="auto"/>
        </w:rPr>
        <w:t>. (i) If this Agreement is terminated in its entirety, then the Parties’ rights and obligations under Section 2.10 (Exclusivity) will terminate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their entirety, (ii) if this Agreement is terminated in part with respect to a Program for the entire Territory, then the Parties’ rights and obligations under Section 2.10 (Exclusivity) will terminate in the entire Territory with respect to the Target that is the subject of such Program and all Licensed Compounds and Licensed Products that are the subject of such Program </w:t>
      </w:r>
      <w:r>
        <w:rPr>
          <w:rFonts w:ascii="Times New Roman" w:cs="Times New Roman" w:eastAsia="Times New Roman" w:hAnsi="Times New Roman"/>
          <w:sz w:val="16"/>
          <w:szCs w:val="16"/>
          <w:b w:val="1"/>
          <w:bCs w:val="1"/>
          <w:color w:val="auto"/>
        </w:rPr>
        <w:t>[***]</w:t>
      </w:r>
    </w:p>
    <w:p>
      <w:pPr>
        <w:spacing w:after="0" w:line="127" w:lineRule="exact"/>
        <w:rPr>
          <w:rFonts w:ascii="Times New Roman" w:cs="Times New Roman" w:eastAsia="Times New Roman" w:hAnsi="Times New Roman"/>
          <w:sz w:val="16"/>
          <w:szCs w:val="16"/>
          <w:color w:val="auto"/>
        </w:rPr>
      </w:pPr>
    </w:p>
    <w:p>
      <w:pPr>
        <w:jc w:val="both"/>
        <w:ind w:left="1320" w:hanging="504"/>
        <w:spacing w:after="0"/>
        <w:tabs>
          <w:tab w:leader="none" w:pos="1312"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Ongoing Clinical Studies</w:t>
      </w:r>
      <w:r>
        <w:rPr>
          <w:rFonts w:ascii="Times New Roman" w:cs="Times New Roman" w:eastAsia="Times New Roman" w:hAnsi="Times New Roman"/>
          <w:sz w:val="14"/>
          <w:szCs w:val="14"/>
          <w:color w:val="auto"/>
        </w:rPr>
        <w:t>. No later than</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after the effective date of termination, Arrowhead will submit to Novartis a written notice specifying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respect to all Clinical Trials of the Terminated Products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being conducted by or on behalf of Novartis or its Affiliates as of the effective date of termination, (i) such Clinical Trials that are to be terminated and (ii) such Clinical Trials that are to be transferred to Arrowhead or its designee. For any such Clinical Trials identified by Arrowhead in its written notice to be terminated, Novartis will wind-down such Clinical Trials, at Novartis’ cost. For any such Clinical Trials identified by Arrowhead in its written notice to be transferred, Novartis will transfer control to Arrowhead or its designee of such Clinical Trials and will continue to conduct such Clinical Trials after the effective date of termination, at Arrowhead’s cost, for up to a maximum 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(or such longer period as either Party may reasonably request and is agreed by the other Party) to enable such transfer to be completed to Arrowhead or its designee without interruption of any such Clinical Trials. In no event will Novartis be required to enroll patients in any such Clinical Trial except as may be otherwise agreed by the Parties or as is reasonably necessary to protect patients.</w:t>
      </w:r>
    </w:p>
    <w:p>
      <w:pPr>
        <w:spacing w:after="0" w:line="282" w:lineRule="exact"/>
        <w:rPr>
          <w:rFonts w:ascii="Times New Roman" w:cs="Times New Roman" w:eastAsia="Times New Roman" w:hAnsi="Times New Roman"/>
          <w:sz w:val="14"/>
          <w:szCs w:val="14"/>
          <w:color w:val="auto"/>
        </w:rPr>
      </w:pPr>
    </w:p>
    <w:p>
      <w:pPr>
        <w:jc w:val="both"/>
        <w:ind w:left="1320" w:hanging="504"/>
        <w:spacing w:after="0" w:line="209" w:lineRule="auto"/>
        <w:tabs>
          <w:tab w:leader="none" w:pos="131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Transfer of Regulatory Submissions and Regulatory Approvals</w:t>
      </w:r>
      <w:r>
        <w:rPr>
          <w:rFonts w:ascii="Times New Roman" w:cs="Times New Roman" w:eastAsia="Times New Roman" w:hAnsi="Times New Roman"/>
          <w:sz w:val="16"/>
          <w:szCs w:val="16"/>
          <w:color w:val="auto"/>
        </w:rPr>
        <w:t>. Promptly following the effective date of termination, in accordance with and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extent permissible under applicable Law, Novartis, on behalf of itself and its Affiliates and, subject to Section 13.6.1(g) (Sublicense Survival), its Sublicensees will assign to Arrowhead or Arrowhead’s designee possession and ownership of all Regulatory Submissions and Regulatory Approvals for the applicable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Controlled by such Person as of the effective date of such termination. In the event that Novartis is unable to transfer and assign, or have transferred and assigned, to Arrowhead (or its designee) any such Regulatory Submissions or Regulatory Approvals, Novartis, on behalf of itself and its Affiliates and, subject to Section 13.6.1(g) (Sublicense Survival), its Sublicensees, hereby consents and grants to Arrowhead an exclusive (even as to Novartis and its Affiliates and Sublicensees), fully-paid, royalty-free, irrevocable, perpetual, license and right of reference under such Regulatory Submissions and Regulatory Approvals (with the right to sublicense and grant further rights of reference through multiple tiers) as necessary to Develop, Manufacture, perform Medical Affairs, Commercialize, and otherwise Exploit the applicable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jc w:val="both"/>
        <w:ind w:left="1320" w:hanging="504"/>
        <w:spacing w:after="0" w:line="252" w:lineRule="auto"/>
        <w:tabs>
          <w:tab w:leader="none" w:pos="1312" w:val="left"/>
        </w:tabs>
        <w:numPr>
          <w:ilvl w:val="1"/>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Continuation of Supply</w:t>
      </w:r>
      <w:r>
        <w:rPr>
          <w:rFonts w:ascii="Times New Roman" w:cs="Times New Roman" w:eastAsia="Times New Roman" w:hAnsi="Times New Roman"/>
          <w:sz w:val="14"/>
          <w:szCs w:val="14"/>
          <w:color w:val="auto"/>
        </w:rPr>
        <w:t>. Upon Arrowhead’s request, if (i) as of the effective date of such termination, Novartis or its Affiliates or Sublicensees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Manufacturing finished product with respect to the Terminated Products for Development or Commercialization of such Terminated Products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and</w:t>
      </w:r>
    </w:p>
    <w:p>
      <w:pPr>
        <w:jc w:val="both"/>
        <w:ind w:left="1320" w:firstLine="5"/>
        <w:spacing w:after="0" w:line="214" w:lineRule="auto"/>
        <w:tabs>
          <w:tab w:leader="none" w:pos="1571" w:val="left"/>
        </w:tabs>
        <w:numPr>
          <w:ilvl w:val="2"/>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effective date of such termination, neither Arrowhead nor any of its Affiliates or (sub)licensees has obtained all necessary Regulatory Approvals to Manufacture such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procured or developed its own source of finished product supply with respect to such Terminated Products for Development and Commercialization thereof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then, at</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920"/>
          </w:cols>
          <w:pgMar w:left="660" w:top="123" w:right="319" w:bottom="1440" w:gutter="0" w:footer="0" w:header="0"/>
        </w:sectPr>
      </w:pPr>
    </w:p>
    <w:bookmarkStart w:id="200" w:name="page201"/>
    <w:bookmarkEnd w:id="200"/>
    <w:p>
      <w:pPr>
        <w:ind w:left="2360" w:right="360" w:hanging="2360"/>
        <w:spacing w:after="0" w:line="290" w:lineRule="auto"/>
        <w:tabs>
          <w:tab w:leader="none" w:pos="336"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320"/>
        <w:spacing w:after="0" w:line="219" w:lineRule="auto"/>
        <w:rPr>
          <w:sz w:val="20"/>
          <w:szCs w:val="20"/>
          <w:color w:val="auto"/>
        </w:rPr>
      </w:pPr>
      <w:r>
        <w:rPr>
          <w:rFonts w:ascii="Times New Roman" w:cs="Times New Roman" w:eastAsia="Times New Roman" w:hAnsi="Times New Roman"/>
          <w:sz w:val="16"/>
          <w:szCs w:val="16"/>
          <w:color w:val="auto"/>
        </w:rPr>
        <w:t>Arrowhead’s option and at Arrowhead’s cost and expense, Novartis or its or its Affiliates or Sublicensees will use Commercially Reasonable Efforts to supply to Arrowhead such finished product with respect to such Terminated Products for Development (if, as of the effective date of termination,</w:t>
      </w:r>
    </w:p>
    <w:p>
      <w:pPr>
        <w:spacing w:after="0" w:line="1" w:lineRule="exact"/>
        <w:rPr>
          <w:sz w:val="20"/>
          <w:szCs w:val="20"/>
          <w:color w:val="auto"/>
        </w:rPr>
      </w:pPr>
    </w:p>
    <w:p>
      <w:pPr>
        <w:ind w:left="1320"/>
        <w:spacing w:after="0" w:line="229" w:lineRule="auto"/>
        <w:rPr>
          <w:sz w:val="20"/>
          <w:szCs w:val="20"/>
          <w:color w:val="auto"/>
        </w:rPr>
      </w:pPr>
      <w:r>
        <w:rPr>
          <w:rFonts w:ascii="Times New Roman" w:cs="Times New Roman" w:eastAsia="Times New Roman" w:hAnsi="Times New Roman"/>
          <w:sz w:val="14"/>
          <w:szCs w:val="14"/>
          <w:color w:val="auto"/>
        </w:rPr>
        <w:t>Novartis or its Affiliates or Sublicensees are Manufacturing finished product with respect to the Terminated Products for Development) and Commercialization (if, as of the effective date of termination, Novartis or its Affiliates or Sublicensees are Manufacturing finished product with respect to</w:t>
      </w:r>
    </w:p>
    <w:p>
      <w:pPr>
        <w:ind w:left="1320"/>
        <w:spacing w:after="0" w:line="224" w:lineRule="auto"/>
        <w:rPr>
          <w:sz w:val="20"/>
          <w:szCs w:val="20"/>
          <w:color w:val="auto"/>
        </w:rPr>
      </w:pPr>
      <w:r>
        <w:rPr>
          <w:rFonts w:ascii="Times New Roman" w:cs="Times New Roman" w:eastAsia="Times New Roman" w:hAnsi="Times New Roman"/>
          <w:sz w:val="16"/>
          <w:szCs w:val="16"/>
          <w:color w:val="auto"/>
        </w:rPr>
        <w:t xml:space="preserve">the Terminated Products for Commercialization)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a period not to exceed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applicable effective date of termination at a price equal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jc w:val="both"/>
        <w:ind w:left="1320" w:hanging="504"/>
        <w:spacing w:after="0" w:line="209" w:lineRule="auto"/>
        <w:tabs>
          <w:tab w:leader="none" w:pos="1316"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Third Party Agreements</w:t>
      </w:r>
      <w:r>
        <w:rPr>
          <w:rFonts w:ascii="Times New Roman" w:cs="Times New Roman" w:eastAsia="Times New Roman" w:hAnsi="Times New Roman"/>
          <w:sz w:val="16"/>
          <w:szCs w:val="16"/>
          <w:color w:val="auto"/>
        </w:rPr>
        <w:t>. If Arrowhead so requests in writing, and to the extent permitted under Novartis’ obligations to Third Parties on the 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date of termination, Novartis will assign to Arrowhead, and Arrowhead will assume, any Third Party agreements that solely relate to the Exploitation of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 which Novartis is a party (excluding any master agreement that could relate to the Exploitation of compounds or products other than the Terminated Products, regardless of whether such master agreement does relate to any such Terminated Product at such time);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 if the assignment of any such Third Party agreement requires the consent of any Third Party, then Novartis will not be obligated to assign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Third Party agreement unless and until such consent is obtained (it being understood that if so requested by Arrowhead in writing, Novartis will, at Arrowhead’s cost, use reasonable efforts to obtain any such consent as promptly as reasonably practicable under the circumstances), and (ii) for any Third Party agreement for which such consent is not obtained or for any excluded master agreement, Novartis will introduce Arrowhead to the counterparty of such agreement and provide such other reasonable assistance to Arrowhead to facilitate Arrowhead’s negotiation of its direct contract with such counterparty.</w:t>
      </w:r>
    </w:p>
    <w:p>
      <w:pPr>
        <w:spacing w:after="0" w:line="127" w:lineRule="exact"/>
        <w:rPr>
          <w:rFonts w:ascii="Times New Roman" w:cs="Times New Roman" w:eastAsia="Times New Roman" w:hAnsi="Times New Roman"/>
          <w:sz w:val="16"/>
          <w:szCs w:val="16"/>
          <w:color w:val="auto"/>
        </w:rPr>
      </w:pPr>
    </w:p>
    <w:p>
      <w:pPr>
        <w:jc w:val="both"/>
        <w:ind w:left="1320" w:hanging="504"/>
        <w:spacing w:after="0" w:line="212" w:lineRule="auto"/>
        <w:tabs>
          <w:tab w:leader="none" w:pos="131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Sublicense Survival</w:t>
      </w:r>
      <w:r>
        <w:rPr>
          <w:rFonts w:ascii="Times New Roman" w:cs="Times New Roman" w:eastAsia="Times New Roman" w:hAnsi="Times New Roman"/>
          <w:sz w:val="16"/>
          <w:szCs w:val="16"/>
          <w:color w:val="auto"/>
        </w:rPr>
        <w:t>. Arrowhead will, at the written election of any Sublicensee (solely to the extent such Sublicensee is not then in breach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applicable sublicense agreement and solely where such sublicense agreement was entered into by Novartis with such Sublicensee in accordance with the terms of this Agreement)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termination of this Agreement (or such longer period mutually agreed between Arrowhead and such Sublicensee) grant a direct license to such terminated Sublicensee, which license will not be broader in license scope, territory, or duration than such sublicense agreement granted by Novartis to such Sublicensee and not more burdensome on Arrowhead in any material manner and no less favorable to Arrowhead than the financial terms of Article 8 (Payments).</w:t>
      </w:r>
    </w:p>
    <w:p>
      <w:pPr>
        <w:spacing w:after="0" w:line="128" w:lineRule="exact"/>
        <w:rPr>
          <w:rFonts w:ascii="Times New Roman" w:cs="Times New Roman" w:eastAsia="Times New Roman" w:hAnsi="Times New Roman"/>
          <w:sz w:val="16"/>
          <w:szCs w:val="16"/>
          <w:color w:val="auto"/>
        </w:rPr>
      </w:pPr>
    </w:p>
    <w:p>
      <w:pPr>
        <w:jc w:val="both"/>
        <w:ind w:left="1320" w:hanging="504"/>
        <w:spacing w:after="0" w:line="209" w:lineRule="auto"/>
        <w:tabs>
          <w:tab w:leader="none" w:pos="131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Return of Confidential Information</w:t>
      </w:r>
      <w:r>
        <w:rPr>
          <w:rFonts w:ascii="Times New Roman" w:cs="Times New Roman" w:eastAsia="Times New Roman" w:hAnsi="Times New Roman"/>
          <w:sz w:val="16"/>
          <w:szCs w:val="16"/>
          <w:color w:val="auto"/>
        </w:rPr>
        <w:t>. Except in the case of Arrowhead for any Confidential Information included in the Reversion Technology that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subject of a Reversion License, as soon as reasonably practicable after the effective date of termination, each Party, at its cost, will promptly return to the other Party (or as directed by such other Party destroy and certify to such other Party in writing as to such destruction) all of such other Party’s Confidential Information that relates to the applicable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and that was provided by or on behalf of such other Party hereunder that is in the possession or control of such Party (or any of its Affiliates, Sublicensees or Subcontractors), except that such Party will have the right to retain copies of intangible Confidential Information of such other Party for legal purposes in accordance with such Party’s internal compliance policies and may maintain records stored in accordance with automatic electronic archiving and back-up procedures until the ordinary course deletion thereof. Notwithstanding the</w:t>
      </w:r>
    </w:p>
    <w:p>
      <w:pPr>
        <w:spacing w:after="0" w:line="34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920"/>
          </w:cols>
          <w:pgMar w:left="660" w:top="123" w:right="319" w:bottom="1440" w:gutter="0" w:footer="0" w:header="0"/>
        </w:sectPr>
      </w:pPr>
    </w:p>
    <w:bookmarkStart w:id="201" w:name="page202"/>
    <w:bookmarkEnd w:id="201"/>
    <w:p>
      <w:pPr>
        <w:ind w:left="2360" w:right="360" w:hanging="2360"/>
        <w:spacing w:after="0" w:line="290" w:lineRule="auto"/>
        <w:tabs>
          <w:tab w:leader="none" w:pos="336"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return or destruction of any Confidential Information, the Parties will continue to be bound by their confidentiality obligations under this Agreement.</w:t>
      </w:r>
    </w:p>
    <w:p>
      <w:pPr>
        <w:spacing w:after="0" w:line="143" w:lineRule="exact"/>
        <w:rPr>
          <w:sz w:val="20"/>
          <w:szCs w:val="20"/>
          <w:color w:val="auto"/>
        </w:rPr>
      </w:pPr>
    </w:p>
    <w:p>
      <w:pPr>
        <w:jc w:val="both"/>
        <w:ind w:left="1320" w:hanging="504"/>
        <w:spacing w:after="0" w:line="212" w:lineRule="auto"/>
        <w:tabs>
          <w:tab w:leader="none" w:pos="1318"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6"/>
          <w:szCs w:val="16"/>
          <w:b w:val="1"/>
          <w:bCs w:val="1"/>
          <w:color w:val="auto"/>
        </w:rPr>
        <w:t>ermination of Payment Obligations</w:t>
      </w:r>
      <w:r>
        <w:rPr>
          <w:rFonts w:ascii="Times New Roman" w:cs="Times New Roman" w:eastAsia="Times New Roman" w:hAnsi="Times New Roman"/>
          <w:sz w:val="16"/>
          <w:szCs w:val="16"/>
          <w:color w:val="auto"/>
        </w:rPr>
        <w:t xml:space="preserve">. Except for any payment obligations under Section 13.6.1(j) (Sell-Off Right), as of the effective date of termination, all payment obligations hereunder with respect to the applicable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will terminate, other than those that are accrued and unpaid as of the effective date of such termination. For clarity, notwithstanding any other provision of this Agreement, Novartis will remain liable to pay any Milestone Payments and Royalties to Arrowhead for any Milestone Event occurring, or deemed to have occurred in accordance with the terms of this Agreement, and Net Sales booked by Novartis or its Affiliates or its Sublicensees, in each case, on or before the later of (i) the effective date of such termination, or (ii) if applicable,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effective date of such termination for any sales or dispositions of the applicable Terminated Product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occur during such</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period under Section 13.6.1(j) (Sell-Off Right).</w:t>
      </w:r>
    </w:p>
    <w:p>
      <w:pPr>
        <w:spacing w:after="0" w:line="114" w:lineRule="exact"/>
        <w:rPr>
          <w:rFonts w:ascii="Times New Roman" w:cs="Times New Roman" w:eastAsia="Times New Roman" w:hAnsi="Times New Roman"/>
          <w:sz w:val="16"/>
          <w:szCs w:val="16"/>
          <w:color w:val="auto"/>
        </w:rPr>
      </w:pPr>
    </w:p>
    <w:p>
      <w:pPr>
        <w:jc w:val="both"/>
        <w:ind w:left="1320" w:hanging="504"/>
        <w:spacing w:after="0" w:line="211" w:lineRule="auto"/>
        <w:tabs>
          <w:tab w:leader="none" w:pos="1318"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Sell-Off Right</w:t>
      </w:r>
      <w:r>
        <w:rPr>
          <w:rFonts w:ascii="Times New Roman" w:cs="Times New Roman" w:eastAsia="Times New Roman" w:hAnsi="Times New Roman"/>
          <w:sz w:val="16"/>
          <w:szCs w:val="16"/>
          <w:color w:val="auto"/>
        </w:rPr>
        <w:t>. If the effective date of termination is after the First Commercial Sale of a Terminated Product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then, to the extent permitted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applicable Law, Novartis and its Affiliates and Sublicensees will have the right to sell or otherwise dispose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any inventory of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for a period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effective date of such termination in accordance with the terms and conditions of this Agreement;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any revenue obtained from such disposal will be treated as Net Sales and the provisions of Article 8 (Payments) will apply to such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and, in the event that such sales result in the achievement of a Sales Milestone Event, the Sale Milestone Payment associated with such Sale Milestone Event will be owed and payable to Arrowhead.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end of such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period, Novartis will notify Arrowhead of any quantity of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remaining in Novartis’, its Affiliates’ or, subject to Section 13.6.1(g) (Sublicense Survival), its Sublicensees’ inventory, and Arrowhead will have the right to purchase, in its discretion, any such quantities of the Licensed Products from Novartis, its Affiliates or its Sublicensees at a supply price to be negotiated and agreed by the Parties.</w:t>
      </w:r>
    </w:p>
    <w:p>
      <w:pPr>
        <w:spacing w:after="0" w:line="114" w:lineRule="exact"/>
        <w:rPr>
          <w:rFonts w:ascii="Times New Roman" w:cs="Times New Roman" w:eastAsia="Times New Roman" w:hAnsi="Times New Roman"/>
          <w:sz w:val="16"/>
          <w:szCs w:val="16"/>
          <w:color w:val="auto"/>
        </w:rPr>
      </w:pPr>
    </w:p>
    <w:p>
      <w:pPr>
        <w:jc w:val="both"/>
        <w:ind w:left="1320" w:hanging="504"/>
        <w:spacing w:after="0" w:line="212" w:lineRule="auto"/>
        <w:tabs>
          <w:tab w:leader="none" w:pos="131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IP Files Transfer</w:t>
      </w:r>
      <w:r>
        <w:rPr>
          <w:rFonts w:ascii="Times New Roman" w:cs="Times New Roman" w:eastAsia="Times New Roman" w:hAnsi="Times New Roman"/>
          <w:sz w:val="16"/>
          <w:szCs w:val="16"/>
          <w:color w:val="auto"/>
        </w:rPr>
        <w:t>. With respect to a Terminated Product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(i) any Licensed Product-Specific Patent Rights Prosecuted and Maintained by Novartis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Section 12.3.1(a) (Novartis Right to Prosecute Patent Rights) or in respect of which Novartis has engaged in the enforcement thereof or defense under Section 12.4.2(a) (Novartis Right to Enforce), and (ii) any Arrowhead Platform Patent Rights for which Novartis has exercised its Prosecution and Maintenance step-in rights under Section 12.3.2(b) (Arrowhead Right to Prosecute Patent Rights) or enforcement or defense step-in rights under Section 12.4.3(b) (Arrowhead Right to Enforce), in each case at Arrowhead’s cost and expense, Novartis will transfer to Arrowhead or its designee copies of filings, applications, correspondence and other related records received or generated by Novartis in the course of exercising any Prosecution and Maintenance activities or enforcement or defense activities.</w:t>
      </w:r>
    </w:p>
    <w:p>
      <w:pPr>
        <w:spacing w:after="0" w:line="124" w:lineRule="exact"/>
        <w:rPr>
          <w:rFonts w:ascii="Times New Roman" w:cs="Times New Roman" w:eastAsia="Times New Roman" w:hAnsi="Times New Roman"/>
          <w:sz w:val="16"/>
          <w:szCs w:val="16"/>
          <w:color w:val="auto"/>
        </w:rPr>
      </w:pPr>
    </w:p>
    <w:p>
      <w:pPr>
        <w:jc w:val="both"/>
        <w:ind w:left="1320" w:hanging="504"/>
        <w:spacing w:after="0" w:line="218" w:lineRule="auto"/>
        <w:tabs>
          <w:tab w:leader="none" w:pos="1318"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Rights and Obligations</w:t>
      </w:r>
      <w:r>
        <w:rPr>
          <w:rFonts w:ascii="Times New Roman" w:cs="Times New Roman" w:eastAsia="Times New Roman" w:hAnsi="Times New Roman"/>
          <w:sz w:val="16"/>
          <w:szCs w:val="16"/>
          <w:color w:val="auto"/>
        </w:rPr>
        <w:t>. Except as set forth in this Section 13.6 (Effects of Termination) and Section 13.8 (Survival; Effect of Expiration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Termination), (i) as of the applicable effective date of any termination of this Agreement in its entirety all rights and obligations of the Parties under this Agreement will terminate, and (ii) as of the applicable effective date of any termination of this Agreement in part, all rights and obligations of the Parties</w:t>
      </w:r>
    </w:p>
    <w:p>
      <w:pPr>
        <w:spacing w:after="0" w:line="3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920"/>
          </w:cols>
          <w:pgMar w:left="660" w:top="123" w:right="319" w:bottom="1440" w:gutter="0" w:footer="0" w:header="0"/>
        </w:sectPr>
      </w:pPr>
    </w:p>
    <w:bookmarkStart w:id="202" w:name="page203"/>
    <w:bookmarkEnd w:id="202"/>
    <w:p>
      <w:pPr>
        <w:ind w:left="2360" w:right="360" w:hanging="2360"/>
        <w:spacing w:after="0" w:line="290" w:lineRule="auto"/>
        <w:tabs>
          <w:tab w:leader="none" w:pos="336"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 xml:space="preserve">under this Agreement with respect to the terminated Program and its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will terminate.</w:t>
      </w:r>
    </w:p>
    <w:p>
      <w:pPr>
        <w:spacing w:after="0" w:line="145" w:lineRule="exact"/>
        <w:rPr>
          <w:sz w:val="20"/>
          <w:szCs w:val="20"/>
          <w:color w:val="auto"/>
        </w:rPr>
      </w:pPr>
    </w:p>
    <w:p>
      <w:pPr>
        <w:ind w:left="820" w:hanging="661"/>
        <w:spacing w:after="0" w:line="302" w:lineRule="auto"/>
        <w:tabs>
          <w:tab w:leader="none" w:pos="800" w:val="left"/>
        </w:tabs>
        <w:rPr>
          <w:sz w:val="20"/>
          <w:szCs w:val="20"/>
          <w:color w:val="auto"/>
        </w:rPr>
      </w:pPr>
      <w:r>
        <w:rPr>
          <w:rFonts w:ascii="Times New Roman" w:cs="Times New Roman" w:eastAsia="Times New Roman" w:hAnsi="Times New Roman"/>
          <w:sz w:val="16"/>
          <w:szCs w:val="16"/>
          <w:color w:val="auto"/>
        </w:rPr>
        <w:t>13.6.2.</w:t>
      </w:r>
      <w:r>
        <w:rPr>
          <w:sz w:val="20"/>
          <w:szCs w:val="20"/>
          <w:color w:val="auto"/>
        </w:rPr>
        <w:tab/>
      </w:r>
      <w:r>
        <w:rPr>
          <w:rFonts w:ascii="Times New Roman" w:cs="Times New Roman" w:eastAsia="Times New Roman" w:hAnsi="Times New Roman"/>
          <w:sz w:val="14"/>
          <w:szCs w:val="14"/>
          <w:b w:val="1"/>
          <w:bCs w:val="1"/>
          <w:color w:val="auto"/>
        </w:rPr>
        <w:t>Termination by Arrowhead for Cause or by Novartis Without Cause</w:t>
      </w:r>
      <w:r>
        <w:rPr>
          <w:rFonts w:ascii="Times New Roman" w:cs="Times New Roman" w:eastAsia="Times New Roman" w:hAnsi="Times New Roman"/>
          <w:sz w:val="14"/>
          <w:szCs w:val="14"/>
          <w:color w:val="auto"/>
        </w:rPr>
        <w:t>. Upon termination of this Agreement in its entirety or in part by Arrowhead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in each case after the Technology Transfer Date, the following terms will apply with respect to this Agreement and the Terminated Products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jc w:val="both"/>
        <w:ind w:left="1320" w:hanging="504"/>
        <w:spacing w:after="0" w:line="243" w:lineRule="auto"/>
        <w:tabs>
          <w:tab w:leader="none" w:pos="1312"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Novartis, on behalf of itself and its Affiliates, hereby grants and agrees to grant (without any further subsequent action required on the part of Arrowhead) to Arrowhead and its Affiliates,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license (terminable solely for Arrowhead’s violation of the scope of such license) under the Novartis Licensed Technology existing as of the effective date of termination hereof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in each case, to Develop, Manufacture, perform Medical Affairs, Commercialize, and otherwise Exploit the applicable Terminated Products in the Field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that are or have been the subject of Development, Manufacture or Commercialization hereunder as of the effective date of termination (in the form such Terminated Products exist as of the effective date of termination)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(such Novartis Licensed Technology, the “</w:t>
      </w:r>
      <w:r>
        <w:rPr>
          <w:rFonts w:ascii="Times New Roman" w:cs="Times New Roman" w:eastAsia="Times New Roman" w:hAnsi="Times New Roman"/>
          <w:sz w:val="14"/>
          <w:szCs w:val="14"/>
          <w:b w:val="1"/>
          <w:bCs w:val="1"/>
          <w:color w:val="auto"/>
        </w:rPr>
        <w:t>Reversion Technology</w:t>
      </w:r>
      <w:r>
        <w:rPr>
          <w:rFonts w:ascii="Times New Roman" w:cs="Times New Roman" w:eastAsia="Times New Roman" w:hAnsi="Times New Roman"/>
          <w:sz w:val="14"/>
          <w:szCs w:val="14"/>
          <w:color w:val="auto"/>
        </w:rPr>
        <w:t>” and such license, a “</w:t>
      </w:r>
      <w:r>
        <w:rPr>
          <w:rFonts w:ascii="Times New Roman" w:cs="Times New Roman" w:eastAsia="Times New Roman" w:hAnsi="Times New Roman"/>
          <w:sz w:val="14"/>
          <w:szCs w:val="14"/>
          <w:b w:val="1"/>
          <w:bCs w:val="1"/>
          <w:color w:val="auto"/>
        </w:rPr>
        <w:t>Reversion License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320" w:hanging="504"/>
        <w:spacing w:after="0"/>
        <w:tabs>
          <w:tab w:leader="none" w:pos="132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46" w:lineRule="exact"/>
        <w:rPr>
          <w:rFonts w:ascii="Times New Roman" w:cs="Times New Roman" w:eastAsia="Times New Roman" w:hAnsi="Times New Roman"/>
          <w:sz w:val="16"/>
          <w:szCs w:val="16"/>
          <w:color w:val="auto"/>
        </w:rPr>
      </w:pPr>
    </w:p>
    <w:p>
      <w:pPr>
        <w:jc w:val="both"/>
        <w:ind w:left="1320" w:hanging="504"/>
        <w:spacing w:after="0" w:line="218" w:lineRule="auto"/>
        <w:tabs>
          <w:tab w:leader="none" w:pos="131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Arrowhead will have the right (but not the obligation) to assume, at its cost and expense, (i) the sole responsibility for the Prosecution and Maintenance of the Novartis Arising LC/LP Patent Rights and Joint Arising Patent Rights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Covering solely the Terminated Products that are included within the Reversion Technology under a Reversion License, and (ii) the sole right to take any action to enforce any such Novartis Arising LC/LP Patent Rights and Joint Arising Patent Rights in connection with any Competitive Infringement of the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jc w:val="both"/>
        <w:ind w:left="1320" w:hanging="504"/>
        <w:spacing w:after="0" w:line="218" w:lineRule="auto"/>
        <w:tabs>
          <w:tab w:leader="none" w:pos="1310"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following the effective date of termination, Novartis will transfer to Arrowhead or its designee copies of filings, applications, correspondence and other related records received or generated by Novartis in the course of exercising any Prosecution and Maintenance activities or enforcement or defense activities with respect to any Novartis Arising LC/LP Patent Rights and Joint Arising Patent Rights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that Cover solely the Terminated Products included within the Reversion Technology under a Reversion License, at Arrowhead’s cost and expense.</w:t>
      </w:r>
    </w:p>
    <w:p>
      <w:pPr>
        <w:spacing w:after="0" w:line="127" w:lineRule="exact"/>
        <w:rPr>
          <w:rFonts w:ascii="Times New Roman" w:cs="Times New Roman" w:eastAsia="Times New Roman" w:hAnsi="Times New Roman"/>
          <w:sz w:val="16"/>
          <w:szCs w:val="16"/>
          <w:color w:val="auto"/>
        </w:rPr>
      </w:pPr>
    </w:p>
    <w:p>
      <w:pPr>
        <w:jc w:val="both"/>
        <w:ind w:left="1320" w:hanging="504"/>
        <w:spacing w:after="0" w:line="260" w:lineRule="auto"/>
        <w:tabs>
          <w:tab w:leader="none" w:pos="1312"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Novartis will promptly following the effective date of termination provide to Arrowhead all Novartis Arising Know-How that is included in the Reversion Technology for the applicable Terminated Products in the Field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that are or have been the subject of Development, Manufacture or Commercialization hereunder as of the effective date of termination (in the form such Terminated Products exist as of the effective date of termination).</w:t>
      </w:r>
    </w:p>
    <w:p>
      <w:pPr>
        <w:spacing w:after="0" w:line="113" w:lineRule="exact"/>
        <w:rPr>
          <w:rFonts w:ascii="Times New Roman" w:cs="Times New Roman" w:eastAsia="Times New Roman" w:hAnsi="Times New Roman"/>
          <w:sz w:val="14"/>
          <w:szCs w:val="14"/>
          <w:color w:val="auto"/>
        </w:rPr>
      </w:pPr>
    </w:p>
    <w:p>
      <w:pPr>
        <w:jc w:val="both"/>
        <w:ind w:left="1320" w:hanging="504"/>
        <w:spacing w:after="0" w:line="218" w:lineRule="auto"/>
        <w:tabs>
          <w:tab w:leader="none" w:pos="1316"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as of the effective date of termination, (i) Novartis or any of its Affiliates owns any Trademarks that are used exclusively for the applicable Terminated Products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(ii) such Trademarks have been approved by the Regulatory Authority in a country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for use with such Terminated Products (such Trademarks, the “</w:t>
      </w:r>
      <w:r>
        <w:rPr>
          <w:rFonts w:ascii="Times New Roman" w:cs="Times New Roman" w:eastAsia="Times New Roman" w:hAnsi="Times New Roman"/>
          <w:sz w:val="16"/>
          <w:szCs w:val="16"/>
          <w:b w:val="1"/>
          <w:bCs w:val="1"/>
          <w:color w:val="auto"/>
        </w:rPr>
        <w:t>Reversion Trademarks</w:t>
      </w:r>
      <w:r>
        <w:rPr>
          <w:rFonts w:ascii="Times New Roman" w:cs="Times New Roman" w:eastAsia="Times New Roman" w:hAnsi="Times New Roman"/>
          <w:sz w:val="16"/>
          <w:szCs w:val="16"/>
          <w:color w:val="auto"/>
        </w:rPr>
        <w:t>”), then, at Arrowhead’s written request, Novartis, on behalf of itself and its Affiliates; (A) will assign and transfer to Arrowhead, or (B) solely in such jurisdictions where such</w:t>
      </w:r>
    </w:p>
    <w:p>
      <w:pPr>
        <w:spacing w:after="0" w:line="33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920"/>
          </w:cols>
          <w:pgMar w:left="660" w:top="123" w:right="319" w:bottom="1440" w:gutter="0" w:footer="0" w:header="0"/>
        </w:sectPr>
      </w:pPr>
    </w:p>
    <w:bookmarkStart w:id="203" w:name="page204"/>
    <w:bookmarkEnd w:id="203"/>
    <w:p>
      <w:pPr>
        <w:ind w:left="2720" w:right="360" w:hanging="2360"/>
        <w:spacing w:after="0" w:line="290" w:lineRule="auto"/>
        <w:tabs>
          <w:tab w:leader="none" w:pos="696"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680"/>
        <w:spacing w:after="0" w:line="250" w:lineRule="auto"/>
        <w:rPr>
          <w:sz w:val="20"/>
          <w:szCs w:val="20"/>
          <w:color w:val="auto"/>
        </w:rPr>
      </w:pPr>
      <w:r>
        <w:rPr>
          <w:rFonts w:ascii="Times New Roman" w:cs="Times New Roman" w:eastAsia="Times New Roman" w:hAnsi="Times New Roman"/>
          <w:sz w:val="14"/>
          <w:szCs w:val="14"/>
          <w:color w:val="auto"/>
        </w:rPr>
        <w:t xml:space="preserve">assignment is not permitted by applicable Law or if the assignment in the foregoing clause (A) is not effective, hereby grants (without any further subsequent action required on the part of Arrowhead, but exercisable solely upon such effective date of termination) to Arrowhead 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license of, in</w:t>
      </w:r>
    </w:p>
    <w:p>
      <w:pPr>
        <w:spacing w:after="0" w:line="1" w:lineRule="exact"/>
        <w:rPr>
          <w:sz w:val="20"/>
          <w:szCs w:val="20"/>
          <w:color w:val="auto"/>
        </w:rPr>
      </w:pPr>
    </w:p>
    <w:p>
      <w:pPr>
        <w:ind w:left="1680"/>
        <w:spacing w:after="0" w:line="229" w:lineRule="auto"/>
        <w:rPr>
          <w:sz w:val="20"/>
          <w:szCs w:val="20"/>
          <w:color w:val="auto"/>
        </w:rPr>
      </w:pPr>
      <w:r>
        <w:rPr>
          <w:rFonts w:ascii="Times New Roman" w:cs="Times New Roman" w:eastAsia="Times New Roman" w:hAnsi="Times New Roman"/>
          <w:sz w:val="14"/>
          <w:szCs w:val="14"/>
          <w:color w:val="auto"/>
        </w:rPr>
        <w:t xml:space="preserve">each case ((A) and (B)), all of Novartis’ and its Affiliates’ rights, title, and interests in and to such Reversion Trademarks for the applicable country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pursuant to an agreement that the Parties will negotiate and enter into after such effective date of termination, which agreement will contain, to the extent</w:t>
      </w:r>
    </w:p>
    <w:p>
      <w:pPr>
        <w:ind w:left="1680"/>
        <w:spacing w:after="0" w:line="224" w:lineRule="auto"/>
        <w:rPr>
          <w:sz w:val="20"/>
          <w:szCs w:val="20"/>
          <w:color w:val="auto"/>
        </w:rPr>
      </w:pPr>
      <w:r>
        <w:rPr>
          <w:rFonts w:ascii="Times New Roman" w:cs="Times New Roman" w:eastAsia="Times New Roman" w:hAnsi="Times New Roman"/>
          <w:sz w:val="16"/>
          <w:szCs w:val="16"/>
          <w:color w:val="auto"/>
        </w:rPr>
        <w:t xml:space="preserve">applicable, indemnification obligations customary of such agreements applying to Arrowhead’s use of such Reversion Trademarks following such assignment or license, as applicable.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13.7.</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13.8.  Survival; Effect of Expiration or Termination</w:t>
      </w:r>
      <w:r>
        <w:rPr>
          <w:rFonts w:ascii="Times New Roman" w:cs="Times New Roman" w:eastAsia="Times New Roman" w:hAnsi="Times New Roman"/>
          <w:sz w:val="14"/>
          <w:szCs w:val="14"/>
          <w:color w:val="auto"/>
        </w:rPr>
        <w:t>. In addition to the termination consequences set forth in Section 13.6 (Effects of Termination) (and any Sections referenced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therein), the following provisions will survive the expiration or termination of this Agreement in its entirety for any reason: (a) Article 1 (Definitions) (in each case, solely</w:t>
      </w:r>
    </w:p>
    <w:p>
      <w:pPr>
        <w:ind w:left="520"/>
        <w:spacing w:after="0" w:line="208" w:lineRule="auto"/>
        <w:rPr>
          <w:sz w:val="20"/>
          <w:szCs w:val="20"/>
          <w:color w:val="auto"/>
        </w:rPr>
      </w:pPr>
      <w:r>
        <w:rPr>
          <w:rFonts w:ascii="Times New Roman" w:cs="Times New Roman" w:eastAsia="Times New Roman" w:hAnsi="Times New Roman"/>
          <w:sz w:val="16"/>
          <w:szCs w:val="16"/>
          <w:color w:val="auto"/>
        </w:rPr>
        <w:t>with respect to defined terms that are used in surviving provisions); (b) Section 2.9.2(b)(iii) (Platform Third Party Rights), Section 3.2.2(c) (Transition of Research &amp;</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Development Activities), Section 5.1 (Arrowhead Manufacturing Activities under Development Plans), Section 5.2 (Remaining Inventory at Technology Transfer Date), Section 5.4 (Manufacturing Technology Transfer),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Section 8.2 (CT Substitution Fee), Section 8.3 (Milestone Payments), Section 8.4 (Royalties), Section 8.6 (Other</w:t>
      </w:r>
    </w:p>
    <w:p>
      <w:pPr>
        <w:ind w:left="520"/>
        <w:spacing w:after="0" w:line="208" w:lineRule="auto"/>
        <w:rPr>
          <w:sz w:val="20"/>
          <w:szCs w:val="20"/>
          <w:color w:val="auto"/>
        </w:rPr>
      </w:pPr>
      <w:r>
        <w:rPr>
          <w:rFonts w:ascii="Times New Roman" w:cs="Times New Roman" w:eastAsia="Times New Roman" w:hAnsi="Times New Roman"/>
          <w:sz w:val="16"/>
          <w:szCs w:val="16"/>
          <w:color w:val="auto"/>
        </w:rPr>
        <w:t>Amounts Payable), Section 8.7 (Payment Terms), and Section 12.4.7 (Allocation of Proceeds), in each case, solely with respect to any payment obligations that accrued</w:t>
      </w:r>
    </w:p>
    <w:p>
      <w:pPr>
        <w:ind w:left="520"/>
        <w:spacing w:after="0" w:line="200" w:lineRule="auto"/>
        <w:rPr>
          <w:sz w:val="20"/>
          <w:szCs w:val="20"/>
          <w:color w:val="auto"/>
        </w:rPr>
      </w:pPr>
      <w:r>
        <w:rPr>
          <w:rFonts w:ascii="Times New Roman" w:cs="Times New Roman" w:eastAsia="Times New Roman" w:hAnsi="Times New Roman"/>
          <w:sz w:val="16"/>
          <w:szCs w:val="16"/>
          <w:color w:val="auto"/>
        </w:rPr>
        <w:t xml:space="preserve">prior to such expiration or termination of this Agreement but have not been paid; (c) Section 3.9 (Scientific Records) for a period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expiration or termination or such longer period as may be required by applicable Law; (d) Section 9.7 (Use of Name and Logo), Section 10.5 (Warranty Disclaimer), Sections 11.1</w:t>
      </w:r>
    </w:p>
    <w:p>
      <w:pPr>
        <w:ind w:left="520"/>
        <w:spacing w:after="0"/>
        <w:rPr>
          <w:sz w:val="20"/>
          <w:szCs w:val="20"/>
          <w:color w:val="auto"/>
        </w:rPr>
      </w:pPr>
      <w:r>
        <w:rPr>
          <w:rFonts w:ascii="Times New Roman" w:cs="Times New Roman" w:eastAsia="Times New Roman" w:hAnsi="Times New Roman"/>
          <w:sz w:val="14"/>
          <w:szCs w:val="14"/>
          <w:color w:val="auto"/>
        </w:rPr>
        <w:t>(Indemnification by Arrowhead) through and including Section 11.4 (Limitation of Liability), Section 12.2 (Inventions), Section 12.11 (Common Interest), and this Section</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13.7 (Survival; Effect of Expiration or Termination), Article 15 (Dispute Resolution), and Article 16 (Miscellaneous); (e) Section 9.1 (Confidential Information) through and including Section 9.6 (Relationship to Confidentiality Agreement), in each case, solely for the term specified therein; (f) Section 11.5 (Insurance) for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following</w:t>
      </w:r>
    </w:p>
    <w:p>
      <w:pPr>
        <w:ind w:left="520"/>
        <w:spacing w:after="0" w:line="237" w:lineRule="auto"/>
        <w:rPr>
          <w:sz w:val="20"/>
          <w:szCs w:val="20"/>
          <w:color w:val="auto"/>
        </w:rPr>
      </w:pPr>
      <w:r>
        <w:rPr>
          <w:rFonts w:ascii="Times New Roman" w:cs="Times New Roman" w:eastAsia="Times New Roman" w:hAnsi="Times New Roman"/>
          <w:sz w:val="14"/>
          <w:szCs w:val="14"/>
          <w:color w:val="auto"/>
        </w:rPr>
        <w:t>expiration or termination; (g) Section 12.3 (Prosecution and Maintenance of Patent Rights) solely with respect to Joint Arising Patent Rights (other than those Joint Arising</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Patent Rights that Arrowhead elects to assume control of pursuant to Section 13.6.2(c) (Termination by Arrowhead for Cause or by Novartis Without Cause)); (i) the last sentence of Section 13.1 (Term) solely in the case of expiration and not termination of this Agreement; and (j) any other provisions that, as apparent from their nature and</w:t>
      </w:r>
    </w:p>
    <w:p>
      <w:pPr>
        <w:ind w:left="520"/>
        <w:spacing w:after="0" w:line="237" w:lineRule="auto"/>
        <w:rPr>
          <w:sz w:val="20"/>
          <w:szCs w:val="20"/>
          <w:color w:val="auto"/>
        </w:rPr>
      </w:pPr>
      <w:r>
        <w:rPr>
          <w:rFonts w:ascii="Times New Roman" w:cs="Times New Roman" w:eastAsia="Times New Roman" w:hAnsi="Times New Roman"/>
          <w:sz w:val="14"/>
          <w:szCs w:val="14"/>
          <w:color w:val="auto"/>
        </w:rPr>
        <w:t>context, are intended to continue or to remain (such as for interpretation purposes). Notwithstanding any provision to the contrary set forth in this Agreement, expiration or</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termination of this Agreement for any reason will not relieve the Parties of any liability or obligation that accrued hereunder prior to the effective date of such termination or expiration, nor preclude either Party from pursuing all rights and remedies it may have hereunder or at law or in equity, with respect to any breach of this Agreement.</w:t>
      </w:r>
    </w:p>
    <w:p>
      <w:pPr>
        <w:ind w:left="500" w:hanging="495"/>
        <w:spacing w:after="0"/>
        <w:tabs>
          <w:tab w:leader="none" w:pos="500" w:val="left"/>
        </w:tabs>
        <w:numPr>
          <w:ilvl w:val="0"/>
          <w:numId w:val="2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EFFECTIVENESS</w:t>
      </w:r>
    </w:p>
    <w:p>
      <w:pPr>
        <w:spacing w:after="0" w:line="125"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4"/>
          <w:szCs w:val="14"/>
          <w:b w:val="1"/>
          <w:bCs w:val="1"/>
          <w:color w:val="auto"/>
        </w:rPr>
        <w:t>14.1.  Effective Date</w:t>
      </w:r>
      <w:r>
        <w:rPr>
          <w:rFonts w:ascii="Times New Roman" w:cs="Times New Roman" w:eastAsia="Times New Roman" w:hAnsi="Times New Roman"/>
          <w:sz w:val="14"/>
          <w:szCs w:val="14"/>
          <w:color w:val="auto"/>
        </w:rPr>
        <w:t>. Except for the Parties’ obligations under 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Article 9 (Confidentiality and Publication), Article 10 (Representations, Warranties, and Covenants),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this Article 14 (Effectiveness), which will be effective as of the Execution Date, this Agreement will not become effective until the first Business Day after the Antitrust</w:t>
      </w:r>
    </w:p>
    <w:p>
      <w:pPr>
        <w:ind w:left="520"/>
        <w:spacing w:after="0" w:line="237" w:lineRule="auto"/>
        <w:rPr>
          <w:sz w:val="20"/>
          <w:szCs w:val="20"/>
          <w:color w:val="auto"/>
        </w:rPr>
      </w:pPr>
      <w:r>
        <w:rPr>
          <w:rFonts w:ascii="Times New Roman" w:cs="Times New Roman" w:eastAsia="Times New Roman" w:hAnsi="Times New Roman"/>
          <w:sz w:val="14"/>
          <w:szCs w:val="14"/>
          <w:color w:val="auto"/>
        </w:rPr>
        <w:t>Clearance Date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Effective Date will not occur if either Party exercises its termination right under Section 14.3 (Outside Date) prior</w:t>
      </w:r>
    </w:p>
    <w:p>
      <w:pPr>
        <w:spacing w:after="0" w:line="1" w:lineRule="exact"/>
        <w:rPr>
          <w:sz w:val="20"/>
          <w:szCs w:val="20"/>
          <w:color w:val="auto"/>
        </w:rPr>
      </w:pPr>
    </w:p>
    <w:p>
      <w:pPr>
        <w:ind w:left="520"/>
        <w:spacing w:after="0" w:line="217" w:lineRule="auto"/>
        <w:rPr>
          <w:sz w:val="20"/>
          <w:szCs w:val="20"/>
          <w:color w:val="auto"/>
        </w:rPr>
      </w:pPr>
      <w:r>
        <w:rPr>
          <w:rFonts w:ascii="Times New Roman" w:cs="Times New Roman" w:eastAsia="Times New Roman" w:hAnsi="Times New Roman"/>
          <w:sz w:val="16"/>
          <w:szCs w:val="16"/>
          <w:color w:val="auto"/>
        </w:rPr>
        <w:t xml:space="preserve">to the Antitrust Clearance Date. On the Effective Date, Arrowhead will provide to Novartis an updated version of </w:t>
      </w:r>
      <w:r>
        <w:rPr>
          <w:rFonts w:ascii="Times New Roman" w:cs="Times New Roman" w:eastAsia="Times New Roman" w:hAnsi="Times New Roman"/>
          <w:sz w:val="16"/>
          <w:szCs w:val="16"/>
          <w:b w:val="1"/>
          <w:bCs w:val="1"/>
          <w:color w:val="auto"/>
        </w:rPr>
        <w:t>Schedule 10.2</w:t>
      </w:r>
      <w:r>
        <w:rPr>
          <w:rFonts w:ascii="Times New Roman" w:cs="Times New Roman" w:eastAsia="Times New Roman" w:hAnsi="Times New Roman"/>
          <w:sz w:val="16"/>
          <w:szCs w:val="16"/>
          <w:color w:val="auto"/>
        </w:rPr>
        <w:t xml:space="preserve"> (Exceptions to the Representations and Warranties by Arrowhead) to the extent required as a result of Arrowhead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1280"/>
          </w:cols>
          <w:pgMar w:left="300" w:top="123" w:right="319" w:bottom="1440" w:gutter="0" w:footer="0" w:header="0"/>
        </w:sectPr>
      </w:pPr>
    </w:p>
    <w:bookmarkStart w:id="204" w:name="page205"/>
    <w:bookmarkEnd w:id="204"/>
    <w:p>
      <w:pPr>
        <w:ind w:left="2720" w:right="360" w:hanging="2360"/>
        <w:spacing w:after="0" w:line="290" w:lineRule="auto"/>
        <w:tabs>
          <w:tab w:leader="none" w:pos="696" w:val="left"/>
        </w:tabs>
        <w:numPr>
          <w:ilvl w:val="0"/>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making anew as of the Effective Date the representations and warranties of Section 10.2 (Additional Representations and Warranties by Arrowhead).</w:t>
      </w:r>
    </w:p>
    <w:p>
      <w:pPr>
        <w:spacing w:after="0" w:line="23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14.2.</w:t>
      </w:r>
      <w:r>
        <w:rPr>
          <w:sz w:val="20"/>
          <w:szCs w:val="20"/>
          <w:color w:val="auto"/>
        </w:rPr>
        <w:tab/>
      </w:r>
      <w:r>
        <w:rPr>
          <w:rFonts w:ascii="Times New Roman" w:cs="Times New Roman" w:eastAsia="Times New Roman" w:hAnsi="Times New Roman"/>
          <w:sz w:val="14"/>
          <w:szCs w:val="14"/>
          <w:b w:val="1"/>
          <w:bCs w:val="1"/>
          <w:color w:val="auto"/>
        </w:rPr>
        <w:t>Filing</w:t>
      </w:r>
      <w:r>
        <w:rPr>
          <w:rFonts w:ascii="Times New Roman" w:cs="Times New Roman" w:eastAsia="Times New Roman" w:hAnsi="Times New Roman"/>
          <w:sz w:val="14"/>
          <w:szCs w:val="14"/>
          <w:color w:val="auto"/>
        </w:rPr>
        <w:t>.</w:t>
      </w:r>
    </w:p>
    <w:p>
      <w:pPr>
        <w:jc w:val="right"/>
        <w:ind w:left="520"/>
        <w:spacing w:after="0" w:line="200" w:lineRule="auto"/>
        <w:rPr>
          <w:sz w:val="20"/>
          <w:szCs w:val="20"/>
          <w:color w:val="auto"/>
        </w:rPr>
      </w:pPr>
      <w:r>
        <w:rPr>
          <w:rFonts w:ascii="Times New Roman" w:cs="Times New Roman" w:eastAsia="Times New Roman" w:hAnsi="Times New Roman"/>
          <w:sz w:val="16"/>
          <w:szCs w:val="16"/>
          <w:color w:val="auto"/>
        </w:rPr>
        <w:t xml:space="preserve">14.2.1.   Each Party will,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following the Execution Date, file the notification and report forms required under all Antitrust Laws. The Parties will use reasonable best efforts to cooperate with one another to the extent necessary in the preparation and execution of all such documents that are required to be filed</w:t>
      </w:r>
    </w:p>
    <w:p>
      <w:pPr>
        <w:ind w:left="1180"/>
        <w:spacing w:after="0"/>
        <w:rPr>
          <w:sz w:val="20"/>
          <w:szCs w:val="20"/>
          <w:color w:val="auto"/>
        </w:rPr>
      </w:pPr>
      <w:r>
        <w:rPr>
          <w:rFonts w:ascii="Times New Roman" w:cs="Times New Roman" w:eastAsia="Times New Roman" w:hAnsi="Times New Roman"/>
          <w:sz w:val="14"/>
          <w:szCs w:val="14"/>
          <w:color w:val="auto"/>
        </w:rPr>
        <w:t>pursuant to the Antitrust Laws. Each Party will be responsible for its own costs and expenses associated with any such filing pursuant to the Antitrust Laws. The</w:t>
      </w:r>
    </w:p>
    <w:p>
      <w:pPr>
        <w:ind w:left="1180"/>
        <w:spacing w:after="0" w:line="229" w:lineRule="auto"/>
        <w:rPr>
          <w:sz w:val="20"/>
          <w:szCs w:val="20"/>
          <w:color w:val="auto"/>
        </w:rPr>
      </w:pPr>
      <w:r>
        <w:rPr>
          <w:rFonts w:ascii="Times New Roman" w:cs="Times New Roman" w:eastAsia="Times New Roman" w:hAnsi="Times New Roman"/>
          <w:sz w:val="14"/>
          <w:szCs w:val="14"/>
          <w:color w:val="auto"/>
        </w:rPr>
        <w:t>Parties will each use reasonable best efforts to ensure that any applicable waiting period under the Antitrust Laws expires or is terminated as soon as practicable and to obtain any necessary approvals or consents under any applicable Antitrust Laws, at the earliest possible date after the date of filing, and in any event prior</w:t>
      </w:r>
    </w:p>
    <w:p>
      <w:pPr>
        <w:ind w:left="1180"/>
        <w:spacing w:after="0" w:line="229" w:lineRule="auto"/>
        <w:rPr>
          <w:sz w:val="20"/>
          <w:szCs w:val="20"/>
          <w:color w:val="auto"/>
        </w:rPr>
      </w:pPr>
      <w:r>
        <w:rPr>
          <w:rFonts w:ascii="Times New Roman" w:cs="Times New Roman" w:eastAsia="Times New Roman" w:hAnsi="Times New Roman"/>
          <w:sz w:val="14"/>
          <w:szCs w:val="14"/>
          <w:color w:val="auto"/>
        </w:rPr>
        <w:t xml:space="preserve">to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Notwithstanding any provision to the contrary set forth in this Agreement, nothing in this Agreement (including this Section 14.2 (Filing)) will require either Party or any of its Affiliates to (a) disclose to the other Party or any of its Affiliates any information that is subject to obligations of confidentiality or non-</w:t>
      </w:r>
    </w:p>
    <w:p>
      <w:pPr>
        <w:ind w:left="1180"/>
        <w:spacing w:after="0" w:line="237" w:lineRule="auto"/>
        <w:rPr>
          <w:sz w:val="20"/>
          <w:szCs w:val="20"/>
          <w:color w:val="auto"/>
        </w:rPr>
      </w:pPr>
      <w:r>
        <w:rPr>
          <w:rFonts w:ascii="Times New Roman" w:cs="Times New Roman" w:eastAsia="Times New Roman" w:hAnsi="Times New Roman"/>
          <w:sz w:val="14"/>
          <w:szCs w:val="14"/>
          <w:color w:val="auto"/>
        </w:rPr>
        <w:t>use owed to Third Parties (nor will either Party be required to conduct joint meetings with any Governmental Authority in which such information is intended to</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be disclosed) in connection with any Antitrust Filing, (b) commit to any consent decree or similar undertaking, or any divestiture, license (in whole or in part), or any arrangement to hold separate (or any similar arrangement) with respect to any of its products or assets, or (c) litigate. If a Party receives a request for</w:t>
      </w:r>
    </w:p>
    <w:p>
      <w:pPr>
        <w:ind w:left="1180"/>
        <w:spacing w:after="0" w:line="208" w:lineRule="auto"/>
        <w:rPr>
          <w:sz w:val="20"/>
          <w:szCs w:val="20"/>
          <w:color w:val="auto"/>
        </w:rPr>
      </w:pPr>
      <w:r>
        <w:rPr>
          <w:rFonts w:ascii="Times New Roman" w:cs="Times New Roman" w:eastAsia="Times New Roman" w:hAnsi="Times New Roman"/>
          <w:sz w:val="16"/>
          <w:szCs w:val="16"/>
          <w:color w:val="auto"/>
        </w:rPr>
        <w:t>information or documentary material from any Governmental Authority with respect to this Agreement or the transactions contemplated hereby, including a</w:t>
      </w:r>
    </w:p>
    <w:p>
      <w:pPr>
        <w:ind w:left="1180"/>
        <w:spacing w:after="0" w:line="217" w:lineRule="auto"/>
        <w:rPr>
          <w:sz w:val="20"/>
          <w:szCs w:val="20"/>
          <w:color w:val="auto"/>
        </w:rPr>
      </w:pPr>
      <w:r>
        <w:rPr>
          <w:rFonts w:ascii="Times New Roman" w:cs="Times New Roman" w:eastAsia="Times New Roman" w:hAnsi="Times New Roman"/>
          <w:sz w:val="16"/>
          <w:szCs w:val="16"/>
          <w:color w:val="auto"/>
        </w:rPr>
        <w:t>Second Request for Information under the HSR Act, then such party will in good faith make, or cause to be made, as soon as reasonably practicable and after consultation with the other party, a response that is, at a minimum, in substantial compliance with such request.</w:t>
      </w:r>
    </w:p>
    <w:p>
      <w:pPr>
        <w:spacing w:after="0" w:line="120" w:lineRule="exact"/>
        <w:rPr>
          <w:sz w:val="20"/>
          <w:szCs w:val="20"/>
          <w:color w:val="auto"/>
        </w:rPr>
      </w:pPr>
    </w:p>
    <w:p>
      <w:pPr>
        <w:ind w:left="520"/>
        <w:spacing w:after="0"/>
        <w:tabs>
          <w:tab w:leader="none" w:pos="1160" w:val="left"/>
        </w:tabs>
        <w:rPr>
          <w:sz w:val="20"/>
          <w:szCs w:val="20"/>
          <w:color w:val="auto"/>
        </w:rPr>
      </w:pPr>
      <w:r>
        <w:rPr>
          <w:rFonts w:ascii="Times New Roman" w:cs="Times New Roman" w:eastAsia="Times New Roman" w:hAnsi="Times New Roman"/>
          <w:sz w:val="16"/>
          <w:szCs w:val="16"/>
          <w:color w:val="auto"/>
        </w:rPr>
        <w:t>14.2.2.</w:t>
      </w:r>
      <w:r>
        <w:rPr>
          <w:sz w:val="20"/>
          <w:szCs w:val="20"/>
          <w:color w:val="auto"/>
        </w:rPr>
        <w:tab/>
      </w:r>
      <w:r>
        <w:rPr>
          <w:rFonts w:ascii="Times New Roman" w:cs="Times New Roman" w:eastAsia="Times New Roman" w:hAnsi="Times New Roman"/>
          <w:sz w:val="16"/>
          <w:szCs w:val="16"/>
          <w:color w:val="auto"/>
        </w:rPr>
        <w:t>In furtherance of the foregoing, each Party will consult and cooperate with the other Party, including: (a) promptly notify the other Party of, and if in writing,</w:t>
      </w:r>
    </w:p>
    <w:p>
      <w:pPr>
        <w:ind w:left="1180"/>
        <w:spacing w:after="0" w:line="229" w:lineRule="auto"/>
        <w:rPr>
          <w:sz w:val="20"/>
          <w:szCs w:val="20"/>
          <w:color w:val="auto"/>
        </w:rPr>
      </w:pPr>
      <w:r>
        <w:rPr>
          <w:rFonts w:ascii="Times New Roman" w:cs="Times New Roman" w:eastAsia="Times New Roman" w:hAnsi="Times New Roman"/>
          <w:sz w:val="14"/>
          <w:szCs w:val="14"/>
          <w:color w:val="auto"/>
        </w:rPr>
        <w:t>furnish the other Party with copies of, any communications from or with any Governmental Authority with respect to this Agreement; (b) permit the other Party to review and discuss in advance, and consider in good faith the view of the other in connection with, any proposed substantive written or oral communication</w:t>
      </w:r>
    </w:p>
    <w:p>
      <w:pPr>
        <w:ind w:left="1180"/>
        <w:spacing w:after="0" w:line="237" w:lineRule="auto"/>
        <w:rPr>
          <w:sz w:val="20"/>
          <w:szCs w:val="20"/>
          <w:color w:val="auto"/>
        </w:rPr>
      </w:pPr>
      <w:r>
        <w:rPr>
          <w:rFonts w:ascii="Times New Roman" w:cs="Times New Roman" w:eastAsia="Times New Roman" w:hAnsi="Times New Roman"/>
          <w:sz w:val="14"/>
          <w:szCs w:val="14"/>
          <w:color w:val="auto"/>
        </w:rPr>
        <w:t>with any Governmental Authority; (c) not participate in any substantive meeting or have any substantive communication with any Governmental Authority unless</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it has given the other Party a reasonable opportunity to consult with it in advance and, to the extent permitted by such Governmental Authority, gives the other Party the opportunity to attend; (d) furnish the other Party’s outside legal counsel with copies of all filings and communications between it and any such</w:t>
      </w:r>
    </w:p>
    <w:p>
      <w:pPr>
        <w:ind w:left="1180"/>
        <w:spacing w:after="0" w:line="208" w:lineRule="auto"/>
        <w:rPr>
          <w:sz w:val="20"/>
          <w:szCs w:val="20"/>
          <w:color w:val="auto"/>
        </w:rPr>
      </w:pPr>
      <w:r>
        <w:rPr>
          <w:rFonts w:ascii="Times New Roman" w:cs="Times New Roman" w:eastAsia="Times New Roman" w:hAnsi="Times New Roman"/>
          <w:sz w:val="16"/>
          <w:szCs w:val="16"/>
          <w:color w:val="auto"/>
        </w:rPr>
        <w:t xml:space="preserve">Governmental Authority with respect to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material may be redacted as necessary to (i) comply with contractual</w:t>
      </w:r>
    </w:p>
    <w:p>
      <w:pPr>
        <w:ind w:left="1180"/>
        <w:spacing w:after="0" w:line="200" w:lineRule="auto"/>
        <w:rPr>
          <w:sz w:val="20"/>
          <w:szCs w:val="20"/>
          <w:color w:val="auto"/>
        </w:rPr>
      </w:pPr>
      <w:r>
        <w:rPr>
          <w:rFonts w:ascii="Times New Roman" w:cs="Times New Roman" w:eastAsia="Times New Roman" w:hAnsi="Times New Roman"/>
          <w:sz w:val="16"/>
          <w:szCs w:val="16"/>
          <w:color w:val="auto"/>
        </w:rPr>
        <w:t>arrangements, (ii) address legal privilege concerns, and (iii) comply with Law; and (e) furnish the other Party’s outside legal counsel with such necessary information and reasonable assistance as the other Party’s outside legal counsel may reasonably request in connection with its preparation of submissions of</w:t>
      </w:r>
    </w:p>
    <w:p>
      <w:pPr>
        <w:ind w:left="1180"/>
        <w:spacing w:after="0" w:line="208" w:lineRule="auto"/>
        <w:rPr>
          <w:sz w:val="20"/>
          <w:szCs w:val="20"/>
          <w:color w:val="auto"/>
        </w:rPr>
      </w:pPr>
      <w:r>
        <w:rPr>
          <w:rFonts w:ascii="Times New Roman" w:cs="Times New Roman" w:eastAsia="Times New Roman" w:hAnsi="Times New Roman"/>
          <w:sz w:val="16"/>
          <w:szCs w:val="16"/>
          <w:color w:val="auto"/>
        </w:rPr>
        <w:t>information to any such Governmental Authority. The Parties may, as they deem advisable and necessary, designate any competitively sensitive materials</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provided to the other Party under this Section 14.2 (Filing) as “outside counsel only.” Such materials and the information contained therein will be given only to outside counsel and outside economic consultants of the recipient and will not be disclosed by such outside counsel or outside economic consultants to</w:t>
      </w:r>
    </w:p>
    <w:p>
      <w:pPr>
        <w:ind w:left="1180"/>
        <w:spacing w:after="0" w:line="208" w:lineRule="auto"/>
        <w:rPr>
          <w:sz w:val="20"/>
          <w:szCs w:val="20"/>
          <w:color w:val="auto"/>
        </w:rPr>
      </w:pPr>
      <w:r>
        <w:rPr>
          <w:rFonts w:ascii="Times New Roman" w:cs="Times New Roman" w:eastAsia="Times New Roman" w:hAnsi="Times New Roman"/>
          <w:sz w:val="16"/>
          <w:szCs w:val="16"/>
          <w:color w:val="auto"/>
        </w:rPr>
        <w:t>employees, officers, or directors of the recipient without the advance written consent of the Party providing such materials. Notwithstanding anything to the</w:t>
      </w:r>
    </w:p>
    <w:p>
      <w:pPr>
        <w:ind w:left="1180"/>
        <w:spacing w:after="0" w:line="217" w:lineRule="auto"/>
        <w:rPr>
          <w:sz w:val="20"/>
          <w:szCs w:val="20"/>
          <w:color w:val="auto"/>
        </w:rPr>
      </w:pPr>
      <w:r>
        <w:rPr>
          <w:rFonts w:ascii="Times New Roman" w:cs="Times New Roman" w:eastAsia="Times New Roman" w:hAnsi="Times New Roman"/>
          <w:sz w:val="16"/>
          <w:szCs w:val="16"/>
          <w:color w:val="auto"/>
        </w:rPr>
        <w:t>contrary in this Section 14.2 (Filing), materials provided to the other Party or its outside legal counsel may be redacted to remove references concerning the valuation of the Licensed Compounds or Licensed Products.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1280"/>
          </w:cols>
          <w:pgMar w:left="300" w:top="122" w:right="319" w:bottom="1440" w:gutter="0" w:footer="0" w:header="0"/>
        </w:sectPr>
      </w:pPr>
    </w:p>
    <w:bookmarkStart w:id="205" w:name="page206"/>
    <w:bookmarkEnd w:id="205"/>
    <w:p>
      <w:pPr>
        <w:ind w:left="2720" w:right="360" w:hanging="2360"/>
        <w:spacing w:after="0" w:line="290" w:lineRule="auto"/>
        <w:tabs>
          <w:tab w:leader="none" w:pos="696" w:val="left"/>
        </w:tabs>
        <w:numPr>
          <w:ilvl w:val="0"/>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500" w:hanging="508"/>
        <w:spacing w:after="0" w:line="211"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14.3.</w:t>
        <w:tab/>
        <w:t>Outside Date</w:t>
      </w:r>
      <w:r>
        <w:rPr>
          <w:rFonts w:ascii="Times New Roman" w:cs="Times New Roman" w:eastAsia="Times New Roman" w:hAnsi="Times New Roman"/>
          <w:sz w:val="16"/>
          <w:szCs w:val="16"/>
          <w:color w:val="auto"/>
        </w:rPr>
        <w:t>. This Agreement will terminate at the election of either Party, immediately upon written notice by such Party to the other Party, in the event that the Antitrust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Clearance Date has not occurred on or prior to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and the Parties have not agreed in writing to extend the Antitrust Clearance Date. In the event of such termination, this Agreement will be of no further force and effect.</w:t>
      </w:r>
    </w:p>
    <w:p>
      <w:pPr>
        <w:spacing w:after="0" w:line="2" w:lineRule="exact"/>
        <w:rPr>
          <w:sz w:val="20"/>
          <w:szCs w:val="20"/>
          <w:color w:val="auto"/>
        </w:rPr>
      </w:pPr>
    </w:p>
    <w:p>
      <w:pPr>
        <w:ind w:left="500" w:hanging="495"/>
        <w:spacing w:after="0"/>
        <w:tabs>
          <w:tab w:leader="none" w:pos="500" w:val="left"/>
        </w:tabs>
        <w:numPr>
          <w:ilvl w:val="0"/>
          <w:numId w:val="2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DISPUTE RESOLUTION</w:t>
      </w:r>
    </w:p>
    <w:p>
      <w:pPr>
        <w:spacing w:after="0" w:line="1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15.1.</w:t>
      </w:r>
      <w:r>
        <w:rPr>
          <w:sz w:val="20"/>
          <w:szCs w:val="20"/>
          <w:color w:val="auto"/>
        </w:rPr>
        <w:tab/>
      </w:r>
      <w:r>
        <w:rPr>
          <w:rFonts w:ascii="Times New Roman" w:cs="Times New Roman" w:eastAsia="Times New Roman" w:hAnsi="Times New Roman"/>
          <w:sz w:val="14"/>
          <w:szCs w:val="14"/>
          <w:b w:val="1"/>
          <w:bCs w:val="1"/>
          <w:color w:val="auto"/>
        </w:rPr>
        <w:t>Exclusive Dispute Resolution Mechanism</w:t>
      </w:r>
      <w:r>
        <w:rPr>
          <w:rFonts w:ascii="Times New Roman" w:cs="Times New Roman" w:eastAsia="Times New Roman" w:hAnsi="Times New Roman"/>
          <w:sz w:val="14"/>
          <w:szCs w:val="14"/>
          <w:color w:val="auto"/>
        </w:rPr>
        <w:t>. The Parties agree that, except as expressly set forth in Section 7.4 (Resolution of Committee Disputes), the procedures set forth</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in this Article 15 (Dispute Resolution) will be the exclusive mechanism for resolving any dispute, controversy, or claim between the Parties arising out of or relating to this Agreement (whether based on contract, tort or otherwise) (each, a “</w:t>
      </w:r>
      <w:r>
        <w:rPr>
          <w:rFonts w:ascii="Times New Roman" w:cs="Times New Roman" w:eastAsia="Times New Roman" w:hAnsi="Times New Roman"/>
          <w:sz w:val="14"/>
          <w:szCs w:val="14"/>
          <w:b w:val="1"/>
          <w:bCs w:val="1"/>
          <w:color w:val="auto"/>
        </w:rPr>
        <w:t>Dispute</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Disputes</w:t>
      </w:r>
      <w:r>
        <w:rPr>
          <w:rFonts w:ascii="Times New Roman" w:cs="Times New Roman" w:eastAsia="Times New Roman" w:hAnsi="Times New Roman"/>
          <w:sz w:val="14"/>
          <w:szCs w:val="14"/>
          <w:color w:val="auto"/>
        </w:rPr>
        <w:t>”) that is not resolved through good faith negotiation between</w:t>
      </w:r>
    </w:p>
    <w:p>
      <w:pPr>
        <w:jc w:val="both"/>
        <w:ind w:left="520"/>
        <w:spacing w:after="0" w:line="200" w:lineRule="auto"/>
        <w:rPr>
          <w:sz w:val="20"/>
          <w:szCs w:val="20"/>
          <w:color w:val="auto"/>
        </w:rPr>
      </w:pPr>
      <w:r>
        <w:rPr>
          <w:rFonts w:ascii="Times New Roman" w:cs="Times New Roman" w:eastAsia="Times New Roman" w:hAnsi="Times New Roman"/>
          <w:sz w:val="16"/>
          <w:szCs w:val="16"/>
          <w:color w:val="auto"/>
        </w:rPr>
        <w:t>the Parties pursuant to Section 15.2 (Resolution by Executive Officers). For the avoidance of doubt, this Article 15 (Dispute Resolution) will not apply with respect to any decision under the purview of the JSC, for which final decision-making authority is set forth in Section 7.4 (Resolution of Committee Disputes).</w:t>
      </w:r>
    </w:p>
    <w:p>
      <w:pPr>
        <w:spacing w:after="0" w:line="208"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15.2.</w:t>
        <w:tab/>
        <w:t>Resolution by Executive Officers</w:t>
      </w:r>
      <w:r>
        <w:rPr>
          <w:rFonts w:ascii="Times New Roman" w:cs="Times New Roman" w:eastAsia="Times New Roman" w:hAnsi="Times New Roman"/>
          <w:sz w:val="16"/>
          <w:szCs w:val="16"/>
          <w:color w:val="auto"/>
        </w:rPr>
        <w:t>. Except as expressly set forth in Section 7.4 (Resolution of Committee Disputes) or as provided in Section 15.5 (Preliminary</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Injunctions), in the event of any Dispute regarding the construction or interpretation of this Agreement, or any right, obligation, or liability of either Party hereunder, the Parties will first attempt in good faith to resolve such Dispute by negotiation and consultation between themselves. In the event that such Dispute is not resolved on an</w:t>
      </w:r>
    </w:p>
    <w:p>
      <w:pPr>
        <w:ind w:left="520"/>
        <w:spacing w:after="0" w:line="237" w:lineRule="auto"/>
        <w:rPr>
          <w:sz w:val="20"/>
          <w:szCs w:val="20"/>
          <w:color w:val="auto"/>
        </w:rPr>
      </w:pPr>
      <w:r>
        <w:rPr>
          <w:rFonts w:ascii="Times New Roman" w:cs="Times New Roman" w:eastAsia="Times New Roman" w:hAnsi="Times New Roman"/>
          <w:sz w:val="14"/>
          <w:szCs w:val="14"/>
          <w:color w:val="auto"/>
        </w:rPr>
        <w:t xml:space="preserve">informal basis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either Party may, by written notice to the other Party, refer the Dispute to the Executive Officers of the Parties for attempted resolution by good</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 xml:space="preserve">faith negotiation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such notice is received. If the Executive Officers cannot resolve the Dispute within such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-day period, then (a) if the Dispute has been expressly stated in this Agreement to be resolved pursuant to expedited arbitration, it will be resolved in accordance with Section 15.3 (Expedited Arbitration), or (b)</w:t>
      </w:r>
    </w:p>
    <w:p>
      <w:pPr>
        <w:ind w:left="520"/>
        <w:spacing w:after="0" w:line="208" w:lineRule="auto"/>
        <w:rPr>
          <w:sz w:val="20"/>
          <w:szCs w:val="20"/>
          <w:color w:val="auto"/>
        </w:rPr>
      </w:pPr>
      <w:r>
        <w:rPr>
          <w:rFonts w:ascii="Times New Roman" w:cs="Times New Roman" w:eastAsia="Times New Roman" w:hAnsi="Times New Roman"/>
          <w:sz w:val="16"/>
          <w:szCs w:val="16"/>
          <w:color w:val="auto"/>
        </w:rPr>
        <w:t xml:space="preserve">with respect to any other Dispute, it will be resolved in accordance with Section 15.4 (Arbitration),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any Dispute with respect to (i) the scope,</w:t>
      </w: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construction, validity, or enforceability of any Patent Right or Trademark relating to a Licensed Product will be resolved by litigation in accordance with Section 15.6 (Patent and Trademark Disputes) or (ii) any antitrust, anti-monopoly, or competition law or regulation, whether or not statutory may be submitted in any court of competent</w:t>
      </w:r>
    </w:p>
    <w:p>
      <w:pPr>
        <w:ind w:left="520"/>
        <w:spacing w:after="0" w:line="208" w:lineRule="auto"/>
        <w:rPr>
          <w:sz w:val="20"/>
          <w:szCs w:val="20"/>
          <w:color w:val="auto"/>
        </w:rPr>
      </w:pPr>
      <w:r>
        <w:rPr>
          <w:rFonts w:ascii="Times New Roman" w:cs="Times New Roman" w:eastAsia="Times New Roman" w:hAnsi="Times New Roman"/>
          <w:sz w:val="16"/>
          <w:szCs w:val="16"/>
          <w:color w:val="auto"/>
        </w:rPr>
        <w:t>jurisdiction over such Dispute.</w:t>
      </w: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15.3.  Expedited Arbitration</w:t>
      </w:r>
      <w:r>
        <w:rPr>
          <w:rFonts w:ascii="Times New Roman" w:cs="Times New Roman" w:eastAsia="Times New Roman" w:hAnsi="Times New Roman"/>
          <w:sz w:val="16"/>
          <w:szCs w:val="16"/>
          <w:color w:val="auto"/>
        </w:rPr>
        <w:t>. Any Dispute remaining unresolved after escalation to the Parties’ respective Executive Officers in accordance with Section 15.2 (Resolution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 Officers) and expressly stated in this Agreement to be resolved pursuant to expedited arbitration will be resolved pursuant to the following procedures of this</w:t>
      </w:r>
    </w:p>
    <w:p>
      <w:pPr>
        <w:ind w:left="520"/>
        <w:spacing w:after="0" w:line="208" w:lineRule="auto"/>
        <w:rPr>
          <w:sz w:val="20"/>
          <w:szCs w:val="20"/>
          <w:color w:val="auto"/>
        </w:rPr>
      </w:pPr>
      <w:r>
        <w:rPr>
          <w:rFonts w:ascii="Times New Roman" w:cs="Times New Roman" w:eastAsia="Times New Roman" w:hAnsi="Times New Roman"/>
          <w:sz w:val="16"/>
          <w:szCs w:val="16"/>
          <w:color w:val="auto"/>
        </w:rPr>
        <w:t>Section 15.3 (Expedited Arbitration).</w:t>
      </w:r>
    </w:p>
    <w:p>
      <w:pPr>
        <w:spacing w:after="0" w:line="1" w:lineRule="exact"/>
        <w:rPr>
          <w:sz w:val="20"/>
          <w:szCs w:val="20"/>
          <w:color w:val="auto"/>
        </w:rPr>
      </w:pPr>
    </w:p>
    <w:p>
      <w:pPr>
        <w:jc w:val="both"/>
        <w:ind w:left="1180" w:hanging="661"/>
        <w:spacing w:after="0" w:line="229" w:lineRule="auto"/>
        <w:tabs>
          <w:tab w:leader="none" w:pos="1160" w:val="left"/>
        </w:tabs>
        <w:rPr>
          <w:sz w:val="20"/>
          <w:szCs w:val="20"/>
          <w:color w:val="auto"/>
        </w:rPr>
      </w:pPr>
      <w:r>
        <w:rPr>
          <w:rFonts w:ascii="Times New Roman" w:cs="Times New Roman" w:eastAsia="Times New Roman" w:hAnsi="Times New Roman"/>
          <w:sz w:val="16"/>
          <w:szCs w:val="16"/>
          <w:color w:val="auto"/>
        </w:rPr>
        <w:t>15.3.1.</w:t>
      </w:r>
      <w:r>
        <w:rPr>
          <w:sz w:val="20"/>
          <w:szCs w:val="20"/>
          <w:color w:val="auto"/>
        </w:rPr>
        <w:tab/>
      </w:r>
      <w:r>
        <w:rPr>
          <w:rFonts w:ascii="Times New Roman" w:cs="Times New Roman" w:eastAsia="Times New Roman" w:hAnsi="Times New Roman"/>
          <w:sz w:val="14"/>
          <w:szCs w:val="14"/>
          <w:color w:val="auto"/>
        </w:rPr>
        <w:t>For purposes of arbitration under this Section 15.3 (Expedited Arbitration), the arbitration will be administered by the ICC pursuant to its rules then in effect at the time of submission for such proceedings (“</w:t>
      </w:r>
      <w:r>
        <w:rPr>
          <w:rFonts w:ascii="Times New Roman" w:cs="Times New Roman" w:eastAsia="Times New Roman" w:hAnsi="Times New Roman"/>
          <w:sz w:val="14"/>
          <w:szCs w:val="14"/>
          <w:b w:val="1"/>
          <w:bCs w:val="1"/>
          <w:color w:val="auto"/>
        </w:rPr>
        <w:t>ICC Rules</w:t>
      </w:r>
      <w:r>
        <w:rPr>
          <w:rFonts w:ascii="Times New Roman" w:cs="Times New Roman" w:eastAsia="Times New Roman" w:hAnsi="Times New Roman"/>
          <w:sz w:val="14"/>
          <w:szCs w:val="14"/>
          <w:color w:val="auto"/>
        </w:rPr>
        <w:t>”), as modified by this Section 15.3 (Expedited Arbitration). The arbitration will be governed by the</w:t>
      </w:r>
    </w:p>
    <w:p>
      <w:pPr>
        <w:ind w:left="1180"/>
        <w:spacing w:after="0" w:line="208" w:lineRule="auto"/>
        <w:rPr>
          <w:sz w:val="20"/>
          <w:szCs w:val="20"/>
          <w:color w:val="auto"/>
        </w:rPr>
      </w:pPr>
      <w:r>
        <w:rPr>
          <w:rFonts w:ascii="Times New Roman" w:cs="Times New Roman" w:eastAsia="Times New Roman" w:hAnsi="Times New Roman"/>
          <w:sz w:val="16"/>
          <w:szCs w:val="16"/>
          <w:color w:val="auto"/>
        </w:rPr>
        <w:t>Laws of the State of New York, without giving effect to any choice of law principles that would require the application of the laws of a different state or</w:t>
      </w:r>
    </w:p>
    <w:p>
      <w:pPr>
        <w:ind w:left="1180"/>
        <w:spacing w:after="0" w:line="229" w:lineRule="auto"/>
        <w:rPr>
          <w:sz w:val="20"/>
          <w:szCs w:val="20"/>
          <w:color w:val="auto"/>
        </w:rPr>
      </w:pPr>
      <w:r>
        <w:rPr>
          <w:rFonts w:ascii="Times New Roman" w:cs="Times New Roman" w:eastAsia="Times New Roman" w:hAnsi="Times New Roman"/>
          <w:sz w:val="14"/>
          <w:szCs w:val="14"/>
          <w:color w:val="auto"/>
        </w:rPr>
        <w:t>jurisdiction. The arbitration will be heard and determined by a single arbitrator appointed by agreement of the Parties or, failing such mutual agreement, by the ICC, and who will be a single independent, conflict-free arbitrator having the requisite pharmaceutical and biotechnology industry experience (such arbitrator, the</w:t>
      </w:r>
    </w:p>
    <w:p>
      <w:pPr>
        <w:ind w:left="1180"/>
        <w:spacing w:after="0" w:line="22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Expedited Arbitrator</w:t>
      </w:r>
      <w:r>
        <w:rPr>
          <w:rFonts w:ascii="Times New Roman" w:cs="Times New Roman" w:eastAsia="Times New Roman" w:hAnsi="Times New Roman"/>
          <w:sz w:val="16"/>
          <w:szCs w:val="16"/>
          <w:color w:val="auto"/>
        </w:rPr>
        <w:t>”). The Parties may select a different Expedited Arbitrator for each Dispute depending on the nature of the issues presented and desired expertise. The arbitration will be conducted as a “baseball” form of binding arbitration conducted by the Expedited Arbitrator.</w:t>
      </w:r>
    </w:p>
    <w:p>
      <w:pPr>
        <w:spacing w:after="0" w:line="114" w:lineRule="exact"/>
        <w:rPr>
          <w:sz w:val="20"/>
          <w:szCs w:val="20"/>
          <w:color w:val="auto"/>
        </w:rPr>
      </w:pPr>
    </w:p>
    <w:p>
      <w:pPr>
        <w:jc w:val="both"/>
        <w:ind w:left="1180" w:hanging="661"/>
        <w:spacing w:after="0" w:line="227" w:lineRule="auto"/>
        <w:tabs>
          <w:tab w:leader="none" w:pos="1160" w:val="left"/>
        </w:tabs>
        <w:rPr>
          <w:sz w:val="20"/>
          <w:szCs w:val="20"/>
          <w:color w:val="auto"/>
        </w:rPr>
      </w:pPr>
      <w:r>
        <w:rPr>
          <w:rFonts w:ascii="Times New Roman" w:cs="Times New Roman" w:eastAsia="Times New Roman" w:hAnsi="Times New Roman"/>
          <w:sz w:val="16"/>
          <w:szCs w:val="16"/>
          <w:color w:val="auto"/>
        </w:rPr>
        <w:t>15.3.2.</w:t>
      </w:r>
      <w:r>
        <w:rPr>
          <w:sz w:val="20"/>
          <w:szCs w:val="20"/>
          <w:color w:val="auto"/>
        </w:rPr>
        <w:tab/>
      </w:r>
      <w:r>
        <w:rPr>
          <w:rFonts w:ascii="Times New Roman" w:cs="Times New Roman" w:eastAsia="Times New Roman" w:hAnsi="Times New Roman"/>
          <w:sz w:val="16"/>
          <w:szCs w:val="16"/>
          <w:color w:val="auto"/>
        </w:rPr>
        <w:t xml:space="preserve">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Expedited Arbitrator’s appointment, each Party will submit to both the Expedited Arbitrator and the other Party a detailed written proposal setting forth its proposed resolution of such Dispute. The Parties will also provide to the Expedited Arbitrator a copy of this Agreement, as may have been amended at such time in accordance with Section 16.4 (Entire Agreement; Amendments).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1280"/>
          </w:cols>
          <w:pgMar w:left="300" w:top="123" w:right="319" w:bottom="1440" w:gutter="0" w:footer="0" w:header="0"/>
        </w:sectPr>
      </w:pPr>
    </w:p>
    <w:bookmarkStart w:id="206" w:name="page207"/>
    <w:bookmarkEnd w:id="206"/>
    <w:p>
      <w:pPr>
        <w:ind w:left="2720" w:right="360" w:hanging="2360"/>
        <w:spacing w:after="0" w:line="290" w:lineRule="auto"/>
        <w:tabs>
          <w:tab w:leader="none" w:pos="696"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180" w:hanging="661"/>
        <w:spacing w:after="0" w:line="227" w:lineRule="auto"/>
        <w:tabs>
          <w:tab w:leader="none" w:pos="1160" w:val="left"/>
        </w:tabs>
        <w:rPr>
          <w:sz w:val="20"/>
          <w:szCs w:val="20"/>
          <w:color w:val="auto"/>
        </w:rPr>
      </w:pPr>
      <w:r>
        <w:rPr>
          <w:rFonts w:ascii="Times New Roman" w:cs="Times New Roman" w:eastAsia="Times New Roman" w:hAnsi="Times New Roman"/>
          <w:sz w:val="16"/>
          <w:szCs w:val="16"/>
          <w:color w:val="auto"/>
        </w:rPr>
        <w:t>15.3.3.</w:t>
      </w:r>
      <w:r>
        <w:rPr>
          <w:sz w:val="20"/>
          <w:szCs w:val="20"/>
          <w:color w:val="auto"/>
        </w:rPr>
        <w:tab/>
      </w:r>
      <w:r>
        <w:rPr>
          <w:rFonts w:ascii="Times New Roman" w:cs="Times New Roman" w:eastAsia="Times New Roman" w:hAnsi="Times New Roman"/>
          <w:sz w:val="16"/>
          <w:szCs w:val="16"/>
          <w:color w:val="auto"/>
        </w:rPr>
        <w:t xml:space="preserve">No later than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delivery of the Parties’ detailed written proposals to the Expedited Arbitrator, each Party will submit to both the Expedited Arbitrator and the other Party a legal brief (and any exhibits) explaining and supporting the Party’s detailed written proposal, which legal brief will be no more than 30 pages.</w:t>
      </w:r>
    </w:p>
    <w:p>
      <w:pPr>
        <w:spacing w:after="0" w:line="117" w:lineRule="exact"/>
        <w:rPr>
          <w:sz w:val="20"/>
          <w:szCs w:val="20"/>
          <w:color w:val="auto"/>
        </w:rPr>
      </w:pPr>
    </w:p>
    <w:p>
      <w:pPr>
        <w:jc w:val="both"/>
        <w:ind w:left="1180" w:hanging="661"/>
        <w:spacing w:after="0" w:line="235" w:lineRule="auto"/>
        <w:tabs>
          <w:tab w:leader="none" w:pos="1160" w:val="left"/>
        </w:tabs>
        <w:rPr>
          <w:sz w:val="20"/>
          <w:szCs w:val="20"/>
          <w:color w:val="auto"/>
        </w:rPr>
      </w:pPr>
      <w:r>
        <w:rPr>
          <w:rFonts w:ascii="Times New Roman" w:cs="Times New Roman" w:eastAsia="Times New Roman" w:hAnsi="Times New Roman"/>
          <w:sz w:val="16"/>
          <w:szCs w:val="16"/>
          <w:color w:val="auto"/>
        </w:rPr>
        <w:t>15.3.4.</w:t>
      </w:r>
      <w:r>
        <w:rPr>
          <w:sz w:val="20"/>
          <w:szCs w:val="20"/>
          <w:color w:val="auto"/>
        </w:rPr>
        <w:tab/>
      </w:r>
      <w:r>
        <w:rPr>
          <w:rFonts w:ascii="Times New Roman" w:cs="Times New Roman" w:eastAsia="Times New Roman" w:hAnsi="Times New Roman"/>
          <w:sz w:val="16"/>
          <w:szCs w:val="16"/>
          <w:color w:val="auto"/>
        </w:rPr>
        <w:t>There will be no discovery and there will be no hearing, although such arbitration proceeding will be deemed to have its seat in New York City, New York, and all arbitration proceedings will be conducted in the English language.</w:t>
      </w:r>
    </w:p>
    <w:p>
      <w:pPr>
        <w:spacing w:after="0" w:line="126" w:lineRule="exact"/>
        <w:rPr>
          <w:sz w:val="20"/>
          <w:szCs w:val="20"/>
          <w:color w:val="auto"/>
        </w:rPr>
      </w:pPr>
    </w:p>
    <w:p>
      <w:pPr>
        <w:jc w:val="both"/>
        <w:ind w:left="1180" w:hanging="661"/>
        <w:spacing w:after="0" w:line="244" w:lineRule="auto"/>
        <w:tabs>
          <w:tab w:leader="none" w:pos="1160" w:val="left"/>
        </w:tabs>
        <w:rPr>
          <w:sz w:val="20"/>
          <w:szCs w:val="20"/>
          <w:color w:val="auto"/>
        </w:rPr>
      </w:pPr>
      <w:r>
        <w:rPr>
          <w:rFonts w:ascii="Times New Roman" w:cs="Times New Roman" w:eastAsia="Times New Roman" w:hAnsi="Times New Roman"/>
          <w:sz w:val="16"/>
          <w:szCs w:val="16"/>
          <w:color w:val="auto"/>
        </w:rPr>
        <w:t>15.3.5.</w:t>
      </w:r>
      <w:r>
        <w:rPr>
          <w:sz w:val="20"/>
          <w:szCs w:val="20"/>
          <w:color w:val="auto"/>
        </w:rPr>
        <w:tab/>
      </w:r>
      <w:r>
        <w:rPr>
          <w:rFonts w:ascii="Times New Roman" w:cs="Times New Roman" w:eastAsia="Times New Roman" w:hAnsi="Times New Roman"/>
          <w:sz w:val="14"/>
          <w:szCs w:val="14"/>
          <w:color w:val="auto"/>
        </w:rPr>
        <w:t xml:space="preserve">No later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after the submission of the Parties’ legal briefs, the Expedited Arbitrator will select one of the two detailed written proposals (without modification) provided by the Parties that the Expedited Arbitrator believes is most consistent with the intention underlying the agreed principles set forth in this</w:t>
      </w:r>
    </w:p>
    <w:p>
      <w:pPr>
        <w:ind w:left="1180"/>
        <w:spacing w:after="0" w:line="217" w:lineRule="auto"/>
        <w:rPr>
          <w:sz w:val="20"/>
          <w:szCs w:val="20"/>
          <w:color w:val="auto"/>
        </w:rPr>
      </w:pPr>
      <w:r>
        <w:rPr>
          <w:rFonts w:ascii="Times New Roman" w:cs="Times New Roman" w:eastAsia="Times New Roman" w:hAnsi="Times New Roman"/>
          <w:sz w:val="16"/>
          <w:szCs w:val="16"/>
          <w:color w:val="auto"/>
        </w:rPr>
        <w:t>Agreement. The decision of the Expedited Arbitrator will be final and unappealable. The detailed written proposal selected by the Expedited Arbitrator will automatically be binding on the Parties.</w:t>
      </w:r>
    </w:p>
    <w:p>
      <w:pPr>
        <w:spacing w:after="0" w:line="127" w:lineRule="exact"/>
        <w:rPr>
          <w:sz w:val="20"/>
          <w:szCs w:val="20"/>
          <w:color w:val="auto"/>
        </w:rPr>
      </w:pPr>
    </w:p>
    <w:p>
      <w:pPr>
        <w:ind w:left="1180" w:hanging="661"/>
        <w:spacing w:after="0" w:line="235" w:lineRule="auto"/>
        <w:tabs>
          <w:tab w:leader="none" w:pos="1160" w:val="left"/>
        </w:tabs>
        <w:rPr>
          <w:sz w:val="20"/>
          <w:szCs w:val="20"/>
          <w:color w:val="auto"/>
        </w:rPr>
      </w:pPr>
      <w:r>
        <w:rPr>
          <w:rFonts w:ascii="Times New Roman" w:cs="Times New Roman" w:eastAsia="Times New Roman" w:hAnsi="Times New Roman"/>
          <w:sz w:val="16"/>
          <w:szCs w:val="16"/>
          <w:color w:val="auto"/>
        </w:rPr>
        <w:t>15.3.6.</w:t>
      </w:r>
      <w:r>
        <w:rPr>
          <w:sz w:val="20"/>
          <w:szCs w:val="20"/>
          <w:color w:val="auto"/>
        </w:rPr>
        <w:tab/>
      </w:r>
      <w:r>
        <w:rPr>
          <w:rFonts w:ascii="Times New Roman" w:cs="Times New Roman" w:eastAsia="Times New Roman" w:hAnsi="Times New Roman"/>
          <w:sz w:val="16"/>
          <w:szCs w:val="16"/>
          <w:color w:val="auto"/>
        </w:rPr>
        <w:t>The Expedited Arbitrator will select one of the two detailed written proposals and may not combine elements of both detailed written proposals or make any other modifications to the selected detailed written proposal.</w:t>
      </w:r>
    </w:p>
    <w:p>
      <w:pPr>
        <w:spacing w:after="0" w:line="117" w:lineRule="exact"/>
        <w:rPr>
          <w:sz w:val="20"/>
          <w:szCs w:val="20"/>
          <w:color w:val="auto"/>
        </w:rPr>
      </w:pPr>
    </w:p>
    <w:p>
      <w:pPr>
        <w:ind w:left="1180" w:hanging="661"/>
        <w:spacing w:after="0" w:line="235" w:lineRule="auto"/>
        <w:tabs>
          <w:tab w:leader="none" w:pos="1160" w:val="left"/>
        </w:tabs>
        <w:rPr>
          <w:sz w:val="20"/>
          <w:szCs w:val="20"/>
          <w:color w:val="auto"/>
        </w:rPr>
      </w:pPr>
      <w:r>
        <w:rPr>
          <w:rFonts w:ascii="Times New Roman" w:cs="Times New Roman" w:eastAsia="Times New Roman" w:hAnsi="Times New Roman"/>
          <w:sz w:val="16"/>
          <w:szCs w:val="16"/>
          <w:color w:val="auto"/>
        </w:rPr>
        <w:t>15.3.7.</w:t>
      </w:r>
      <w:r>
        <w:rPr>
          <w:sz w:val="20"/>
          <w:szCs w:val="20"/>
          <w:color w:val="auto"/>
        </w:rPr>
        <w:tab/>
      </w:r>
      <w:r>
        <w:rPr>
          <w:rFonts w:ascii="Times New Roman" w:cs="Times New Roman" w:eastAsia="Times New Roman" w:hAnsi="Times New Roman"/>
          <w:sz w:val="16"/>
          <w:szCs w:val="16"/>
          <w:color w:val="auto"/>
        </w:rPr>
        <w:t>Each Party will bear its own attorneys’ fees, costs, and disbursements arising out of the arbitration, and will pay an equal share of the fees and costs of the Expedited Arbitrator.</w:t>
      </w:r>
    </w:p>
    <w:p>
      <w:pPr>
        <w:spacing w:after="0" w:line="126" w:lineRule="exact"/>
        <w:rPr>
          <w:sz w:val="20"/>
          <w:szCs w:val="20"/>
          <w:color w:val="auto"/>
        </w:rPr>
      </w:pPr>
    </w:p>
    <w:p>
      <w:pPr>
        <w:jc w:val="both"/>
        <w:ind w:left="500" w:hanging="508"/>
        <w:spacing w:after="0" w:line="244"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15.4.</w:t>
      </w:r>
      <w:r>
        <w:rPr>
          <w:sz w:val="20"/>
          <w:szCs w:val="20"/>
          <w:color w:val="auto"/>
        </w:rPr>
        <w:tab/>
      </w:r>
      <w:r>
        <w:rPr>
          <w:rFonts w:ascii="Times New Roman" w:cs="Times New Roman" w:eastAsia="Times New Roman" w:hAnsi="Times New Roman"/>
          <w:sz w:val="14"/>
          <w:szCs w:val="14"/>
          <w:b w:val="1"/>
          <w:bCs w:val="1"/>
          <w:color w:val="auto"/>
        </w:rPr>
        <w:t>Arbitration</w:t>
      </w:r>
      <w:r>
        <w:rPr>
          <w:rFonts w:ascii="Times New Roman" w:cs="Times New Roman" w:eastAsia="Times New Roman" w:hAnsi="Times New Roman"/>
          <w:sz w:val="14"/>
          <w:szCs w:val="14"/>
          <w:color w:val="auto"/>
        </w:rPr>
        <w:t>. Except for Disputes expressly specified in this Agreement to be resolved pursuant to Section 15.3 (Expedited Arbitration) or Section 15.6 (Patent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Trademark Disputes), unless otherwise prohibited by applicable Law, any unresolved Dispute that was subject to Section 15.2 (Resolution by Executive Officers) will be</w:t>
      </w:r>
    </w:p>
    <w:p>
      <w:pPr>
        <w:ind w:left="520"/>
        <w:spacing w:after="0" w:line="237" w:lineRule="auto"/>
        <w:rPr>
          <w:sz w:val="20"/>
          <w:szCs w:val="20"/>
          <w:color w:val="auto"/>
        </w:rPr>
      </w:pPr>
      <w:r>
        <w:rPr>
          <w:rFonts w:ascii="Times New Roman" w:cs="Times New Roman" w:eastAsia="Times New Roman" w:hAnsi="Times New Roman"/>
          <w:sz w:val="14"/>
          <w:szCs w:val="14"/>
          <w:color w:val="auto"/>
        </w:rPr>
        <w:t>resolved solely and exclusively by final and binding arbitration conducted as set forth in this Section 15.4 (Arbitration). Whenever a Party will decide to institute arbitration</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proceedings, it will give written notice to that effect to the other Party. The arbitration will be conducted by a panel of three arbitrators in accordance with the ICC Rules of the ICC. The claimant will nominate an arbitrator in its request for arbitration. The respondent will nominate an arbitrator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the receipt of the request for</w:t>
      </w:r>
    </w:p>
    <w:p>
      <w:pPr>
        <w:ind w:left="520"/>
        <w:spacing w:after="0" w:line="208" w:lineRule="auto"/>
        <w:rPr>
          <w:sz w:val="20"/>
          <w:szCs w:val="20"/>
          <w:color w:val="auto"/>
        </w:rPr>
      </w:pPr>
      <w:r>
        <w:rPr>
          <w:rFonts w:ascii="Times New Roman" w:cs="Times New Roman" w:eastAsia="Times New Roman" w:hAnsi="Times New Roman"/>
          <w:sz w:val="16"/>
          <w:szCs w:val="16"/>
          <w:color w:val="auto"/>
        </w:rPr>
        <w:t xml:space="preserve">arbitration. The two arbitrators nominated by the Parties will together, within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of the appointment of the later-nominated arbitrator, select a third arbitrator as the</w:t>
      </w:r>
    </w:p>
    <w:p>
      <w:pPr>
        <w:ind w:left="520"/>
        <w:spacing w:after="0" w:line="229" w:lineRule="auto"/>
        <w:rPr>
          <w:sz w:val="20"/>
          <w:szCs w:val="20"/>
          <w:color w:val="auto"/>
        </w:rPr>
      </w:pPr>
      <w:r>
        <w:rPr>
          <w:rFonts w:ascii="Times New Roman" w:cs="Times New Roman" w:eastAsia="Times New Roman" w:hAnsi="Times New Roman"/>
          <w:sz w:val="14"/>
          <w:szCs w:val="14"/>
          <w:color w:val="auto"/>
        </w:rPr>
        <w:t>chairperson of the arbitration panel. If any of the three arbitrators are not nominated within the time prescribed above, then the ICC will appoint the arbitrator(s) in accordance with the ICC Rules. The arbitration will be governed by the Laws of the State of New York, without giving effect to any choice of law principles that would</w:t>
      </w:r>
    </w:p>
    <w:p>
      <w:pPr>
        <w:ind w:left="520"/>
        <w:spacing w:after="0" w:line="237" w:lineRule="auto"/>
        <w:rPr>
          <w:sz w:val="20"/>
          <w:szCs w:val="20"/>
          <w:color w:val="auto"/>
        </w:rPr>
      </w:pPr>
      <w:r>
        <w:rPr>
          <w:rFonts w:ascii="Times New Roman" w:cs="Times New Roman" w:eastAsia="Times New Roman" w:hAnsi="Times New Roman"/>
          <w:sz w:val="14"/>
          <w:szCs w:val="14"/>
          <w:color w:val="auto"/>
        </w:rPr>
        <w:t>require the application of the laws of a different state or jurisdiction. The seat of the arbitration will be New York City, New York, and all arbitration proceedings will be</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conducted in the English language. The arbitrators will render their opinion within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the close of the proceedings. No arbitrator (nor the panel of arbitrators) will have the power to award punitive damages under this Agreement and such award is expressly prohibited. Decisions of the panel of arbitrators will be final and binding on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Parties. Judgment on the award so rendered may be entered in any court of competent jurisdiction.</w:t>
      </w:r>
    </w:p>
    <w:p>
      <w:pPr>
        <w:jc w:val="both"/>
        <w:ind w:left="500" w:hanging="508"/>
        <w:spacing w:after="0" w:line="229"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15.5.</w:t>
      </w:r>
      <w:r>
        <w:rPr>
          <w:sz w:val="20"/>
          <w:szCs w:val="20"/>
          <w:color w:val="auto"/>
        </w:rPr>
        <w:tab/>
      </w:r>
      <w:r>
        <w:rPr>
          <w:rFonts w:ascii="Times New Roman" w:cs="Times New Roman" w:eastAsia="Times New Roman" w:hAnsi="Times New Roman"/>
          <w:sz w:val="14"/>
          <w:szCs w:val="14"/>
          <w:b w:val="1"/>
          <w:bCs w:val="1"/>
          <w:color w:val="auto"/>
        </w:rPr>
        <w:t>Equitable Relief</w:t>
      </w:r>
      <w:r>
        <w:rPr>
          <w:rFonts w:ascii="Times New Roman" w:cs="Times New Roman" w:eastAsia="Times New Roman" w:hAnsi="Times New Roman"/>
          <w:sz w:val="14"/>
          <w:szCs w:val="14"/>
          <w:color w:val="auto"/>
        </w:rPr>
        <w:t>. The Parties agree that monetary damages may not be a sufficient remedy for any breach of this Agreement. Notwithstanding any provision to the contrary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set forth in this Agreement, in the event of an actual or threatened breach of a Party’s obligations under this Agreement, a Party may seek a temporary restraining order,</w:t>
      </w:r>
    </w:p>
    <w:p>
      <w:pPr>
        <w:ind w:left="520"/>
        <w:spacing w:after="0" w:line="200" w:lineRule="auto"/>
        <w:rPr>
          <w:sz w:val="20"/>
          <w:szCs w:val="20"/>
          <w:color w:val="auto"/>
        </w:rPr>
      </w:pPr>
      <w:r>
        <w:rPr>
          <w:rFonts w:ascii="Times New Roman" w:cs="Times New Roman" w:eastAsia="Times New Roman" w:hAnsi="Times New Roman"/>
          <w:sz w:val="16"/>
          <w:szCs w:val="16"/>
          <w:color w:val="auto"/>
        </w:rPr>
        <w:t>preliminary injunction, or other equitable relief from any court of competent jurisdiction in order to prevent immediate and irreparable injury, loss, or damage on a provisional basis.</w:t>
      </w:r>
    </w:p>
    <w:p>
      <w:pPr>
        <w:spacing w:after="0" w:line="1" w:lineRule="exact"/>
        <w:rPr>
          <w:sz w:val="20"/>
          <w:szCs w:val="20"/>
          <w:color w:val="auto"/>
        </w:rPr>
      </w:pPr>
    </w:p>
    <w:p>
      <w:pPr>
        <w:jc w:val="both"/>
        <w:ind w:left="500" w:hanging="508"/>
        <w:spacing w:after="0" w:line="218"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15.6.</w:t>
        <w:tab/>
        <w:t>Patent and Trademark Disputes</w:t>
      </w:r>
      <w:r>
        <w:rPr>
          <w:rFonts w:ascii="Times New Roman" w:cs="Times New Roman" w:eastAsia="Times New Roman" w:hAnsi="Times New Roman"/>
          <w:sz w:val="16"/>
          <w:szCs w:val="16"/>
          <w:color w:val="auto"/>
        </w:rPr>
        <w:t>. Notwithstanding any provision to the contrary set forth in this Agreement, any and all issues regarding the scope, construction, validity,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enforceability of any Patent Rights or Trademark relating to a Licensed Compound or Licensed Product that is the subject of this Agreement will be determined in a court or other tribunal, as the case may be,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1280"/>
          </w:cols>
          <w:pgMar w:left="300" w:top="123" w:right="319" w:bottom="1440" w:gutter="0" w:footer="0" w:header="0"/>
        </w:sectPr>
      </w:pPr>
    </w:p>
    <w:bookmarkStart w:id="207" w:name="page208"/>
    <w:bookmarkEnd w:id="207"/>
    <w:p>
      <w:pPr>
        <w:ind w:left="2720" w:right="360" w:hanging="2360"/>
        <w:spacing w:after="0" w:line="290" w:lineRule="auto"/>
        <w:tabs>
          <w:tab w:leader="none" w:pos="696" w:val="left"/>
        </w:tabs>
        <w:numPr>
          <w:ilvl w:val="0"/>
          <w:numId w:val="2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competent jurisdiction under the applicable patent or trademark laws of the country in which such Patent Rights or Trademark rights were granted or arose.</w:t>
      </w:r>
    </w:p>
    <w:p>
      <w:pPr>
        <w:spacing w:after="0" w:line="20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15.7.</w:t>
        <w:tab/>
        <w:t>Payment Tolling</w:t>
      </w:r>
      <w:r>
        <w:rPr>
          <w:rFonts w:ascii="Times New Roman" w:cs="Times New Roman" w:eastAsia="Times New Roman" w:hAnsi="Times New Roman"/>
          <w:sz w:val="16"/>
          <w:szCs w:val="16"/>
          <w:color w:val="auto"/>
        </w:rPr>
        <w:t>. During the pendency of any Dispute resolution proceeding between the Parties under this Article 15 (Dispute Resolution) regarding the obligation to</w:t>
      </w:r>
    </w:p>
    <w:p>
      <w:pPr>
        <w:ind w:left="520"/>
        <w:spacing w:after="0" w:line="200" w:lineRule="auto"/>
        <w:rPr>
          <w:sz w:val="20"/>
          <w:szCs w:val="20"/>
          <w:color w:val="auto"/>
        </w:rPr>
      </w:pPr>
      <w:r>
        <w:rPr>
          <w:rFonts w:ascii="Times New Roman" w:cs="Times New Roman" w:eastAsia="Times New Roman" w:hAnsi="Times New Roman"/>
          <w:sz w:val="16"/>
          <w:szCs w:val="16"/>
          <w:color w:val="auto"/>
        </w:rPr>
        <w:t>make any payment under this Agreement from one Party to the other Party (in whole or in part), the obligation to make such payment will be tolled until the final outcome of such Dispute has been established.</w:t>
      </w:r>
    </w:p>
    <w:p>
      <w:pPr>
        <w:spacing w:after="0" w:line="1" w:lineRule="exact"/>
        <w:rPr>
          <w:sz w:val="20"/>
          <w:szCs w:val="20"/>
          <w:color w:val="auto"/>
        </w:rPr>
      </w:pPr>
    </w:p>
    <w:p>
      <w:pPr>
        <w:ind w:left="500" w:hanging="508"/>
        <w:spacing w:after="0" w:line="229"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15.8.</w:t>
      </w:r>
      <w:r>
        <w:rPr>
          <w:sz w:val="20"/>
          <w:szCs w:val="20"/>
          <w:color w:val="auto"/>
        </w:rPr>
        <w:tab/>
      </w:r>
      <w:r>
        <w:rPr>
          <w:rFonts w:ascii="Times New Roman" w:cs="Times New Roman" w:eastAsia="Times New Roman" w:hAnsi="Times New Roman"/>
          <w:sz w:val="14"/>
          <w:szCs w:val="14"/>
          <w:b w:val="1"/>
          <w:bCs w:val="1"/>
          <w:color w:val="auto"/>
        </w:rPr>
        <w:t>Confidentiality</w:t>
      </w:r>
      <w:r>
        <w:rPr>
          <w:rFonts w:ascii="Times New Roman" w:cs="Times New Roman" w:eastAsia="Times New Roman" w:hAnsi="Times New Roman"/>
          <w:sz w:val="14"/>
          <w:szCs w:val="14"/>
          <w:color w:val="auto"/>
        </w:rPr>
        <w:t>. Any and all activities conducted under this Article 15 (Dispute Resolution), including any and all proceedings and decisions hereunder, will be deemed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Confidential Information of each of the Parties, and will be subject to Article 9 (Confidentiality and Publication) to the extent applicable in accordance with Law.</w:t>
      </w:r>
    </w:p>
    <w:p>
      <w:pPr>
        <w:ind w:left="500" w:hanging="495"/>
        <w:spacing w:after="0"/>
        <w:tabs>
          <w:tab w:leader="none" w:pos="500" w:val="left"/>
        </w:tabs>
        <w:numPr>
          <w:ilvl w:val="0"/>
          <w:numId w:val="2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10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16.1.</w:t>
      </w:r>
      <w:r>
        <w:rPr>
          <w:sz w:val="20"/>
          <w:szCs w:val="20"/>
          <w:color w:val="auto"/>
        </w:rPr>
        <w:tab/>
      </w:r>
      <w:r>
        <w:rPr>
          <w:rFonts w:ascii="Times New Roman" w:cs="Times New Roman" w:eastAsia="Times New Roman" w:hAnsi="Times New Roman"/>
          <w:sz w:val="14"/>
          <w:szCs w:val="14"/>
          <w:b w:val="1"/>
          <w:bCs w:val="1"/>
          <w:color w:val="auto"/>
        </w:rPr>
        <w:t>Assignment</w:t>
      </w:r>
      <w:r>
        <w:rPr>
          <w:rFonts w:ascii="Times New Roman" w:cs="Times New Roman" w:eastAsia="Times New Roman" w:hAnsi="Times New Roman"/>
          <w:sz w:val="14"/>
          <w:szCs w:val="14"/>
          <w:color w:val="auto"/>
        </w:rPr>
        <w:t>.</w:t>
      </w:r>
    </w:p>
    <w:p>
      <w:pPr>
        <w:jc w:val="right"/>
        <w:ind w:left="520"/>
        <w:spacing w:after="0" w:line="207" w:lineRule="auto"/>
        <w:rPr>
          <w:sz w:val="20"/>
          <w:szCs w:val="20"/>
          <w:color w:val="auto"/>
        </w:rPr>
      </w:pPr>
      <w:r>
        <w:rPr>
          <w:rFonts w:ascii="Times New Roman" w:cs="Times New Roman" w:eastAsia="Times New Roman" w:hAnsi="Times New Roman"/>
          <w:sz w:val="16"/>
          <w:szCs w:val="16"/>
          <w:color w:val="auto"/>
        </w:rPr>
        <w:t xml:space="preserve">16.1.1.   </w:t>
      </w:r>
      <w:r>
        <w:rPr>
          <w:rFonts w:ascii="Times New Roman" w:cs="Times New Roman" w:eastAsia="Times New Roman" w:hAnsi="Times New Roman"/>
          <w:sz w:val="16"/>
          <w:szCs w:val="16"/>
          <w:b w:val="1"/>
          <w:bCs w:val="1"/>
          <w:color w:val="auto"/>
        </w:rPr>
        <w:t>General</w:t>
      </w:r>
      <w:r>
        <w:rPr>
          <w:rFonts w:ascii="Times New Roman" w:cs="Times New Roman" w:eastAsia="Times New Roman" w:hAnsi="Times New Roman"/>
          <w:sz w:val="16"/>
          <w:szCs w:val="16"/>
          <w:color w:val="auto"/>
        </w:rPr>
        <w:t xml:space="preserve">. Neither Party may assign or transfer this Agreement or any rights or obligations hereunder without the prior written consent of the other Party, </w:t>
      </w:r>
      <w:r>
        <w:rPr>
          <w:rFonts w:ascii="Times New Roman" w:cs="Times New Roman" w:eastAsia="Times New Roman" w:hAnsi="Times New Roman"/>
          <w:sz w:val="16"/>
          <w:szCs w:val="16"/>
          <w:i w:val="1"/>
          <w:iCs w:val="1"/>
          <w:color w:val="auto"/>
        </w:rPr>
        <w:t>except</w:t>
      </w:r>
      <w:r>
        <w:rPr>
          <w:rFonts w:ascii="Times New Roman" w:cs="Times New Roman" w:eastAsia="Times New Roman" w:hAnsi="Times New Roman"/>
          <w:sz w:val="16"/>
          <w:szCs w:val="16"/>
          <w:color w:val="auto"/>
        </w:rPr>
        <w:t xml:space="preserve"> that a Party may make such an assignment without the other Party’s consent to (a) an Affiliate pursuant to Section 16.13 (Performance by Affiliates), </w:t>
      </w:r>
      <w:r>
        <w:rPr>
          <w:rFonts w:ascii="Times New Roman" w:cs="Times New Roman" w:eastAsia="Times New Roman" w:hAnsi="Times New Roman"/>
          <w:sz w:val="16"/>
          <w:szCs w:val="16"/>
          <w:i w:val="1"/>
          <w:iCs w:val="1"/>
          <w:color w:val="auto"/>
        </w:rPr>
        <w:t>provided</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that such assigning Party will remain responsible for such Affiliate’s conduct and compliance with its obligations under this Agreement, or (b) a Third Party as a successor to all or substantially all of the business of such Party to which this Agreement relates, whether in a merger, sale of stock, acquisition, sale of assets or</w:t>
      </w:r>
    </w:p>
    <w:p>
      <w:pPr>
        <w:ind w:left="1180"/>
        <w:spacing w:after="0" w:line="208" w:lineRule="auto"/>
        <w:rPr>
          <w:sz w:val="20"/>
          <w:szCs w:val="20"/>
          <w:color w:val="auto"/>
        </w:rPr>
      </w:pPr>
      <w:r>
        <w:rPr>
          <w:rFonts w:ascii="Times New Roman" w:cs="Times New Roman" w:eastAsia="Times New Roman" w:hAnsi="Times New Roman"/>
          <w:sz w:val="16"/>
          <w:szCs w:val="16"/>
          <w:color w:val="auto"/>
        </w:rPr>
        <w:t xml:space="preserve">similar transaction or series of related transactions,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transaction is not primarily for the benefit of such Party’s creditors. Any successor or</w:t>
      </w:r>
    </w:p>
    <w:p>
      <w:pPr>
        <w:ind w:left="1180"/>
        <w:spacing w:after="0" w:line="229" w:lineRule="auto"/>
        <w:rPr>
          <w:sz w:val="20"/>
          <w:szCs w:val="20"/>
          <w:color w:val="auto"/>
        </w:rPr>
      </w:pPr>
      <w:r>
        <w:rPr>
          <w:rFonts w:ascii="Times New Roman" w:cs="Times New Roman" w:eastAsia="Times New Roman" w:hAnsi="Times New Roman"/>
          <w:sz w:val="14"/>
          <w:szCs w:val="14"/>
          <w:color w:val="auto"/>
        </w:rPr>
        <w:t>assignee of any right or obligation permitted hereunder will, in writing to the other Party, expressly assume performance of such right or obligation. Any permitted assignment will be binding on the successors of the assigning Party. Any assignment or attempted assignment by either Party in violation of the terms</w:t>
      </w:r>
    </w:p>
    <w:p>
      <w:pPr>
        <w:ind w:left="1180"/>
        <w:spacing w:after="0"/>
        <w:rPr>
          <w:sz w:val="20"/>
          <w:szCs w:val="20"/>
          <w:color w:val="auto"/>
        </w:rPr>
      </w:pPr>
      <w:r>
        <w:rPr>
          <w:rFonts w:ascii="Times New Roman" w:cs="Times New Roman" w:eastAsia="Times New Roman" w:hAnsi="Times New Roman"/>
          <w:sz w:val="16"/>
          <w:szCs w:val="16"/>
          <w:color w:val="auto"/>
        </w:rPr>
        <w:t>of this Section 16.1.1 (General) will be null, void, and of no legal effect.</w:t>
      </w:r>
    </w:p>
    <w:p>
      <w:pPr>
        <w:spacing w:after="0" w:line="125" w:lineRule="exact"/>
        <w:rPr>
          <w:sz w:val="20"/>
          <w:szCs w:val="20"/>
          <w:color w:val="auto"/>
        </w:rPr>
      </w:pPr>
    </w:p>
    <w:p>
      <w:pPr>
        <w:jc w:val="right"/>
        <w:ind w:left="520"/>
        <w:spacing w:after="0" w:line="213" w:lineRule="auto"/>
        <w:rPr>
          <w:sz w:val="20"/>
          <w:szCs w:val="20"/>
          <w:color w:val="auto"/>
        </w:rPr>
      </w:pPr>
      <w:r>
        <w:rPr>
          <w:rFonts w:ascii="Times New Roman" w:cs="Times New Roman" w:eastAsia="Times New Roman" w:hAnsi="Times New Roman"/>
          <w:sz w:val="16"/>
          <w:szCs w:val="16"/>
          <w:color w:val="auto"/>
        </w:rPr>
        <w:t xml:space="preserve">16.1.2.   </w:t>
      </w:r>
      <w:r>
        <w:rPr>
          <w:rFonts w:ascii="Times New Roman" w:cs="Times New Roman" w:eastAsia="Times New Roman" w:hAnsi="Times New Roman"/>
          <w:sz w:val="16"/>
          <w:szCs w:val="16"/>
          <w:b w:val="1"/>
          <w:bCs w:val="1"/>
          <w:color w:val="auto"/>
        </w:rPr>
        <w:t>Securitization Transaction</w:t>
      </w:r>
      <w:r>
        <w:rPr>
          <w:rFonts w:ascii="Times New Roman" w:cs="Times New Roman" w:eastAsia="Times New Roman" w:hAnsi="Times New Roman"/>
          <w:sz w:val="16"/>
          <w:szCs w:val="16"/>
          <w:color w:val="auto"/>
        </w:rPr>
        <w:t>. Notwithstanding any provision to the contrary in Section 16.1.1 (General) or elsewhere in this Agreement, Arrowhead may assign to a Third Party its right to receive the Milestone Payments and the Royalties (such assignment, a “</w:t>
      </w:r>
      <w:r>
        <w:rPr>
          <w:rFonts w:ascii="Times New Roman" w:cs="Times New Roman" w:eastAsia="Times New Roman" w:hAnsi="Times New Roman"/>
          <w:sz w:val="16"/>
          <w:szCs w:val="16"/>
          <w:b w:val="1"/>
          <w:bCs w:val="1"/>
          <w:color w:val="auto"/>
        </w:rPr>
        <w:t>Securitization Transaction</w:t>
      </w:r>
      <w:r>
        <w:rPr>
          <w:rFonts w:ascii="Times New Roman" w:cs="Times New Roman" w:eastAsia="Times New Roman" w:hAnsi="Times New Roman"/>
          <w:sz w:val="16"/>
          <w:szCs w:val="16"/>
          <w:color w:val="auto"/>
        </w:rPr>
        <w:t>”). In connection with a</w:t>
      </w:r>
    </w:p>
    <w:p>
      <w:pPr>
        <w:ind w:left="1180"/>
        <w:spacing w:after="0"/>
        <w:rPr>
          <w:sz w:val="20"/>
          <w:szCs w:val="20"/>
          <w:color w:val="auto"/>
        </w:rPr>
      </w:pPr>
      <w:r>
        <w:rPr>
          <w:rFonts w:ascii="Times New Roman" w:cs="Times New Roman" w:eastAsia="Times New Roman" w:hAnsi="Times New Roman"/>
          <w:sz w:val="14"/>
          <w:szCs w:val="14"/>
          <w:color w:val="auto"/>
        </w:rPr>
        <w:t>contemplated Securitization Transaction and after the closing of any such Securitization Transaction, Arrowhead may disclose to such Third Party the royalty</w:t>
      </w:r>
    </w:p>
    <w:p>
      <w:pPr>
        <w:ind w:left="1180"/>
        <w:spacing w:after="0" w:line="229" w:lineRule="auto"/>
        <w:rPr>
          <w:sz w:val="20"/>
          <w:szCs w:val="20"/>
          <w:color w:val="auto"/>
        </w:rPr>
      </w:pPr>
      <w:r>
        <w:rPr>
          <w:rFonts w:ascii="Times New Roman" w:cs="Times New Roman" w:eastAsia="Times New Roman" w:hAnsi="Times New Roman"/>
          <w:sz w:val="14"/>
          <w:szCs w:val="14"/>
          <w:color w:val="auto"/>
        </w:rPr>
        <w:t>reports contemplated under Section 8.7.2 (Reports and Royalty Payments), without the prior written consent of Novartis, to the extent reasonably necessary to enable such Third Party to evaluate the Securitization Transaction opportunity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Third Party is under obligations of confidentiality and non-use</w:t>
      </w:r>
    </w:p>
    <w:p>
      <w:pPr>
        <w:ind w:left="1180"/>
        <w:spacing w:after="0" w:line="237" w:lineRule="auto"/>
        <w:rPr>
          <w:sz w:val="20"/>
          <w:szCs w:val="20"/>
          <w:color w:val="auto"/>
        </w:rPr>
      </w:pPr>
      <w:r>
        <w:rPr>
          <w:rFonts w:ascii="Times New Roman" w:cs="Times New Roman" w:eastAsia="Times New Roman" w:hAnsi="Times New Roman"/>
          <w:sz w:val="14"/>
          <w:szCs w:val="14"/>
          <w:color w:val="auto"/>
        </w:rPr>
        <w:t>with respect to Confidential Information included in such reports and plans that are no less protective or restrictive than the terms of Article 9 (Confidentiality and</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Publication) (but of duration customary in confidentiality agreements entered into for a similar purpose)), and to enable such Third Party to exercise its rights with respect to such Securitization Transaction, as applicable. As part of any consummated Securitization Transaction, subject to the terms of this Section 16.1.2</w:t>
      </w:r>
    </w:p>
    <w:p>
      <w:pPr>
        <w:ind w:left="1180"/>
        <w:spacing w:after="0" w:line="237" w:lineRule="auto"/>
        <w:rPr>
          <w:sz w:val="20"/>
          <w:szCs w:val="20"/>
          <w:color w:val="auto"/>
        </w:rPr>
      </w:pPr>
      <w:r>
        <w:rPr>
          <w:rFonts w:ascii="Times New Roman" w:cs="Times New Roman" w:eastAsia="Times New Roman" w:hAnsi="Times New Roman"/>
          <w:sz w:val="14"/>
          <w:szCs w:val="14"/>
          <w:color w:val="auto"/>
        </w:rPr>
        <w:t>(Securitization Transaction), Arrowhead may assign, without the prior written consent of Novartis, its right to receive the royalty reports and to conduct audits</w:t>
      </w:r>
    </w:p>
    <w:p>
      <w:pPr>
        <w:spacing w:after="0" w:line="1" w:lineRule="exact"/>
        <w:rPr>
          <w:sz w:val="20"/>
          <w:szCs w:val="20"/>
          <w:color w:val="auto"/>
        </w:rPr>
      </w:pPr>
    </w:p>
    <w:p>
      <w:pPr>
        <w:ind w:left="1180"/>
        <w:spacing w:after="0" w:line="229" w:lineRule="auto"/>
        <w:rPr>
          <w:sz w:val="20"/>
          <w:szCs w:val="20"/>
          <w:color w:val="auto"/>
        </w:rPr>
      </w:pPr>
      <w:r>
        <w:rPr>
          <w:rFonts w:ascii="Times New Roman" w:cs="Times New Roman" w:eastAsia="Times New Roman" w:hAnsi="Times New Roman"/>
          <w:sz w:val="14"/>
          <w:szCs w:val="14"/>
          <w:color w:val="auto"/>
        </w:rPr>
        <w:t>under, respectively, Section 8.7.2 (Reports and Royalty Payments) and Section 8.7.3 (Records and Audits) to the counterparty in such Securitization Transaction, and to allow such counterparty to exercise its rights under such Sections. Arrowhead agrees to provide written notice to Novartis of any process run by or on</w:t>
      </w:r>
    </w:p>
    <w:p>
      <w:pPr>
        <w:ind w:left="1180"/>
        <w:spacing w:after="0" w:line="208" w:lineRule="auto"/>
        <w:rPr>
          <w:sz w:val="20"/>
          <w:szCs w:val="20"/>
          <w:color w:val="auto"/>
        </w:rPr>
      </w:pPr>
      <w:r>
        <w:rPr>
          <w:rFonts w:ascii="Times New Roman" w:cs="Times New Roman" w:eastAsia="Times New Roman" w:hAnsi="Times New Roman"/>
          <w:sz w:val="16"/>
          <w:szCs w:val="16"/>
          <w:color w:val="auto"/>
        </w:rPr>
        <w:t>behalf of Arrowhead involving a Securitization Transaction and to negotiate in good faith with Novartis should Novartis elect to submit a bid for such</w:t>
      </w:r>
    </w:p>
    <w:p>
      <w:pPr>
        <w:ind w:left="1180"/>
        <w:spacing w:after="0" w:line="217" w:lineRule="auto"/>
        <w:rPr>
          <w:sz w:val="20"/>
          <w:szCs w:val="20"/>
          <w:color w:val="auto"/>
        </w:rPr>
      </w:pPr>
      <w:r>
        <w:rPr>
          <w:rFonts w:ascii="Times New Roman" w:cs="Times New Roman" w:eastAsia="Times New Roman" w:hAnsi="Times New Roman"/>
          <w:sz w:val="16"/>
          <w:szCs w:val="16"/>
          <w:color w:val="auto"/>
        </w:rPr>
        <w:t xml:space="preserve">Securitization Transaction,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Arrowhead will in no way be precluded from soliciting other bids and conducting contemporaneous negotiations with other Third Party bidders for such Securitization Transaction.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11280"/>
          </w:cols>
          <w:pgMar w:left="300" w:top="123" w:right="319" w:bottom="1440" w:gutter="0" w:footer="0" w:header="0"/>
        </w:sectPr>
      </w:pPr>
    </w:p>
    <w:bookmarkStart w:id="208" w:name="page209"/>
    <w:bookmarkEnd w:id="208"/>
    <w:p>
      <w:pPr>
        <w:ind w:left="2720" w:right="360" w:hanging="2360"/>
        <w:spacing w:after="0" w:line="290" w:lineRule="auto"/>
        <w:tabs>
          <w:tab w:leader="none" w:pos="696"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16.2.  Section 365(n) of the Bankruptcy Code</w:t>
      </w:r>
      <w:r>
        <w:rPr>
          <w:rFonts w:ascii="Times New Roman" w:cs="Times New Roman" w:eastAsia="Times New Roman" w:hAnsi="Times New Roman"/>
          <w:sz w:val="16"/>
          <w:szCs w:val="16"/>
          <w:color w:val="auto"/>
        </w:rPr>
        <w:t>. All rights and licenses granted under or pursuant to this Agreement by a Party to the other are and will otherwise be deemed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Section 365(n) of the Bankruptcy Code, a license of a right to “intellectual property” as defined under Section 101 of the Bankruptcy Code. The Parties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acknowledge and agree that the Parties and their respective Sublicensees, as licensees of such rights under this Agreement, will retain and may fully exercise all of their rights and elections under the Bankruptcy Code and any foreign counterpart thereto. The Parties further agree that, upon commencement of a bankruptcy proceeding by or</w:t>
      </w:r>
    </w:p>
    <w:p>
      <w:pPr>
        <w:ind w:left="520"/>
        <w:spacing w:after="0" w:line="237" w:lineRule="auto"/>
        <w:rPr>
          <w:sz w:val="20"/>
          <w:szCs w:val="20"/>
          <w:color w:val="auto"/>
        </w:rPr>
      </w:pPr>
      <w:r>
        <w:rPr>
          <w:rFonts w:ascii="Times New Roman" w:cs="Times New Roman" w:eastAsia="Times New Roman" w:hAnsi="Times New Roman"/>
          <w:sz w:val="14"/>
          <w:szCs w:val="14"/>
          <w:color w:val="auto"/>
        </w:rPr>
        <w:t>against the Bankrupt Party under the Bankruptcy Code, the other Party (the “</w:t>
      </w:r>
      <w:r>
        <w:rPr>
          <w:rFonts w:ascii="Times New Roman" w:cs="Times New Roman" w:eastAsia="Times New Roman" w:hAnsi="Times New Roman"/>
          <w:sz w:val="14"/>
          <w:szCs w:val="14"/>
          <w:b w:val="1"/>
          <w:bCs w:val="1"/>
          <w:color w:val="auto"/>
        </w:rPr>
        <w:t>Non-Bankrupt Party</w:t>
      </w:r>
      <w:r>
        <w:rPr>
          <w:rFonts w:ascii="Times New Roman" w:cs="Times New Roman" w:eastAsia="Times New Roman" w:hAnsi="Times New Roman"/>
          <w:sz w:val="14"/>
          <w:szCs w:val="14"/>
          <w:color w:val="auto"/>
        </w:rPr>
        <w:t>”) will be entitled to a complete duplicate of, or complete access to (as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the Non-Bankrupt Party deems appropriate), all such intellectual property and all embodiments of such intellectual property. Such intellectual property and all embodiments of such intellectual property will be promptly delivered to the Non-Bankrupt Party (a) upon any such commencement of a bankruptcy proceeding and upon written request</w:t>
      </w:r>
    </w:p>
    <w:p>
      <w:pPr>
        <w:ind w:left="520"/>
        <w:spacing w:after="0" w:line="229" w:lineRule="auto"/>
        <w:rPr>
          <w:sz w:val="20"/>
          <w:szCs w:val="20"/>
          <w:color w:val="auto"/>
        </w:rPr>
      </w:pPr>
      <w:r>
        <w:rPr>
          <w:rFonts w:ascii="Times New Roman" w:cs="Times New Roman" w:eastAsia="Times New Roman" w:hAnsi="Times New Roman"/>
          <w:sz w:val="14"/>
          <w:szCs w:val="14"/>
          <w:color w:val="auto"/>
        </w:rPr>
        <w:t>by the Non-Bankrupt Party, unless the Bankrupt Party elects to continue to perform all of its obligations under this Agreement, or (b) if not delivered under the foregoing clause (a), upon the rejection of this Agreement by or on behalf of the Bankrupt Party and upon written request by the Non-Bankrupt Party. The Bankrupt Party (in any</w:t>
      </w:r>
    </w:p>
    <w:p>
      <w:pPr>
        <w:ind w:left="520"/>
        <w:spacing w:after="0" w:line="208" w:lineRule="auto"/>
        <w:rPr>
          <w:sz w:val="20"/>
          <w:szCs w:val="20"/>
          <w:color w:val="auto"/>
        </w:rPr>
      </w:pPr>
      <w:r>
        <w:rPr>
          <w:rFonts w:ascii="Times New Roman" w:cs="Times New Roman" w:eastAsia="Times New Roman" w:hAnsi="Times New Roman"/>
          <w:sz w:val="16"/>
          <w:szCs w:val="16"/>
          <w:color w:val="auto"/>
        </w:rPr>
        <w:t>capacity, including debtor-in-possession) and its successors and assigns (including any trustee) agree not to interfere with the exercise by the Non-Bankrupt Party or its</w:t>
      </w:r>
    </w:p>
    <w:p>
      <w:pPr>
        <w:ind w:left="520"/>
        <w:spacing w:after="0" w:line="229" w:lineRule="auto"/>
        <w:rPr>
          <w:sz w:val="20"/>
          <w:szCs w:val="20"/>
          <w:color w:val="auto"/>
        </w:rPr>
      </w:pPr>
      <w:r>
        <w:rPr>
          <w:rFonts w:ascii="Times New Roman" w:cs="Times New Roman" w:eastAsia="Times New Roman" w:hAnsi="Times New Roman"/>
          <w:sz w:val="14"/>
          <w:szCs w:val="14"/>
          <w:color w:val="auto"/>
        </w:rPr>
        <w:t>Affiliates or Sublicensees of its or their rights and licenses to such intellectual property and such embodiments of intellectual property in accordance with this Agreement, and agree to assist the Non-Bankrupt Party and its Affiliates and Sublicensees in obtaining such intellectual property and such embodiments of intellectual property in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possession or control of Third Parties as are reasonably necessary or desirable for the Non-Bankrupt Party to exercise such rights and licenses in accordance with this</w:t>
      </w:r>
    </w:p>
    <w:p>
      <w:pPr>
        <w:ind w:firstLine="509"/>
        <w:spacing w:after="0" w:line="229" w:lineRule="auto"/>
        <w:rPr>
          <w:sz w:val="20"/>
          <w:szCs w:val="20"/>
          <w:color w:val="auto"/>
        </w:rPr>
      </w:pPr>
      <w:r>
        <w:rPr>
          <w:rFonts w:ascii="Times New Roman" w:cs="Times New Roman" w:eastAsia="Times New Roman" w:hAnsi="Times New Roman"/>
          <w:sz w:val="14"/>
          <w:szCs w:val="14"/>
          <w:color w:val="auto"/>
        </w:rPr>
        <w:t xml:space="preserve">Agreement. The foregoing provisions are without prejudice to any rights the Non-Bankrupt Party may have arising under the Bankruptcy Code or other applicable Laws. </w:t>
      </w:r>
      <w:r>
        <w:rPr>
          <w:rFonts w:ascii="Times New Roman" w:cs="Times New Roman" w:eastAsia="Times New Roman" w:hAnsi="Times New Roman"/>
          <w:sz w:val="14"/>
          <w:szCs w:val="14"/>
          <w:b w:val="1"/>
          <w:bCs w:val="1"/>
          <w:color w:val="auto"/>
        </w:rPr>
        <w:t>16.3. Governing Law</w:t>
      </w:r>
      <w:r>
        <w:rPr>
          <w:rFonts w:ascii="Times New Roman" w:cs="Times New Roman" w:eastAsia="Times New Roman" w:hAnsi="Times New Roman"/>
          <w:sz w:val="14"/>
          <w:szCs w:val="14"/>
          <w:color w:val="auto"/>
        </w:rPr>
        <w:t>. This Agreement was prepared in the English language, which language will govern the interpretation of, and any Dispute regarding, the terms of this</w:t>
      </w:r>
    </w:p>
    <w:p>
      <w:pPr>
        <w:ind w:left="520"/>
        <w:spacing w:after="0" w:line="237" w:lineRule="auto"/>
        <w:rPr>
          <w:sz w:val="20"/>
          <w:szCs w:val="20"/>
          <w:color w:val="auto"/>
        </w:rPr>
      </w:pPr>
      <w:r>
        <w:rPr>
          <w:rFonts w:ascii="Times New Roman" w:cs="Times New Roman" w:eastAsia="Times New Roman" w:hAnsi="Times New Roman"/>
          <w:sz w:val="14"/>
          <w:szCs w:val="14"/>
          <w:color w:val="auto"/>
        </w:rPr>
        <w:t>Agreement. This Agreement and all Disputes arising out of or related to this Agreement or any breach hereof will be governed by and construed under the laws of the State</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of New York, without giving effect to any choice of law principles that would require the application of the laws of a different state or jurisdiction. Notwithstanding any other provision in this Agreement, the Parties expressly reject the application to this Agreement, all transactions and activities contemplated hereby, and all Disputes of (a)</w:t>
      </w:r>
    </w:p>
    <w:p>
      <w:pPr>
        <w:ind w:left="520"/>
        <w:spacing w:after="0" w:line="200" w:lineRule="auto"/>
        <w:rPr>
          <w:sz w:val="20"/>
          <w:szCs w:val="20"/>
          <w:color w:val="auto"/>
        </w:rPr>
      </w:pPr>
      <w:r>
        <w:rPr>
          <w:rFonts w:ascii="Times New Roman" w:cs="Times New Roman" w:eastAsia="Times New Roman" w:hAnsi="Times New Roman"/>
          <w:sz w:val="16"/>
          <w:szCs w:val="16"/>
          <w:color w:val="auto"/>
        </w:rPr>
        <w:t>the United Nations Convention on Contracts for the International Sale Of Goods, and (b) the 1974 Convention on the Limitation Period in the International Sale of Goods, as amended by that certain Protocol, concluded at Vienna, Austria on April 11, 1980.</w:t>
      </w:r>
    </w:p>
    <w:p>
      <w:pPr>
        <w:spacing w:after="0" w:line="1" w:lineRule="exact"/>
        <w:rPr>
          <w:sz w:val="20"/>
          <w:szCs w:val="20"/>
          <w:color w:val="auto"/>
        </w:rPr>
      </w:pP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16.4.  Entire Agreement; Amendments</w:t>
      </w:r>
      <w:r>
        <w:rPr>
          <w:rFonts w:ascii="Times New Roman" w:cs="Times New Roman" w:eastAsia="Times New Roman" w:hAnsi="Times New Roman"/>
          <w:sz w:val="16"/>
          <w:szCs w:val="16"/>
          <w:color w:val="auto"/>
        </w:rPr>
        <w:t>. This Agreement, including the Exhibits and Schedules hereto, set forth the complete, final, and exclusive agreement and all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covenants, promises, agreements, warranties, representations, conditions, and understandings between the Parties hereto with respect to the subject matter hereof and</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other than as are set forth herein</w:t>
      </w:r>
    </w:p>
    <w:p>
      <w:pPr>
        <w:ind w:left="520"/>
        <w:spacing w:after="0" w:line="237" w:lineRule="auto"/>
        <w:rPr>
          <w:sz w:val="20"/>
          <w:szCs w:val="20"/>
          <w:color w:val="auto"/>
        </w:rPr>
      </w:pPr>
      <w:r>
        <w:rPr>
          <w:rFonts w:ascii="Times New Roman" w:cs="Times New Roman" w:eastAsia="Times New Roman" w:hAnsi="Times New Roman"/>
          <w:sz w:val="14"/>
          <w:szCs w:val="14"/>
          <w:color w:val="auto"/>
        </w:rPr>
        <w:t>and therein. No subsequent alteration, amendment, change, or addition to this Agreement will be binding upon the Parties unless reduced to a writing explicitly stating the</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Parties’ intent to amend this Agreement that is signed by an authorized officer of each Party. If there is any inconsistency between the body of this Agreement and either any Exhibits or Schedules to this Agreement or any subsequent agreements ancillary to this Agreement, then, unless otherwise express stated to the contrary in such Exhibit,</w:t>
      </w:r>
    </w:p>
    <w:p>
      <w:pPr>
        <w:ind w:left="520"/>
        <w:spacing w:after="0" w:line="208" w:lineRule="auto"/>
        <w:rPr>
          <w:sz w:val="20"/>
          <w:szCs w:val="20"/>
          <w:color w:val="auto"/>
        </w:rPr>
      </w:pPr>
      <w:r>
        <w:rPr>
          <w:rFonts w:ascii="Times New Roman" w:cs="Times New Roman" w:eastAsia="Times New Roman" w:hAnsi="Times New Roman"/>
          <w:sz w:val="16"/>
          <w:szCs w:val="16"/>
          <w:color w:val="auto"/>
        </w:rPr>
        <w:t>Schedule or ancillary agreement, the terms contained in this Agreement will control.</w:t>
      </w: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16.5.  Severability</w:t>
      </w:r>
      <w:r>
        <w:rPr>
          <w:rFonts w:ascii="Times New Roman" w:cs="Times New Roman" w:eastAsia="Times New Roman" w:hAnsi="Times New Roman"/>
          <w:sz w:val="16"/>
          <w:szCs w:val="16"/>
          <w:color w:val="auto"/>
        </w:rPr>
        <w:t>. If any one or more of the provisions of this Agreement is held to be invalid, illegal or unenforceable by any court or tribunal of competent jurisdiction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no appeal can be or is taken, then the provision will be considered severed from this Agreement and will not serve to invalidate any remaining provisions hereof. The</w:t>
      </w:r>
    </w:p>
    <w:p>
      <w:pPr>
        <w:spacing w:after="0" w:line="1" w:lineRule="exact"/>
        <w:rPr>
          <w:sz w:val="20"/>
          <w:szCs w:val="20"/>
          <w:color w:val="auto"/>
        </w:rPr>
      </w:pPr>
    </w:p>
    <w:p>
      <w:pPr>
        <w:ind w:left="520"/>
        <w:spacing w:after="0" w:line="224" w:lineRule="auto"/>
        <w:rPr>
          <w:sz w:val="20"/>
          <w:szCs w:val="20"/>
          <w:color w:val="auto"/>
        </w:rPr>
      </w:pPr>
      <w:r>
        <w:rPr>
          <w:rFonts w:ascii="Times New Roman" w:cs="Times New Roman" w:eastAsia="Times New Roman" w:hAnsi="Times New Roman"/>
          <w:sz w:val="16"/>
          <w:szCs w:val="16"/>
          <w:color w:val="auto"/>
        </w:rPr>
        <w:t>Parties will make a good faith effort to replace any invalid or unenforceable provision with a valid and enforceable one such that the objectives contemplated by the Parties when entering this Agreement may be realized.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1280"/>
          </w:cols>
          <w:pgMar w:left="300" w:top="123" w:right="319" w:bottom="1440" w:gutter="0" w:footer="0" w:header="0"/>
        </w:sectPr>
      </w:pPr>
    </w:p>
    <w:bookmarkStart w:id="209" w:name="page210"/>
    <w:bookmarkEnd w:id="209"/>
    <w:p>
      <w:pPr>
        <w:ind w:left="2720" w:right="360" w:hanging="2360"/>
        <w:spacing w:after="0" w:line="290" w:lineRule="auto"/>
        <w:tabs>
          <w:tab w:leader="none" w:pos="696"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b w:val="1"/>
          <w:bCs w:val="1"/>
          <w:color w:val="auto"/>
        </w:rPr>
        <w:t>16.6.</w:t>
      </w:r>
      <w:r>
        <w:rPr>
          <w:sz w:val="20"/>
          <w:szCs w:val="20"/>
          <w:color w:val="auto"/>
        </w:rPr>
        <w:tab/>
      </w:r>
      <w:r>
        <w:rPr>
          <w:rFonts w:ascii="Times New Roman" w:cs="Times New Roman" w:eastAsia="Times New Roman" w:hAnsi="Times New Roman"/>
          <w:sz w:val="14"/>
          <w:szCs w:val="14"/>
          <w:b w:val="1"/>
          <w:bCs w:val="1"/>
          <w:color w:val="auto"/>
        </w:rPr>
        <w:t>Headings</w:t>
      </w:r>
      <w:r>
        <w:rPr>
          <w:rFonts w:ascii="Times New Roman" w:cs="Times New Roman" w:eastAsia="Times New Roman" w:hAnsi="Times New Roman"/>
          <w:sz w:val="14"/>
          <w:szCs w:val="14"/>
          <w:color w:val="auto"/>
        </w:rPr>
        <w:t>. The captions to the Sections hereof are not a part of this Agreement, but are merely for convenience to assist in locating and reading the several Sections hereof.</w:t>
      </w:r>
    </w:p>
    <w:p>
      <w:pPr>
        <w:spacing w:after="0" w:line="207"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16.7.</w:t>
        <w:tab/>
        <w:t>Interpretation</w:t>
      </w:r>
      <w:r>
        <w:rPr>
          <w:rFonts w:ascii="Times New Roman" w:cs="Times New Roman" w:eastAsia="Times New Roman" w:hAnsi="Times New Roman"/>
          <w:sz w:val="16"/>
          <w:szCs w:val="16"/>
          <w:color w:val="auto"/>
        </w:rPr>
        <w:t>. Except where the context otherwise requires, wherever used, the singular will include the plural, the plural will include the singular, and the use of any</w:t>
      </w:r>
    </w:p>
    <w:p>
      <w:pPr>
        <w:ind w:left="520"/>
        <w:spacing w:after="0" w:line="229" w:lineRule="auto"/>
        <w:rPr>
          <w:sz w:val="20"/>
          <w:szCs w:val="20"/>
          <w:color w:val="auto"/>
        </w:rPr>
      </w:pPr>
      <w:r>
        <w:rPr>
          <w:rFonts w:ascii="Times New Roman" w:cs="Times New Roman" w:eastAsia="Times New Roman" w:hAnsi="Times New Roman"/>
          <w:sz w:val="14"/>
          <w:szCs w:val="14"/>
          <w:color w:val="auto"/>
        </w:rPr>
        <w:t>gender will be applicable to all genders. Whenever this Agreement refers to a number of days without using a term otherwise defined herein, such number refers to calendar days. The captions of this Agreement are for the convenience of reference only and in no way define, describe, extend, or limit the scope or intent of this Agreement or the</w:t>
      </w:r>
    </w:p>
    <w:p>
      <w:pPr>
        <w:ind w:left="520"/>
        <w:spacing w:after="0" w:line="237" w:lineRule="auto"/>
        <w:rPr>
          <w:sz w:val="20"/>
          <w:szCs w:val="20"/>
          <w:color w:val="auto"/>
        </w:rPr>
      </w:pPr>
      <w:r>
        <w:rPr>
          <w:rFonts w:ascii="Times New Roman" w:cs="Times New Roman" w:eastAsia="Times New Roman" w:hAnsi="Times New Roman"/>
          <w:sz w:val="14"/>
          <w:szCs w:val="14"/>
          <w:color w:val="auto"/>
        </w:rPr>
        <w:t>intent of any provision contained in this Agreement. The terms “including,” “include,” “includes,” or “for example” will not limit the generality of any description preceding</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such term and as used herein will have the same meaning as “including, but not limited to” or “including, without limitation.” The word “will” will be construed to have the same meaning and effect as the word “shall.” References to any specific law, rule or regulation, or article, section or other division thereof, will be deemed to include the</w:t>
      </w:r>
    </w:p>
    <w:p>
      <w:pPr>
        <w:ind w:left="520"/>
        <w:spacing w:after="0" w:line="200" w:lineRule="auto"/>
        <w:rPr>
          <w:sz w:val="20"/>
          <w:szCs w:val="20"/>
          <w:color w:val="auto"/>
        </w:rPr>
      </w:pPr>
      <w:r>
        <w:rPr>
          <w:rFonts w:ascii="Times New Roman" w:cs="Times New Roman" w:eastAsia="Times New Roman" w:hAnsi="Times New Roman"/>
          <w:sz w:val="16"/>
          <w:szCs w:val="16"/>
          <w:color w:val="auto"/>
        </w:rPr>
        <w:t>then-current amendments thereto or any replacement or successor law, rule or regulation thereof. The term “or” will be interpreted in the inclusive sense commonly associated with the term “and/or.” Any reference herein to any person or entity will be construed to include the person’s or entity’s successors and assigns. The words</w:t>
      </w:r>
    </w:p>
    <w:p>
      <w:pPr>
        <w:ind w:left="520"/>
        <w:spacing w:after="0" w:line="208" w:lineRule="auto"/>
        <w:rPr>
          <w:sz w:val="20"/>
          <w:szCs w:val="20"/>
          <w:color w:val="auto"/>
        </w:rPr>
      </w:pPr>
      <w:r>
        <w:rPr>
          <w:rFonts w:ascii="Times New Roman" w:cs="Times New Roman" w:eastAsia="Times New Roman" w:hAnsi="Times New Roman"/>
          <w:sz w:val="16"/>
          <w:szCs w:val="16"/>
          <w:color w:val="auto"/>
        </w:rPr>
        <w:t>“herein,” “hereof,” and “hereunder”, and words of similar import, will be construed to refer to this Agreement in its entirety and not any particular provision. The word</w:t>
      </w:r>
    </w:p>
    <w:p>
      <w:pPr>
        <w:spacing w:after="0" w:line="1" w:lineRule="exact"/>
        <w:rPr>
          <w:sz w:val="20"/>
          <w:szCs w:val="20"/>
          <w:color w:val="auto"/>
        </w:rPr>
      </w:pPr>
    </w:p>
    <w:p>
      <w:pPr>
        <w:jc w:val="both"/>
        <w:ind w:left="520"/>
        <w:spacing w:after="0" w:line="229" w:lineRule="auto"/>
        <w:rPr>
          <w:sz w:val="20"/>
          <w:szCs w:val="20"/>
          <w:color w:val="auto"/>
        </w:rPr>
      </w:pPr>
      <w:r>
        <w:rPr>
          <w:rFonts w:ascii="Times New Roman" w:cs="Times New Roman" w:eastAsia="Times New Roman" w:hAnsi="Times New Roman"/>
          <w:sz w:val="14"/>
          <w:szCs w:val="14"/>
          <w:color w:val="auto"/>
        </w:rPr>
        <w:t>“notice” means notice in writing (whether or not specifically stated) and will include notices, consents, approvals, and other written communications contemplated under this Agreement. References to “</w:t>
      </w:r>
      <w:r>
        <w:rPr>
          <w:rFonts w:ascii="Times New Roman" w:cs="Times New Roman" w:eastAsia="Times New Roman" w:hAnsi="Times New Roman"/>
          <w:sz w:val="14"/>
          <w:szCs w:val="14"/>
          <w:b w:val="1"/>
          <w:bCs w:val="1"/>
          <w:color w:val="auto"/>
        </w:rPr>
        <w:t>Section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Sections</w:t>
      </w:r>
      <w:r>
        <w:rPr>
          <w:rFonts w:ascii="Times New Roman" w:cs="Times New Roman" w:eastAsia="Times New Roman" w:hAnsi="Times New Roman"/>
          <w:sz w:val="14"/>
          <w:szCs w:val="14"/>
          <w:color w:val="auto"/>
        </w:rPr>
        <w:t>” are references to the numbered sections of this Agreement, unless expressly stated otherwise. All dollars are U.S.</w:t>
      </w:r>
    </w:p>
    <w:p>
      <w:pPr>
        <w:ind w:left="520"/>
        <w:spacing w:after="0" w:line="237" w:lineRule="auto"/>
        <w:rPr>
          <w:sz w:val="20"/>
          <w:szCs w:val="20"/>
          <w:color w:val="auto"/>
        </w:rPr>
      </w:pPr>
      <w:r>
        <w:rPr>
          <w:rFonts w:ascii="Times New Roman" w:cs="Times New Roman" w:eastAsia="Times New Roman" w:hAnsi="Times New Roman"/>
          <w:sz w:val="14"/>
          <w:szCs w:val="14"/>
          <w:color w:val="auto"/>
        </w:rPr>
        <w:t>Dollars. Unless the context otherwise requires, countries will include territories. The language of this Agreement will be deemed to be the language chosen by the Parties</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and no rule of strict construction will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w:t>
      </w:r>
    </w:p>
    <w:p>
      <w:pPr>
        <w:ind w:left="520"/>
        <w:spacing w:after="0" w:line="208" w:lineRule="auto"/>
        <w:rPr>
          <w:sz w:val="20"/>
          <w:szCs w:val="20"/>
          <w:color w:val="auto"/>
        </w:rPr>
      </w:pPr>
      <w:r>
        <w:rPr>
          <w:rFonts w:ascii="Times New Roman" w:cs="Times New Roman" w:eastAsia="Times New Roman" w:hAnsi="Times New Roman"/>
          <w:sz w:val="16"/>
          <w:szCs w:val="16"/>
          <w:color w:val="auto"/>
        </w:rPr>
        <w:t>presumption will apply against the Party which drafted such terms and provisions.</w:t>
      </w: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16.8.  Waiver and Non-Exclusion of Remedies</w:t>
      </w:r>
      <w:r>
        <w:rPr>
          <w:rFonts w:ascii="Times New Roman" w:cs="Times New Roman" w:eastAsia="Times New Roman" w:hAnsi="Times New Roman"/>
          <w:sz w:val="16"/>
          <w:szCs w:val="16"/>
          <w:color w:val="auto"/>
        </w:rPr>
        <w:t>. Any term or condition of this Agreement may be waived at any time by the Party that is entitled to the benefit thereof, but no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waiver will be effective unless set forth in a written instrument duly executed by or on behalf of such Party waiving such term or condition. The waiver by either Party</w:t>
      </w:r>
    </w:p>
    <w:p>
      <w:pPr>
        <w:ind w:left="520"/>
        <w:spacing w:after="0"/>
        <w:rPr>
          <w:sz w:val="20"/>
          <w:szCs w:val="20"/>
          <w:color w:val="auto"/>
        </w:rPr>
      </w:pPr>
      <w:r>
        <w:rPr>
          <w:rFonts w:ascii="Times New Roman" w:cs="Times New Roman" w:eastAsia="Times New Roman" w:hAnsi="Times New Roman"/>
          <w:sz w:val="14"/>
          <w:szCs w:val="14"/>
          <w:color w:val="auto"/>
        </w:rPr>
        <w:t>of any right hereunder or of the failure to perform or of a breach by the other Party will not be deemed a waiver of any other right hereunder or of any other breach or failure</w:t>
      </w:r>
    </w:p>
    <w:p>
      <w:pPr>
        <w:ind w:left="520"/>
        <w:spacing w:after="0" w:line="200" w:lineRule="auto"/>
        <w:rPr>
          <w:sz w:val="20"/>
          <w:szCs w:val="20"/>
          <w:color w:val="auto"/>
        </w:rPr>
      </w:pPr>
      <w:r>
        <w:rPr>
          <w:rFonts w:ascii="Times New Roman" w:cs="Times New Roman" w:eastAsia="Times New Roman" w:hAnsi="Times New Roman"/>
          <w:sz w:val="16"/>
          <w:szCs w:val="16"/>
          <w:color w:val="auto"/>
        </w:rPr>
        <w:t>by such other Party whether of a similar nature or otherwise. The rights and remedies provided herein are cumulative and do not exclude any other right or remedy provided by Law or otherwise available except as expressly set forth herein.</w:t>
      </w:r>
    </w:p>
    <w:p>
      <w:pPr>
        <w:spacing w:after="0" w:line="208" w:lineRule="auto"/>
        <w:tabs>
          <w:tab w:leader="none" w:pos="480" w:val="left"/>
        </w:tabs>
        <w:rPr>
          <w:sz w:val="20"/>
          <w:szCs w:val="20"/>
          <w:color w:val="auto"/>
        </w:rPr>
      </w:pPr>
      <w:r>
        <w:rPr>
          <w:rFonts w:ascii="Times New Roman" w:cs="Times New Roman" w:eastAsia="Times New Roman" w:hAnsi="Times New Roman"/>
          <w:sz w:val="16"/>
          <w:szCs w:val="16"/>
          <w:b w:val="1"/>
          <w:bCs w:val="1"/>
          <w:color w:val="auto"/>
        </w:rPr>
        <w:t>16.9.</w:t>
        <w:tab/>
        <w:t>Notices</w:t>
      </w:r>
      <w:r>
        <w:rPr>
          <w:rFonts w:ascii="Times New Roman" w:cs="Times New Roman" w:eastAsia="Times New Roman" w:hAnsi="Times New Roman"/>
          <w:sz w:val="16"/>
          <w:szCs w:val="16"/>
          <w:color w:val="auto"/>
        </w:rPr>
        <w:t>. All notices and other communications given or made pursuant hereto will be in writing and will be deemed to have been duly given on the date delivered, if</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delivered personally, or on the next Business Day after being sent by reputable overnight courier (with delivery tracking provided, signature required, and delivery prepaid), in each case, to the Parties at the following addresses, or on the date sent (and confirmed by confirmatory return email and by a hard copy delivered by reputable overnight</w:t>
      </w:r>
    </w:p>
    <w:p>
      <w:pPr>
        <w:ind w:left="520"/>
        <w:spacing w:after="0" w:line="224" w:lineRule="auto"/>
        <w:rPr>
          <w:sz w:val="20"/>
          <w:szCs w:val="20"/>
          <w:color w:val="auto"/>
        </w:rPr>
      </w:pPr>
      <w:r>
        <w:rPr>
          <w:rFonts w:ascii="Times New Roman" w:cs="Times New Roman" w:eastAsia="Times New Roman" w:hAnsi="Times New Roman"/>
          <w:sz w:val="16"/>
          <w:szCs w:val="16"/>
          <w:color w:val="auto"/>
        </w:rPr>
        <w:t>courier (with delivery tracking provided, signature required, and delivery prepaid)) to the email address and address specified below (or at such other address, or email address for a Party as will be specified by notice given in accordance with this Section 16.9 (Notices)).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1280"/>
          </w:cols>
          <w:pgMar w:left="300" w:top="123" w:right="319" w:bottom="1440" w:gutter="0" w:footer="0" w:header="0"/>
        </w:sectPr>
      </w:pPr>
    </w:p>
    <w:bookmarkStart w:id="210" w:name="page211"/>
    <w:bookmarkEnd w:id="210"/>
    <w:p>
      <w:pPr>
        <w:ind w:left="2720" w:right="360" w:hanging="2360"/>
        <w:spacing w:after="0" w:line="290" w:lineRule="auto"/>
        <w:tabs>
          <w:tab w:leader="none" w:pos="696"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202"/>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 to Arrowhead, to:</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Arrowhead Pharmaceuticals, Inc.</w:t>
            </w:r>
          </w:p>
        </w:tc>
      </w:tr>
      <w:tr>
        <w:trPr>
          <w:trHeight w:val="180"/>
        </w:trPr>
        <w:tc>
          <w:tcPr>
            <w:tcW w:w="2780" w:type="dxa"/>
            <w:vAlign w:val="bottom"/>
          </w:tcPr>
          <w:p>
            <w:pPr>
              <w:spacing w:after="0"/>
              <w:rPr>
                <w:sz w:val="15"/>
                <w:szCs w:val="15"/>
                <w:color w:val="auto"/>
              </w:rPr>
            </w:pPr>
          </w:p>
        </w:tc>
        <w:tc>
          <w:tcPr>
            <w:tcW w:w="23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177 E. Colorado Blvd., Suite 700</w:t>
            </w:r>
          </w:p>
        </w:tc>
      </w:tr>
      <w:tr>
        <w:trPr>
          <w:trHeight w:val="191"/>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Pasadena, CA 91105</w:t>
            </w:r>
          </w:p>
        </w:tc>
      </w:tr>
      <w:tr>
        <w:trPr>
          <w:trHeight w:val="189"/>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Attention: General Counsel</w:t>
            </w:r>
          </w:p>
        </w:tc>
      </w:tr>
      <w:tr>
        <w:trPr>
          <w:trHeight w:val="205"/>
        </w:trPr>
        <w:tc>
          <w:tcPr>
            <w:tcW w:w="2780" w:type="dxa"/>
            <w:vAlign w:val="bottom"/>
          </w:tcPr>
          <w:p>
            <w:pPr>
              <w:spacing w:after="0"/>
              <w:rPr>
                <w:sz w:val="17"/>
                <w:szCs w:val="17"/>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b w:val="1"/>
                <w:bCs w:val="1"/>
                <w:color w:val="auto"/>
              </w:rPr>
              <w:t>[***]</w:t>
            </w:r>
          </w:p>
        </w:tc>
      </w:tr>
      <w:tr>
        <w:trPr>
          <w:trHeight w:val="347"/>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 a copy (which will not constitute</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Gibson Dunn &amp; Crutcher LLP</w:t>
            </w:r>
          </w:p>
        </w:tc>
      </w:tr>
      <w:tr>
        <w:trPr>
          <w:trHeight w:val="215"/>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to:</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One Embarcadero Center Suite 2600</w:t>
            </w:r>
          </w:p>
        </w:tc>
      </w:tr>
      <w:tr>
        <w:trPr>
          <w:trHeight w:val="191"/>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San Francisco, CA 94111-3715</w:t>
            </w:r>
          </w:p>
        </w:tc>
      </w:tr>
      <w:tr>
        <w:trPr>
          <w:trHeight w:val="189"/>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Attention: Karen A. Spindler</w:t>
            </w:r>
          </w:p>
        </w:tc>
      </w:tr>
      <w:tr>
        <w:trPr>
          <w:trHeight w:val="205"/>
        </w:trPr>
        <w:tc>
          <w:tcPr>
            <w:tcW w:w="2780" w:type="dxa"/>
            <w:vAlign w:val="bottom"/>
          </w:tcPr>
          <w:p>
            <w:pPr>
              <w:spacing w:after="0"/>
              <w:rPr>
                <w:sz w:val="17"/>
                <w:szCs w:val="17"/>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b w:val="1"/>
                <w:bCs w:val="1"/>
                <w:color w:val="auto"/>
              </w:rPr>
              <w:t>[***]</w:t>
            </w:r>
          </w:p>
        </w:tc>
      </w:tr>
      <w:tr>
        <w:trPr>
          <w:trHeight w:val="381"/>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If to Novartis, to:</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Novartis Pharma AG</w:t>
            </w:r>
          </w:p>
        </w:tc>
      </w:tr>
      <w:tr>
        <w:trPr>
          <w:trHeight w:val="180"/>
        </w:trPr>
        <w:tc>
          <w:tcPr>
            <w:tcW w:w="2780" w:type="dxa"/>
            <w:vAlign w:val="bottom"/>
          </w:tcPr>
          <w:p>
            <w:pPr>
              <w:spacing w:after="0"/>
              <w:rPr>
                <w:sz w:val="15"/>
                <w:szCs w:val="15"/>
                <w:color w:val="auto"/>
              </w:rPr>
            </w:pPr>
          </w:p>
        </w:tc>
        <w:tc>
          <w:tcPr>
            <w:tcW w:w="23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Lichtstrasse 35</w:t>
            </w:r>
          </w:p>
        </w:tc>
      </w:tr>
      <w:tr>
        <w:trPr>
          <w:trHeight w:val="191"/>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CH-4056 Basel, Switzerland</w:t>
            </w:r>
          </w:p>
        </w:tc>
      </w:tr>
      <w:tr>
        <w:trPr>
          <w:trHeight w:val="203"/>
        </w:trPr>
        <w:tc>
          <w:tcPr>
            <w:tcW w:w="2780" w:type="dxa"/>
            <w:vAlign w:val="bottom"/>
          </w:tcPr>
          <w:p>
            <w:pPr>
              <w:spacing w:after="0"/>
              <w:rPr>
                <w:sz w:val="17"/>
                <w:szCs w:val="17"/>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Attention: [***]</w:t>
            </w:r>
          </w:p>
        </w:tc>
      </w:tr>
      <w:tr>
        <w:trPr>
          <w:trHeight w:val="177"/>
        </w:trPr>
        <w:tc>
          <w:tcPr>
            <w:tcW w:w="2780" w:type="dxa"/>
            <w:vAlign w:val="bottom"/>
          </w:tcPr>
          <w:p>
            <w:pPr>
              <w:ind w:left="40"/>
              <w:spacing w:after="0" w:line="177" w:lineRule="exact"/>
              <w:rPr>
                <w:sz w:val="20"/>
                <w:szCs w:val="20"/>
                <w:color w:val="auto"/>
              </w:rPr>
            </w:pPr>
            <w:r>
              <w:rPr>
                <w:rFonts w:ascii="Times New Roman" w:cs="Times New Roman" w:eastAsia="Times New Roman" w:hAnsi="Times New Roman"/>
                <w:sz w:val="16"/>
                <w:szCs w:val="16"/>
                <w:color w:val="auto"/>
              </w:rPr>
              <w:t>With a copy (which will not constitute</w:t>
            </w:r>
          </w:p>
        </w:tc>
        <w:tc>
          <w:tcPr>
            <w:tcW w:w="23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Novartis Pharma AG</w:t>
            </w:r>
          </w:p>
        </w:tc>
      </w:tr>
      <w:tr>
        <w:trPr>
          <w:trHeight w:val="215"/>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 to:</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Lichtstrasse 35</w:t>
            </w:r>
          </w:p>
        </w:tc>
      </w:tr>
      <w:tr>
        <w:trPr>
          <w:trHeight w:val="191"/>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CH-4056 Basel, Switzerland</w:t>
            </w:r>
          </w:p>
        </w:tc>
      </w:tr>
      <w:tr>
        <w:trPr>
          <w:trHeight w:val="203"/>
        </w:trPr>
        <w:tc>
          <w:tcPr>
            <w:tcW w:w="2780" w:type="dxa"/>
            <w:vAlign w:val="bottom"/>
          </w:tcPr>
          <w:p>
            <w:pPr>
              <w:spacing w:after="0"/>
              <w:rPr>
                <w:sz w:val="17"/>
                <w:szCs w:val="17"/>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Attention: [***]</w:t>
            </w:r>
          </w:p>
        </w:tc>
      </w:tr>
      <w:tr>
        <w:trPr>
          <w:trHeight w:val="177"/>
        </w:trPr>
        <w:tc>
          <w:tcPr>
            <w:tcW w:w="27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With a copy (which will not constitute</w:t>
            </w:r>
          </w:p>
        </w:tc>
        <w:tc>
          <w:tcPr>
            <w:tcW w:w="2340" w:type="dxa"/>
            <w:vAlign w:val="bottom"/>
          </w:tcPr>
          <w:p>
            <w:pPr>
              <w:ind w:left="60"/>
              <w:spacing w:after="0" w:line="177" w:lineRule="exact"/>
              <w:rPr>
                <w:sz w:val="20"/>
                <w:szCs w:val="20"/>
                <w:color w:val="auto"/>
              </w:rPr>
            </w:pPr>
            <w:r>
              <w:rPr>
                <w:rFonts w:ascii="Times New Roman" w:cs="Times New Roman" w:eastAsia="Times New Roman" w:hAnsi="Times New Roman"/>
                <w:sz w:val="16"/>
                <w:szCs w:val="16"/>
                <w:color w:val="auto"/>
              </w:rPr>
              <w:t>Morrison &amp; Foerster LLP</w:t>
            </w:r>
          </w:p>
        </w:tc>
      </w:tr>
      <w:tr>
        <w:trPr>
          <w:trHeight w:val="215"/>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notice) to:</w:t>
            </w: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200 Clarendon Street, 21st Floor</w:t>
            </w:r>
          </w:p>
        </w:tc>
      </w:tr>
      <w:tr>
        <w:trPr>
          <w:trHeight w:val="191"/>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Boston, MA 02116</w:t>
            </w:r>
          </w:p>
        </w:tc>
      </w:tr>
      <w:tr>
        <w:trPr>
          <w:trHeight w:val="189"/>
        </w:trPr>
        <w:tc>
          <w:tcPr>
            <w:tcW w:w="2780" w:type="dxa"/>
            <w:vAlign w:val="bottom"/>
          </w:tcPr>
          <w:p>
            <w:pPr>
              <w:spacing w:after="0"/>
              <w:rPr>
                <w:sz w:val="16"/>
                <w:szCs w:val="16"/>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Attention: Matt Karlyn</w:t>
            </w:r>
          </w:p>
        </w:tc>
      </w:tr>
      <w:tr>
        <w:trPr>
          <w:trHeight w:val="205"/>
        </w:trPr>
        <w:tc>
          <w:tcPr>
            <w:tcW w:w="2780" w:type="dxa"/>
            <w:vAlign w:val="bottom"/>
          </w:tcPr>
          <w:p>
            <w:pPr>
              <w:spacing w:after="0"/>
              <w:rPr>
                <w:sz w:val="17"/>
                <w:szCs w:val="17"/>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b w:val="1"/>
                <w:bCs w:val="1"/>
                <w:color w:val="auto"/>
              </w:rPr>
              <w:t>[***]</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16.10.  Force Majeure</w:t>
      </w:r>
      <w:r>
        <w:rPr>
          <w:rFonts w:ascii="Times New Roman" w:cs="Times New Roman" w:eastAsia="Times New Roman" w:hAnsi="Times New Roman"/>
          <w:sz w:val="16"/>
          <w:szCs w:val="16"/>
          <w:color w:val="auto"/>
        </w:rPr>
        <w:t>. Each Party will be excused from the performance of its obligations under this Agreement to the extent that such performance is prevented by Force</w:t>
      </w:r>
    </w:p>
    <w:p>
      <w:pPr>
        <w:ind w:left="520"/>
        <w:spacing w:after="0" w:line="229" w:lineRule="auto"/>
        <w:rPr>
          <w:sz w:val="20"/>
          <w:szCs w:val="20"/>
          <w:color w:val="auto"/>
        </w:rPr>
      </w:pPr>
      <w:r>
        <w:rPr>
          <w:rFonts w:ascii="Times New Roman" w:cs="Times New Roman" w:eastAsia="Times New Roman" w:hAnsi="Times New Roman"/>
          <w:sz w:val="14"/>
          <w:szCs w:val="14"/>
          <w:color w:val="auto"/>
        </w:rPr>
        <w:t>Majeure and such nonperforming Party promptly provides written notice of the prevention to the other Party. The affected Party also will provide a good faith estimate of the period for which its failure or delay in performance under this Agreement is expected to continue based on currently available information and will undertake reasonable</w:t>
      </w:r>
    </w:p>
    <w:p>
      <w:pPr>
        <w:ind w:left="520"/>
        <w:spacing w:after="0" w:line="237" w:lineRule="auto"/>
        <w:rPr>
          <w:sz w:val="20"/>
          <w:szCs w:val="20"/>
          <w:color w:val="auto"/>
        </w:rPr>
      </w:pPr>
      <w:r>
        <w:rPr>
          <w:rFonts w:ascii="Times New Roman" w:cs="Times New Roman" w:eastAsia="Times New Roman" w:hAnsi="Times New Roman"/>
          <w:sz w:val="14"/>
          <w:szCs w:val="14"/>
          <w:color w:val="auto"/>
        </w:rPr>
        <w:t>efforts necessary to mitigate and overcome such Force Majeure event and resume normal performance of its obligations hereunder as soon a reasonably practicable under</w:t>
      </w:r>
    </w:p>
    <w:p>
      <w:pPr>
        <w:spacing w:after="0" w:line="1"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4"/>
          <w:szCs w:val="14"/>
          <w:color w:val="auto"/>
        </w:rPr>
        <w:t>the circumstances. If the Force Majeure event continues, the affected Party will update such notice to the other Party on a weekly basis, or more frequently if requested by the other Party, to provide updated summaries of its mitigation efforts and its estimates of when normal performance under the Agreement will be able to resume. Without</w:t>
      </w:r>
    </w:p>
    <w:p>
      <w:pPr>
        <w:ind w:left="520"/>
        <w:spacing w:after="0" w:line="229" w:lineRule="auto"/>
        <w:rPr>
          <w:sz w:val="20"/>
          <w:szCs w:val="20"/>
          <w:color w:val="auto"/>
        </w:rPr>
      </w:pPr>
      <w:r>
        <w:rPr>
          <w:rFonts w:ascii="Times New Roman" w:cs="Times New Roman" w:eastAsia="Times New Roman" w:hAnsi="Times New Roman"/>
          <w:sz w:val="14"/>
          <w:szCs w:val="14"/>
          <w:color w:val="auto"/>
        </w:rPr>
        <w:t xml:space="preserve">limiting the affected Party’s foregoing obligations, such excuse will be continued so long as the condition constituting Force Majeure continues and such affected Party is exercising reasonable efforts to remedy the Force Majeure. If a Force Majeure persists for more than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then the Parties will discuss in good faith a modification of the</w:t>
      </w:r>
    </w:p>
    <w:p>
      <w:pPr>
        <w:ind w:left="520"/>
        <w:spacing w:after="0" w:line="208" w:lineRule="auto"/>
        <w:rPr>
          <w:sz w:val="20"/>
          <w:szCs w:val="20"/>
          <w:color w:val="auto"/>
        </w:rPr>
      </w:pPr>
      <w:r>
        <w:rPr>
          <w:rFonts w:ascii="Times New Roman" w:cs="Times New Roman" w:eastAsia="Times New Roman" w:hAnsi="Times New Roman"/>
          <w:sz w:val="16"/>
          <w:szCs w:val="16"/>
          <w:color w:val="auto"/>
        </w:rPr>
        <w:t>Parties’ obligations under this Agreement in order to mitigate the delays caused by such Force Majeure.</w:t>
      </w:r>
    </w:p>
    <w:p>
      <w:pPr>
        <w:jc w:val="right"/>
        <w:spacing w:after="0" w:line="200" w:lineRule="auto"/>
        <w:rPr>
          <w:sz w:val="20"/>
          <w:szCs w:val="20"/>
          <w:color w:val="auto"/>
        </w:rPr>
      </w:pPr>
      <w:r>
        <w:rPr>
          <w:rFonts w:ascii="Times New Roman" w:cs="Times New Roman" w:eastAsia="Times New Roman" w:hAnsi="Times New Roman"/>
          <w:sz w:val="16"/>
          <w:szCs w:val="16"/>
          <w:b w:val="1"/>
          <w:bCs w:val="1"/>
          <w:color w:val="auto"/>
        </w:rPr>
        <w:t>16.11.  Relationship of the Parties</w:t>
      </w:r>
      <w:r>
        <w:rPr>
          <w:rFonts w:ascii="Times New Roman" w:cs="Times New Roman" w:eastAsia="Times New Roman" w:hAnsi="Times New Roman"/>
          <w:sz w:val="16"/>
          <w:szCs w:val="16"/>
          <w:color w:val="auto"/>
        </w:rPr>
        <w:t>. It is expressly agreed that Arrowhead, on the one hand, and Novartis, on the other hand, will be independent contractors and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relationship between the two Parties will not constitute a partnership, joint venture, or agency, including for tax purposes. Neither Arrowhead nor Novartis will have the</w:t>
      </w:r>
    </w:p>
    <w:p>
      <w:pPr>
        <w:ind w:left="520"/>
        <w:spacing w:after="0"/>
        <w:rPr>
          <w:sz w:val="20"/>
          <w:szCs w:val="20"/>
          <w:color w:val="auto"/>
        </w:rPr>
      </w:pPr>
      <w:r>
        <w:rPr>
          <w:rFonts w:ascii="Times New Roman" w:cs="Times New Roman" w:eastAsia="Times New Roman" w:hAnsi="Times New Roman"/>
          <w:sz w:val="14"/>
          <w:szCs w:val="14"/>
          <w:color w:val="auto"/>
        </w:rPr>
        <w:t>authority to make any statements, representations, or commitments of any kind, or to take any action that will be binding on the other, without the prior written consent of</w:t>
      </w:r>
    </w:p>
    <w:p>
      <w:pPr>
        <w:ind w:left="520"/>
        <w:spacing w:after="0" w:line="217" w:lineRule="auto"/>
        <w:rPr>
          <w:sz w:val="20"/>
          <w:szCs w:val="20"/>
          <w:color w:val="auto"/>
        </w:rPr>
      </w:pPr>
      <w:r>
        <w:rPr>
          <w:rFonts w:ascii="Times New Roman" w:cs="Times New Roman" w:eastAsia="Times New Roman" w:hAnsi="Times New Roman"/>
          <w:sz w:val="16"/>
          <w:szCs w:val="16"/>
          <w:color w:val="auto"/>
        </w:rPr>
        <w:t>the other Party to do so. All Persons employed by a Party will be employees of that Party and not of the other Party and all expenses and obligations incurred by reason of such employment will be for the account and expense of such Party.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1280"/>
          </w:cols>
          <w:pgMar w:left="300" w:top="123" w:right="319" w:bottom="1440" w:gutter="0" w:footer="0" w:header="0"/>
        </w:sectPr>
      </w:pPr>
    </w:p>
    <w:bookmarkStart w:id="211" w:name="page212"/>
    <w:bookmarkEnd w:id="211"/>
    <w:p>
      <w:pPr>
        <w:ind w:left="2720" w:right="360" w:hanging="2360"/>
        <w:spacing w:after="0" w:line="290" w:lineRule="auto"/>
        <w:tabs>
          <w:tab w:leader="none" w:pos="696"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CERTAIN PORTIONS OF THIS DOCUMENT, MARKED WITH ASTERISKS, HAVE BEEN REDACTED BECAUSE THE IDENTIFIED PORTIONS ARE (I) NOT MATERIAL AND (II)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line="220" w:lineRule="auto"/>
        <w:rPr>
          <w:sz w:val="20"/>
          <w:szCs w:val="20"/>
          <w:color w:val="auto"/>
        </w:rPr>
      </w:pPr>
      <w:r>
        <w:rPr>
          <w:rFonts w:ascii="Times New Roman" w:cs="Times New Roman" w:eastAsia="Times New Roman" w:hAnsi="Times New Roman"/>
          <w:sz w:val="16"/>
          <w:szCs w:val="16"/>
          <w:b w:val="1"/>
          <w:bCs w:val="1"/>
          <w:color w:val="auto"/>
        </w:rPr>
        <w:t>16.12.  Further Assurances</w:t>
      </w:r>
      <w:r>
        <w:rPr>
          <w:rFonts w:ascii="Times New Roman" w:cs="Times New Roman" w:eastAsia="Times New Roman" w:hAnsi="Times New Roman"/>
          <w:sz w:val="16"/>
          <w:szCs w:val="16"/>
          <w:color w:val="auto"/>
        </w:rPr>
        <w:t>. Each Party will duly execute and deliver, or cause to be duly executed and delivered, such further instruments and do and cause to be done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further acts and things, including the filing of such assignments, agreements, documents, and instruments, as may be necessary or as the other Party may reasonably request,</w:t>
      </w:r>
    </w:p>
    <w:p>
      <w:pPr>
        <w:ind w:left="520"/>
        <w:spacing w:after="0" w:line="195" w:lineRule="auto"/>
        <w:rPr>
          <w:sz w:val="20"/>
          <w:szCs w:val="20"/>
          <w:color w:val="auto"/>
        </w:rPr>
      </w:pPr>
      <w:r>
        <w:rPr>
          <w:rFonts w:ascii="Times New Roman" w:cs="Times New Roman" w:eastAsia="Times New Roman" w:hAnsi="Times New Roman"/>
          <w:sz w:val="16"/>
          <w:szCs w:val="16"/>
          <w:color w:val="auto"/>
        </w:rPr>
        <w:t>and at such other Party’s cost and expense, in connection with this Agreement or to carry out more effectively the provisions and purposes hereof.</w:t>
      </w:r>
    </w:p>
    <w:p>
      <w:pPr>
        <w:jc w:val="right"/>
        <w:spacing w:after="0" w:line="207" w:lineRule="auto"/>
        <w:rPr>
          <w:sz w:val="20"/>
          <w:szCs w:val="20"/>
          <w:color w:val="auto"/>
        </w:rPr>
      </w:pPr>
      <w:r>
        <w:rPr>
          <w:rFonts w:ascii="Times New Roman" w:cs="Times New Roman" w:eastAsia="Times New Roman" w:hAnsi="Times New Roman"/>
          <w:sz w:val="16"/>
          <w:szCs w:val="16"/>
          <w:b w:val="1"/>
          <w:bCs w:val="1"/>
          <w:color w:val="auto"/>
        </w:rPr>
        <w:t>16.13.  Performance by Affiliates</w:t>
      </w:r>
      <w:r>
        <w:rPr>
          <w:rFonts w:ascii="Times New Roman" w:cs="Times New Roman" w:eastAsia="Times New Roman" w:hAnsi="Times New Roman"/>
          <w:sz w:val="16"/>
          <w:szCs w:val="16"/>
          <w:color w:val="auto"/>
        </w:rPr>
        <w:t>. Each Party may discharge any obligations and exercise any rights hereunder through delegation of its obligations or rights to any of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Each Party hereby guarantees the performance by its Affiliates of such Party’s obligations under this Agreement and will cause its Affiliates to comply with the</w:t>
      </w:r>
    </w:p>
    <w:p>
      <w:pPr>
        <w:ind w:left="520"/>
        <w:spacing w:after="0" w:line="194" w:lineRule="auto"/>
        <w:rPr>
          <w:sz w:val="20"/>
          <w:szCs w:val="20"/>
          <w:color w:val="auto"/>
        </w:rPr>
      </w:pPr>
      <w:r>
        <w:rPr>
          <w:rFonts w:ascii="Times New Roman" w:cs="Times New Roman" w:eastAsia="Times New Roman" w:hAnsi="Times New Roman"/>
          <w:sz w:val="16"/>
          <w:szCs w:val="16"/>
          <w:color w:val="auto"/>
        </w:rPr>
        <w:t>provisions of this Agreement in connection with such performance.</w:t>
      </w:r>
    </w:p>
    <w:p>
      <w:pPr>
        <w:spacing w:after="0" w:line="238" w:lineRule="auto"/>
        <w:rPr>
          <w:sz w:val="20"/>
          <w:szCs w:val="20"/>
          <w:color w:val="auto"/>
        </w:rPr>
      </w:pPr>
      <w:r>
        <w:rPr>
          <w:rFonts w:ascii="Times New Roman" w:cs="Times New Roman" w:eastAsia="Times New Roman" w:hAnsi="Times New Roman"/>
          <w:sz w:val="14"/>
          <w:szCs w:val="14"/>
          <w:b w:val="1"/>
          <w:bCs w:val="1"/>
          <w:color w:val="auto"/>
        </w:rPr>
        <w:t>16.14.  Binding Effect; No Third Party Beneficiaries</w:t>
      </w:r>
      <w:r>
        <w:rPr>
          <w:rFonts w:ascii="Times New Roman" w:cs="Times New Roman" w:eastAsia="Times New Roman" w:hAnsi="Times New Roman"/>
          <w:sz w:val="14"/>
          <w:szCs w:val="14"/>
          <w:color w:val="auto"/>
        </w:rPr>
        <w:t>. As of the Effective Date, this Agreement will be binding upon and inure to the benefit of the Parties and their respective</w:t>
      </w:r>
    </w:p>
    <w:p>
      <w:pPr>
        <w:ind w:left="520"/>
        <w:spacing w:after="0" w:line="200" w:lineRule="auto"/>
        <w:rPr>
          <w:sz w:val="20"/>
          <w:szCs w:val="20"/>
          <w:color w:val="auto"/>
        </w:rPr>
      </w:pPr>
      <w:r>
        <w:rPr>
          <w:rFonts w:ascii="Times New Roman" w:cs="Times New Roman" w:eastAsia="Times New Roman" w:hAnsi="Times New Roman"/>
          <w:sz w:val="16"/>
          <w:szCs w:val="16"/>
          <w:color w:val="auto"/>
        </w:rPr>
        <w:t>permitted successors and permitted assigns. Except as expressly set forth in this Agreement, no Person other than the Parties and their respective Affiliates and permitted assignees hereunder will be deemed an intended beneficiary hereunder or have any right to enforce any obligation of this Agreement.</w:t>
      </w:r>
    </w:p>
    <w:p>
      <w:pPr>
        <w:spacing w:after="0"/>
        <w:rPr>
          <w:sz w:val="20"/>
          <w:szCs w:val="20"/>
          <w:color w:val="auto"/>
        </w:rPr>
      </w:pPr>
      <w:r>
        <w:rPr>
          <w:rFonts w:ascii="Times New Roman" w:cs="Times New Roman" w:eastAsia="Times New Roman" w:hAnsi="Times New Roman"/>
          <w:sz w:val="14"/>
          <w:szCs w:val="14"/>
          <w:b w:val="1"/>
          <w:bCs w:val="1"/>
          <w:color w:val="auto"/>
        </w:rPr>
        <w:t>16.15.  Expenses</w:t>
      </w:r>
      <w:r>
        <w:rPr>
          <w:rFonts w:ascii="Times New Roman" w:cs="Times New Roman" w:eastAsia="Times New Roman" w:hAnsi="Times New Roman"/>
          <w:sz w:val="14"/>
          <w:szCs w:val="14"/>
          <w:color w:val="auto"/>
        </w:rPr>
        <w:t>. Except as otherwise provided herein, all fees, costs, and expenses (including any legal, accounting and banking fees) incurred in connection with the preparation,</w:t>
      </w:r>
    </w:p>
    <w:p>
      <w:pPr>
        <w:ind w:left="520"/>
        <w:spacing w:after="0" w:line="200" w:lineRule="auto"/>
        <w:rPr>
          <w:sz w:val="20"/>
          <w:szCs w:val="20"/>
          <w:color w:val="auto"/>
        </w:rPr>
      </w:pPr>
      <w:r>
        <w:rPr>
          <w:rFonts w:ascii="Times New Roman" w:cs="Times New Roman" w:eastAsia="Times New Roman" w:hAnsi="Times New Roman"/>
          <w:sz w:val="16"/>
          <w:szCs w:val="16"/>
          <w:color w:val="auto"/>
        </w:rPr>
        <w:t>negotiation, execution and delivery of this Agreement and to consummate the transactions contemplated hereby will be paid by the Party hereto incurring such fees, costs, and expenses.</w:t>
      </w:r>
    </w:p>
    <w:p>
      <w:pPr>
        <w:spacing w:after="0"/>
        <w:rPr>
          <w:sz w:val="20"/>
          <w:szCs w:val="20"/>
          <w:color w:val="auto"/>
        </w:rPr>
      </w:pPr>
      <w:r>
        <w:rPr>
          <w:rFonts w:ascii="Times New Roman" w:cs="Times New Roman" w:eastAsia="Times New Roman" w:hAnsi="Times New Roman"/>
          <w:sz w:val="14"/>
          <w:szCs w:val="14"/>
          <w:b w:val="1"/>
          <w:bCs w:val="1"/>
          <w:color w:val="auto"/>
        </w:rPr>
        <w:t>16.16.  Counterparts</w:t>
      </w:r>
      <w:r>
        <w:rPr>
          <w:rFonts w:ascii="Times New Roman" w:cs="Times New Roman" w:eastAsia="Times New Roman" w:hAnsi="Times New Roman"/>
          <w:sz w:val="14"/>
          <w:szCs w:val="14"/>
          <w:color w:val="auto"/>
        </w:rPr>
        <w:t>. This Agreement may be executed in two or more counterparts, each of which will be deemed an original, but all of which together will constitute one and the</w:t>
      </w:r>
    </w:p>
    <w:p>
      <w:pPr>
        <w:ind w:left="520"/>
        <w:spacing w:after="0" w:line="207" w:lineRule="auto"/>
        <w:rPr>
          <w:sz w:val="20"/>
          <w:szCs w:val="20"/>
          <w:color w:val="auto"/>
        </w:rPr>
      </w:pPr>
      <w:r>
        <w:rPr>
          <w:rFonts w:ascii="Times New Roman" w:cs="Times New Roman" w:eastAsia="Times New Roman" w:hAnsi="Times New Roman"/>
          <w:sz w:val="16"/>
          <w:szCs w:val="16"/>
          <w:color w:val="auto"/>
        </w:rPr>
        <w:t>same instrument. This Agreement may be executed by facsimile, .pdf, or other electronically transmitted signatures and such signatures will be deemed to bind each Party as if they were the original signatures.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REMAINDER OF THIS PAGE HAS BEEN LEFT INTENTIONALLY BLANK]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1280"/>
          </w:cols>
          <w:pgMar w:left="300" w:top="123" w:right="319" w:bottom="1440" w:gutter="0" w:footer="0" w:header="0"/>
        </w:sectPr>
      </w:pPr>
    </w:p>
    <w:bookmarkStart w:id="212" w:name="page213"/>
    <w:bookmarkEnd w:id="212"/>
    <w:p>
      <w:pPr>
        <w:spacing w:after="0" w:line="276" w:lineRule="auto"/>
        <w:rPr>
          <w:sz w:val="20"/>
          <w:szCs w:val="20"/>
          <w:color w:val="auto"/>
        </w:rPr>
      </w:pPr>
      <w:r>
        <w:rPr>
          <w:rFonts w:ascii="Times New Roman" w:cs="Times New Roman" w:eastAsia="Times New Roman" w:hAnsi="Times New Roman"/>
          <w:sz w:val="17"/>
          <w:szCs w:val="17"/>
          <w:color w:val="auto"/>
        </w:rPr>
        <w:t>IN WITNESS WHEREOF, the Parties have caused this Exclusive License and Collaboration Agreement to be executed by their duly authorized representatives as of the Execution Date.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ARROWHEAD PHARMACEUTICALS, INC.</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-10160</wp:posOffset>
            </wp:positionV>
            <wp:extent cx="990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5">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-10160</wp:posOffset>
            </wp:positionV>
            <wp:extent cx="990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6">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-10160</wp:posOffset>
            </wp:positionV>
            <wp:extent cx="990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7">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1280"/>
          </w:cols>
          <w:pgMar w:left="300" w:top="1318" w:right="319" w:bottom="1440" w:gutter="0" w:footer="0" w:header="0"/>
        </w:sectPr>
      </w:pPr>
    </w:p>
    <w:bookmarkStart w:id="213" w:name="page214"/>
    <w:bookmarkEnd w:id="213"/>
    <w:p>
      <w:pPr>
        <w:spacing w:after="0" w:line="276" w:lineRule="auto"/>
        <w:rPr>
          <w:sz w:val="20"/>
          <w:szCs w:val="20"/>
          <w:color w:val="auto"/>
        </w:rPr>
      </w:pPr>
      <w:r>
        <w:rPr>
          <w:rFonts w:ascii="Times New Roman" w:cs="Times New Roman" w:eastAsia="Times New Roman" w:hAnsi="Times New Roman"/>
          <w:sz w:val="17"/>
          <w:szCs w:val="17"/>
          <w:color w:val="auto"/>
        </w:rPr>
        <w:t>IN WITNESS WHEREOF, the Parties have caused this Exclusive License and Collaboration Agreement to be executed by their duly authorized representatives as of the Execution Date.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NOVARTIS PHARMA AG</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-10160</wp:posOffset>
            </wp:positionV>
            <wp:extent cx="990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8">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u w:val="single" w:color="auto"/>
          <w:color w:val="auto"/>
        </w:rPr>
        <w:t>Guillaume Vignon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6"/>
          <w:szCs w:val="16"/>
          <w:u w:val="single" w:color="auto"/>
          <w:color w:val="auto"/>
        </w:rPr>
        <w:t>Global Head BD&amp;L Transactions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NOVARTIS PHARMA AG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-10160</wp:posOffset>
            </wp:positionV>
            <wp:extent cx="990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9">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u w:val="single" w:color="auto"/>
          <w:color w:val="auto"/>
        </w:rPr>
        <w:t>Ian James Hiscock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6"/>
          <w:szCs w:val="16"/>
          <w:u w:val="single" w:color="auto"/>
          <w:color w:val="auto"/>
        </w:rPr>
        <w:t>Global Head IP Transactions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1280"/>
          </w:cols>
          <w:pgMar w:left="300" w:top="1318" w:right="319" w:bottom="1440" w:gutter="0" w:footer="0" w:header="0"/>
        </w:sectPr>
      </w:pPr>
    </w:p>
    <w:bookmarkStart w:id="214" w:name="page215"/>
    <w:bookmarkEnd w:id="21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Arrowhead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56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4"/>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r>
        <w:trPr>
          <w:trHeight w:val="20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Arrowhead Madison Inc.</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39"/>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0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Arrowhead Australia Pty Ltd</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Australia</w:t>
            </w:r>
          </w:p>
        </w:tc>
      </w:tr>
      <w:tr>
        <w:trPr>
          <w:trHeight w:val="39"/>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0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Arrowhead Pharmaceuticals NZ Limited</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New Zealand</w:t>
            </w:r>
          </w:p>
        </w:tc>
      </w:tr>
      <w:tr>
        <w:trPr>
          <w:trHeight w:val="39"/>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0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Arrowhead Pharmaceuticals Ireland Limited</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 – EU</w:t>
            </w:r>
          </w:p>
        </w:tc>
      </w:tr>
      <w:tr>
        <w:trPr>
          <w:trHeight w:val="39"/>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r>
        <w:trPr>
          <w:trHeight w:val="206"/>
        </w:trPr>
        <w:tc>
          <w:tcPr>
            <w:tcW w:w="56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Visirna Therapeutics, Inc.</w:t>
            </w:r>
          </w:p>
        </w:tc>
        <w:tc>
          <w:tcPr>
            <w:tcW w:w="56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39"/>
        </w:trPr>
        <w:tc>
          <w:tcPr>
            <w:tcW w:w="5660" w:type="dxa"/>
            <w:vAlign w:val="bottom"/>
            <w:tcBorders>
              <w:left w:val="single" w:sz="8" w:color="auto"/>
              <w:bottom w:val="single" w:sz="8" w:color="auto"/>
              <w:right w:val="single" w:sz="8" w:color="auto"/>
            </w:tcBorders>
          </w:tcPr>
          <w:p>
            <w:pPr>
              <w:spacing w:after="0"/>
              <w:rPr>
                <w:sz w:val="3"/>
                <w:szCs w:val="3"/>
                <w:color w:val="auto"/>
              </w:rPr>
            </w:pPr>
          </w:p>
        </w:tc>
        <w:tc>
          <w:tcPr>
            <w:tcW w:w="56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300"/>
          </w:cols>
          <w:pgMar w:left="300" w:top="125" w:right="299" w:bottom="1440" w:gutter="0" w:footer="0" w:header="0"/>
        </w:sectPr>
      </w:pPr>
    </w:p>
    <w:bookmarkStart w:id="215" w:name="page216"/>
    <w:bookmarkEnd w:id="215"/>
    <w:p>
      <w:pPr>
        <w:spacing w:after="0" w:line="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333-164039 and 333-161344 ) on Form S-1 and in registration statements (Nos. 333-235324, 333-268665, 333-228598, 333-214315, 333-214311, 333-213484, 333-202737, 333-191922, 333-188718, 333-178532, 333-178073, 333-178072, 333-144109, 333-137329, 333-132310, 333-124065, and 333-113065) on Form S-3 and in registration statements (Nos. 333-277477, 333-270779, 333-261847, 333-256255, 333-238616, 333-230621, 333-223836, 333-210117, 333-202741, 333-198920, 333-194596, 333-190970, 333-180692, 333-170252, 333-136225, 333-124066, and 333-120072) on Form S-8 of our reports dated November 25, 2025, with respect to the consolidated financial statements of Arrowhead Pharmaceuticals Inc. and the effectiveness of internal control over financial reporting.</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Diego, California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25, 2025</w:t>
      </w:r>
    </w:p>
    <w:p>
      <w:pPr>
        <w:sectPr>
          <w:pgSz w:w="11900" w:h="16838" w:orient="portrait"/>
          <w:cols w:equalWidth="0" w:num="1">
            <w:col w:w="11280"/>
          </w:cols>
          <w:pgMar w:left="300" w:top="1440" w:right="319" w:bottom="1440"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Anzalone, Chief Executive Officer of Arrowhead Pharmaceuticals, Inc., certify that:</w:t>
      </w:r>
    </w:p>
    <w:p>
      <w:pPr>
        <w:spacing w:after="0" w:line="94" w:lineRule="exact"/>
        <w:rPr>
          <w:sz w:val="20"/>
          <w:szCs w:val="20"/>
          <w:color w:val="auto"/>
        </w:rPr>
      </w:pPr>
    </w:p>
    <w:p>
      <w:pPr>
        <w:ind w:left="520" w:hanging="133"/>
        <w:spacing w:after="0"/>
        <w:tabs>
          <w:tab w:leader="none" w:pos="52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Arrowhead Pharmaceuticals, Inc.;</w:t>
      </w:r>
    </w:p>
    <w:p>
      <w:pPr>
        <w:spacing w:after="0" w:line="93" w:lineRule="exact"/>
        <w:rPr>
          <w:rFonts w:ascii="Times New Roman" w:cs="Times New Roman" w:eastAsia="Times New Roman" w:hAnsi="Times New Roman"/>
          <w:sz w:val="14"/>
          <w:szCs w:val="14"/>
          <w:color w:val="auto"/>
        </w:rPr>
      </w:pPr>
    </w:p>
    <w:p>
      <w:pPr>
        <w:ind w:firstLine="387"/>
        <w:spacing w:after="0" w:line="287" w:lineRule="auto"/>
        <w:tabs>
          <w:tab w:leader="none" w:pos="545"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0"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2"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5"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11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85"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2"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7"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9"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100" w:hanging="204"/>
        <w:spacing w:after="0"/>
        <w:tabs>
          <w:tab w:leader="none" w:pos="110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25, 2025</w:t>
      </w:r>
    </w:p>
    <w:p>
      <w:pPr>
        <w:spacing w:after="0" w:line="26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28575</wp:posOffset>
            </wp:positionV>
            <wp:extent cx="35775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4">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Christopher Anzalone</w:t>
      </w:r>
    </w:p>
    <w:p>
      <w:pPr>
        <w:spacing w:after="0" w:line="5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759" w:right="3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Apel, Chief Financial Officer of Arrowhead Pharmaceuticals, Inc., certify that:</w:t>
      </w:r>
    </w:p>
    <w:p>
      <w:pPr>
        <w:spacing w:after="0" w:line="94" w:lineRule="exact"/>
        <w:rPr>
          <w:sz w:val="20"/>
          <w:szCs w:val="20"/>
          <w:color w:val="auto"/>
        </w:rPr>
      </w:pPr>
    </w:p>
    <w:p>
      <w:pPr>
        <w:ind w:left="520" w:hanging="133"/>
        <w:spacing w:after="0"/>
        <w:tabs>
          <w:tab w:leader="none" w:pos="5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Arrowhead Pharmaceuticals, Inc.;</w:t>
      </w:r>
    </w:p>
    <w:p>
      <w:pPr>
        <w:spacing w:after="0" w:line="93" w:lineRule="exact"/>
        <w:rPr>
          <w:rFonts w:ascii="Times New Roman" w:cs="Times New Roman" w:eastAsia="Times New Roman" w:hAnsi="Times New Roman"/>
          <w:sz w:val="14"/>
          <w:szCs w:val="14"/>
          <w:color w:val="auto"/>
        </w:rPr>
      </w:pPr>
    </w:p>
    <w:p>
      <w:pPr>
        <w:ind w:firstLine="387"/>
        <w:spacing w:after="0" w:line="287" w:lineRule="auto"/>
        <w:tabs>
          <w:tab w:leader="none" w:pos="545"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2"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5"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11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85"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2"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firstLine="387"/>
        <w:spacing w:after="0" w:line="287" w:lineRule="auto"/>
        <w:tabs>
          <w:tab w:leader="none" w:pos="537"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380" w:firstLine="516"/>
        <w:spacing w:after="0" w:line="287" w:lineRule="auto"/>
        <w:tabs>
          <w:tab w:leader="none" w:pos="1099"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100" w:hanging="204"/>
        <w:spacing w:after="0"/>
        <w:tabs>
          <w:tab w:leader="none" w:pos="110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25, 2025</w:t>
      </w:r>
    </w:p>
    <w:p>
      <w:pPr>
        <w:spacing w:after="0" w:line="25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/s/ Daniel 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5">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Daniel Apel</w:t>
      </w:r>
    </w:p>
    <w:p>
      <w:pPr>
        <w:spacing w:after="0" w:line="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280"/>
          </w:cols>
          <w:pgMar w:left="300" w:top="759"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18 U.S.C. SECTION 1350</w:t>
      </w:r>
    </w:p>
    <w:p>
      <w:pPr>
        <w:spacing w:after="0" w:line="1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2025,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25, 2025</w:t>
      </w:r>
    </w:p>
    <w:p>
      <w:pPr>
        <w:spacing w:after="0" w:line="26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color w:val="auto"/>
        </w:rPr>
        <w:t>/s/Christopher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28575</wp:posOffset>
            </wp:positionV>
            <wp:extent cx="357759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6">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Christopher Anzalone</w:t>
      </w:r>
    </w:p>
    <w:p>
      <w:pPr>
        <w:spacing w:after="0" w:line="5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7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80"/>
          </w:cols>
          <w:pgMar w:left="300" w:top="759"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18 U.S.C. SECTION 1350</w:t>
      </w:r>
    </w:p>
    <w:p>
      <w:pPr>
        <w:spacing w:after="0" w:line="16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I, Daniel Apel, Chief Financial Officer of Arrowhead Pharmaceuticals, Inc. (the “Company”), certify, pursuant to Rule 13(a)-14(b) or Rule 15(d)-14(b) of the Securities Exchange Act of 1934 and 18 U.S.C. Section 1350, that (i) the Annual Report on Form 10-K of the Company for the year ended September 30, 2025,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25, 2025</w:t>
      </w:r>
    </w:p>
    <w:p>
      <w:pPr>
        <w:spacing w:after="0" w:line="25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color w:val="auto"/>
        </w:rPr>
        <w:t>/s/ Daniel 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Daniel Apel</w:t>
      </w:r>
    </w:p>
    <w:p>
      <w:pPr>
        <w:spacing w:after="0" w:line="2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4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88F1A34"/>
    <w:multiLevelType w:val="hybridMultilevel"/>
    <w:lvl w:ilvl="0">
      <w:lvlJc w:val="left"/>
      <w:lvlText w:val="x"/>
      <w:numFmt w:val="bullet"/>
      <w:start w:val="1"/>
    </w:lvl>
  </w:abstractNum>
  <w:abstractNum w:abstractNumId="1">
    <w:nsid w:val="2A155DBC"/>
    <w:multiLevelType w:val="hybridMultilevel"/>
    <w:lvl w:ilvl="0">
      <w:lvlJc w:val="left"/>
      <w:lvlText w:val="o"/>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1)"/>
      <w:numFmt w:val="decimal"/>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1)"/>
      <w:numFmt w:val="decimal"/>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1."/>
      <w:numFmt w:val="upperLetter"/>
      <w:start w:val="5"/>
    </w:lvl>
    <w:lvl w:ilvl="1">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1)"/>
      <w:numFmt w:val="decimal"/>
      <w:start w:val="2"/>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1)"/>
      <w:numFmt w:val="lowerRoman"/>
      <w:start w:val="2"/>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
      <w:numFmt w:val="bullet"/>
      <w:start w:val="1"/>
    </w:lvl>
  </w:abstractNum>
  <w:abstractNum w:abstractNumId="34">
    <w:nsid w:val="5915FF32"/>
    <w:multiLevelType w:val="hybridMultilevel"/>
    <w:lvl w:ilvl="0">
      <w:lvlJc w:val="left"/>
      <w:lvlText w:val="•"/>
      <w:numFmt w:val="bullet"/>
      <w:start w:val="1"/>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
      <w:numFmt w:val="bullet"/>
      <w:start w:val="1"/>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1)"/>
      <w:numFmt w:val="lowerRoman"/>
      <w:start w:val="1"/>
    </w:lvl>
  </w:abstractNum>
  <w:abstractNum w:abstractNumId="48">
    <w:nsid w:val="20EE1348"/>
    <w:multiLevelType w:val="hybridMultilevel"/>
    <w:lvl w:ilvl="0">
      <w:lvlJc w:val="left"/>
      <w:lvlText w:val="(%1)"/>
      <w:numFmt w:val="decimal"/>
      <w:start w:val="1"/>
    </w:lvl>
  </w:abstractNum>
  <w:abstractNum w:abstractNumId="49">
    <w:nsid w:val="4427069A"/>
    <w:multiLevelType w:val="hybridMultilevel"/>
    <w:lvl w:ilvl="0">
      <w:lvlJc w:val="left"/>
      <w:lvlText w:val="(%1)"/>
      <w:numFmt w:val="decimal"/>
      <w:start w:val="3"/>
    </w:lvl>
  </w:abstractNum>
  <w:abstractNum w:abstractNumId="50">
    <w:nsid w:val="B37E80A"/>
    <w:multiLevelType w:val="hybridMultilevel"/>
    <w:lvl w:ilvl="0">
      <w:lvlJc w:val="left"/>
      <w:lvlText w:val="**"/>
      <w:numFmt w:val="bullet"/>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endash "/>
      <w:numFmt w:val="bullet"/>
      <w:start w:val="1"/>
    </w:lvl>
  </w:abstractNum>
  <w:abstractNum w:abstractNumId="54">
    <w:nsid w:val="BFFAE18"/>
    <w:multiLevelType w:val="hybridMultilevel"/>
    <w:lvl w:ilvl="0">
      <w:lvlJc w:val="left"/>
      <w:lvlText w:val="(%1)"/>
      <w:numFmt w:val="decimal"/>
      <w:start w:val="1"/>
    </w:lvl>
  </w:abstractNum>
  <w:abstractNum w:abstractNumId="55">
    <w:nsid w:val="E3E47A8"/>
    <w:multiLevelType w:val="hybridMultilevel"/>
    <w:lvl w:ilvl="0">
      <w:lvlJc w:val="left"/>
      <w:lvlText w:val="(%1)"/>
      <w:numFmt w:val="decimal"/>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1."/>
      <w:numFmt w:val="decimal"/>
      <w:start w:val="5"/>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1."/>
      <w:numFmt w:val="decimal"/>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
      <w:numFmt w:val="bullet"/>
      <w:start w:val="1"/>
    </w:lvl>
  </w:abstractNum>
  <w:abstractNum w:abstractNumId="63">
    <w:nsid w:val="2A31B62D"/>
    <w:multiLevelType w:val="hybridMultilevel"/>
    <w:lvl w:ilvl="0">
      <w:lvlJc w:val="left"/>
      <w:lvlText w:val="(%1)"/>
      <w:numFmt w:val="upperLetter"/>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1)"/>
      <w:numFmt w:val="lowerLetter"/>
      <w:start w:val="2"/>
    </w:lvl>
  </w:abstractNum>
  <w:abstractNum w:abstractNumId="66">
    <w:nsid w:val="754342"/>
    <w:multiLevelType w:val="hybridMultilevel"/>
    <w:lvl w:ilvl="0">
      <w:lvlJc w:val="left"/>
      <w:lvlText w:val="[***]"/>
      <w:numFmt w:val="bullet"/>
      <w:start w:val="1"/>
    </w:lvl>
  </w:abstractNum>
  <w:abstractNum w:abstractNumId="67">
    <w:nsid w:val="69E7F3E5"/>
    <w:multiLevelType w:val="hybridMultilevel"/>
    <w:lvl w:ilvl="0">
      <w:lvlJc w:val="left"/>
      <w:lvlText w:val="[***]"/>
      <w:numFmt w:val="bullet"/>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
      <w:numFmt w:val="bullet"/>
      <w:start w:val="1"/>
    </w:lvl>
  </w:abstractNum>
  <w:abstractNum w:abstractNumId="70">
    <w:nsid w:val="37DF2233"/>
    <w:multiLevelType w:val="hybridMultilevel"/>
    <w:lvl w:ilvl="0">
      <w:lvlJc w:val="left"/>
      <w:lvlText w:val="[***]"/>
      <w:numFmt w:val="bullet"/>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
      <w:numFmt w:val="bullet"/>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
      <w:numFmt w:val="bullet"/>
      <w:start w:val="1"/>
    </w:lvl>
  </w:abstractNum>
  <w:abstractNum w:abstractNumId="79">
    <w:nsid w:val="78B5E776"/>
    <w:multiLevelType w:val="hybridMultilevel"/>
    <w:lvl w:ilvl="0">
      <w:lvlJc w:val="left"/>
      <w:lvlText w:val="[***]"/>
      <w:numFmt w:val="bullet"/>
      <w:start w:val="1"/>
    </w:lvl>
  </w:abstractNum>
  <w:abstractNum w:abstractNumId="80">
    <w:nsid w:val="75486E47"/>
    <w:multiLevelType w:val="hybridMultilevel"/>
    <w:lvl w:ilvl="0">
      <w:lvlJc w:val="left"/>
      <w:lvlText w:val="(%1)"/>
      <w:numFmt w:val="lowerLetter"/>
      <w:start w:val="2"/>
    </w:lvl>
  </w:abstractNum>
  <w:abstractNum w:abstractNumId="81">
    <w:nsid w:val="6E534CDE"/>
    <w:multiLevelType w:val="hybridMultilevel"/>
    <w:lvl w:ilvl="0">
      <w:lvlJc w:val="left"/>
      <w:lvlText w:val="[***]"/>
      <w:numFmt w:val="bullet"/>
      <w:start w:val="1"/>
    </w:lvl>
  </w:abstractNum>
  <w:abstractNum w:abstractNumId="82">
    <w:nsid w:val="1A0DDE32"/>
    <w:multiLevelType w:val="hybridMultilevel"/>
    <w:lvl w:ilvl="0">
      <w:lvlJc w:val="left"/>
      <w:lvlText w:val="[***]"/>
      <w:numFmt w:val="bullet"/>
      <w:start w:val="1"/>
    </w:lvl>
  </w:abstractNum>
  <w:abstractNum w:abstractNumId="83">
    <w:nsid w:val="65968C1C"/>
    <w:multiLevelType w:val="hybridMultilevel"/>
    <w:lvl w:ilvl="0">
      <w:lvlJc w:val="left"/>
      <w:lvlText w:val="[***]"/>
      <w:numFmt w:val="bullet"/>
      <w:start w:val="1"/>
    </w:lvl>
  </w:abstractNum>
  <w:abstractNum w:abstractNumId="84">
    <w:nsid w:val="46263DEC"/>
    <w:multiLevelType w:val="hybridMultilevel"/>
    <w:lvl w:ilvl="0">
      <w:lvlJc w:val="left"/>
      <w:lvlText w:val="[***]"/>
      <w:numFmt w:val="bullet"/>
      <w:start w:val="1"/>
    </w:lvl>
  </w:abstractNum>
  <w:abstractNum w:abstractNumId="85">
    <w:nsid w:val="260D8C4A"/>
    <w:multiLevelType w:val="hybridMultilevel"/>
    <w:lvl w:ilvl="0">
      <w:lvlJc w:val="left"/>
      <w:lvlText w:val="[***]"/>
      <w:numFmt w:val="bullet"/>
      <w:start w:val="1"/>
    </w:lvl>
  </w:abstractNum>
  <w:abstractNum w:abstractNumId="86">
    <w:nsid w:val="73D4D3C4"/>
    <w:multiLevelType w:val="hybridMultilevel"/>
    <w:lvl w:ilvl="0">
      <w:lvlJc w:val="left"/>
      <w:lvlText w:val="[***]"/>
      <w:numFmt w:val="bullet"/>
      <w:start w:val="1"/>
    </w:lvl>
  </w:abstractNum>
  <w:abstractNum w:abstractNumId="87">
    <w:nsid w:val="746F2E30"/>
    <w:multiLevelType w:val="hybridMultilevel"/>
    <w:lvl w:ilvl="0">
      <w:lvlJc w:val="left"/>
      <w:lvlText w:val="(%1)"/>
      <w:numFmt w:val="lowerRoman"/>
      <w:start w:val="1"/>
    </w:lvl>
  </w:abstractNum>
  <w:abstractNum w:abstractNumId="88">
    <w:nsid w:val="6FDE8AF6"/>
    <w:multiLevelType w:val="hybridMultilevel"/>
    <w:lvl w:ilvl="0">
      <w:lvlJc w:val="left"/>
      <w:lvlText w:val="%1."/>
      <w:numFmt w:val="decimal"/>
      <w:start w:val="2"/>
    </w:lvl>
  </w:abstractNum>
  <w:abstractNum w:abstractNumId="89">
    <w:nsid w:val="3FC32E20"/>
    <w:multiLevelType w:val="hybridMultilevel"/>
    <w:lvl w:ilvl="0">
      <w:lvlJc w:val="left"/>
      <w:lvlText w:val="(%1)"/>
      <w:numFmt w:val="lowerLetter"/>
      <w:start w:val="1"/>
    </w:lvl>
  </w:abstractNum>
  <w:abstractNum w:abstractNumId="90">
    <w:nsid w:val="49C0E823"/>
    <w:multiLevelType w:val="hybridMultilevel"/>
    <w:lvl w:ilvl="0">
      <w:lvlJc w:val="left"/>
      <w:lvlText w:val="[***]"/>
      <w:numFmt w:val="bullet"/>
      <w:start w:val="1"/>
    </w:lvl>
  </w:abstractNum>
  <w:abstractNum w:abstractNumId="91">
    <w:nsid w:val="14D53685"/>
    <w:multiLevelType w:val="hybridMultilevel"/>
    <w:lvl w:ilvl="0">
      <w:lvlJc w:val="left"/>
      <w:lvlText w:val="(%1)"/>
      <w:numFmt w:val="lowerLetter"/>
      <w:start w:val="3"/>
    </w:lvl>
  </w:abstractNum>
  <w:abstractNum w:abstractNumId="92">
    <w:nsid w:val="230F856C"/>
    <w:multiLevelType w:val="hybridMultilevel"/>
    <w:lvl w:ilvl="0">
      <w:lvlJc w:val="left"/>
      <w:lvlText w:val="(%1)"/>
      <w:numFmt w:val="lowerLetter"/>
      <w:start w:val="2"/>
    </w:lvl>
  </w:abstractNum>
  <w:abstractNum w:abstractNumId="93">
    <w:nsid w:val="6EAA85FB"/>
    <w:multiLevelType w:val="hybridMultilevel"/>
    <w:lvl w:ilvl="0">
      <w:lvlJc w:val="left"/>
      <w:lvlText w:val="[***]"/>
      <w:numFmt w:val="bullet"/>
      <w:start w:val="1"/>
    </w:lvl>
  </w:abstractNum>
  <w:abstractNum w:abstractNumId="94">
    <w:nsid w:val="3F06ECB2"/>
    <w:multiLevelType w:val="hybridMultilevel"/>
    <w:lvl w:ilvl="0">
      <w:lvlJc w:val="left"/>
      <w:lvlText w:val="(%1)"/>
      <w:numFmt w:val="lowerLetter"/>
      <w:start w:val="1"/>
    </w:lvl>
  </w:abstractNum>
  <w:abstractNum w:abstractNumId="95">
    <w:nsid w:val="3B594807"/>
    <w:multiLevelType w:val="hybridMultilevel"/>
    <w:lvl w:ilvl="0">
      <w:lvlJc w:val="left"/>
      <w:lvlText w:val="(%1)"/>
      <w:numFmt w:val="lowerLetter"/>
      <w:start w:val="1"/>
    </w:lvl>
    <w:lvl w:ilvl="1">
      <w:lvlJc w:val="left"/>
      <w:lvlText w:val="(%2)"/>
      <w:numFmt w:val="lowerRoman"/>
      <w:start w:val="1"/>
    </w:lvl>
  </w:abstractNum>
  <w:abstractNum w:abstractNumId="96">
    <w:nsid w:val="6CAA2304"/>
    <w:multiLevelType w:val="hybridMultilevel"/>
    <w:lvl w:ilvl="0">
      <w:lvlJc w:val="left"/>
      <w:lvlText w:val="[***]"/>
      <w:numFmt w:val="bullet"/>
      <w:start w:val="1"/>
    </w:lvl>
  </w:abstractNum>
  <w:abstractNum w:abstractNumId="97">
    <w:nsid w:val="3F7C2FF4"/>
    <w:multiLevelType w:val="hybridMultilevel"/>
    <w:lvl w:ilvl="0">
      <w:lvlJc w:val="left"/>
      <w:lvlText w:val="(%1)"/>
      <w:numFmt w:val="lowerRoman"/>
      <w:start w:val="2"/>
    </w:lvl>
  </w:abstractNum>
  <w:abstractNum w:abstractNumId="98">
    <w:nsid w:val="25413BEC"/>
    <w:multiLevelType w:val="hybridMultilevel"/>
    <w:lvl w:ilvl="0">
      <w:lvlJc w:val="left"/>
      <w:lvlText w:val="[***]"/>
      <w:numFmt w:val="bullet"/>
      <w:start w:val="1"/>
    </w:lvl>
  </w:abstractNum>
  <w:abstractNum w:abstractNumId="99">
    <w:nsid w:val="17180B0B"/>
    <w:multiLevelType w:val="hybridMultilevel"/>
    <w:lvl w:ilvl="0">
      <w:lvlJc w:val="left"/>
      <w:lvlText w:val="(%1)"/>
      <w:numFmt w:val="lowerRoman"/>
      <w:start w:val="4"/>
    </w:lvl>
  </w:abstractNum>
  <w:abstractNum w:abstractNumId="100">
    <w:nsid w:val="579328B9"/>
    <w:multiLevelType w:val="hybridMultilevel"/>
    <w:lvl w:ilvl="0">
      <w:lvlJc w:val="left"/>
      <w:lvlText w:val="(%1)"/>
      <w:numFmt w:val="lowerLetter"/>
      <w:start w:val="1"/>
    </w:lvl>
  </w:abstractNum>
  <w:abstractNum w:abstractNumId="101">
    <w:nsid w:val="5D205E20"/>
    <w:multiLevelType w:val="hybridMultilevel"/>
    <w:lvl w:ilvl="0">
      <w:lvlJc w:val="left"/>
      <w:lvlText w:val="[***]"/>
      <w:numFmt w:val="bullet"/>
      <w:start w:val="1"/>
    </w:lvl>
  </w:abstractNum>
  <w:abstractNum w:abstractNumId="102">
    <w:nsid w:val="11CCA8BA"/>
    <w:multiLevelType w:val="hybridMultilevel"/>
    <w:lvl w:ilvl="0">
      <w:lvlJc w:val="left"/>
      <w:lvlText w:val="(%1)"/>
      <w:numFmt w:val="lowerLetter"/>
      <w:start w:val="1"/>
    </w:lvl>
  </w:abstractNum>
  <w:abstractNum w:abstractNumId="103">
    <w:nsid w:val="4D32AB86"/>
    <w:multiLevelType w:val="hybridMultilevel"/>
    <w:lvl w:ilvl="0">
      <w:lvlJc w:val="left"/>
      <w:lvlText w:val="%1."/>
      <w:numFmt w:val="decimal"/>
      <w:start w:val="3"/>
    </w:lvl>
  </w:abstractNum>
  <w:abstractNum w:abstractNumId="104">
    <w:nsid w:val="3F07ACC3"/>
    <w:multiLevelType w:val="hybridMultilevel"/>
    <w:lvl w:ilvl="0">
      <w:lvlJc w:val="left"/>
      <w:lvlText w:val="(%1)"/>
      <w:numFmt w:val="lowerLetter"/>
      <w:start w:val="1"/>
    </w:lvl>
  </w:abstractNum>
  <w:abstractNum w:abstractNumId="105">
    <w:nsid w:val="6B47F63E"/>
    <w:multiLevelType w:val="hybridMultilevel"/>
    <w:lvl w:ilvl="0">
      <w:lvlJc w:val="left"/>
      <w:lvlText w:val="[***]"/>
      <w:numFmt w:val="bullet"/>
      <w:start w:val="1"/>
    </w:lvl>
  </w:abstractNum>
  <w:abstractNum w:abstractNumId="106">
    <w:nsid w:val="5CB44A05"/>
    <w:multiLevelType w:val="hybridMultilevel"/>
    <w:lvl w:ilvl="0">
      <w:lvlJc w:val="left"/>
      <w:lvlText w:val="(%1)"/>
      <w:numFmt w:val="lowerLetter"/>
      <w:start w:val="2"/>
    </w:lvl>
  </w:abstractNum>
  <w:abstractNum w:abstractNumId="107">
    <w:nsid w:val="16CF80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08">
    <w:nsid w:val="1C695DE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09">
    <w:nsid w:val="3FCFAED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10">
    <w:nsid w:val="F856867"/>
    <w:multiLevelType w:val="hybridMultilevel"/>
    <w:lvl w:ilvl="0">
      <w:lvlJc w:val="left"/>
      <w:lvlText w:val="[***]"/>
      <w:numFmt w:val="bullet"/>
      <w:start w:val="1"/>
    </w:lvl>
  </w:abstractNum>
  <w:abstractNum w:abstractNumId="111">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12">
    <w:nsid w:val="2E22FBB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3">
    <w:nsid w:val="29934699"/>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14">
    <w:nsid w:val="77485850"/>
    <w:multiLevelType w:val="hybridMultilevel"/>
    <w:lvl w:ilvl="0">
      <w:lvlJc w:val="left"/>
      <w:lvlText w:val="[***]"/>
      <w:numFmt w:val="bullet"/>
      <w:start w:val="1"/>
    </w:lvl>
  </w:abstractNum>
  <w:abstractNum w:abstractNumId="115">
    <w:nsid w:val="744939A3"/>
    <w:multiLevelType w:val="hybridMultilevel"/>
    <w:lvl w:ilvl="0">
      <w:lvlJc w:val="left"/>
      <w:lvlText w:val="(%1)"/>
      <w:numFmt w:val="lowerLetter"/>
      <w:start w:val="5"/>
    </w:lvl>
  </w:abstractNum>
  <w:abstractNum w:abstractNumId="116">
    <w:nsid w:val="4FA0D2E3"/>
    <w:multiLevelType w:val="hybridMultilevel"/>
    <w:lvl w:ilvl="0">
      <w:lvlJc w:val="left"/>
      <w:lvlText w:val="[***]"/>
      <w:numFmt w:val="bullet"/>
      <w:start w:val="1"/>
    </w:lvl>
  </w:abstractNum>
  <w:abstractNum w:abstractNumId="117">
    <w:nsid w:val="6B1D2C14"/>
    <w:multiLevelType w:val="hybridMultilevel"/>
    <w:lvl w:ilvl="0">
      <w:lvlJc w:val="left"/>
      <w:lvlText w:val="(%1)"/>
      <w:numFmt w:val="lowerLetter"/>
      <w:start w:val="1"/>
    </w:lvl>
  </w:abstractNum>
  <w:abstractNum w:abstractNumId="118">
    <w:nsid w:val="68B867D3"/>
    <w:multiLevelType w:val="hybridMultilevel"/>
    <w:lvl w:ilvl="0">
      <w:lvlJc w:val="left"/>
      <w:lvlText w:val="[***]"/>
      <w:numFmt w:val="bullet"/>
      <w:start w:val="1"/>
    </w:lvl>
  </w:abstractNum>
  <w:abstractNum w:abstractNumId="119">
    <w:nsid w:val="3F7F5DD9"/>
    <w:multiLevelType w:val="hybridMultilevel"/>
    <w:lvl w:ilvl="0">
      <w:lvlJc w:val="left"/>
      <w:lvlText w:val="[***]"/>
      <w:numFmt w:val="bullet"/>
      <w:start w:val="1"/>
    </w:lvl>
  </w:abstractNum>
  <w:abstractNum w:abstractNumId="120">
    <w:nsid w:val="2AE05A34"/>
    <w:multiLevelType w:val="hybridMultilevel"/>
    <w:lvl w:ilvl="0">
      <w:lvlJc w:val="left"/>
      <w:lvlText w:val="[***]"/>
      <w:numFmt w:val="bullet"/>
      <w:start w:val="1"/>
    </w:lvl>
  </w:abstractNum>
  <w:abstractNum w:abstractNumId="121">
    <w:nsid w:val="32794FF7"/>
    <w:multiLevelType w:val="hybridMultilevel"/>
    <w:lvl w:ilvl="0">
      <w:lvlJc w:val="left"/>
      <w:lvlText w:val="%1."/>
      <w:numFmt w:val="decimal"/>
      <w:start w:val="4"/>
    </w:lvl>
  </w:abstractNum>
  <w:abstractNum w:abstractNumId="122">
    <w:nsid w:val="5454945E"/>
    <w:multiLevelType w:val="hybridMultilevel"/>
    <w:lvl w:ilvl="0">
      <w:lvlJc w:val="left"/>
      <w:lvlText w:val="[***]"/>
      <w:numFmt w:val="bullet"/>
      <w:start w:val="1"/>
    </w:lvl>
  </w:abstractNum>
  <w:abstractNum w:abstractNumId="123">
    <w:nsid w:val="4DEFDFA0"/>
    <w:multiLevelType w:val="hybridMultilevel"/>
    <w:lvl w:ilvl="0">
      <w:lvlJc w:val="left"/>
      <w:lvlText w:val="%1."/>
      <w:numFmt w:val="decimal"/>
      <w:start w:val="5"/>
    </w:lvl>
  </w:abstractNum>
  <w:abstractNum w:abstractNumId="124">
    <w:nsid w:val="2123D5F2"/>
    <w:multiLevelType w:val="hybridMultilevel"/>
    <w:lvl w:ilvl="0">
      <w:lvlJc w:val="left"/>
      <w:lvlText w:val="[***]"/>
      <w:numFmt w:val="bullet"/>
      <w:start w:val="1"/>
    </w:lvl>
  </w:abstractNum>
  <w:abstractNum w:abstractNumId="125">
    <w:nsid w:val="135B8110"/>
    <w:multiLevelType w:val="hybridMultilevel"/>
    <w:lvl w:ilvl="0">
      <w:lvlJc w:val="left"/>
      <w:lvlText w:val="%1."/>
      <w:numFmt w:val="decimal"/>
      <w:start w:val="6"/>
    </w:lvl>
  </w:abstractNum>
  <w:abstractNum w:abstractNumId="126">
    <w:nsid w:val="94927A8"/>
    <w:multiLevelType w:val="hybridMultilevel"/>
    <w:lvl w:ilvl="0">
      <w:lvlJc w:val="left"/>
      <w:lvlText w:val="[***]"/>
      <w:numFmt w:val="bullet"/>
      <w:start w:val="1"/>
    </w:lvl>
  </w:abstractNum>
  <w:abstractNum w:abstractNumId="127">
    <w:nsid w:val="DCDF8F6"/>
    <w:multiLevelType w:val="hybridMultilevel"/>
    <w:lvl w:ilvl="0">
      <w:lvlJc w:val="left"/>
      <w:lvlText w:val="%1."/>
      <w:numFmt w:val="decimal"/>
      <w:start w:val="7"/>
    </w:lvl>
  </w:abstractNum>
  <w:abstractNum w:abstractNumId="128">
    <w:nsid w:val="52D7B105"/>
    <w:multiLevelType w:val="hybridMultilevel"/>
    <w:lvl w:ilvl="0">
      <w:lvlJc w:val="left"/>
      <w:lvlText w:val="(%1)"/>
      <w:numFmt w:val="lowerLetter"/>
      <w:start w:val="1"/>
    </w:lvl>
  </w:abstractNum>
  <w:abstractNum w:abstractNumId="129">
    <w:nsid w:val="2E8A6394"/>
    <w:multiLevelType w:val="hybridMultilevel"/>
    <w:lvl w:ilvl="0">
      <w:lvlJc w:val="left"/>
      <w:lvlText w:val="[***]"/>
      <w:numFmt w:val="bullet"/>
      <w:start w:val="1"/>
    </w:lvl>
    <w:lvl w:ilvl="1">
      <w:lvlJc w:val="left"/>
      <w:lvlText w:val="(%2)"/>
      <w:numFmt w:val="lowerLetter"/>
      <w:start w:val="2"/>
    </w:lvl>
  </w:abstractNum>
  <w:abstractNum w:abstractNumId="130">
    <w:nsid w:val="24E60401"/>
    <w:multiLevelType w:val="hybridMultilevel"/>
    <w:lvl w:ilvl="0">
      <w:lvlJc w:val="left"/>
      <w:lvlText w:val="[***]"/>
      <w:numFmt w:val="bullet"/>
      <w:start w:val="1"/>
    </w:lvl>
  </w:abstractNum>
  <w:abstractNum w:abstractNumId="131">
    <w:nsid w:val="2A6AD9BE"/>
    <w:multiLevelType w:val="hybridMultilevel"/>
    <w:lvl w:ilvl="0">
      <w:lvlJc w:val="left"/>
      <w:lvlText w:val="(%1)"/>
      <w:numFmt w:val="lowerLetter"/>
      <w:start w:val="1"/>
    </w:lvl>
  </w:abstractNum>
  <w:abstractNum w:abstractNumId="132">
    <w:nsid w:val="BAAC1B4"/>
    <w:multiLevelType w:val="hybridMultilevel"/>
    <w:lvl w:ilvl="0">
      <w:lvlJc w:val="left"/>
      <w:lvlText w:val="[***]"/>
      <w:numFmt w:val="bullet"/>
      <w:start w:val="1"/>
    </w:lvl>
    <w:lvl w:ilvl="1">
      <w:lvlJc w:val="left"/>
      <w:lvlText w:val="(%2)"/>
      <w:numFmt w:val="lowerLetter"/>
      <w:start w:val="3"/>
    </w:lvl>
  </w:abstractNum>
  <w:abstractNum w:abstractNumId="133">
    <w:nsid w:val="36B2ACBC"/>
    <w:multiLevelType w:val="hybridMultilevel"/>
    <w:lvl w:ilvl="0">
      <w:lvlJc w:val="left"/>
      <w:lvlText w:val="[***]"/>
      <w:numFmt w:val="bullet"/>
      <w:start w:val="1"/>
    </w:lvl>
  </w:abstractNum>
  <w:abstractNum w:abstractNumId="134">
    <w:nsid w:val="779D8544"/>
    <w:multiLevelType w:val="hybridMultilevel"/>
    <w:lvl w:ilvl="0">
      <w:lvlJc w:val="left"/>
      <w:lvlText w:val="(%1)"/>
      <w:numFmt w:val="lowerLetter"/>
      <w:start w:val="1"/>
    </w:lvl>
    <w:lvl w:ilvl="1">
      <w:lvlJc w:val="left"/>
      <w:lvlText w:val="(%2)"/>
      <w:numFmt w:val="upperLetter"/>
      <w:start w:val="2"/>
    </w:lvl>
    <w:lvl w:ilvl="2">
      <w:lvlJc w:val="left"/>
      <w:lvlText w:val="(%3)"/>
      <w:numFmt w:val="upperLetter"/>
      <w:start w:val="1"/>
    </w:lvl>
  </w:abstractNum>
  <w:abstractNum w:abstractNumId="135">
    <w:nsid w:val="4AB26E78"/>
    <w:multiLevelType w:val="hybridMultilevel"/>
    <w:lvl w:ilvl="0">
      <w:lvlJc w:val="left"/>
      <w:lvlText w:val="[***]"/>
      <w:numFmt w:val="bullet"/>
      <w:start w:val="1"/>
    </w:lvl>
  </w:abstractNum>
  <w:abstractNum w:abstractNumId="136">
    <w:nsid w:val="21FAA2FA"/>
    <w:multiLevelType w:val="hybridMultilevel"/>
    <w:lvl w:ilvl="0">
      <w:lvlJc w:val="left"/>
      <w:lvlText w:val="(%1)"/>
      <w:numFmt w:val="lowerLetter"/>
      <w:start w:val="4"/>
    </w:lvl>
  </w:abstractNum>
  <w:abstractNum w:abstractNumId="137">
    <w:nsid w:val="5451CF49"/>
    <w:multiLevelType w:val="hybridMultilevel"/>
    <w:lvl w:ilvl="0">
      <w:lvlJc w:val="left"/>
      <w:lvlText w:val="(%1)"/>
      <w:numFmt w:val="lowerLetter"/>
      <w:start w:val="1"/>
    </w:lvl>
  </w:abstractNum>
  <w:abstractNum w:abstractNumId="138">
    <w:nsid w:val="6181EF69"/>
    <w:multiLevelType w:val="hybridMultilevel"/>
    <w:lvl w:ilvl="0">
      <w:lvlJc w:val="left"/>
      <w:lvlText w:val="%1."/>
      <w:numFmt w:val="decimal"/>
      <w:start w:val="8"/>
    </w:lvl>
  </w:abstractNum>
  <w:abstractNum w:abstractNumId="139">
    <w:nsid w:val="3E6400E6"/>
    <w:multiLevelType w:val="hybridMultilevel"/>
    <w:lvl w:ilvl="0">
      <w:lvlJc w:val="left"/>
      <w:lvlText w:val="(%1)"/>
      <w:numFmt w:val="upperLetter"/>
      <w:start w:val="2"/>
    </w:lvl>
  </w:abstractNum>
  <w:abstractNum w:abstractNumId="140">
    <w:nsid w:val="14217E23"/>
    <w:multiLevelType w:val="hybridMultilevel"/>
    <w:lvl w:ilvl="0">
      <w:lvlJc w:val="left"/>
      <w:lvlText w:val="[***]"/>
      <w:numFmt w:val="bullet"/>
      <w:start w:val="1"/>
    </w:lvl>
  </w:abstractNum>
  <w:abstractNum w:abstractNumId="141">
    <w:nsid w:val="710757D0"/>
    <w:multiLevelType w:val="hybridMultilevel"/>
    <w:lvl w:ilvl="0">
      <w:lvlJc w:val="left"/>
      <w:lvlText w:val="(%1)"/>
      <w:numFmt w:val="lowerLetter"/>
      <w:start w:val="1"/>
    </w:lvl>
  </w:abstractNum>
  <w:abstractNum w:abstractNumId="142">
    <w:nsid w:val="5015CD1A"/>
    <w:multiLevelType w:val="hybridMultilevel"/>
    <w:lvl w:ilvl="0">
      <w:lvlJc w:val="left"/>
      <w:lvlText w:val="(%1)"/>
      <w:numFmt w:val="lowerLetter"/>
      <w:start w:val="3"/>
    </w:lvl>
  </w:abstractNum>
  <w:abstractNum w:abstractNumId="143">
    <w:nsid w:val="424479DA"/>
    <w:multiLevelType w:val="hybridMultilevel"/>
    <w:lvl w:ilvl="0">
      <w:lvlJc w:val="left"/>
      <w:lvlText w:val="[***]"/>
      <w:numFmt w:val="bullet"/>
      <w:start w:val="1"/>
    </w:lvl>
  </w:abstractNum>
  <w:abstractNum w:abstractNumId="144">
    <w:nsid w:val="1A9A9E69"/>
    <w:multiLevelType w:val="hybridMultilevel"/>
    <w:lvl w:ilvl="0">
      <w:lvlJc w:val="left"/>
      <w:lvlText w:val="[***]"/>
      <w:numFmt w:val="bullet"/>
      <w:start w:val="1"/>
    </w:lvl>
  </w:abstractNum>
  <w:abstractNum w:abstractNumId="145">
    <w:nsid w:val="475E256A"/>
    <w:multiLevelType w:val="hybridMultilevel"/>
    <w:lvl w:ilvl="0">
      <w:lvlJc w:val="left"/>
      <w:lvlText w:val="[***]"/>
      <w:numFmt w:val="bullet"/>
      <w:start w:val="1"/>
    </w:lvl>
  </w:abstractNum>
  <w:abstractNum w:abstractNumId="146">
    <w:nsid w:val="368DB37E"/>
    <w:multiLevelType w:val="hybridMultilevel"/>
    <w:lvl w:ilvl="0">
      <w:lvlJc w:val="left"/>
      <w:lvlText w:val="[***]"/>
      <w:numFmt w:val="bullet"/>
      <w:start w:val="1"/>
    </w:lvl>
  </w:abstractNum>
  <w:abstractNum w:abstractNumId="147">
    <w:nsid w:val="6A3B714C"/>
    <w:multiLevelType w:val="hybridMultilevel"/>
    <w:lvl w:ilvl="0">
      <w:lvlJc w:val="left"/>
      <w:lvlText w:val="[***]"/>
      <w:numFmt w:val="bullet"/>
      <w:start w:val="1"/>
    </w:lvl>
  </w:abstractNum>
  <w:abstractNum w:abstractNumId="148">
    <w:nsid w:val="327B517E"/>
    <w:multiLevelType w:val="hybridMultilevel"/>
    <w:lvl w:ilvl="0">
      <w:lvlJc w:val="left"/>
      <w:lvlText w:val="[***]"/>
      <w:numFmt w:val="bullet"/>
      <w:start w:val="1"/>
    </w:lvl>
  </w:abstractNum>
  <w:abstractNum w:abstractNumId="149">
    <w:nsid w:val="1F461B51"/>
    <w:multiLevelType w:val="hybridMultilevel"/>
    <w:lvl w:ilvl="0">
      <w:lvlJc w:val="left"/>
      <w:lvlText w:val="(%1)"/>
      <w:numFmt w:val="lowerLetter"/>
      <w:start w:val="1"/>
    </w:lvl>
  </w:abstractNum>
  <w:abstractNum w:abstractNumId="150">
    <w:nsid w:val="29BACF25"/>
    <w:multiLevelType w:val="hybridMultilevel"/>
    <w:lvl w:ilvl="0">
      <w:lvlJc w:val="left"/>
      <w:lvlText w:val="(%1)"/>
      <w:numFmt w:val="lowerLetter"/>
      <w:start w:val="1"/>
    </w:lvl>
  </w:abstractNum>
  <w:abstractNum w:abstractNumId="151">
    <w:nsid w:val="5D5BABB3"/>
    <w:multiLevelType w:val="hybridMultilevel"/>
    <w:lvl w:ilvl="0">
      <w:lvlJc w:val="left"/>
      <w:lvlText w:val="[***]"/>
      <w:numFmt w:val="bullet"/>
      <w:start w:val="1"/>
    </w:lvl>
  </w:abstractNum>
  <w:abstractNum w:abstractNumId="152">
    <w:nsid w:val="51BF6B48"/>
    <w:multiLevelType w:val="hybridMultilevel"/>
    <w:lvl w:ilvl="0">
      <w:lvlJc w:val="left"/>
      <w:lvlText w:val="(%1)"/>
      <w:numFmt w:val="lowerLetter"/>
      <w:start w:val="2"/>
    </w:lvl>
  </w:abstractNum>
  <w:abstractNum w:abstractNumId="153">
    <w:nsid w:val="7E0F6384"/>
    <w:multiLevelType w:val="hybridMultilevel"/>
    <w:lvl w:ilvl="0">
      <w:lvlJc w:val="left"/>
      <w:lvlText w:val="[***]"/>
      <w:numFmt w:val="bullet"/>
      <w:start w:val="1"/>
    </w:lvl>
  </w:abstractNum>
  <w:abstractNum w:abstractNumId="154">
    <w:nsid w:val="2B4B8B53"/>
    <w:multiLevelType w:val="hybridMultilevel"/>
    <w:lvl w:ilvl="0">
      <w:lvlJc w:val="left"/>
      <w:lvlText w:val="%1."/>
      <w:numFmt w:val="decimal"/>
      <w:start w:val="9"/>
    </w:lvl>
  </w:abstractNum>
  <w:abstractNum w:abstractNumId="155">
    <w:nsid w:val="72E3413A"/>
    <w:multiLevelType w:val="hybridMultilevel"/>
    <w:lvl w:ilvl="0">
      <w:lvlJc w:val="left"/>
      <w:lvlText w:val="[***]"/>
      <w:numFmt w:val="bullet"/>
      <w:start w:val="1"/>
    </w:lvl>
  </w:abstractNum>
  <w:abstractNum w:abstractNumId="156">
    <w:nsid w:val="116AE494"/>
    <w:multiLevelType w:val="hybridMultilevel"/>
    <w:lvl w:ilvl="0">
      <w:lvlJc w:val="left"/>
      <w:lvlText w:val="(%1)"/>
      <w:numFmt w:val="lowerLetter"/>
      <w:start w:val="4"/>
    </w:lvl>
  </w:abstractNum>
  <w:abstractNum w:abstractNumId="157">
    <w:nsid w:val="3494B2FB"/>
    <w:multiLevelType w:val="hybridMultilevel"/>
    <w:lvl w:ilvl="0">
      <w:lvlJc w:val="left"/>
      <w:lvlText w:val="[***]"/>
      <w:numFmt w:val="bullet"/>
      <w:start w:val="1"/>
    </w:lvl>
  </w:abstractNum>
  <w:abstractNum w:abstractNumId="158">
    <w:nsid w:val="B13A31"/>
    <w:multiLevelType w:val="hybridMultilevel"/>
    <w:lvl w:ilvl="0">
      <w:lvlJc w:val="left"/>
      <w:lvlText w:val="[***]"/>
      <w:numFmt w:val="bullet"/>
      <w:start w:val="1"/>
    </w:lvl>
  </w:abstractNum>
  <w:abstractNum w:abstractNumId="159">
    <w:nsid w:val="64429599"/>
    <w:multiLevelType w:val="hybridMultilevel"/>
    <w:lvl w:ilvl="0">
      <w:lvlJc w:val="left"/>
      <w:lvlText w:val="[***]"/>
      <w:numFmt w:val="bullet"/>
      <w:start w:val="1"/>
    </w:lvl>
  </w:abstractNum>
  <w:abstractNum w:abstractNumId="160">
    <w:nsid w:val="631F1690"/>
    <w:multiLevelType w:val="hybridMultilevel"/>
    <w:lvl w:ilvl="0">
      <w:lvlJc w:val="left"/>
      <w:lvlText w:val="%1."/>
      <w:numFmt w:val="decimal"/>
      <w:start w:val="10"/>
    </w:lvl>
  </w:abstractNum>
  <w:abstractNum w:abstractNumId="161">
    <w:nsid w:val="25973E32"/>
    <w:multiLevelType w:val="hybridMultilevel"/>
    <w:lvl w:ilvl="0">
      <w:lvlJc w:val="left"/>
      <w:lvlText w:val="[***]"/>
      <w:numFmt w:val="bullet"/>
      <w:start w:val="1"/>
    </w:lvl>
  </w:abstractNum>
  <w:abstractNum w:abstractNumId="162">
    <w:nsid w:val="EAD6F57"/>
    <w:multiLevelType w:val="hybridMultilevel"/>
    <w:lvl w:ilvl="0">
      <w:lvlJc w:val="left"/>
      <w:lvlText w:val="[***]"/>
      <w:numFmt w:val="bullet"/>
      <w:start w:val="1"/>
    </w:lvl>
  </w:abstractNum>
  <w:abstractNum w:abstractNumId="163">
    <w:nsid w:val="6EC9D844"/>
    <w:multiLevelType w:val="hybridMultilevel"/>
    <w:lvl w:ilvl="0">
      <w:lvlJc w:val="left"/>
      <w:lvlText w:val="[***]"/>
      <w:numFmt w:val="bullet"/>
      <w:start w:val="1"/>
    </w:lvl>
  </w:abstractNum>
  <w:abstractNum w:abstractNumId="164">
    <w:nsid w:val="5C49EAEE"/>
    <w:multiLevelType w:val="hybridMultilevel"/>
    <w:lvl w:ilvl="0">
      <w:lvlJc w:val="left"/>
      <w:lvlText w:val="[***]"/>
      <w:numFmt w:val="bullet"/>
      <w:start w:val="1"/>
    </w:lvl>
  </w:abstractNum>
  <w:abstractNum w:abstractNumId="165">
    <w:nsid w:val="64AF49B"/>
    <w:multiLevelType w:val="hybridMultilevel"/>
    <w:lvl w:ilvl="0">
      <w:lvlJc w:val="left"/>
      <w:lvlText w:val="[***]"/>
      <w:numFmt w:val="bullet"/>
      <w:start w:val="1"/>
    </w:lvl>
  </w:abstractNum>
  <w:abstractNum w:abstractNumId="166">
    <w:nsid w:val="397C46BC"/>
    <w:multiLevelType w:val="hybridMultilevel"/>
    <w:lvl w:ilvl="0">
      <w:lvlJc w:val="left"/>
      <w:lvlText w:val="(%1)"/>
      <w:numFmt w:val="lowerLetter"/>
      <w:start w:val="1"/>
    </w:lvl>
  </w:abstractNum>
  <w:abstractNum w:abstractNumId="167">
    <w:nsid w:val="7E448DE9"/>
    <w:multiLevelType w:val="hybridMultilevel"/>
    <w:lvl w:ilvl="0">
      <w:lvlJc w:val="left"/>
      <w:lvlText w:val="[***]"/>
      <w:numFmt w:val="bullet"/>
      <w:start w:val="1"/>
    </w:lvl>
  </w:abstractNum>
  <w:abstractNum w:abstractNumId="168">
    <w:nsid w:val="5A9CC3E5"/>
    <w:multiLevelType w:val="hybridMultilevel"/>
    <w:lvl w:ilvl="0">
      <w:lvlJc w:val="left"/>
      <w:lvlText w:val="%1"/>
      <w:numFmt w:val="decimal"/>
      <w:start w:val="1"/>
    </w:lvl>
    <w:lvl w:ilvl="1">
      <w:lvlJc w:val="left"/>
      <w:lvlText w:val="(%2)"/>
      <w:numFmt w:val="lowerLetter"/>
      <w:start w:val="2"/>
    </w:lvl>
  </w:abstractNum>
  <w:abstractNum w:abstractNumId="169">
    <w:nsid w:val="1AFE3625"/>
    <w:multiLevelType w:val="hybridMultilevel"/>
    <w:lvl w:ilvl="0">
      <w:lvlJc w:val="left"/>
      <w:lvlText w:val="%1."/>
      <w:numFmt w:val="decimal"/>
      <w:start w:val="11"/>
    </w:lvl>
    <w:lvl w:ilvl="1">
      <w:lvlJc w:val="left"/>
      <w:lvlText w:val="%2"/>
      <w:numFmt w:val="lowerLetter"/>
      <w:start w:val="1"/>
    </w:lvl>
  </w:abstractNum>
  <w:abstractNum w:abstractNumId="170">
    <w:nsid w:val="3CA88ECF"/>
    <w:multiLevelType w:val="hybridMultilevel"/>
    <w:lvl w:ilvl="0">
      <w:lvlJc w:val="left"/>
      <w:lvlText w:val="[***]"/>
      <w:numFmt w:val="bullet"/>
      <w:start w:val="1"/>
    </w:lvl>
  </w:abstractNum>
  <w:abstractNum w:abstractNumId="171">
    <w:nsid w:val="6EBE4208"/>
    <w:multiLevelType w:val="hybridMultilevel"/>
    <w:lvl w:ilvl="0">
      <w:lvlJc w:val="left"/>
      <w:lvlText w:val="[***]"/>
      <w:numFmt w:val="bullet"/>
      <w:start w:val="1"/>
    </w:lvl>
  </w:abstractNum>
  <w:abstractNum w:abstractNumId="172">
    <w:nsid w:val="C058DF5"/>
    <w:multiLevelType w:val="hybridMultilevel"/>
    <w:lvl w:ilvl="0">
      <w:lvlJc w:val="left"/>
      <w:lvlText w:val="%1."/>
      <w:numFmt w:val="decimal"/>
      <w:start w:val="12"/>
    </w:lvl>
  </w:abstractNum>
  <w:abstractNum w:abstractNumId="173">
    <w:nsid w:val="CBE5BE9"/>
    <w:multiLevelType w:val="hybridMultilevel"/>
    <w:lvl w:ilvl="0">
      <w:lvlJc w:val="left"/>
      <w:lvlText w:val="(%1)"/>
      <w:numFmt w:val="lowerLetter"/>
      <w:start w:val="1"/>
    </w:lvl>
  </w:abstractNum>
  <w:abstractNum w:abstractNumId="174">
    <w:nsid w:val="3102BBE2"/>
    <w:multiLevelType w:val="hybridMultilevel"/>
    <w:lvl w:ilvl="0">
      <w:lvlJc w:val="left"/>
      <w:lvlText w:val="[***]"/>
      <w:numFmt w:val="bullet"/>
      <w:start w:val="1"/>
    </w:lvl>
  </w:abstractNum>
  <w:abstractNum w:abstractNumId="175">
    <w:nsid w:val="26A02C5E"/>
    <w:multiLevelType w:val="hybridMultilevel"/>
    <w:lvl w:ilvl="0">
      <w:lvlJc w:val="left"/>
      <w:lvlText w:val="(%1)"/>
      <w:numFmt w:val="lowerLetter"/>
      <w:start w:val="2"/>
    </w:lvl>
  </w:abstractNum>
  <w:abstractNum w:abstractNumId="176">
    <w:nsid w:val="541C8153"/>
    <w:multiLevelType w:val="hybridMultilevel"/>
    <w:lvl w:ilvl="0">
      <w:lvlJc w:val="left"/>
      <w:lvlText w:val="[***]"/>
      <w:numFmt w:val="bullet"/>
      <w:start w:val="1"/>
    </w:lvl>
  </w:abstractNum>
  <w:abstractNum w:abstractNumId="177">
    <w:nsid w:val="67906F60"/>
    <w:multiLevelType w:val="hybridMultilevel"/>
    <w:lvl w:ilvl="0">
      <w:lvlJc w:val="left"/>
      <w:lvlText w:val="(%1)"/>
      <w:numFmt w:val="lowerLetter"/>
      <w:start w:val="1"/>
    </w:lvl>
  </w:abstractNum>
  <w:abstractNum w:abstractNumId="178">
    <w:nsid w:val="10DB9DAA"/>
    <w:multiLevelType w:val="hybridMultilevel"/>
    <w:lvl w:ilvl="0">
      <w:lvlJc w:val="left"/>
      <w:lvlText w:val="[***]"/>
      <w:numFmt w:val="bullet"/>
      <w:start w:val="1"/>
    </w:lvl>
  </w:abstractNum>
  <w:abstractNum w:abstractNumId="179">
    <w:nsid w:val="697D2D2"/>
    <w:multiLevelType w:val="hybridMultilevel"/>
    <w:lvl w:ilvl="0">
      <w:lvlJc w:val="left"/>
      <w:lvlText w:val="(%1)"/>
      <w:numFmt w:val="lowerLetter"/>
      <w:start w:val="2"/>
    </w:lvl>
  </w:abstractNum>
  <w:abstractNum w:abstractNumId="180">
    <w:nsid w:val="6D68AB2"/>
    <w:multiLevelType w:val="hybridMultilevel"/>
    <w:lvl w:ilvl="0">
      <w:lvlJc w:val="left"/>
      <w:lvlText w:val="(%1)"/>
      <w:numFmt w:val="lowerLetter"/>
      <w:start w:val="1"/>
    </w:lvl>
  </w:abstractNum>
  <w:abstractNum w:abstractNumId="181">
    <w:nsid w:val="3A966CD0"/>
    <w:multiLevelType w:val="hybridMultilevel"/>
    <w:lvl w:ilvl="0">
      <w:lvlJc w:val="left"/>
      <w:lvlText w:val="[***]"/>
      <w:numFmt w:val="bullet"/>
      <w:start w:val="1"/>
    </w:lvl>
  </w:abstractNum>
  <w:abstractNum w:abstractNumId="182">
    <w:nsid w:val="63F37E85"/>
    <w:multiLevelType w:val="hybridMultilevel"/>
    <w:lvl w:ilvl="0">
      <w:lvlJc w:val="left"/>
      <w:lvlText w:val="(%1)"/>
      <w:numFmt w:val="lowerLetter"/>
      <w:start w:val="2"/>
    </w:lvl>
  </w:abstractNum>
  <w:abstractNum w:abstractNumId="183">
    <w:nsid w:val="5895F5FA"/>
    <w:multiLevelType w:val="hybridMultilevel"/>
    <w:lvl w:ilvl="0">
      <w:lvlJc w:val="left"/>
      <w:lvlText w:val="(%1)"/>
      <w:numFmt w:val="lowerLetter"/>
      <w:start w:val="1"/>
    </w:lvl>
  </w:abstractNum>
  <w:abstractNum w:abstractNumId="184">
    <w:nsid w:val="38A5D054"/>
    <w:multiLevelType w:val="hybridMultilevel"/>
    <w:lvl w:ilvl="0">
      <w:lvlJc w:val="left"/>
      <w:lvlText w:val="[***]"/>
      <w:numFmt w:val="bullet"/>
      <w:start w:val="1"/>
    </w:lvl>
  </w:abstractNum>
  <w:abstractNum w:abstractNumId="185">
    <w:nsid w:val="F3F09D8"/>
    <w:multiLevelType w:val="hybridMultilevel"/>
    <w:lvl w:ilvl="0">
      <w:lvlJc w:val="left"/>
      <w:lvlText w:val="(%1)"/>
      <w:numFmt w:val="lowerLetter"/>
      <w:start w:val="2"/>
    </w:lvl>
  </w:abstractNum>
  <w:abstractNum w:abstractNumId="186">
    <w:nsid w:val="4B793735"/>
    <w:multiLevelType w:val="hybridMultilevel"/>
    <w:lvl w:ilvl="0">
      <w:lvlJc w:val="left"/>
      <w:lvlText w:val="(%1)"/>
      <w:numFmt w:val="lowerLetter"/>
      <w:start w:val="1"/>
    </w:lvl>
  </w:abstractNum>
  <w:abstractNum w:abstractNumId="187">
    <w:nsid w:val="4A10B4E8"/>
    <w:multiLevelType w:val="hybridMultilevel"/>
    <w:lvl w:ilvl="0">
      <w:lvlJc w:val="left"/>
      <w:lvlText w:val="[***]"/>
      <w:numFmt w:val="bullet"/>
      <w:start w:val="1"/>
    </w:lvl>
  </w:abstractNum>
  <w:abstractNum w:abstractNumId="188">
    <w:nsid w:val="43D3BCD4"/>
    <w:multiLevelType w:val="hybridMultilevel"/>
    <w:lvl w:ilvl="0">
      <w:lvlJc w:val="left"/>
      <w:lvlText w:val="[***]"/>
      <w:numFmt w:val="bullet"/>
      <w:start w:val="1"/>
    </w:lvl>
  </w:abstractNum>
  <w:abstractNum w:abstractNumId="189">
    <w:nsid w:val="4C2A7166"/>
    <w:multiLevelType w:val="hybridMultilevel"/>
    <w:lvl w:ilvl="0">
      <w:lvlJc w:val="left"/>
      <w:lvlText w:val="[***]"/>
      <w:numFmt w:val="bullet"/>
      <w:start w:val="1"/>
    </w:lvl>
  </w:abstractNum>
  <w:abstractNum w:abstractNumId="190">
    <w:nsid w:val="2E534A82"/>
    <w:multiLevelType w:val="hybridMultilevel"/>
    <w:lvl w:ilvl="0">
      <w:lvlJc w:val="left"/>
      <w:lvlText w:val="%1."/>
      <w:numFmt w:val="decimal"/>
      <w:start w:val="13"/>
    </w:lvl>
  </w:abstractNum>
  <w:abstractNum w:abstractNumId="191">
    <w:nsid w:val="26F2D364"/>
    <w:multiLevelType w:val="hybridMultilevel"/>
    <w:lvl w:ilvl="0">
      <w:lvlJc w:val="left"/>
      <w:lvlText w:val="[***]"/>
      <w:numFmt w:val="bullet"/>
      <w:start w:val="1"/>
    </w:lvl>
  </w:abstractNum>
  <w:abstractNum w:abstractNumId="192">
    <w:nsid w:val="71C1AF98"/>
    <w:multiLevelType w:val="hybridMultilevel"/>
    <w:lvl w:ilvl="0">
      <w:lvlJc w:val="left"/>
      <w:lvlText w:val="[***]"/>
      <w:numFmt w:val="bullet"/>
      <w:start w:val="1"/>
    </w:lvl>
  </w:abstractNum>
  <w:abstractNum w:abstractNumId="193">
    <w:nsid w:val="3D00B9D9"/>
    <w:multiLevelType w:val="hybridMultilevel"/>
    <w:lvl w:ilvl="0">
      <w:lvlJc w:val="left"/>
      <w:lvlText w:val="(%1)"/>
      <w:numFmt w:val="lowerLetter"/>
      <w:start w:val="1"/>
    </w:lvl>
  </w:abstractNum>
  <w:abstractNum w:abstractNumId="194">
    <w:nsid w:val="15BCABA8"/>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35"/>
    </w:lvl>
  </w:abstractNum>
  <w:abstractNum w:abstractNumId="195">
    <w:nsid w:val="4E0B9A87"/>
    <w:multiLevelType w:val="hybridMultilevel"/>
    <w:lvl w:ilvl="0">
      <w:lvlJc w:val="left"/>
      <w:lvlText w:val="[***]"/>
      <w:numFmt w:val="bullet"/>
      <w:start w:val="1"/>
    </w:lvl>
  </w:abstractNum>
  <w:abstractNum w:abstractNumId="196">
    <w:nsid w:val="434BAE75"/>
    <w:multiLevelType w:val="hybridMultilevel"/>
    <w:lvl w:ilvl="0">
      <w:lvlJc w:val="left"/>
      <w:lvlText w:val="(%1)"/>
      <w:numFmt w:val="lowerLetter"/>
      <w:start w:val="6"/>
    </w:lvl>
  </w:abstractNum>
  <w:abstractNum w:abstractNumId="197">
    <w:nsid w:val="4F38F265"/>
    <w:multiLevelType w:val="hybridMultilevel"/>
    <w:lvl w:ilvl="0">
      <w:lvlJc w:val="left"/>
      <w:lvlText w:val="[***]"/>
      <w:numFmt w:val="bullet"/>
      <w:start w:val="1"/>
    </w:lvl>
  </w:abstractNum>
  <w:abstractNum w:abstractNumId="198">
    <w:nsid w:val="4C502870"/>
    <w:multiLevelType w:val="hybridMultilevel"/>
    <w:lvl w:ilvl="0">
      <w:lvlJc w:val="left"/>
      <w:lvlText w:val="(%1)"/>
      <w:numFmt w:val="lowerLetter"/>
      <w:start w:val="9"/>
    </w:lvl>
  </w:abstractNum>
  <w:abstractNum w:abstractNumId="199">
    <w:nsid w:val="1DE8725A"/>
    <w:multiLevelType w:val="hybridMultilevel"/>
    <w:lvl w:ilvl="0">
      <w:lvlJc w:val="left"/>
      <w:lvlText w:val="[***]"/>
      <w:numFmt w:val="bullet"/>
      <w:start w:val="1"/>
    </w:lvl>
  </w:abstractNum>
  <w:abstractNum w:abstractNumId="200">
    <w:nsid w:val="6A37288A"/>
    <w:multiLevelType w:val="hybridMultilevel"/>
    <w:lvl w:ilvl="0">
      <w:lvlJc w:val="left"/>
      <w:lvlText w:val="(%1)"/>
      <w:numFmt w:val="lowerLetter"/>
      <w:start w:val="1"/>
    </w:lvl>
  </w:abstractNum>
  <w:abstractNum w:abstractNumId="201">
    <w:nsid w:val="8F8B73F"/>
    <w:multiLevelType w:val="hybridMultilevel"/>
    <w:lvl w:ilvl="0">
      <w:lvlJc w:val="left"/>
      <w:lvlText w:val="[***]"/>
      <w:numFmt w:val="bullet"/>
      <w:start w:val="1"/>
    </w:lvl>
  </w:abstractNum>
  <w:abstractNum w:abstractNumId="202">
    <w:nsid w:val="CA6B462"/>
    <w:multiLevelType w:val="hybridMultilevel"/>
    <w:lvl w:ilvl="0">
      <w:lvlJc w:val="left"/>
      <w:lvlText w:val="%1."/>
      <w:numFmt w:val="decimal"/>
      <w:start w:val="14"/>
    </w:lvl>
  </w:abstractNum>
  <w:abstractNum w:abstractNumId="203">
    <w:nsid w:val="763CB680"/>
    <w:multiLevelType w:val="hybridMultilevel"/>
    <w:lvl w:ilvl="0">
      <w:lvlJc w:val="left"/>
      <w:lvlText w:val="[***]"/>
      <w:numFmt w:val="bullet"/>
      <w:start w:val="1"/>
    </w:lvl>
  </w:abstractNum>
  <w:abstractNum w:abstractNumId="204">
    <w:nsid w:val="15B71329"/>
    <w:multiLevelType w:val="hybridMultilevel"/>
    <w:lvl w:ilvl="0">
      <w:lvlJc w:val="left"/>
      <w:lvlText w:val="[***]"/>
      <w:numFmt w:val="bullet"/>
      <w:start w:val="1"/>
    </w:lvl>
  </w:abstractNum>
  <w:abstractNum w:abstractNumId="205">
    <w:nsid w:val="3DA97044"/>
    <w:multiLevelType w:val="hybridMultilevel"/>
    <w:lvl w:ilvl="0">
      <w:lvlJc w:val="left"/>
      <w:lvlText w:val="%1."/>
      <w:numFmt w:val="decimal"/>
      <w:start w:val="15"/>
    </w:lvl>
  </w:abstractNum>
  <w:abstractNum w:abstractNumId="206">
    <w:nsid w:val="1CDCE2DE"/>
    <w:multiLevelType w:val="hybridMultilevel"/>
    <w:lvl w:ilvl="0">
      <w:lvlJc w:val="left"/>
      <w:lvlText w:val="[***]"/>
      <w:numFmt w:val="bullet"/>
      <w:start w:val="1"/>
    </w:lvl>
  </w:abstractNum>
  <w:abstractNum w:abstractNumId="207">
    <w:nsid w:val="69D3947C"/>
    <w:multiLevelType w:val="hybridMultilevel"/>
    <w:lvl w:ilvl="0">
      <w:lvlJc w:val="left"/>
      <w:lvlText w:val="[***]"/>
      <w:numFmt w:val="bullet"/>
      <w:start w:val="1"/>
    </w:lvl>
  </w:abstractNum>
  <w:abstractNum w:abstractNumId="208">
    <w:nsid w:val="2539DFA5"/>
    <w:multiLevelType w:val="hybridMultilevel"/>
    <w:lvl w:ilvl="0">
      <w:lvlJc w:val="left"/>
      <w:lvlText w:val="%1."/>
      <w:numFmt w:val="decimal"/>
      <w:start w:val="16"/>
    </w:lvl>
  </w:abstractNum>
  <w:abstractNum w:abstractNumId="209">
    <w:nsid w:val="2DB88089"/>
    <w:multiLevelType w:val="hybridMultilevel"/>
    <w:lvl w:ilvl="0">
      <w:lvlJc w:val="left"/>
      <w:lvlText w:val="[***]"/>
      <w:numFmt w:val="bullet"/>
      <w:start w:val="1"/>
    </w:lvl>
  </w:abstractNum>
  <w:abstractNum w:abstractNumId="210">
    <w:nsid w:val="706B674E"/>
    <w:multiLevelType w:val="hybridMultilevel"/>
    <w:lvl w:ilvl="0">
      <w:lvlJc w:val="left"/>
      <w:lvlText w:val="[***]"/>
      <w:numFmt w:val="bullet"/>
      <w:start w:val="1"/>
    </w:lvl>
  </w:abstractNum>
  <w:abstractNum w:abstractNumId="211">
    <w:nsid w:val="2C106A57"/>
    <w:multiLevelType w:val="hybridMultilevel"/>
    <w:lvl w:ilvl="0">
      <w:lvlJc w:val="left"/>
      <w:lvlText w:val="[***]"/>
      <w:numFmt w:val="bullet"/>
      <w:start w:val="1"/>
    </w:lvl>
  </w:abstractNum>
  <w:abstractNum w:abstractNumId="212">
    <w:nsid w:val="684EED59"/>
    <w:multiLevelType w:val="hybridMultilevel"/>
    <w:lvl w:ilvl="0">
      <w:lvlJc w:val="left"/>
      <w:lvlText w:val="[***]"/>
      <w:numFmt w:val="bullet"/>
      <w:start w:val="1"/>
    </w:lvl>
  </w:abstractNum>
  <w:abstractNum w:abstractNumId="213">
    <w:nsid w:val="545EE5D3"/>
    <w:multiLevelType w:val="hybridMultilevel"/>
    <w:lvl w:ilvl="0">
      <w:lvlJc w:val="left"/>
      <w:lvlText w:val="%1."/>
      <w:numFmt w:val="decimal"/>
      <w:start w:val="1"/>
    </w:lvl>
    <w:lvl w:ilvl="1">
      <w:lvlJc w:val="left"/>
      <w:lvlText w:val="(%2)"/>
      <w:numFmt w:val="lowerLetter"/>
      <w:start w:val="1"/>
    </w:lvl>
  </w:abstractNum>
  <w:abstractNum w:abstractNumId="214">
    <w:nsid w:val="4A6605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65" Type="http://schemas.openxmlformats.org/officeDocument/2006/relationships/image" Target="media/image94.png"/><Relationship Id="rId166"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190" Type="http://schemas.openxmlformats.org/officeDocument/2006/relationships/image" Target="media/image118.png"/><Relationship Id="rId191" Type="http://schemas.openxmlformats.org/officeDocument/2006/relationships/image" Target="media/image119.png"/><Relationship Id="rId192" Type="http://schemas.openxmlformats.org/officeDocument/2006/relationships/image" Target="media/image120.png"/><Relationship Id="rId193" Type="http://schemas.openxmlformats.org/officeDocument/2006/relationships/image" Target="media/image121.png"/><Relationship Id="rId194" Type="http://schemas.openxmlformats.org/officeDocument/2006/relationships/image" Target="media/image122.png"/><Relationship Id="rId195" Type="http://schemas.openxmlformats.org/officeDocument/2006/relationships/image" Target="media/image123.png"/><Relationship Id="rId196" Type="http://schemas.openxmlformats.org/officeDocument/2006/relationships/image" Target="media/image124.png"/><Relationship Id="rId197" Type="http://schemas.openxmlformats.org/officeDocument/2006/relationships/image" Target="media/image125.png"/><Relationship Id="rId198" Type="http://schemas.openxmlformats.org/officeDocument/2006/relationships/image" Target="media/image126.png"/><Relationship Id="rId199" Type="http://schemas.openxmlformats.org/officeDocument/2006/relationships/image" Target="media/image127.png"/><Relationship Id="rId200" Type="http://schemas.openxmlformats.org/officeDocument/2006/relationships/image" Target="media/image128.png"/><Relationship Id="rId201" Type="http://schemas.openxmlformats.org/officeDocument/2006/relationships/image" Target="media/image129.png"/><Relationship Id="rId202"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05" Type="http://schemas.openxmlformats.org/officeDocument/2006/relationships/image" Target="media/image133.png"/><Relationship Id="rId206" Type="http://schemas.openxmlformats.org/officeDocument/2006/relationships/image" Target="media/image134.png"/><Relationship Id="rId207" Type="http://schemas.openxmlformats.org/officeDocument/2006/relationships/image" Target="media/image135.png"/><Relationship Id="rId208" Type="http://schemas.openxmlformats.org/officeDocument/2006/relationships/image" Target="media/image136.png"/><Relationship Id="rId209" Type="http://schemas.openxmlformats.org/officeDocument/2006/relationships/image" Target="media/image137.png"/><Relationship Id="rId210" Type="http://schemas.openxmlformats.org/officeDocument/2006/relationships/image" Target="media/image138.png"/><Relationship Id="rId211" Type="http://schemas.openxmlformats.org/officeDocument/2006/relationships/image" Target="media/image139.png"/><Relationship Id="rId212" Type="http://schemas.openxmlformats.org/officeDocument/2006/relationships/image" Target="media/image140.png"/><Relationship Id="rId213" Type="http://schemas.openxmlformats.org/officeDocument/2006/relationships/image" Target="media/image141.png"/><Relationship Id="rId214" Type="http://schemas.openxmlformats.org/officeDocument/2006/relationships/image" Target="media/image142.png"/><Relationship Id="rId215" Type="http://schemas.openxmlformats.org/officeDocument/2006/relationships/image" Target="media/image143.png"/><Relationship Id="rId216" Type="http://schemas.openxmlformats.org/officeDocument/2006/relationships/image" Target="media/image144.png"/><Relationship Id="rId217" Type="http://schemas.openxmlformats.org/officeDocument/2006/relationships/image" Target="media/image145.png"/><Relationship Id="rId218" Type="http://schemas.openxmlformats.org/officeDocument/2006/relationships/image" Target="media/image146.png"/><Relationship Id="rId219" Type="http://schemas.openxmlformats.org/officeDocument/2006/relationships/image" Target="media/image147.png"/><Relationship Id="rId220" Type="http://schemas.openxmlformats.org/officeDocument/2006/relationships/image" Target="media/image148.png"/><Relationship Id="rId221" Type="http://schemas.openxmlformats.org/officeDocument/2006/relationships/image" Target="media/image149.png"/><Relationship Id="rId222" Type="http://schemas.openxmlformats.org/officeDocument/2006/relationships/image" Target="media/image150.png"/><Relationship Id="rId223" Type="http://schemas.openxmlformats.org/officeDocument/2006/relationships/image" Target="media/image151.png"/><Relationship Id="rId224" Type="http://schemas.openxmlformats.org/officeDocument/2006/relationships/image" Target="media/image152.png"/><Relationship Id="rId225" Type="http://schemas.openxmlformats.org/officeDocument/2006/relationships/image" Target="media/image153.png"/><Relationship Id="rId226" Type="http://schemas.openxmlformats.org/officeDocument/2006/relationships/image" Target="media/image154.png"/><Relationship Id="rId227" Type="http://schemas.openxmlformats.org/officeDocument/2006/relationships/image" Target="media/image155.png"/><Relationship Id="rId96" Type="http://schemas.openxmlformats.org/officeDocument/2006/relationships/hyperlink" Target="https://www.sec.gov/Archives/edgar/data/879407/000119312511347334/d265091dex21.htm" TargetMode="External"/><Relationship Id="rId97" Type="http://schemas.openxmlformats.org/officeDocument/2006/relationships/hyperlink" Target="https://www.sec.gov/Archives/edgar/data/879407/000156459015003902/arwr-ex21_20150331298.htm" TargetMode="External"/><Relationship Id="rId98" Type="http://schemas.openxmlformats.org/officeDocument/2006/relationships/hyperlink" Target="https://www.sec.gov/Archives/edgar/data/879407/000119312516532364/d175317dex33.htm" TargetMode="External"/><Relationship Id="rId99" Type="http://schemas.openxmlformats.org/officeDocument/2006/relationships/hyperlink" Target="https://www.sec.gov/Archives/edgar/data/879407/000162828023014856/arrowheadpharmaceuticals.htm" TargetMode="External"/><Relationship Id="rId100" Type="http://schemas.openxmlformats.org/officeDocument/2006/relationships/hyperlink" Target="https://www.sec.gov/Archives/edgar/data/879407/000162828023002413/exhibit32.htm" TargetMode="External"/><Relationship Id="rId101" Type="http://schemas.openxmlformats.org/officeDocument/2006/relationships/hyperlink" Target="https://www.sec.gov/Archives/edgar/data/879407/000119312516532364/d175317dex41.htm" TargetMode="External"/><Relationship Id="rId102" Type="http://schemas.openxmlformats.org/officeDocument/2006/relationships/hyperlink" Target="https://www.sec.gov/Archives/edgar/data/0000879407/000119312519304271/d807419ds3asr.htm" TargetMode="External"/><Relationship Id="rId103" Type="http://schemas.openxmlformats.org/officeDocument/2006/relationships/hyperlink" Target="https://www.sec.gov/Archives/edgar/data/879407/000119312517092797/d319463dex41.htm" TargetMode="External"/><Relationship Id="rId104" Type="http://schemas.openxmlformats.org/officeDocument/2006/relationships/hyperlink" Target="https://www.sec.gov/Archives/edgar/data/879407/000156459019044376/arwr-ex44_92.htm" TargetMode="External"/><Relationship Id="rId106" Type="http://schemas.openxmlformats.org/officeDocument/2006/relationships/hyperlink" Target="https://www.sec.gov/Archives/edgar/data/879407/000095012319000828/arwr-ex104_153.htm" TargetMode="External"/><Relationship Id="rId107" Type="http://schemas.openxmlformats.org/officeDocument/2006/relationships/hyperlink" Target="https://www.sec.gov/Archives/edgar/data/879407/000162828024049277/arrowhead-avoroxregistra.htm" TargetMode="External"/><Relationship Id="rId108" Type="http://schemas.openxmlformats.org/officeDocument/2006/relationships/hyperlink" Target="https://www.sec.gov/Archives/edgar/data/879407/000162828024049277/arrowhead-avoroxformofpr.htm" TargetMode="External"/><Relationship Id="rId109" Type="http://schemas.openxmlformats.org/officeDocument/2006/relationships/hyperlink" Target="https://www.sec.gov/Archives/edgar/data/879407/000119312512009893/d275001ddef14a.htm" TargetMode="External"/><Relationship Id="rId110" Type="http://schemas.openxmlformats.org/officeDocument/2006/relationships/hyperlink" Target="https://www.sec.gov/Archives/edgar/data/879407/000119312513481209/d647635ddef14a.htm" TargetMode="External"/><Relationship Id="rId111" Type="http://schemas.openxmlformats.org/officeDocument/2006/relationships/hyperlink" Target="https://www.sec.gov/Archives/edgar/data/879407/000119312514048097/d675317dex101.htm" TargetMode="External"/><Relationship Id="rId112" Type="http://schemas.openxmlformats.org/officeDocument/2006/relationships/hyperlink" Target="https://www.sec.gov/Archives/edgar/data/879407/000119312514048097/d675317dex102.htm" TargetMode="External"/><Relationship Id="rId113" Type="http://schemas.openxmlformats.org/officeDocument/2006/relationships/hyperlink" Target="https://www.sec.gov/Archives/edgar/data/0000879407/000119312521019640/d76219ddef14a.htm" TargetMode="External"/><Relationship Id="rId114" Type="http://schemas.openxmlformats.org/officeDocument/2006/relationships/hyperlink" Target="https://www.sec.gov/Archives/edgar/data/0000879407/000156459021041593/arwr-ex101_33.htm" TargetMode="External"/><Relationship Id="rId115" Type="http://schemas.openxmlformats.org/officeDocument/2006/relationships/hyperlink" Target="https://www.sec.gov/Archives/edgar/data/879407/000119312521365055/d278970dex991.htm" TargetMode="External"/><Relationship Id="rId116" Type="http://schemas.openxmlformats.org/officeDocument/2006/relationships/hyperlink" Target="https://www.sec.gov/Archives/edgar/data/879407/000119312521365055/d278970dex992.htm" TargetMode="External"/><Relationship Id="rId117" Type="http://schemas.openxmlformats.org/officeDocument/2006/relationships/hyperlink" Target="https://www.sec.gov/Archives/edgar/data/879407/000119312521365055/d278970dex993.htm" TargetMode="External"/><Relationship Id="rId118" Type="http://schemas.openxmlformats.org/officeDocument/2006/relationships/hyperlink" Target="https://www.sec.gov/Archives/edgar/data/879407/000162828023040219/a1011-arrowhead_2021plan.htm" TargetMode="External"/><Relationship Id="rId119" Type="http://schemas.openxmlformats.org/officeDocument/2006/relationships/hyperlink" Target="https://www.sec.gov/Archives/edgar/data/879407/000119312506253375/dex1011.htm" TargetMode="External"/><Relationship Id="rId120" Type="http://schemas.openxmlformats.org/officeDocument/2006/relationships/hyperlink" Target="https://www.sec.gov/Archives/edgar/data/879407/000162828024022215/exhibit101-arrowheadindu.htm" TargetMode="External"/><Relationship Id="rId121" Type="http://schemas.openxmlformats.org/officeDocument/2006/relationships/hyperlink" Target="https://www.sec.gov/Archives/edgar/data/879407/000119312508133616/dex101.htm" TargetMode="External"/><Relationship Id="rId122" Type="http://schemas.openxmlformats.org/officeDocument/2006/relationships/hyperlink" Target="https://www.sec.gov/Archives/edgar/data/879407/000119312509258134/dex108.htm" TargetMode="External"/><Relationship Id="rId123" Type="http://schemas.openxmlformats.org/officeDocument/2006/relationships/hyperlink" Target="https://www.sec.gov/Archives/edgar/data/879407/000119312511347334/d265091dex1036.htm" TargetMode="External"/><Relationship Id="rId124" Type="http://schemas.openxmlformats.org/officeDocument/2006/relationships/hyperlink" Target="https://www.sec.gov/Archives/edgar/data/879407/000119312511347334/d265091dex1033.htm" TargetMode="External"/><Relationship Id="rId125" Type="http://schemas.openxmlformats.org/officeDocument/2006/relationships/hyperlink" Target="https://www.sec.gov/Archives/edgar/data/879407/000156459014003557/arwr-ex10_20140630353.htm" TargetMode="External"/><Relationship Id="rId128" Type="http://schemas.openxmlformats.org/officeDocument/2006/relationships/hyperlink" Target="https://www.sec.gov/Archives/edgar/data/879407/000156459016030217/arwr-ex1019_309.htm" TargetMode="External"/><Relationship Id="rId129" Type="http://schemas.openxmlformats.org/officeDocument/2006/relationships/hyperlink" Target="https://www.sec.gov/Archives/edgar/data/879407/000119312516776646/d272157dex101.htm" TargetMode="External"/><Relationship Id="rId130" Type="http://schemas.openxmlformats.org/officeDocument/2006/relationships/hyperlink" Target="https://www.sec.gov/Archives/edgar/data/879407/000095012319000828/arwr-ex101_156.htm" TargetMode="External"/><Relationship Id="rId131" Type="http://schemas.openxmlformats.org/officeDocument/2006/relationships/hyperlink" Target="https://www.sec.gov/Archives/edgar/data/0000879407/000156459019044376/arwr-ex1019_310.htm" TargetMode="External"/><Relationship Id="rId132" Type="http://schemas.openxmlformats.org/officeDocument/2006/relationships/hyperlink" Target="https://www.sec.gov/Archives/edgar/data/879407/000156459019044376/arwr-ex1020_311.htm" TargetMode="External"/><Relationship Id="rId133" Type="http://schemas.openxmlformats.org/officeDocument/2006/relationships/hyperlink" Target="https://www.sec.gov/Archives/edgar/data/879407/000162828024003492/gsk-amendedandrestatedli.htm" TargetMode="External"/><Relationship Id="rId134" Type="http://schemas.openxmlformats.org/officeDocument/2006/relationships/hyperlink" Target="https://www.sec.gov/Archives/edgar/data/879407/000095012319000828/arwr-ex103_154.htm" TargetMode="External"/><Relationship Id="rId135" Type="http://schemas.openxmlformats.org/officeDocument/2006/relationships/hyperlink" Target="https://www.sec.gov/Archives/edgar/data/0000879407/000156459021004319/arwr-ex101_863.htm" TargetMode="External"/><Relationship Id="rId136" Type="http://schemas.openxmlformats.org/officeDocument/2006/relationships/hyperlink" Target="https://www.sec.gov/Archives/edgar/data/879407/000156459022019275/arwr-ex101_473.htm" TargetMode="External"/><Relationship Id="rId137" Type="http://schemas.openxmlformats.org/officeDocument/2006/relationships/hyperlink" Target="https://www.sec.gov/Archives/edgar/data/0000879407/000156459021041593/arwr-ex104_195.htm" TargetMode="External"/><Relationship Id="rId138" Type="http://schemas.openxmlformats.org/officeDocument/2006/relationships/hyperlink" Target="https://www.sec.gov/Archives/edgar/data/879407/000156459022003616/arwr-ex101_514.htm" TargetMode="External"/><Relationship Id="rId139" Type="http://schemas.openxmlformats.org/officeDocument/2006/relationships/hyperlink" Target="https://www.sec.gov/Archives/edgar/data/879407/000162828023002413/exhibit101.htm" TargetMode="External"/><Relationship Id="rId140" Type="http://schemas.openxmlformats.org/officeDocument/2006/relationships/hyperlink" Target="https://www.sec.gov/Archives/edgar/data/879407/000156459016012515/arwr-ex101_83.htm" TargetMode="External"/><Relationship Id="rId141" Type="http://schemas.openxmlformats.org/officeDocument/2006/relationships/hyperlink" Target="https://www.sec.gov/Archives/edgar/data/879407/000156459020054893/arwr-ex1023_125.htm" TargetMode="External"/><Relationship Id="rId142" Type="http://schemas.openxmlformats.org/officeDocument/2006/relationships/hyperlink" Target="https://www.sec.gov/Archives/edgar/data/879407/000156459020054893/arwr-ex1024_124.htm" TargetMode="External"/><Relationship Id="rId143" Type="http://schemas.openxmlformats.org/officeDocument/2006/relationships/hyperlink" Target="https://www.sec.gov/Archives/edgar/data/879407/000156459020054893/arwr-ex1025_123.htm" TargetMode="External"/><Relationship Id="rId144" Type="http://schemas.openxmlformats.org/officeDocument/2006/relationships/hyperlink" Target="https://www.sec.gov/Archives/edgar/data/879407/000156459020054893/arwr-ex1026_121.htm" TargetMode="External"/><Relationship Id="rId145" Type="http://schemas.openxmlformats.org/officeDocument/2006/relationships/hyperlink" Target="https://www.sec.gov/Archives/edgar/data/879407/000156459020054893/arwr-ex1027_122.htm" TargetMode="External"/><Relationship Id="rId148" Type="http://schemas.openxmlformats.org/officeDocument/2006/relationships/hyperlink" Target="https://www.sec.gov/Archives/edgar/data/879407/000156459021004319/arwr-ex103_51.htm" TargetMode="External"/><Relationship Id="rId149" Type="http://schemas.openxmlformats.org/officeDocument/2006/relationships/hyperlink" Target="https://www.sec.gov/Archives/edgar/data/879407/000156459021004319/arwr-ex104_52.htm" TargetMode="External"/><Relationship Id="rId150" Type="http://schemas.openxmlformats.org/officeDocument/2006/relationships/hyperlink" Target="https://www.sec.gov/Archives/edgar/data/879407/000162828025038858/a106amendmentno12tolease.htm" TargetMode="External"/><Relationship Id="rId151" Type="http://schemas.openxmlformats.org/officeDocument/2006/relationships/hyperlink" Target="https://www.sec.gov/Archives/edgar/data/879407/000156459019028760/arwr-ex101_67.htm" TargetMode="External"/><Relationship Id="rId152" Type="http://schemas.openxmlformats.org/officeDocument/2006/relationships/hyperlink" Target="https://www.sec.gov/Archives/edgar/data/0000879407/000156459021004319/arwr-ex102_50.htm" TargetMode="External"/><Relationship Id="rId153" Type="http://schemas.openxmlformats.org/officeDocument/2006/relationships/hyperlink" Target="https://www.sec.gov/Archives/edgar/data/879407/000156459022003616/arwr-ex102_515.htm" TargetMode="External"/><Relationship Id="rId154" Type="http://schemas.openxmlformats.org/officeDocument/2006/relationships/hyperlink" Target="https://www.sec.gov/Archives/edgar/data/879407/000162828023040219/a1039-firstamendmenttole.htm" TargetMode="External"/><Relationship Id="rId155" Type="http://schemas.openxmlformats.org/officeDocument/2006/relationships/hyperlink" Target="https://www.sec.gov/Archives/edgar/data/879407/000162828022031597/arrowhead-atmxsalesagreeme.htm" TargetMode="External"/><Relationship Id="rId156" Type="http://schemas.openxmlformats.org/officeDocument/2006/relationships/hyperlink" Target="https://www.sec.gov/Archives/edgar/data/879407/000162828024049277/arrowhead-financingagree.htm" TargetMode="External"/><Relationship Id="rId157" Type="http://schemas.openxmlformats.org/officeDocument/2006/relationships/hyperlink" Target="https://www.sec.gov/Archives/edgar/data/879407/000162828025004634/exhibit104-arrowheadxame.htm" TargetMode="External"/><Relationship Id="rId158" Type="http://schemas.openxmlformats.org/officeDocument/2006/relationships/hyperlink" Target="https://www.sec.gov/Archives/edgar/data/879407/000162828025004634/sarepta-arrowheadxlicensea.htm" TargetMode="External"/><Relationship Id="rId159" Type="http://schemas.openxmlformats.org/officeDocument/2006/relationships/hyperlink" Target="https://www.sec.gov/Archives/edgar/data/879407/000162828025024666/ceoseveranceandchangeofcon.htm" TargetMode="External"/><Relationship Id="rId160" Type="http://schemas.openxmlformats.org/officeDocument/2006/relationships/hyperlink" Target="https://www.sec.gov/Archives/edgar/data/879407/000162828025024666/cfoseveranceandchangeofcon.htm" TargetMode="External"/><Relationship Id="rId161" Type="http://schemas.openxmlformats.org/officeDocument/2006/relationships/hyperlink" Target="https://www.sec.gov/Archives/edgar/data/879407/000162828025024666/severanceandchangeofcontro.htm" TargetMode="External"/><Relationship Id="rId162" Type="http://schemas.openxmlformats.org/officeDocument/2006/relationships/hyperlink" Target="https://www.sec.gov/Archives/edgar/data/879407/000162828025024666/cmoseveranceandchangeofcon.htm" TargetMode="External"/><Relationship Id="rId163" Type="http://schemas.openxmlformats.org/officeDocument/2006/relationships/hyperlink" Target="https://www.sec.gov/Archives/edgar/data/879407/000162828025024666/retirementletteragreement-.htm" TargetMode="External"/><Relationship Id="rId164" Type="http://schemas.openxmlformats.org/officeDocument/2006/relationships/hyperlink" Target="https://www.sec.gov/Archives/edgar/data/879407/000162828024049277/arwr-insidertradingpolic.htm" TargetMode="External"/><Relationship Id="rId167" Type="http://schemas.openxmlformats.org/officeDocument/2006/relationships/hyperlink" Target="https://www.sec.gov/Archives/edgar/data/879407/000162828023040219/a97-arwrxclawbackpolicy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2025-11-25T15:39:12Z</dcterms:created>
  <dcterms:modified xsi:type="dcterms:W3CDTF">2025-11-25T15:39:12Z</dcterms:modified>
</cp:coreProperties>
</file>